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charts/chart15.xml" ContentType="application/vnd.openxmlformats-officedocument.drawingml.chart+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550E0" w14:textId="04F28AB5" w:rsidR="009D6E46" w:rsidRDefault="009D6E46" w:rsidP="009D6E46">
      <w:pPr>
        <w:spacing w:after="960" w:line="440" w:lineRule="atLeast"/>
        <w:jc w:val="center"/>
        <w:rPr>
          <w:rFonts w:ascii="Calibri Light" w:eastAsia="Calibri Light" w:hAnsi="Calibri Light" w:cs="Times New Roman"/>
          <w:color w:val="000000"/>
          <w:sz w:val="42"/>
          <w:szCs w:val="22"/>
          <w:lang w:val="en-GB"/>
        </w:rPr>
      </w:pPr>
      <w:bookmarkStart w:id="0" w:name="Frontpage_Logo_Negativ"/>
    </w:p>
    <w:p w14:paraId="67BFF6E0" w14:textId="4A6EE743" w:rsidR="009D6E46" w:rsidRDefault="009D6E46" w:rsidP="009D6E46">
      <w:pPr>
        <w:spacing w:after="960" w:line="440" w:lineRule="atLeast"/>
        <w:jc w:val="center"/>
        <w:rPr>
          <w:rFonts w:ascii="Calibri Light" w:eastAsia="Calibri Light" w:hAnsi="Calibri Light" w:cs="Times New Roman"/>
          <w:color w:val="000000"/>
          <w:sz w:val="42"/>
          <w:szCs w:val="22"/>
          <w:lang w:val="en-GB"/>
        </w:rPr>
      </w:pPr>
    </w:p>
    <w:p w14:paraId="1BAAC0CC" w14:textId="00B30238" w:rsidR="009D6E46" w:rsidRDefault="009D6E46" w:rsidP="009D6E46">
      <w:pPr>
        <w:spacing w:line="440" w:lineRule="atLeast"/>
        <w:jc w:val="center"/>
        <w:rPr>
          <w:rFonts w:ascii="Calibri Light" w:eastAsia="Calibri Light" w:hAnsi="Calibri Light" w:cs="Times New Roman"/>
          <w:color w:val="000000"/>
          <w:sz w:val="42"/>
          <w:szCs w:val="22"/>
          <w:lang w:val="en-GB"/>
        </w:rPr>
      </w:pPr>
    </w:p>
    <w:p w14:paraId="6E68C2FB" w14:textId="77777777" w:rsidR="009D6E46" w:rsidRPr="009D6E46" w:rsidRDefault="009D6E46" w:rsidP="009D6E46">
      <w:pPr>
        <w:spacing w:line="440" w:lineRule="atLeast"/>
        <w:jc w:val="center"/>
        <w:rPr>
          <w:rFonts w:ascii="Calibri Light" w:eastAsia="Calibri Light" w:hAnsi="Calibri Light" w:cs="Times New Roman"/>
          <w:color w:val="000000"/>
          <w:sz w:val="42"/>
          <w:szCs w:val="22"/>
          <w:lang w:val="en-GB"/>
        </w:rPr>
      </w:pPr>
    </w:p>
    <w:p w14:paraId="19136526" w14:textId="71431ABA" w:rsidR="009D6E46" w:rsidRPr="009D6E46" w:rsidRDefault="009D6E46" w:rsidP="009D6E46">
      <w:pPr>
        <w:spacing w:after="0" w:line="440" w:lineRule="atLeast"/>
        <w:jc w:val="center"/>
        <w:rPr>
          <w:rFonts w:ascii="Calibri Light" w:eastAsia="MingLiU" w:hAnsi="Calibri Light" w:cs="Times New Roman"/>
          <w:b/>
          <w:bCs/>
          <w:color w:val="0D8390"/>
          <w:sz w:val="48"/>
          <w:szCs w:val="36"/>
          <w:lang w:val="en-GB"/>
        </w:rPr>
      </w:pPr>
      <w:r w:rsidRPr="009D6E46">
        <w:rPr>
          <w:rFonts w:ascii="Calibri Light" w:eastAsia="MingLiU" w:hAnsi="Calibri Light" w:cs="Times New Roman"/>
          <w:b/>
          <w:bCs/>
          <w:color w:val="0D8390"/>
          <w:sz w:val="48"/>
          <w:szCs w:val="36"/>
          <w:lang w:val="en-GB"/>
        </w:rPr>
        <w:t>Mid-Term Review of the National Health Reform Agreement Addendum 2020-2025</w:t>
      </w:r>
    </w:p>
    <w:p w14:paraId="181C2C03" w14:textId="77777777" w:rsidR="009D6E46" w:rsidRPr="009D6E46" w:rsidRDefault="009D6E46" w:rsidP="009D6E46">
      <w:pPr>
        <w:spacing w:line="440" w:lineRule="atLeast"/>
        <w:jc w:val="center"/>
        <w:rPr>
          <w:rFonts w:ascii="Calibri Light" w:eastAsia="Calibri Light" w:hAnsi="Calibri Light" w:cs="Times New Roman"/>
          <w:color w:val="000000"/>
          <w:sz w:val="42"/>
          <w:szCs w:val="22"/>
          <w:lang w:val="en-GB"/>
        </w:rPr>
      </w:pPr>
    </w:p>
    <w:p w14:paraId="0BD13454" w14:textId="68645F42" w:rsidR="009D6E46" w:rsidRPr="009D6E46" w:rsidRDefault="009D6E46" w:rsidP="009D6E46">
      <w:pPr>
        <w:spacing w:line="440" w:lineRule="atLeast"/>
        <w:jc w:val="center"/>
        <w:rPr>
          <w:rFonts w:ascii="Calibri Light" w:eastAsia="Calibri Light" w:hAnsi="Calibri Light" w:cs="Times New Roman"/>
          <w:color w:val="000000"/>
          <w:sz w:val="48"/>
          <w:szCs w:val="28"/>
          <w:lang w:val="en-US"/>
        </w:rPr>
      </w:pPr>
      <w:r w:rsidRPr="009D6E46">
        <w:rPr>
          <w:rFonts w:ascii="Calibri Light" w:eastAsia="Calibri Light" w:hAnsi="Calibri Light" w:cs="Times New Roman"/>
          <w:color w:val="000000"/>
          <w:sz w:val="48"/>
          <w:szCs w:val="28"/>
          <w:lang w:val="en-US"/>
        </w:rPr>
        <w:t>Final Report</w:t>
      </w:r>
    </w:p>
    <w:p w14:paraId="38A9A3DD" w14:textId="17FFEE89" w:rsidR="00E73E0C" w:rsidRPr="009D6E46" w:rsidRDefault="009D6E46" w:rsidP="009D6E46">
      <w:pPr>
        <w:spacing w:after="240" w:line="240" w:lineRule="atLeast"/>
        <w:jc w:val="center"/>
        <w:rPr>
          <w:rFonts w:eastAsia="Calibri Light" w:cs="Times New Roman"/>
          <w:b/>
          <w:color w:val="000000"/>
          <w:sz w:val="32"/>
          <w:szCs w:val="28"/>
          <w:lang w:val="en-US"/>
        </w:rPr>
      </w:pPr>
      <w:r w:rsidRPr="009D6E46">
        <w:rPr>
          <w:rFonts w:eastAsia="Calibri Light" w:cs="Times New Roman"/>
          <w:b/>
          <w:color w:val="000000"/>
          <w:sz w:val="32"/>
          <w:szCs w:val="28"/>
          <w:lang w:val="en-US"/>
        </w:rPr>
        <w:t xml:space="preserve">Rosemary Huxtable AO PSM | </w:t>
      </w:r>
      <w:r w:rsidR="00F77B9B" w:rsidRPr="00BB3208">
        <w:rPr>
          <w:rFonts w:eastAsia="Calibri Light" w:cs="Times New Roman"/>
          <w:b/>
          <w:color w:val="000000"/>
          <w:sz w:val="32"/>
          <w:szCs w:val="28"/>
          <w:lang w:val="en-US"/>
        </w:rPr>
        <w:t>2</w:t>
      </w:r>
      <w:r w:rsidR="00540D1F">
        <w:rPr>
          <w:rFonts w:eastAsia="Calibri Light" w:cs="Times New Roman"/>
          <w:b/>
          <w:color w:val="000000"/>
          <w:sz w:val="32"/>
          <w:szCs w:val="28"/>
          <w:lang w:val="en-US"/>
        </w:rPr>
        <w:t>4</w:t>
      </w:r>
      <w:r w:rsidRPr="009D6E46">
        <w:rPr>
          <w:rFonts w:eastAsia="Calibri Light" w:cs="Times New Roman"/>
          <w:b/>
          <w:color w:val="000000"/>
          <w:sz w:val="32"/>
          <w:szCs w:val="28"/>
          <w:lang w:val="en-US"/>
        </w:rPr>
        <w:t xml:space="preserve"> October 2023</w:t>
      </w:r>
      <w:r w:rsidR="00215C20" w:rsidRPr="009D6E46">
        <w:rPr>
          <w:rFonts w:eastAsia="Calibri Light" w:cs="Times New Roman"/>
          <w:b/>
          <w:noProof/>
          <w:color w:val="000000"/>
          <w:sz w:val="32"/>
          <w:szCs w:val="28"/>
          <w:lang w:val="en-US"/>
        </w:rPr>
        <w:drawing>
          <wp:anchor distT="0" distB="0" distL="0" distR="0" simplePos="0" relativeHeight="251672576" behindDoc="0" locked="0" layoutInCell="1" allowOverlap="1" wp14:anchorId="35D40EAA" wp14:editId="465C1874">
            <wp:simplePos x="0" y="0"/>
            <wp:positionH relativeFrom="margin">
              <wp:posOffset>-487680</wp:posOffset>
            </wp:positionH>
            <wp:positionV relativeFrom="page">
              <wp:posOffset>431165</wp:posOffset>
            </wp:positionV>
            <wp:extent cx="2086118" cy="914400"/>
            <wp:effectExtent l="0" t="0" r="0" b="0"/>
            <wp:wrapNone/>
            <wp:docPr id="1489793624" name="Picture 1489793624" descr="P8#y1"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89793624" name="Picture 1489793624" descr="P8#y1" hidden="1">
                      <a:extLst>
                        <a:ext uri="{C183D7F6-B498-43B3-948B-1728B52AA6E4}">
                          <adec:decorative xmlns:adec="http://schemas.microsoft.com/office/drawing/2017/decorative" val="1"/>
                        </a:ext>
                      </a:extLst>
                    </pic:cNvPr>
                    <pic:cNvPicPr/>
                  </pic:nvPicPr>
                  <pic:blipFill>
                    <a:blip r:embed="rId11"/>
                    <a:srcRect/>
                    <a:stretch/>
                  </pic:blipFill>
                  <pic:spPr>
                    <a:xfrm>
                      <a:off x="0" y="0"/>
                      <a:ext cx="2086118" cy="914400"/>
                    </a:xfrm>
                    <a:prstGeom prst="rect">
                      <a:avLst/>
                    </a:prstGeom>
                  </pic:spPr>
                </pic:pic>
              </a:graphicData>
            </a:graphic>
          </wp:anchor>
        </w:drawing>
      </w:r>
      <w:bookmarkStart w:id="1" w:name="BIT_CoverPage"/>
      <w:bookmarkEnd w:id="0"/>
      <w:r w:rsidR="00031008" w:rsidRPr="009D6E46">
        <w:rPr>
          <w:rFonts w:eastAsia="Calibri Light" w:cs="Times New Roman"/>
          <w:b/>
          <w:noProof/>
          <w:color w:val="000000"/>
          <w:sz w:val="32"/>
          <w:szCs w:val="28"/>
          <w:lang w:val="en-US"/>
        </w:rPr>
        <w:drawing>
          <wp:anchor distT="0" distB="0" distL="114300" distR="114300" simplePos="0" relativeHeight="251675648" behindDoc="0" locked="0" layoutInCell="1" allowOverlap="1" wp14:anchorId="07098167" wp14:editId="5622F028">
            <wp:simplePos x="0" y="0"/>
            <wp:positionH relativeFrom="page">
              <wp:posOffset>5154295</wp:posOffset>
            </wp:positionH>
            <wp:positionV relativeFrom="page">
              <wp:posOffset>9591040</wp:posOffset>
            </wp:positionV>
            <wp:extent cx="2003425" cy="528955"/>
            <wp:effectExtent l="0" t="0" r="0" b="0"/>
            <wp:wrapNone/>
            <wp:docPr id="52379519" name="Picture 52379519" descr="P8#y2"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2379519" name="Picture 52379519" descr="P8#y2" hidden="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3425" cy="528955"/>
                    </a:xfrm>
                    <a:prstGeom prst="rect">
                      <a:avLst/>
                    </a:prstGeom>
                  </pic:spPr>
                </pic:pic>
              </a:graphicData>
            </a:graphic>
          </wp:anchor>
        </w:drawing>
      </w:r>
      <w:bookmarkEnd w:id="1"/>
    </w:p>
    <w:p w14:paraId="2A2E8246" w14:textId="6685DE2F" w:rsidR="001E349B" w:rsidRPr="00C0090D" w:rsidRDefault="001E349B" w:rsidP="00A31EF9"/>
    <w:p w14:paraId="55486EBA" w14:textId="4B191D47" w:rsidR="00D96296" w:rsidRPr="00320031" w:rsidRDefault="00D96296" w:rsidP="00320031">
      <w:pPr>
        <w:spacing w:after="0" w:line="240" w:lineRule="auto"/>
        <w:rPr>
          <w:rFonts w:ascii="Calibri Light" w:eastAsia="Calibri Light" w:hAnsi="Calibri Light" w:cs="Times New Roman"/>
          <w:color w:val="000000"/>
          <w:szCs w:val="22"/>
          <w:lang w:val="en-US"/>
        </w:rPr>
        <w:sectPr w:rsidR="00D96296" w:rsidRPr="00320031" w:rsidSect="009D6E46">
          <w:headerReference w:type="even" r:id="rId13"/>
          <w:headerReference w:type="default" r:id="rId14"/>
          <w:headerReference w:type="first" r:id="rId15"/>
          <w:footerReference w:type="first" r:id="rId16"/>
          <w:pgSz w:w="11906" w:h="16838" w:code="9"/>
          <w:pgMar w:top="1440" w:right="746" w:bottom="1440" w:left="1440" w:header="680" w:footer="425" w:gutter="0"/>
          <w:cols w:space="284"/>
          <w:docGrid w:linePitch="360"/>
        </w:sectPr>
      </w:pPr>
    </w:p>
    <w:p w14:paraId="521F1D82" w14:textId="77777777" w:rsidR="007B2745" w:rsidRDefault="007B2745" w:rsidP="00D63A70">
      <w:pPr>
        <w:contextualSpacing/>
      </w:pPr>
      <w:bookmarkStart w:id="2" w:name="LAN_ContentsRP"/>
    </w:p>
    <w:p w14:paraId="5587BDAE" w14:textId="77777777" w:rsidR="007B2745" w:rsidRDefault="007B2745" w:rsidP="00D63A70">
      <w:pPr>
        <w:contextualSpacing/>
      </w:pPr>
    </w:p>
    <w:p w14:paraId="59360F79" w14:textId="77777777" w:rsidR="007B2745" w:rsidRDefault="007B2745" w:rsidP="00D63A70">
      <w:pPr>
        <w:contextualSpacing/>
      </w:pPr>
    </w:p>
    <w:p w14:paraId="3491FAA8" w14:textId="5E8CC388" w:rsidR="00D63A70" w:rsidRDefault="00D63A70" w:rsidP="00D63A70">
      <w:pPr>
        <w:contextualSpacing/>
        <w:rPr>
          <w:rFonts w:ascii="Times New Roman" w:hAnsi="Times New Roman" w:cs="Times New Roman"/>
        </w:rPr>
      </w:pPr>
      <w:r>
        <w:t>Ms Rachel Stephen-Smith MLA</w:t>
      </w:r>
    </w:p>
    <w:p w14:paraId="5F49DF03" w14:textId="77777777" w:rsidR="00D63A70" w:rsidRDefault="00D63A70" w:rsidP="00D63A70">
      <w:pPr>
        <w:contextualSpacing/>
      </w:pPr>
      <w:r>
        <w:t>Minister for Health</w:t>
      </w:r>
    </w:p>
    <w:p w14:paraId="2FFD6A15" w14:textId="77777777" w:rsidR="00D63A70" w:rsidRDefault="00D63A70" w:rsidP="00D63A70">
      <w:pPr>
        <w:contextualSpacing/>
      </w:pPr>
      <w:r>
        <w:t>Chair of Health Ministers' Meeting</w:t>
      </w:r>
    </w:p>
    <w:p w14:paraId="27DB6200" w14:textId="31E5748D" w:rsidR="00D63A70" w:rsidRDefault="00D63A70" w:rsidP="00D63A70">
      <w:pPr>
        <w:contextualSpacing/>
      </w:pPr>
      <w:r>
        <w:t xml:space="preserve">Email: </w:t>
      </w:r>
      <w:hyperlink r:id="rId17" w:history="1">
        <w:r w:rsidRPr="005E66B5">
          <w:rPr>
            <w:rStyle w:val="Hyperlink"/>
            <w:color w:val="0E57FC" w:themeColor="accent4" w:themeTint="99"/>
          </w:rPr>
          <w:t>NationalHealthSecretariat@health.nsw.gov.au</w:t>
        </w:r>
      </w:hyperlink>
      <w:r>
        <w:t xml:space="preserve"> </w:t>
      </w:r>
    </w:p>
    <w:p w14:paraId="264B6096" w14:textId="77777777" w:rsidR="00D63A70" w:rsidRDefault="00D63A70" w:rsidP="00D63A70"/>
    <w:p w14:paraId="34C51204" w14:textId="77777777" w:rsidR="00D63A70" w:rsidRDefault="00D63A70" w:rsidP="00D63A70"/>
    <w:p w14:paraId="0750EDC9" w14:textId="2BC06C84" w:rsidR="00D63A70" w:rsidRDefault="00D63A70" w:rsidP="00D63A70">
      <w:r>
        <w:t>Dear Minister,</w:t>
      </w:r>
    </w:p>
    <w:p w14:paraId="46BEF2B0" w14:textId="1BFD970E" w:rsidR="00D63A70" w:rsidRDefault="00D63A70" w:rsidP="00D63A70">
      <w:r>
        <w:t xml:space="preserve">I am pleased to provide </w:t>
      </w:r>
      <w:r w:rsidRPr="00DF3F64">
        <w:t>the Report of the</w:t>
      </w:r>
      <w:r w:rsidRPr="00650E28">
        <w:rPr>
          <w:i/>
          <w:iCs/>
        </w:rPr>
        <w:t xml:space="preserve"> Mid-Term Review of the </w:t>
      </w:r>
      <w:r w:rsidRPr="00942299">
        <w:rPr>
          <w:i/>
          <w:iCs/>
        </w:rPr>
        <w:t>National</w:t>
      </w:r>
      <w:r>
        <w:rPr>
          <w:i/>
          <w:iCs/>
        </w:rPr>
        <w:t xml:space="preserve"> Health Reform Agreement Addendum 2020-2025</w:t>
      </w:r>
      <w:r>
        <w:t xml:space="preserve">. The Review was commissioned by the Health Ministers of the Commonwealth and all States and Territories and is a requirement of Clause 21 of the Addendum. </w:t>
      </w:r>
    </w:p>
    <w:p w14:paraId="26712C65" w14:textId="3155C9DE" w:rsidR="00D63A70" w:rsidRDefault="00D63A70" w:rsidP="00D63A70">
      <w:r>
        <w:t xml:space="preserve">The Review makes </w:t>
      </w:r>
      <w:r w:rsidRPr="00650E28">
        <w:t>forty-</w:t>
      </w:r>
      <w:r w:rsidR="00466FC9" w:rsidRPr="00466FC9">
        <w:t>five</w:t>
      </w:r>
      <w:r w:rsidR="00942299">
        <w:t xml:space="preserve"> </w:t>
      </w:r>
      <w:r>
        <w:t xml:space="preserve">recommendations that respond to the </w:t>
      </w:r>
      <w:r w:rsidR="000A7474">
        <w:t>Review’s T</w:t>
      </w:r>
      <w:r>
        <w:t xml:space="preserve">erms of </w:t>
      </w:r>
      <w:r w:rsidR="000A7474">
        <w:t>R</w:t>
      </w:r>
      <w:r>
        <w:t xml:space="preserve">eference. These recommendations seek to build on the strengths of the </w:t>
      </w:r>
      <w:r>
        <w:rPr>
          <w:i/>
          <w:iCs/>
        </w:rPr>
        <w:t>National Health Reform Agreement</w:t>
      </w:r>
      <w:r>
        <w:t xml:space="preserve">, while proposing reforms and initiatives to enable the health system to address current and future challenges. </w:t>
      </w:r>
    </w:p>
    <w:p w14:paraId="5EC0EC17" w14:textId="63E8A527" w:rsidR="00D63A70" w:rsidRDefault="00D63A70" w:rsidP="00D63A70">
      <w:r>
        <w:t xml:space="preserve">The Review concludes that there are significant opportunities to broaden the scope of the Agreement to take a whole of health system view, </w:t>
      </w:r>
      <w:r w:rsidR="00583543">
        <w:t xml:space="preserve">to better manage the interface between care sectors, </w:t>
      </w:r>
      <w:r>
        <w:t xml:space="preserve">to embed innovation and reform into its operations, to incorporate the key system enablers of workforce and digital health and to establish priority actions in the areas of First Nations’ </w:t>
      </w:r>
      <w:r w:rsidR="00F730CC">
        <w:t>people</w:t>
      </w:r>
      <w:r w:rsidR="00DF3F64">
        <w:t>, mental health, prevention</w:t>
      </w:r>
      <w:r w:rsidR="00F730CC">
        <w:t xml:space="preserve"> </w:t>
      </w:r>
      <w:r>
        <w:t xml:space="preserve">and </w:t>
      </w:r>
      <w:r w:rsidR="00583543">
        <w:t>rural and remote health</w:t>
      </w:r>
      <w:r>
        <w:t>.</w:t>
      </w:r>
    </w:p>
    <w:p w14:paraId="2A2E208C" w14:textId="136D9AA1" w:rsidR="00D63A70" w:rsidRDefault="00D63A70" w:rsidP="00D63A70">
      <w:r>
        <w:t xml:space="preserve">While progress has been made to improve transparency and efficiency of hospital funding, largely through activity-based funding, there is an opportunity to take this to the next level by developing and enabling optimal models of care that seek to deliver care in the right place at the right time, </w:t>
      </w:r>
      <w:r w:rsidR="00F730CC">
        <w:t xml:space="preserve">often </w:t>
      </w:r>
      <w:r>
        <w:t xml:space="preserve">in </w:t>
      </w:r>
      <w:r w:rsidR="00DF3F64">
        <w:t xml:space="preserve">the </w:t>
      </w:r>
      <w:r>
        <w:t xml:space="preserve">community or through virtual settings. The </w:t>
      </w:r>
      <w:r w:rsidR="00583543">
        <w:t xml:space="preserve">implementation </w:t>
      </w:r>
      <w:r>
        <w:t xml:space="preserve">of a Health Funding and Payments Framework will </w:t>
      </w:r>
      <w:r w:rsidR="00DF3F64">
        <w:t xml:space="preserve">embed </w:t>
      </w:r>
      <w:r>
        <w:t>financing models that are fit for purpose and that reward high value care to improve patient outcomes.</w:t>
      </w:r>
    </w:p>
    <w:p w14:paraId="46A36DCE" w14:textId="77777777" w:rsidR="00D63A70" w:rsidRDefault="00D63A70" w:rsidP="00D63A70">
      <w:r>
        <w:t>Establishing a robust performance framework that includes measurement of patient experience and outcomes across the health system will enable a more proactive approach to system management.</w:t>
      </w:r>
    </w:p>
    <w:p w14:paraId="06B8549A" w14:textId="77777777" w:rsidR="00D63A70" w:rsidRDefault="00D63A70" w:rsidP="00D63A70">
      <w:r>
        <w:t xml:space="preserve">A thorough consultation process informed the Review and has been invaluable in developing its recommendations. I wish to acknowledge the open and collaborative way in which all stakeholders have participated and their willingness to test ideas and provide case studies and data. </w:t>
      </w:r>
    </w:p>
    <w:p w14:paraId="65CD33E3" w14:textId="2F1FC2E4" w:rsidR="00D63A70" w:rsidRDefault="00D63A70" w:rsidP="00D63A70">
      <w:r>
        <w:t xml:space="preserve">I also wish to thank my </w:t>
      </w:r>
      <w:r w:rsidR="00DF3F64">
        <w:t xml:space="preserve">initial </w:t>
      </w:r>
      <w:r>
        <w:t xml:space="preserve">co-Reviewer, Mr Michael Walsh PSM, who was a tireless contributor to the Review’s consultation phase, policy framing and direction, prior to his appointment as Acting Director General of Queensland Health in late July 2023. The Review was supported by Deloitte and I thank them for their contribution throughout, in supporting consultations, reviewing submissions and collaborating on preparation of Review materials, report drafting and ideas.  </w:t>
      </w:r>
    </w:p>
    <w:p w14:paraId="18011DE4" w14:textId="77777777" w:rsidR="00A076BC" w:rsidRDefault="00A076BC" w:rsidP="00D63A70"/>
    <w:p w14:paraId="6A24CF84" w14:textId="5C7BE4B0" w:rsidR="00D63A70" w:rsidRDefault="00D63A70" w:rsidP="00D63A70">
      <w:r>
        <w:t>Your</w:t>
      </w:r>
      <w:r w:rsidR="00300E0F">
        <w:t>s</w:t>
      </w:r>
      <w:r>
        <w:t xml:space="preserve"> sincerely</w:t>
      </w:r>
    </w:p>
    <w:p w14:paraId="381C72B0" w14:textId="605A77CF" w:rsidR="004306EE" w:rsidRDefault="00377361" w:rsidP="00D63A70">
      <w:pPr>
        <w:keepNext/>
      </w:pPr>
      <w:r>
        <w:rPr>
          <w:noProof/>
        </w:rPr>
        <w:drawing>
          <wp:inline distT="0" distB="0" distL="0" distR="0" wp14:anchorId="09B32282" wp14:editId="02655CD2">
            <wp:extent cx="1876425" cy="666750"/>
            <wp:effectExtent l="0" t="0" r="9525" b="0"/>
            <wp:docPr id="5" name="Picture 5" descr="P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30#yIS1"/>
                    <pic:cNvPicPr/>
                  </pic:nvPicPr>
                  <pic:blipFill>
                    <a:blip r:embed="rId18"/>
                    <a:stretch>
                      <a:fillRect/>
                    </a:stretch>
                  </pic:blipFill>
                  <pic:spPr>
                    <a:xfrm>
                      <a:off x="0" y="0"/>
                      <a:ext cx="1876425" cy="666750"/>
                    </a:xfrm>
                    <a:prstGeom prst="rect">
                      <a:avLst/>
                    </a:prstGeom>
                  </pic:spPr>
                </pic:pic>
              </a:graphicData>
            </a:graphic>
          </wp:inline>
        </w:drawing>
      </w:r>
    </w:p>
    <w:p w14:paraId="3B2C1C57" w14:textId="7EBAD454" w:rsidR="00D63A70" w:rsidRPr="004706A4" w:rsidRDefault="00D63A70" w:rsidP="00D63A70">
      <w:pPr>
        <w:keepNext/>
      </w:pPr>
      <w:r w:rsidRPr="004706A4">
        <w:t>Rosemary Huxtable AO PSM</w:t>
      </w:r>
    </w:p>
    <w:p w14:paraId="264814B1" w14:textId="210845A7" w:rsidR="00D63A70" w:rsidRDefault="00D63A70" w:rsidP="00D63A70">
      <w:pPr>
        <w:keepNext/>
      </w:pPr>
      <w:r w:rsidRPr="00377361">
        <w:t>2</w:t>
      </w:r>
      <w:r w:rsidR="00540D1F">
        <w:t>4</w:t>
      </w:r>
      <w:r w:rsidRPr="00377361">
        <w:t xml:space="preserve"> October</w:t>
      </w:r>
      <w:r w:rsidRPr="004706A4">
        <w:t xml:space="preserve"> 2023</w:t>
      </w:r>
    </w:p>
    <w:p w14:paraId="283DD61A" w14:textId="77777777" w:rsidR="00782F0C" w:rsidRDefault="00782F0C" w:rsidP="00D63A70">
      <w:pPr>
        <w:keepNext/>
      </w:pPr>
    </w:p>
    <w:p w14:paraId="511024DF" w14:textId="0DB3B796" w:rsidR="00782F0C" w:rsidRDefault="00782F0C" w:rsidP="00D63A70">
      <w:pPr>
        <w:keepNext/>
      </w:pPr>
      <w:r>
        <w:t xml:space="preserve">Copied to: </w:t>
      </w:r>
      <w:r>
        <w:tab/>
        <w:t>Health Ministers’ Meeting</w:t>
      </w:r>
      <w:r w:rsidR="001E235D">
        <w:t xml:space="preserve"> </w:t>
      </w:r>
      <w:r w:rsidR="0029574B">
        <w:t>-</w:t>
      </w:r>
      <w:r w:rsidR="001E235D">
        <w:t xml:space="preserve"> All Members</w:t>
      </w:r>
    </w:p>
    <w:p w14:paraId="5C1CE1CA" w14:textId="4296AB4B" w:rsidR="00782F0C" w:rsidRDefault="00782F0C" w:rsidP="00D63A70">
      <w:pPr>
        <w:keepNext/>
      </w:pPr>
      <w:r>
        <w:tab/>
      </w:r>
      <w:r>
        <w:tab/>
        <w:t>Health Chief Executives Forum</w:t>
      </w:r>
      <w:r w:rsidR="001E235D" w:rsidRPr="001E235D">
        <w:t xml:space="preserve"> </w:t>
      </w:r>
      <w:r w:rsidR="0029574B">
        <w:t xml:space="preserve">- </w:t>
      </w:r>
      <w:r w:rsidR="001E235D">
        <w:t xml:space="preserve">All Members </w:t>
      </w:r>
    </w:p>
    <w:p w14:paraId="409794E5" w14:textId="6B3ECF26" w:rsidR="00970C71" w:rsidRDefault="00970C71" w:rsidP="00D50025">
      <w:r>
        <w:br w:type="page"/>
      </w:r>
    </w:p>
    <w:p w14:paraId="359CCBB3" w14:textId="4A03807B" w:rsidR="002268CC" w:rsidRPr="005F674F" w:rsidRDefault="002268CC" w:rsidP="002268CC">
      <w:pPr>
        <w:pStyle w:val="TOCHeading"/>
        <w:rPr>
          <w:rFonts w:ascii="OpenSansRegular" w:hAnsi="OpenSansRegular" w:cs="OpenSansRegular"/>
          <w:color w:val="000000" w:themeColor="text1"/>
        </w:rPr>
      </w:pPr>
      <w:r w:rsidRPr="005F674F">
        <w:rPr>
          <w:rFonts w:ascii="OpenSansRegular" w:hAnsi="OpenSansRegular" w:cs="OpenSansRegular"/>
          <w:color w:val="000000" w:themeColor="text1"/>
        </w:rPr>
        <w:t>Contents</w:t>
      </w:r>
      <w:bookmarkEnd w:id="2"/>
    </w:p>
    <w:p w14:paraId="4893B823" w14:textId="201220E9" w:rsidR="00BB3208" w:rsidRPr="005F674F" w:rsidRDefault="002E6C52">
      <w:pPr>
        <w:pStyle w:val="TOC1"/>
        <w:rPr>
          <w:rFonts w:asciiTheme="minorHAnsi" w:eastAsiaTheme="minorEastAsia" w:hAnsiTheme="minorHAnsi" w:cstheme="minorBidi"/>
          <w:noProof/>
          <w:color w:val="000000" w:themeColor="text1"/>
          <w:sz w:val="22"/>
          <w:szCs w:val="22"/>
          <w:lang w:eastAsia="en-AU"/>
        </w:rPr>
      </w:pPr>
      <w:r w:rsidRPr="005F674F">
        <w:rPr>
          <w:color w:val="000000" w:themeColor="text1"/>
        </w:rPr>
        <w:fldChar w:fldCharType="begin"/>
      </w:r>
      <w:r w:rsidRPr="005F674F">
        <w:rPr>
          <w:color w:val="000000" w:themeColor="text1"/>
        </w:rPr>
        <w:instrText xml:space="preserve"> TOC \o "1-1" \h \z \u </w:instrText>
      </w:r>
      <w:r w:rsidRPr="005F674F">
        <w:rPr>
          <w:color w:val="000000" w:themeColor="text1"/>
        </w:rPr>
        <w:fldChar w:fldCharType="separate"/>
      </w:r>
      <w:hyperlink w:anchor="_Toc148968348" w:history="1">
        <w:r w:rsidR="00BB3208" w:rsidRPr="005F674F">
          <w:rPr>
            <w:rStyle w:val="Hyperlink"/>
            <w:noProof/>
            <w:color w:val="000000" w:themeColor="text1"/>
          </w:rPr>
          <w:t>Executive summary</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_Toc148968348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w:t>
        </w:r>
        <w:r w:rsidR="00BB3208" w:rsidRPr="005F674F">
          <w:rPr>
            <w:noProof/>
            <w:webHidden/>
            <w:color w:val="000000" w:themeColor="text1"/>
          </w:rPr>
          <w:fldChar w:fldCharType="end"/>
        </w:r>
      </w:hyperlink>
    </w:p>
    <w:p w14:paraId="660BFF63" w14:textId="0F1C1B4B" w:rsidR="00BB3208" w:rsidRPr="005F674F" w:rsidRDefault="00000000">
      <w:pPr>
        <w:pStyle w:val="TOC1"/>
        <w:rPr>
          <w:rFonts w:asciiTheme="minorHAnsi" w:eastAsiaTheme="minorEastAsia" w:hAnsiTheme="minorHAnsi" w:cstheme="minorBidi"/>
          <w:noProof/>
          <w:color w:val="000000" w:themeColor="text1"/>
          <w:sz w:val="22"/>
          <w:szCs w:val="22"/>
          <w:lang w:eastAsia="en-AU"/>
        </w:rPr>
      </w:pPr>
      <w:hyperlink w:anchor="_Toc148968349" w:history="1">
        <w:r w:rsidR="00BB3208" w:rsidRPr="005F674F">
          <w:rPr>
            <w:rStyle w:val="Hyperlink"/>
            <w:noProof/>
            <w:color w:val="000000" w:themeColor="text1"/>
          </w:rPr>
          <w:t>1</w:t>
        </w:r>
        <w:r w:rsidR="00BB3208" w:rsidRPr="005F674F">
          <w:rPr>
            <w:rFonts w:asciiTheme="minorHAnsi" w:eastAsiaTheme="minorEastAsia" w:hAnsiTheme="minorHAnsi" w:cstheme="minorBidi"/>
            <w:noProof/>
            <w:color w:val="000000" w:themeColor="text1"/>
            <w:sz w:val="22"/>
            <w:szCs w:val="22"/>
            <w:lang w:eastAsia="en-AU"/>
          </w:rPr>
          <w:tab/>
        </w:r>
        <w:r w:rsidR="00BB3208" w:rsidRPr="005F674F">
          <w:rPr>
            <w:rStyle w:val="Hyperlink"/>
            <w:noProof/>
            <w:color w:val="000000" w:themeColor="text1"/>
          </w:rPr>
          <w:t>About the Mid-Term Review</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_Toc148968349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14</w:t>
        </w:r>
        <w:r w:rsidR="00BB3208" w:rsidRPr="005F674F">
          <w:rPr>
            <w:noProof/>
            <w:webHidden/>
            <w:color w:val="000000" w:themeColor="text1"/>
          </w:rPr>
          <w:fldChar w:fldCharType="end"/>
        </w:r>
      </w:hyperlink>
    </w:p>
    <w:p w14:paraId="75516FA6" w14:textId="431906C4" w:rsidR="00BB3208" w:rsidRPr="005F674F" w:rsidRDefault="00000000">
      <w:pPr>
        <w:pStyle w:val="TOC1"/>
        <w:rPr>
          <w:rFonts w:asciiTheme="minorHAnsi" w:eastAsiaTheme="minorEastAsia" w:hAnsiTheme="minorHAnsi" w:cstheme="minorBidi"/>
          <w:noProof/>
          <w:color w:val="000000" w:themeColor="text1"/>
          <w:sz w:val="22"/>
          <w:szCs w:val="22"/>
          <w:lang w:eastAsia="en-AU"/>
        </w:rPr>
      </w:pPr>
      <w:hyperlink w:anchor="_Toc148968350" w:history="1">
        <w:r w:rsidR="00BB3208" w:rsidRPr="005F674F">
          <w:rPr>
            <w:rStyle w:val="Hyperlink"/>
            <w:noProof/>
            <w:color w:val="000000" w:themeColor="text1"/>
          </w:rPr>
          <w:t>2</w:t>
        </w:r>
        <w:r w:rsidR="00BB3208" w:rsidRPr="005F674F">
          <w:rPr>
            <w:rFonts w:asciiTheme="minorHAnsi" w:eastAsiaTheme="minorEastAsia" w:hAnsiTheme="minorHAnsi" w:cstheme="minorBidi"/>
            <w:noProof/>
            <w:color w:val="000000" w:themeColor="text1"/>
            <w:sz w:val="22"/>
            <w:szCs w:val="22"/>
            <w:lang w:eastAsia="en-AU"/>
          </w:rPr>
          <w:tab/>
        </w:r>
        <w:r w:rsidR="00BB3208" w:rsidRPr="005F674F">
          <w:rPr>
            <w:rStyle w:val="Hyperlink"/>
            <w:noProof/>
            <w:color w:val="000000" w:themeColor="text1"/>
          </w:rPr>
          <w:t>NHRA Addendum context</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_Toc148968350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17</w:t>
        </w:r>
        <w:r w:rsidR="00BB3208" w:rsidRPr="005F674F">
          <w:rPr>
            <w:noProof/>
            <w:webHidden/>
            <w:color w:val="000000" w:themeColor="text1"/>
          </w:rPr>
          <w:fldChar w:fldCharType="end"/>
        </w:r>
      </w:hyperlink>
    </w:p>
    <w:p w14:paraId="503528B7" w14:textId="6064BD5D" w:rsidR="00BB3208" w:rsidRPr="005F674F" w:rsidRDefault="00000000">
      <w:pPr>
        <w:pStyle w:val="TOC1"/>
        <w:rPr>
          <w:rFonts w:asciiTheme="minorHAnsi" w:eastAsiaTheme="minorEastAsia" w:hAnsiTheme="minorHAnsi" w:cstheme="minorBidi"/>
          <w:noProof/>
          <w:color w:val="000000" w:themeColor="text1"/>
          <w:sz w:val="22"/>
          <w:szCs w:val="22"/>
          <w:lang w:eastAsia="en-AU"/>
        </w:rPr>
      </w:pPr>
      <w:hyperlink w:anchor="_Toc148968351" w:history="1">
        <w:r w:rsidR="00BB3208" w:rsidRPr="005F674F">
          <w:rPr>
            <w:rStyle w:val="Hyperlink"/>
            <w:noProof/>
            <w:color w:val="000000" w:themeColor="text1"/>
          </w:rPr>
          <w:t>3</w:t>
        </w:r>
        <w:r w:rsidR="00BB3208" w:rsidRPr="005F674F">
          <w:rPr>
            <w:rFonts w:asciiTheme="minorHAnsi" w:eastAsiaTheme="minorEastAsia" w:hAnsiTheme="minorHAnsi" w:cstheme="minorBidi"/>
            <w:noProof/>
            <w:color w:val="000000" w:themeColor="text1"/>
            <w:sz w:val="22"/>
            <w:szCs w:val="22"/>
            <w:lang w:eastAsia="en-AU"/>
          </w:rPr>
          <w:tab/>
        </w:r>
        <w:r w:rsidR="00BB3208" w:rsidRPr="005F674F">
          <w:rPr>
            <w:rStyle w:val="Hyperlink"/>
            <w:noProof/>
            <w:color w:val="000000" w:themeColor="text1"/>
          </w:rPr>
          <w:t>Consultation outcomes</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_Toc148968351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24</w:t>
        </w:r>
        <w:r w:rsidR="00BB3208" w:rsidRPr="005F674F">
          <w:rPr>
            <w:noProof/>
            <w:webHidden/>
            <w:color w:val="000000" w:themeColor="text1"/>
          </w:rPr>
          <w:fldChar w:fldCharType="end"/>
        </w:r>
      </w:hyperlink>
    </w:p>
    <w:p w14:paraId="2267E699" w14:textId="02B2AF22" w:rsidR="00BB3208" w:rsidRPr="005F674F" w:rsidRDefault="00000000">
      <w:pPr>
        <w:pStyle w:val="TOC1"/>
        <w:rPr>
          <w:rFonts w:asciiTheme="minorHAnsi" w:eastAsiaTheme="minorEastAsia" w:hAnsiTheme="minorHAnsi" w:cstheme="minorBidi"/>
          <w:noProof/>
          <w:color w:val="000000" w:themeColor="text1"/>
          <w:sz w:val="22"/>
          <w:szCs w:val="22"/>
          <w:lang w:eastAsia="en-AU"/>
        </w:rPr>
      </w:pPr>
      <w:hyperlink w:anchor="_Toc148968352" w:history="1">
        <w:r w:rsidR="00BB3208" w:rsidRPr="005F674F">
          <w:rPr>
            <w:rStyle w:val="Hyperlink"/>
            <w:noProof/>
            <w:color w:val="000000" w:themeColor="text1"/>
          </w:rPr>
          <w:t>4</w:t>
        </w:r>
        <w:r w:rsidR="00BB3208" w:rsidRPr="005F674F">
          <w:rPr>
            <w:rFonts w:asciiTheme="minorHAnsi" w:eastAsiaTheme="minorEastAsia" w:hAnsiTheme="minorHAnsi" w:cstheme="minorBidi"/>
            <w:noProof/>
            <w:color w:val="000000" w:themeColor="text1"/>
            <w:sz w:val="22"/>
            <w:szCs w:val="22"/>
            <w:lang w:eastAsia="en-AU"/>
          </w:rPr>
          <w:tab/>
        </w:r>
        <w:r w:rsidR="00BB3208" w:rsidRPr="005F674F">
          <w:rPr>
            <w:rStyle w:val="Hyperlink"/>
            <w:noProof/>
            <w:color w:val="000000" w:themeColor="text1"/>
          </w:rPr>
          <w:t>Understanding the Health environment</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_Toc148968352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47</w:t>
        </w:r>
        <w:r w:rsidR="00BB3208" w:rsidRPr="005F674F">
          <w:rPr>
            <w:noProof/>
            <w:webHidden/>
            <w:color w:val="000000" w:themeColor="text1"/>
          </w:rPr>
          <w:fldChar w:fldCharType="end"/>
        </w:r>
      </w:hyperlink>
    </w:p>
    <w:p w14:paraId="07064790" w14:textId="2E83255B" w:rsidR="00BB3208" w:rsidRPr="005F674F" w:rsidRDefault="00000000">
      <w:pPr>
        <w:pStyle w:val="TOC1"/>
        <w:rPr>
          <w:rFonts w:asciiTheme="minorHAnsi" w:eastAsiaTheme="minorEastAsia" w:hAnsiTheme="minorHAnsi" w:cstheme="minorBidi"/>
          <w:noProof/>
          <w:color w:val="000000" w:themeColor="text1"/>
          <w:sz w:val="22"/>
          <w:szCs w:val="22"/>
          <w:lang w:eastAsia="en-AU"/>
        </w:rPr>
      </w:pPr>
      <w:hyperlink w:anchor="_Toc148968353" w:history="1">
        <w:r w:rsidR="00BB3208" w:rsidRPr="005F674F">
          <w:rPr>
            <w:rStyle w:val="Hyperlink"/>
            <w:noProof/>
            <w:color w:val="000000" w:themeColor="text1"/>
          </w:rPr>
          <w:t>5</w:t>
        </w:r>
        <w:r w:rsidR="00BB3208" w:rsidRPr="005F674F">
          <w:rPr>
            <w:rFonts w:asciiTheme="minorHAnsi" w:eastAsiaTheme="minorEastAsia" w:hAnsiTheme="minorHAnsi" w:cstheme="minorBidi"/>
            <w:noProof/>
            <w:color w:val="000000" w:themeColor="text1"/>
            <w:sz w:val="22"/>
            <w:szCs w:val="22"/>
            <w:lang w:eastAsia="en-AU"/>
          </w:rPr>
          <w:tab/>
        </w:r>
        <w:r w:rsidR="00BB3208" w:rsidRPr="005F674F">
          <w:rPr>
            <w:rStyle w:val="Hyperlink"/>
            <w:noProof/>
            <w:color w:val="000000" w:themeColor="text1"/>
          </w:rPr>
          <w:t>Key recommendations from the Review</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_Toc148968353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59</w:t>
        </w:r>
        <w:r w:rsidR="00BB3208" w:rsidRPr="005F674F">
          <w:rPr>
            <w:noProof/>
            <w:webHidden/>
            <w:color w:val="000000" w:themeColor="text1"/>
          </w:rPr>
          <w:fldChar w:fldCharType="end"/>
        </w:r>
      </w:hyperlink>
    </w:p>
    <w:p w14:paraId="16F419D6" w14:textId="53433074" w:rsidR="00BB3208" w:rsidRPr="005F674F" w:rsidRDefault="00000000">
      <w:pPr>
        <w:pStyle w:val="TOC1"/>
        <w:rPr>
          <w:rFonts w:asciiTheme="minorHAnsi" w:eastAsiaTheme="minorEastAsia" w:hAnsiTheme="minorHAnsi" w:cstheme="minorBidi"/>
          <w:noProof/>
          <w:color w:val="000000" w:themeColor="text1"/>
          <w:sz w:val="22"/>
          <w:szCs w:val="22"/>
          <w:lang w:eastAsia="en-AU"/>
        </w:rPr>
      </w:pPr>
      <w:hyperlink w:anchor="_Toc148968354" w:history="1">
        <w:r w:rsidR="00BB3208" w:rsidRPr="005F674F">
          <w:rPr>
            <w:rStyle w:val="Hyperlink"/>
            <w:noProof/>
            <w:color w:val="000000" w:themeColor="text1"/>
          </w:rPr>
          <w:t>6</w:t>
        </w:r>
        <w:r w:rsidR="00BB3208" w:rsidRPr="005F674F">
          <w:rPr>
            <w:rFonts w:asciiTheme="minorHAnsi" w:eastAsiaTheme="minorEastAsia" w:hAnsiTheme="minorHAnsi" w:cstheme="minorBidi"/>
            <w:noProof/>
            <w:color w:val="000000" w:themeColor="text1"/>
            <w:sz w:val="22"/>
            <w:szCs w:val="22"/>
            <w:lang w:eastAsia="en-AU"/>
          </w:rPr>
          <w:tab/>
        </w:r>
        <w:r w:rsidR="00BB3208" w:rsidRPr="005F674F">
          <w:rPr>
            <w:rStyle w:val="Hyperlink"/>
            <w:noProof/>
            <w:color w:val="000000" w:themeColor="text1"/>
          </w:rPr>
          <w:t>Future directions roadmap</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_Toc148968354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129</w:t>
        </w:r>
        <w:r w:rsidR="00BB3208" w:rsidRPr="005F674F">
          <w:rPr>
            <w:noProof/>
            <w:webHidden/>
            <w:color w:val="000000" w:themeColor="text1"/>
          </w:rPr>
          <w:fldChar w:fldCharType="end"/>
        </w:r>
      </w:hyperlink>
    </w:p>
    <w:p w14:paraId="2D8FD4E6" w14:textId="3B011ACA" w:rsidR="00BB3208" w:rsidRPr="005F674F" w:rsidRDefault="00000000">
      <w:pPr>
        <w:pStyle w:val="TOC1"/>
        <w:tabs>
          <w:tab w:val="left" w:pos="1149"/>
        </w:tabs>
        <w:rPr>
          <w:rFonts w:asciiTheme="minorHAnsi" w:eastAsiaTheme="minorEastAsia" w:hAnsiTheme="minorHAnsi" w:cstheme="minorBidi"/>
          <w:noProof/>
          <w:color w:val="000000" w:themeColor="text1"/>
          <w:sz w:val="22"/>
          <w:szCs w:val="22"/>
          <w:lang w:eastAsia="en-AU"/>
        </w:rPr>
      </w:pPr>
      <w:hyperlink w:anchor="_Toc148968355" w:history="1">
        <w:r w:rsidR="00BB3208" w:rsidRPr="005F674F">
          <w:rPr>
            <w:rStyle w:val="Hyperlink"/>
            <w:noProof/>
            <w:color w:val="000000" w:themeColor="text1"/>
            <w14:scene3d>
              <w14:camera w14:prst="orthographicFront"/>
              <w14:lightRig w14:rig="threePt" w14:dir="t">
                <w14:rot w14:lat="0" w14:lon="0" w14:rev="0"/>
              </w14:lightRig>
            </w14:scene3d>
          </w:rPr>
          <w:t>Appendix A</w:t>
        </w:r>
        <w:r w:rsidR="00BB3208" w:rsidRPr="005F674F">
          <w:rPr>
            <w:rFonts w:asciiTheme="minorHAnsi" w:eastAsiaTheme="minorEastAsia" w:hAnsiTheme="minorHAnsi" w:cstheme="minorBidi"/>
            <w:noProof/>
            <w:color w:val="000000" w:themeColor="text1"/>
            <w:sz w:val="22"/>
            <w:szCs w:val="22"/>
            <w:lang w:eastAsia="en-AU"/>
          </w:rPr>
          <w:tab/>
        </w:r>
        <w:r w:rsidR="00BB3208" w:rsidRPr="005F674F">
          <w:rPr>
            <w:rStyle w:val="Hyperlink"/>
            <w:noProof/>
            <w:color w:val="000000" w:themeColor="text1"/>
          </w:rPr>
          <w:t>Glossary</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_Toc148968355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131</w:t>
        </w:r>
        <w:r w:rsidR="00BB3208" w:rsidRPr="005F674F">
          <w:rPr>
            <w:noProof/>
            <w:webHidden/>
            <w:color w:val="000000" w:themeColor="text1"/>
          </w:rPr>
          <w:fldChar w:fldCharType="end"/>
        </w:r>
      </w:hyperlink>
    </w:p>
    <w:p w14:paraId="01E75134" w14:textId="68DC5B39" w:rsidR="00BB3208" w:rsidRPr="005F674F" w:rsidRDefault="00000000">
      <w:pPr>
        <w:pStyle w:val="TOC1"/>
        <w:tabs>
          <w:tab w:val="left" w:pos="1142"/>
        </w:tabs>
        <w:rPr>
          <w:rFonts w:asciiTheme="minorHAnsi" w:eastAsiaTheme="minorEastAsia" w:hAnsiTheme="minorHAnsi" w:cstheme="minorBidi"/>
          <w:noProof/>
          <w:color w:val="000000" w:themeColor="text1"/>
          <w:sz w:val="22"/>
          <w:szCs w:val="22"/>
          <w:lang w:eastAsia="en-AU"/>
        </w:rPr>
      </w:pPr>
      <w:hyperlink w:anchor="_Toc148968356" w:history="1">
        <w:r w:rsidR="00BB3208" w:rsidRPr="005F674F">
          <w:rPr>
            <w:rStyle w:val="Hyperlink"/>
            <w:noProof/>
            <w:color w:val="000000" w:themeColor="text1"/>
            <w14:scene3d>
              <w14:camera w14:prst="orthographicFront"/>
              <w14:lightRig w14:rig="threePt" w14:dir="t">
                <w14:rot w14:lat="0" w14:lon="0" w14:rev="0"/>
              </w14:lightRig>
            </w14:scene3d>
          </w:rPr>
          <w:t>Appendix B</w:t>
        </w:r>
        <w:r w:rsidR="00BB3208" w:rsidRPr="005F674F">
          <w:rPr>
            <w:rFonts w:asciiTheme="minorHAnsi" w:eastAsiaTheme="minorEastAsia" w:hAnsiTheme="minorHAnsi" w:cstheme="minorBidi"/>
            <w:noProof/>
            <w:color w:val="000000" w:themeColor="text1"/>
            <w:sz w:val="22"/>
            <w:szCs w:val="22"/>
            <w:lang w:eastAsia="en-AU"/>
          </w:rPr>
          <w:tab/>
        </w:r>
        <w:r w:rsidR="00BB3208" w:rsidRPr="005F674F">
          <w:rPr>
            <w:rStyle w:val="Hyperlink"/>
            <w:noProof/>
            <w:color w:val="000000" w:themeColor="text1"/>
          </w:rPr>
          <w:t>Terms of Reference</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_Toc148968356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133</w:t>
        </w:r>
        <w:r w:rsidR="00BB3208" w:rsidRPr="005F674F">
          <w:rPr>
            <w:noProof/>
            <w:webHidden/>
            <w:color w:val="000000" w:themeColor="text1"/>
          </w:rPr>
          <w:fldChar w:fldCharType="end"/>
        </w:r>
      </w:hyperlink>
    </w:p>
    <w:p w14:paraId="2222DC9C" w14:textId="0C9D5DBC" w:rsidR="00BB3208" w:rsidRPr="005F674F" w:rsidRDefault="00000000">
      <w:pPr>
        <w:pStyle w:val="TOC1"/>
        <w:tabs>
          <w:tab w:val="left" w:pos="1140"/>
        </w:tabs>
        <w:rPr>
          <w:rFonts w:asciiTheme="minorHAnsi" w:eastAsiaTheme="minorEastAsia" w:hAnsiTheme="minorHAnsi" w:cstheme="minorBidi"/>
          <w:noProof/>
          <w:color w:val="000000" w:themeColor="text1"/>
          <w:sz w:val="22"/>
          <w:szCs w:val="22"/>
          <w:lang w:eastAsia="en-AU"/>
        </w:rPr>
      </w:pPr>
      <w:hyperlink w:anchor="_Toc148968357" w:history="1">
        <w:r w:rsidR="00BB3208" w:rsidRPr="005F674F">
          <w:rPr>
            <w:rStyle w:val="Hyperlink"/>
            <w:noProof/>
            <w:color w:val="000000" w:themeColor="text1"/>
            <w14:scene3d>
              <w14:camera w14:prst="orthographicFront"/>
              <w14:lightRig w14:rig="threePt" w14:dir="t">
                <w14:rot w14:lat="0" w14:lon="0" w14:rev="0"/>
              </w14:lightRig>
            </w14:scene3d>
          </w:rPr>
          <w:t>Appendix C</w:t>
        </w:r>
        <w:r w:rsidR="00BB3208" w:rsidRPr="005F674F">
          <w:rPr>
            <w:rFonts w:asciiTheme="minorHAnsi" w:eastAsiaTheme="minorEastAsia" w:hAnsiTheme="minorHAnsi" w:cstheme="minorBidi"/>
            <w:noProof/>
            <w:color w:val="000000" w:themeColor="text1"/>
            <w:sz w:val="22"/>
            <w:szCs w:val="22"/>
            <w:lang w:eastAsia="en-AU"/>
          </w:rPr>
          <w:tab/>
        </w:r>
        <w:r w:rsidR="00BB3208" w:rsidRPr="005F674F">
          <w:rPr>
            <w:rStyle w:val="Hyperlink"/>
            <w:noProof/>
            <w:color w:val="000000" w:themeColor="text1"/>
          </w:rPr>
          <w:t>Reference documents</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_Toc148968357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135</w:t>
        </w:r>
        <w:r w:rsidR="00BB3208" w:rsidRPr="005F674F">
          <w:rPr>
            <w:noProof/>
            <w:webHidden/>
            <w:color w:val="000000" w:themeColor="text1"/>
          </w:rPr>
          <w:fldChar w:fldCharType="end"/>
        </w:r>
      </w:hyperlink>
    </w:p>
    <w:p w14:paraId="2E76004D" w14:textId="040F31B0" w:rsidR="00BB3208" w:rsidRPr="005F674F" w:rsidRDefault="00000000">
      <w:pPr>
        <w:pStyle w:val="TOC1"/>
        <w:tabs>
          <w:tab w:val="left" w:pos="1156"/>
        </w:tabs>
        <w:rPr>
          <w:rFonts w:asciiTheme="minorHAnsi" w:eastAsiaTheme="minorEastAsia" w:hAnsiTheme="minorHAnsi" w:cstheme="minorBidi"/>
          <w:noProof/>
          <w:color w:val="000000" w:themeColor="text1"/>
          <w:sz w:val="22"/>
          <w:szCs w:val="22"/>
          <w:lang w:eastAsia="en-AU"/>
        </w:rPr>
      </w:pPr>
      <w:hyperlink w:anchor="_Toc148968358" w:history="1">
        <w:r w:rsidR="00BB3208" w:rsidRPr="005F674F">
          <w:rPr>
            <w:rStyle w:val="Hyperlink"/>
            <w:noProof/>
            <w:color w:val="000000" w:themeColor="text1"/>
            <w14:scene3d>
              <w14:camera w14:prst="orthographicFront"/>
              <w14:lightRig w14:rig="threePt" w14:dir="t">
                <w14:rot w14:lat="0" w14:lon="0" w14:rev="0"/>
              </w14:lightRig>
            </w14:scene3d>
          </w:rPr>
          <w:t>Appendix D</w:t>
        </w:r>
        <w:r w:rsidR="00BB3208" w:rsidRPr="005F674F">
          <w:rPr>
            <w:rFonts w:asciiTheme="minorHAnsi" w:eastAsiaTheme="minorEastAsia" w:hAnsiTheme="minorHAnsi" w:cstheme="minorBidi"/>
            <w:noProof/>
            <w:color w:val="000000" w:themeColor="text1"/>
            <w:sz w:val="22"/>
            <w:szCs w:val="22"/>
            <w:lang w:eastAsia="en-AU"/>
          </w:rPr>
          <w:tab/>
        </w:r>
        <w:r w:rsidR="00BB3208" w:rsidRPr="005F674F">
          <w:rPr>
            <w:rStyle w:val="Hyperlink"/>
            <w:noProof/>
            <w:color w:val="000000" w:themeColor="text1"/>
          </w:rPr>
          <w:t>Stakeholders consulted</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_Toc148968358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137</w:t>
        </w:r>
        <w:r w:rsidR="00BB3208" w:rsidRPr="005F674F">
          <w:rPr>
            <w:noProof/>
            <w:webHidden/>
            <w:color w:val="000000" w:themeColor="text1"/>
          </w:rPr>
          <w:fldChar w:fldCharType="end"/>
        </w:r>
      </w:hyperlink>
    </w:p>
    <w:p w14:paraId="7FF65A38" w14:textId="3DCA76B2" w:rsidR="00BB3208" w:rsidRPr="005F674F" w:rsidRDefault="00000000">
      <w:pPr>
        <w:pStyle w:val="TOC1"/>
        <w:tabs>
          <w:tab w:val="left" w:pos="1134"/>
        </w:tabs>
        <w:rPr>
          <w:rFonts w:asciiTheme="minorHAnsi" w:eastAsiaTheme="minorEastAsia" w:hAnsiTheme="minorHAnsi" w:cstheme="minorBidi"/>
          <w:noProof/>
          <w:color w:val="000000" w:themeColor="text1"/>
          <w:sz w:val="22"/>
          <w:szCs w:val="22"/>
          <w:lang w:eastAsia="en-AU"/>
        </w:rPr>
      </w:pPr>
      <w:hyperlink w:anchor="_Toc148968359" w:history="1">
        <w:r w:rsidR="00BB3208" w:rsidRPr="005F674F">
          <w:rPr>
            <w:rStyle w:val="Hyperlink"/>
            <w:noProof/>
            <w:color w:val="000000" w:themeColor="text1"/>
            <w14:scene3d>
              <w14:camera w14:prst="orthographicFront"/>
              <w14:lightRig w14:rig="threePt" w14:dir="t">
                <w14:rot w14:lat="0" w14:lon="0" w14:rev="0"/>
              </w14:lightRig>
            </w14:scene3d>
          </w:rPr>
          <w:t>Appendix E</w:t>
        </w:r>
        <w:r w:rsidR="00BB3208" w:rsidRPr="005F674F">
          <w:rPr>
            <w:rFonts w:asciiTheme="minorHAnsi" w:eastAsiaTheme="minorEastAsia" w:hAnsiTheme="minorHAnsi" w:cstheme="minorBidi"/>
            <w:noProof/>
            <w:color w:val="000000" w:themeColor="text1"/>
            <w:sz w:val="22"/>
            <w:szCs w:val="22"/>
            <w:lang w:eastAsia="en-AU"/>
          </w:rPr>
          <w:tab/>
        </w:r>
        <w:r w:rsidR="00BB3208" w:rsidRPr="005F674F">
          <w:rPr>
            <w:rStyle w:val="Hyperlink"/>
            <w:noProof/>
            <w:color w:val="000000" w:themeColor="text1"/>
          </w:rPr>
          <w:t>Written submissions received</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_Toc148968359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139</w:t>
        </w:r>
        <w:r w:rsidR="00BB3208" w:rsidRPr="005F674F">
          <w:rPr>
            <w:noProof/>
            <w:webHidden/>
            <w:color w:val="000000" w:themeColor="text1"/>
          </w:rPr>
          <w:fldChar w:fldCharType="end"/>
        </w:r>
      </w:hyperlink>
    </w:p>
    <w:p w14:paraId="28F004CA" w14:textId="5A8EDBE6" w:rsidR="00BB3208" w:rsidRPr="005F674F" w:rsidRDefault="00000000">
      <w:pPr>
        <w:pStyle w:val="TOC1"/>
        <w:tabs>
          <w:tab w:val="left" w:pos="1134"/>
        </w:tabs>
        <w:rPr>
          <w:rFonts w:asciiTheme="minorHAnsi" w:eastAsiaTheme="minorEastAsia" w:hAnsiTheme="minorHAnsi" w:cstheme="minorBidi"/>
          <w:noProof/>
          <w:color w:val="000000" w:themeColor="text1"/>
          <w:sz w:val="22"/>
          <w:szCs w:val="22"/>
          <w:lang w:eastAsia="en-AU"/>
        </w:rPr>
      </w:pPr>
      <w:hyperlink w:anchor="_Toc148968360" w:history="1">
        <w:r w:rsidR="00BB3208" w:rsidRPr="005F674F">
          <w:rPr>
            <w:rStyle w:val="Hyperlink"/>
            <w:noProof/>
            <w:color w:val="000000" w:themeColor="text1"/>
            <w14:scene3d>
              <w14:camera w14:prst="orthographicFront"/>
              <w14:lightRig w14:rig="threePt" w14:dir="t">
                <w14:rot w14:lat="0" w14:lon="0" w14:rev="0"/>
              </w14:lightRig>
            </w14:scene3d>
          </w:rPr>
          <w:t>Appendix F</w:t>
        </w:r>
        <w:r w:rsidR="00BB3208" w:rsidRPr="005F674F">
          <w:rPr>
            <w:rFonts w:asciiTheme="minorHAnsi" w:eastAsiaTheme="minorEastAsia" w:hAnsiTheme="minorHAnsi" w:cstheme="minorBidi"/>
            <w:noProof/>
            <w:color w:val="000000" w:themeColor="text1"/>
            <w:sz w:val="22"/>
            <w:szCs w:val="22"/>
            <w:lang w:eastAsia="en-AU"/>
          </w:rPr>
          <w:tab/>
        </w:r>
        <w:r w:rsidR="00BB3208" w:rsidRPr="005F674F">
          <w:rPr>
            <w:rStyle w:val="Hyperlink"/>
            <w:noProof/>
            <w:color w:val="000000" w:themeColor="text1"/>
          </w:rPr>
          <w:t>NHRA Addendum 2020-2025 contents</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_Toc148968360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140</w:t>
        </w:r>
        <w:r w:rsidR="00BB3208" w:rsidRPr="005F674F">
          <w:rPr>
            <w:noProof/>
            <w:webHidden/>
            <w:color w:val="000000" w:themeColor="text1"/>
          </w:rPr>
          <w:fldChar w:fldCharType="end"/>
        </w:r>
      </w:hyperlink>
    </w:p>
    <w:p w14:paraId="1AF48955" w14:textId="7C3625CD" w:rsidR="00BB3208" w:rsidRPr="005F674F" w:rsidRDefault="00000000">
      <w:pPr>
        <w:pStyle w:val="TOC1"/>
        <w:tabs>
          <w:tab w:val="left" w:pos="1159"/>
        </w:tabs>
        <w:rPr>
          <w:rFonts w:asciiTheme="minorHAnsi" w:eastAsiaTheme="minorEastAsia" w:hAnsiTheme="minorHAnsi" w:cstheme="minorBidi"/>
          <w:noProof/>
          <w:color w:val="000000" w:themeColor="text1"/>
          <w:sz w:val="22"/>
          <w:szCs w:val="22"/>
          <w:lang w:eastAsia="en-AU"/>
        </w:rPr>
      </w:pPr>
      <w:hyperlink w:anchor="_Toc148968361" w:history="1">
        <w:r w:rsidR="00BB3208" w:rsidRPr="005F674F">
          <w:rPr>
            <w:rStyle w:val="Hyperlink"/>
            <w:noProof/>
            <w:color w:val="000000" w:themeColor="text1"/>
            <w14:scene3d>
              <w14:camera w14:prst="orthographicFront"/>
              <w14:lightRig w14:rig="threePt" w14:dir="t">
                <w14:rot w14:lat="0" w14:lon="0" w14:rev="0"/>
              </w14:lightRig>
            </w14:scene3d>
          </w:rPr>
          <w:t>Appendix G</w:t>
        </w:r>
        <w:r w:rsidR="00BB3208" w:rsidRPr="005F674F">
          <w:rPr>
            <w:rFonts w:asciiTheme="minorHAnsi" w:eastAsiaTheme="minorEastAsia" w:hAnsiTheme="minorHAnsi" w:cstheme="minorBidi"/>
            <w:noProof/>
            <w:color w:val="000000" w:themeColor="text1"/>
            <w:sz w:val="22"/>
            <w:szCs w:val="22"/>
            <w:lang w:eastAsia="en-AU"/>
          </w:rPr>
          <w:tab/>
        </w:r>
        <w:r w:rsidR="00BB3208" w:rsidRPr="005F674F">
          <w:rPr>
            <w:rStyle w:val="Hyperlink"/>
            <w:noProof/>
            <w:color w:val="000000" w:themeColor="text1"/>
          </w:rPr>
          <w:t>Health related national Agreements</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_Toc148968361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143</w:t>
        </w:r>
        <w:r w:rsidR="00BB3208" w:rsidRPr="005F674F">
          <w:rPr>
            <w:noProof/>
            <w:webHidden/>
            <w:color w:val="000000" w:themeColor="text1"/>
          </w:rPr>
          <w:fldChar w:fldCharType="end"/>
        </w:r>
      </w:hyperlink>
    </w:p>
    <w:p w14:paraId="32455473" w14:textId="13FE4EA6" w:rsidR="00BB3208" w:rsidRPr="005F674F" w:rsidRDefault="00000000">
      <w:pPr>
        <w:pStyle w:val="TOC1"/>
        <w:tabs>
          <w:tab w:val="left" w:pos="1158"/>
        </w:tabs>
        <w:rPr>
          <w:rFonts w:asciiTheme="minorHAnsi" w:eastAsiaTheme="minorEastAsia" w:hAnsiTheme="minorHAnsi" w:cstheme="minorBidi"/>
          <w:noProof/>
          <w:color w:val="000000" w:themeColor="text1"/>
          <w:sz w:val="22"/>
          <w:szCs w:val="22"/>
          <w:lang w:eastAsia="en-AU"/>
        </w:rPr>
      </w:pPr>
      <w:hyperlink w:anchor="_Toc148968362" w:history="1">
        <w:r w:rsidR="00BB3208" w:rsidRPr="005F674F">
          <w:rPr>
            <w:rStyle w:val="Hyperlink"/>
            <w:noProof/>
            <w:color w:val="000000" w:themeColor="text1"/>
            <w14:scene3d>
              <w14:camera w14:prst="orthographicFront"/>
              <w14:lightRig w14:rig="threePt" w14:dir="t">
                <w14:rot w14:lat="0" w14:lon="0" w14:rev="0"/>
              </w14:lightRig>
            </w14:scene3d>
          </w:rPr>
          <w:t>Appendix H</w:t>
        </w:r>
        <w:r w:rsidR="00BB3208" w:rsidRPr="005F674F">
          <w:rPr>
            <w:rFonts w:asciiTheme="minorHAnsi" w:eastAsiaTheme="minorEastAsia" w:hAnsiTheme="minorHAnsi" w:cstheme="minorBidi"/>
            <w:noProof/>
            <w:color w:val="000000" w:themeColor="text1"/>
            <w:sz w:val="22"/>
            <w:szCs w:val="22"/>
            <w:lang w:eastAsia="en-AU"/>
          </w:rPr>
          <w:tab/>
        </w:r>
        <w:r w:rsidR="00BB3208" w:rsidRPr="005F674F">
          <w:rPr>
            <w:rStyle w:val="Hyperlink"/>
            <w:noProof/>
            <w:color w:val="000000" w:themeColor="text1"/>
          </w:rPr>
          <w:t>Summary of international developments on high value care and integrated funding systems</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_Toc148968362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144</w:t>
        </w:r>
        <w:r w:rsidR="00BB3208" w:rsidRPr="005F674F">
          <w:rPr>
            <w:noProof/>
            <w:webHidden/>
            <w:color w:val="000000" w:themeColor="text1"/>
          </w:rPr>
          <w:fldChar w:fldCharType="end"/>
        </w:r>
      </w:hyperlink>
    </w:p>
    <w:p w14:paraId="28C5A010" w14:textId="2E8E5EB8" w:rsidR="00BB3208" w:rsidRPr="005F674F" w:rsidRDefault="00000000">
      <w:pPr>
        <w:pStyle w:val="TOC1"/>
        <w:tabs>
          <w:tab w:val="left" w:pos="1134"/>
        </w:tabs>
        <w:rPr>
          <w:rFonts w:asciiTheme="minorHAnsi" w:eastAsiaTheme="minorEastAsia" w:hAnsiTheme="minorHAnsi" w:cstheme="minorBidi"/>
          <w:noProof/>
          <w:color w:val="000000" w:themeColor="text1"/>
          <w:sz w:val="22"/>
          <w:szCs w:val="22"/>
          <w:lang w:eastAsia="en-AU"/>
        </w:rPr>
      </w:pPr>
      <w:hyperlink w:anchor="_Toc148968363" w:history="1">
        <w:r w:rsidR="00BB3208" w:rsidRPr="005F674F">
          <w:rPr>
            <w:rStyle w:val="Hyperlink"/>
            <w:noProof/>
            <w:color w:val="000000" w:themeColor="text1"/>
            <w14:scene3d>
              <w14:camera w14:prst="orthographicFront"/>
              <w14:lightRig w14:rig="threePt" w14:dir="t">
                <w14:rot w14:lat="0" w14:lon="0" w14:rev="0"/>
              </w14:lightRig>
            </w14:scene3d>
          </w:rPr>
          <w:t>Appendix I</w:t>
        </w:r>
        <w:r w:rsidR="00BB3208" w:rsidRPr="005F674F">
          <w:rPr>
            <w:rFonts w:asciiTheme="minorHAnsi" w:eastAsiaTheme="minorEastAsia" w:hAnsiTheme="minorHAnsi" w:cstheme="minorBidi"/>
            <w:noProof/>
            <w:color w:val="000000" w:themeColor="text1"/>
            <w:sz w:val="22"/>
            <w:szCs w:val="22"/>
            <w:lang w:eastAsia="en-AU"/>
          </w:rPr>
          <w:tab/>
        </w:r>
        <w:r w:rsidR="00BB3208" w:rsidRPr="005F674F">
          <w:rPr>
            <w:rStyle w:val="Hyperlink"/>
            <w:noProof/>
            <w:color w:val="000000" w:themeColor="text1"/>
          </w:rPr>
          <w:t>NHRA Interim Quantitative Performance Framework themes and indicators</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_Toc148968363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145</w:t>
        </w:r>
        <w:r w:rsidR="00BB3208" w:rsidRPr="005F674F">
          <w:rPr>
            <w:noProof/>
            <w:webHidden/>
            <w:color w:val="000000" w:themeColor="text1"/>
          </w:rPr>
          <w:fldChar w:fldCharType="end"/>
        </w:r>
      </w:hyperlink>
    </w:p>
    <w:p w14:paraId="409A48F3" w14:textId="42BBC461" w:rsidR="00BB3208" w:rsidRPr="005F674F" w:rsidRDefault="00000000">
      <w:pPr>
        <w:pStyle w:val="TOC1"/>
        <w:tabs>
          <w:tab w:val="left" w:pos="1134"/>
        </w:tabs>
        <w:rPr>
          <w:rFonts w:asciiTheme="minorHAnsi" w:eastAsiaTheme="minorEastAsia" w:hAnsiTheme="minorHAnsi" w:cstheme="minorBidi"/>
          <w:noProof/>
          <w:color w:val="000000" w:themeColor="text1"/>
          <w:sz w:val="22"/>
          <w:szCs w:val="22"/>
          <w:lang w:eastAsia="en-AU"/>
        </w:rPr>
      </w:pPr>
      <w:hyperlink w:anchor="_Toc148968364" w:history="1">
        <w:r w:rsidR="00BB3208" w:rsidRPr="005F674F">
          <w:rPr>
            <w:rStyle w:val="Hyperlink"/>
            <w:noProof/>
            <w:color w:val="000000" w:themeColor="text1"/>
            <w14:scene3d>
              <w14:camera w14:prst="orthographicFront"/>
              <w14:lightRig w14:rig="threePt" w14:dir="t">
                <w14:rot w14:lat="0" w14:lon="0" w14:rev="0"/>
              </w14:lightRig>
            </w14:scene3d>
          </w:rPr>
          <w:t>Appendix J</w:t>
        </w:r>
        <w:r w:rsidR="00BB3208" w:rsidRPr="005F674F">
          <w:rPr>
            <w:rFonts w:asciiTheme="minorHAnsi" w:eastAsiaTheme="minorEastAsia" w:hAnsiTheme="minorHAnsi" w:cstheme="minorBidi"/>
            <w:noProof/>
            <w:color w:val="000000" w:themeColor="text1"/>
            <w:sz w:val="22"/>
            <w:szCs w:val="22"/>
            <w:lang w:eastAsia="en-AU"/>
          </w:rPr>
          <w:tab/>
        </w:r>
        <w:r w:rsidR="00BB3208" w:rsidRPr="005F674F">
          <w:rPr>
            <w:rStyle w:val="Hyperlink"/>
            <w:noProof/>
            <w:color w:val="000000" w:themeColor="text1"/>
          </w:rPr>
          <w:t>Performance systems - Country comparisons</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_Toc148968364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148</w:t>
        </w:r>
        <w:r w:rsidR="00BB3208" w:rsidRPr="005F674F">
          <w:rPr>
            <w:noProof/>
            <w:webHidden/>
            <w:color w:val="000000" w:themeColor="text1"/>
          </w:rPr>
          <w:fldChar w:fldCharType="end"/>
        </w:r>
      </w:hyperlink>
    </w:p>
    <w:p w14:paraId="00F7D6E4" w14:textId="79ED6286" w:rsidR="0080001F" w:rsidRPr="005F674F" w:rsidRDefault="002E6C52" w:rsidP="00BD165D">
      <w:pPr>
        <w:pStyle w:val="TOC1"/>
        <w:rPr>
          <w:color w:val="000000" w:themeColor="text1"/>
        </w:rPr>
      </w:pPr>
      <w:r w:rsidRPr="005F674F">
        <w:rPr>
          <w:color w:val="000000" w:themeColor="text1"/>
        </w:rPr>
        <w:fldChar w:fldCharType="end"/>
      </w:r>
    </w:p>
    <w:p w14:paraId="3EFBACB7" w14:textId="77777777" w:rsidR="00A6563E" w:rsidRPr="005F674F" w:rsidRDefault="00A6563E" w:rsidP="00FC6122">
      <w:pPr>
        <w:rPr>
          <w:color w:val="000000" w:themeColor="text1"/>
        </w:rPr>
        <w:sectPr w:rsidR="00A6563E" w:rsidRPr="005F674F" w:rsidSect="00BF4495">
          <w:headerReference w:type="even" r:id="rId19"/>
          <w:headerReference w:type="default" r:id="rId20"/>
          <w:footerReference w:type="default" r:id="rId21"/>
          <w:headerReference w:type="first" r:id="rId22"/>
          <w:pgSz w:w="11906" w:h="16838" w:code="9"/>
          <w:pgMar w:top="1276" w:right="720" w:bottom="720" w:left="720" w:header="680" w:footer="425" w:gutter="0"/>
          <w:pgNumType w:start="1"/>
          <w:cols w:space="284"/>
          <w:noEndnote/>
          <w:docGrid w:linePitch="360"/>
        </w:sectPr>
      </w:pPr>
    </w:p>
    <w:p w14:paraId="5C0FD375" w14:textId="77777777" w:rsidR="00FC6122" w:rsidRPr="005F674F" w:rsidRDefault="00FC6122" w:rsidP="00FC6122">
      <w:pPr>
        <w:pStyle w:val="TOCHeading"/>
        <w:rPr>
          <w:rFonts w:ascii="OpenSansRegular" w:hAnsi="OpenSansRegular" w:cs="OpenSansRegular"/>
          <w:color w:val="000000" w:themeColor="text1"/>
        </w:rPr>
      </w:pPr>
      <w:bookmarkStart w:id="3" w:name="_Hlk482167878"/>
      <w:r w:rsidRPr="005F674F">
        <w:rPr>
          <w:rFonts w:ascii="OpenSansRegular" w:hAnsi="OpenSansRegular" w:cs="OpenSansRegular"/>
          <w:color w:val="000000" w:themeColor="text1"/>
        </w:rPr>
        <w:t>Tables</w:t>
      </w:r>
    </w:p>
    <w:p w14:paraId="5DC054DE" w14:textId="42E0A623" w:rsidR="00BB3208" w:rsidRPr="005F674F" w:rsidRDefault="002474BC">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r w:rsidRPr="005F674F">
        <w:rPr>
          <w:rFonts w:ascii="OpenSansRegular" w:hAnsi="OpenSansRegular" w:cs="OpenSansRegular"/>
          <w:color w:val="000000" w:themeColor="text1"/>
        </w:rPr>
        <w:fldChar w:fldCharType="begin"/>
      </w:r>
      <w:r w:rsidRPr="005F674F">
        <w:rPr>
          <w:rFonts w:ascii="OpenSansRegular" w:hAnsi="OpenSansRegular" w:cs="OpenSansRegular"/>
          <w:color w:val="000000" w:themeColor="text1"/>
        </w:rPr>
        <w:instrText xml:space="preserve"> TOC \h \z \t "Caption_Table,8,Exec Table Caption,8,Appendix Table Caption,8" \c "Table" </w:instrText>
      </w:r>
      <w:r w:rsidRPr="005F674F">
        <w:rPr>
          <w:rFonts w:ascii="OpenSansRegular" w:hAnsi="OpenSansRegular" w:cs="OpenSansRegular"/>
          <w:color w:val="000000" w:themeColor="text1"/>
        </w:rPr>
        <w:fldChar w:fldCharType="separate"/>
      </w:r>
      <w:hyperlink w:anchor="_Toc148968365" w:history="1">
        <w:r w:rsidR="00BB3208" w:rsidRPr="005F674F">
          <w:rPr>
            <w:rStyle w:val="Hyperlink"/>
            <w:noProof/>
            <w:color w:val="000000" w:themeColor="text1"/>
          </w:rPr>
          <w:t>Table 1: List of recommendations</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_Toc148968365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5</w:t>
        </w:r>
        <w:r w:rsidR="00BB3208" w:rsidRPr="005F674F">
          <w:rPr>
            <w:noProof/>
            <w:webHidden/>
            <w:color w:val="000000" w:themeColor="text1"/>
          </w:rPr>
          <w:fldChar w:fldCharType="end"/>
        </w:r>
      </w:hyperlink>
    </w:p>
    <w:p w14:paraId="3684B24C" w14:textId="577FE3E5"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366" w:history="1">
        <w:r w:rsidR="00BB3208" w:rsidRPr="005F674F">
          <w:rPr>
            <w:rStyle w:val="Hyperlink"/>
            <w:noProof/>
            <w:color w:val="000000" w:themeColor="text1"/>
          </w:rPr>
          <w:t>Table 2: Funding mechanisms (high-level only)</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_Toc148968366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78</w:t>
        </w:r>
        <w:r w:rsidR="00BB3208" w:rsidRPr="005F674F">
          <w:rPr>
            <w:noProof/>
            <w:webHidden/>
            <w:color w:val="000000" w:themeColor="text1"/>
          </w:rPr>
          <w:fldChar w:fldCharType="end"/>
        </w:r>
      </w:hyperlink>
    </w:p>
    <w:p w14:paraId="1BB8EBCC" w14:textId="77B251A4"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367" w:history="1">
        <w:r w:rsidR="00BB3208" w:rsidRPr="005F674F">
          <w:rPr>
            <w:rStyle w:val="Hyperlink"/>
            <w:noProof/>
            <w:color w:val="000000" w:themeColor="text1"/>
          </w:rPr>
          <w:t>Table 3: Summary of Medication funding streams and examples</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_Toc148968367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93</w:t>
        </w:r>
        <w:r w:rsidR="00BB3208" w:rsidRPr="005F674F">
          <w:rPr>
            <w:noProof/>
            <w:webHidden/>
            <w:color w:val="000000" w:themeColor="text1"/>
          </w:rPr>
          <w:fldChar w:fldCharType="end"/>
        </w:r>
      </w:hyperlink>
    </w:p>
    <w:p w14:paraId="203AB0F3" w14:textId="1CDBFA1C"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368" w:history="1">
        <w:r w:rsidR="00BB3208" w:rsidRPr="005F674F">
          <w:rPr>
            <w:rStyle w:val="Hyperlink"/>
            <w:noProof/>
            <w:color w:val="000000" w:themeColor="text1"/>
          </w:rPr>
          <w:t>Table 4: Sample of LTR activities funded via the Health Innovation Fund</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_Toc148968368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98</w:t>
        </w:r>
        <w:r w:rsidR="00BB3208" w:rsidRPr="005F674F">
          <w:rPr>
            <w:noProof/>
            <w:webHidden/>
            <w:color w:val="000000" w:themeColor="text1"/>
          </w:rPr>
          <w:fldChar w:fldCharType="end"/>
        </w:r>
      </w:hyperlink>
    </w:p>
    <w:p w14:paraId="06A32AD4" w14:textId="0C3662F3"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369" w:history="1">
        <w:r w:rsidR="00BB3208" w:rsidRPr="005F674F">
          <w:rPr>
            <w:rStyle w:val="Hyperlink"/>
            <w:noProof/>
            <w:color w:val="000000" w:themeColor="text1"/>
          </w:rPr>
          <w:t>Table 5: Technical amendments of the Agreement (not addressed elsewhere in the report)</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_Toc148968369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128</w:t>
        </w:r>
        <w:r w:rsidR="00BB3208" w:rsidRPr="005F674F">
          <w:rPr>
            <w:noProof/>
            <w:webHidden/>
            <w:color w:val="000000" w:themeColor="text1"/>
          </w:rPr>
          <w:fldChar w:fldCharType="end"/>
        </w:r>
      </w:hyperlink>
    </w:p>
    <w:p w14:paraId="3CAEC49B" w14:textId="21CC53BE"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370" w:history="1">
        <w:r w:rsidR="00BB3208" w:rsidRPr="005F674F">
          <w:rPr>
            <w:rStyle w:val="Hyperlink"/>
            <w:noProof/>
            <w:color w:val="000000" w:themeColor="text1"/>
          </w:rPr>
          <w:t>Table 6: Glossary</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_Toc148968370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131</w:t>
        </w:r>
        <w:r w:rsidR="00BB3208" w:rsidRPr="005F674F">
          <w:rPr>
            <w:noProof/>
            <w:webHidden/>
            <w:color w:val="000000" w:themeColor="text1"/>
          </w:rPr>
          <w:fldChar w:fldCharType="end"/>
        </w:r>
      </w:hyperlink>
    </w:p>
    <w:p w14:paraId="17B953FD" w14:textId="69E8D246"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371" w:history="1">
        <w:r w:rsidR="00BB3208" w:rsidRPr="005F674F">
          <w:rPr>
            <w:rStyle w:val="Hyperlink"/>
            <w:noProof/>
            <w:color w:val="000000" w:themeColor="text1"/>
          </w:rPr>
          <w:t>Table 7: Review’s Terms of Reference</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_Toc148968371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133</w:t>
        </w:r>
        <w:r w:rsidR="00BB3208" w:rsidRPr="005F674F">
          <w:rPr>
            <w:noProof/>
            <w:webHidden/>
            <w:color w:val="000000" w:themeColor="text1"/>
          </w:rPr>
          <w:fldChar w:fldCharType="end"/>
        </w:r>
      </w:hyperlink>
    </w:p>
    <w:p w14:paraId="3BD7D70B" w14:textId="28600009"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372" w:history="1">
        <w:r w:rsidR="00BB3208" w:rsidRPr="005F674F">
          <w:rPr>
            <w:rStyle w:val="Hyperlink"/>
            <w:noProof/>
            <w:color w:val="000000" w:themeColor="text1"/>
          </w:rPr>
          <w:t>Table 8: Stakeholders consulted</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_Toc148968372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137</w:t>
        </w:r>
        <w:r w:rsidR="00BB3208" w:rsidRPr="005F674F">
          <w:rPr>
            <w:noProof/>
            <w:webHidden/>
            <w:color w:val="000000" w:themeColor="text1"/>
          </w:rPr>
          <w:fldChar w:fldCharType="end"/>
        </w:r>
      </w:hyperlink>
    </w:p>
    <w:p w14:paraId="62619B6F" w14:textId="18ED273E"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373" w:history="1">
        <w:r w:rsidR="00BB3208" w:rsidRPr="005F674F">
          <w:rPr>
            <w:rStyle w:val="Hyperlink"/>
            <w:noProof/>
            <w:color w:val="000000" w:themeColor="text1"/>
          </w:rPr>
          <w:t>Table 9: Written submissions received</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_Toc148968373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139</w:t>
        </w:r>
        <w:r w:rsidR="00BB3208" w:rsidRPr="005F674F">
          <w:rPr>
            <w:noProof/>
            <w:webHidden/>
            <w:color w:val="000000" w:themeColor="text1"/>
          </w:rPr>
          <w:fldChar w:fldCharType="end"/>
        </w:r>
      </w:hyperlink>
    </w:p>
    <w:p w14:paraId="5594D461" w14:textId="779FCC74"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374" w:history="1">
        <w:r w:rsidR="00BB3208" w:rsidRPr="005F674F">
          <w:rPr>
            <w:rStyle w:val="Hyperlink"/>
            <w:noProof/>
            <w:color w:val="000000" w:themeColor="text1"/>
          </w:rPr>
          <w:t>Table 10: NHRA Addendum 2020-2025 Schedule contents</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_Toc148968374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140</w:t>
        </w:r>
        <w:r w:rsidR="00BB3208" w:rsidRPr="005F674F">
          <w:rPr>
            <w:noProof/>
            <w:webHidden/>
            <w:color w:val="000000" w:themeColor="text1"/>
          </w:rPr>
          <w:fldChar w:fldCharType="end"/>
        </w:r>
      </w:hyperlink>
    </w:p>
    <w:p w14:paraId="49A46C06" w14:textId="0EE5C89F"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375" w:history="1">
        <w:r w:rsidR="00BB3208" w:rsidRPr="005F674F">
          <w:rPr>
            <w:rStyle w:val="Hyperlink"/>
            <w:noProof/>
            <w:color w:val="000000" w:themeColor="text1"/>
          </w:rPr>
          <w:t>Table 11: 2020-2025 Addendum changes (sourced from Commonwealth Department of Health and Aged Care)</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_Toc148968375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141</w:t>
        </w:r>
        <w:r w:rsidR="00BB3208" w:rsidRPr="005F674F">
          <w:rPr>
            <w:noProof/>
            <w:webHidden/>
            <w:color w:val="000000" w:themeColor="text1"/>
          </w:rPr>
          <w:fldChar w:fldCharType="end"/>
        </w:r>
      </w:hyperlink>
    </w:p>
    <w:p w14:paraId="43D0F367" w14:textId="74A78F9C"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376" w:history="1">
        <w:r w:rsidR="00BB3208" w:rsidRPr="005F674F">
          <w:rPr>
            <w:rStyle w:val="Hyperlink"/>
            <w:noProof/>
            <w:color w:val="000000" w:themeColor="text1"/>
          </w:rPr>
          <w:t>Table 12: High-level summary of international developments on high value care and integrated funding systems</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_Toc148968376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144</w:t>
        </w:r>
        <w:r w:rsidR="00BB3208" w:rsidRPr="005F674F">
          <w:rPr>
            <w:noProof/>
            <w:webHidden/>
            <w:color w:val="000000" w:themeColor="text1"/>
          </w:rPr>
          <w:fldChar w:fldCharType="end"/>
        </w:r>
      </w:hyperlink>
    </w:p>
    <w:p w14:paraId="42168C5C" w14:textId="5B03E754"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377" w:history="1">
        <w:r w:rsidR="00BB3208" w:rsidRPr="005F674F">
          <w:rPr>
            <w:rStyle w:val="Hyperlink"/>
            <w:noProof/>
            <w:color w:val="000000" w:themeColor="text1"/>
          </w:rPr>
          <w:t>Table 13: NHRA Interim Quantitative Performance Framework themes and indictors</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_Toc148968377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145</w:t>
        </w:r>
        <w:r w:rsidR="00BB3208" w:rsidRPr="005F674F">
          <w:rPr>
            <w:noProof/>
            <w:webHidden/>
            <w:color w:val="000000" w:themeColor="text1"/>
          </w:rPr>
          <w:fldChar w:fldCharType="end"/>
        </w:r>
      </w:hyperlink>
    </w:p>
    <w:p w14:paraId="76138C5F" w14:textId="6EC9733B"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378" w:history="1">
        <w:r w:rsidR="00BB3208" w:rsidRPr="005F674F">
          <w:rPr>
            <w:rStyle w:val="Hyperlink"/>
            <w:noProof/>
            <w:color w:val="000000" w:themeColor="text1"/>
          </w:rPr>
          <w:t>Table 14: Performance, Monitoring, and Improvement Systems – country comparisons</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_Toc148968378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148</w:t>
        </w:r>
        <w:r w:rsidR="00BB3208" w:rsidRPr="005F674F">
          <w:rPr>
            <w:noProof/>
            <w:webHidden/>
            <w:color w:val="000000" w:themeColor="text1"/>
          </w:rPr>
          <w:fldChar w:fldCharType="end"/>
        </w:r>
      </w:hyperlink>
    </w:p>
    <w:p w14:paraId="5ECEA504" w14:textId="66FD0861" w:rsidR="00FC6122" w:rsidRPr="005F674F" w:rsidRDefault="002474BC" w:rsidP="00FC6122">
      <w:pPr>
        <w:rPr>
          <w:color w:val="000000" w:themeColor="text1"/>
        </w:rPr>
      </w:pPr>
      <w:r w:rsidRPr="005F674F">
        <w:rPr>
          <w:rFonts w:ascii="OpenSansRegular" w:hAnsi="OpenSansRegular" w:cs="OpenSansRegular"/>
          <w:color w:val="000000" w:themeColor="text1"/>
        </w:rPr>
        <w:fldChar w:fldCharType="end"/>
      </w:r>
    </w:p>
    <w:p w14:paraId="389D668A" w14:textId="77777777" w:rsidR="00FC6122" w:rsidRPr="005F674F" w:rsidRDefault="00FC6122" w:rsidP="00FC6122">
      <w:pPr>
        <w:pStyle w:val="TOCHeading"/>
        <w:rPr>
          <w:rFonts w:ascii="OpenSansRegular" w:hAnsi="OpenSansRegular" w:cs="OpenSansRegular"/>
          <w:color w:val="000000" w:themeColor="text1"/>
        </w:rPr>
      </w:pPr>
      <w:r w:rsidRPr="005F674F">
        <w:rPr>
          <w:rFonts w:ascii="OpenSansRegular" w:hAnsi="OpenSansRegular" w:cs="OpenSansRegular"/>
          <w:color w:val="000000" w:themeColor="text1"/>
        </w:rPr>
        <w:t>Figures</w:t>
      </w:r>
    </w:p>
    <w:bookmarkEnd w:id="3"/>
    <w:p w14:paraId="58C7EECE" w14:textId="78850F08" w:rsidR="00BB3208" w:rsidRPr="005F674F" w:rsidRDefault="002474BC">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r w:rsidRPr="005F674F">
        <w:rPr>
          <w:rFonts w:ascii="OpenSansRegular" w:hAnsi="OpenSansRegular" w:cs="OpenSansRegular"/>
          <w:color w:val="000000" w:themeColor="text1"/>
        </w:rPr>
        <w:fldChar w:fldCharType="begin"/>
      </w:r>
      <w:r w:rsidRPr="005F674F">
        <w:rPr>
          <w:rFonts w:ascii="OpenSansRegular" w:hAnsi="OpenSansRegular" w:cs="OpenSansRegular"/>
          <w:color w:val="000000" w:themeColor="text1"/>
        </w:rPr>
        <w:instrText xml:space="preserve"> TOC \h \z \t "Caption_Figure,7,Exec Figure Caption,7,Appendix Figure Caption,7" \c "Figure" </w:instrText>
      </w:r>
      <w:r w:rsidRPr="005F674F">
        <w:rPr>
          <w:rFonts w:ascii="OpenSansRegular" w:hAnsi="OpenSansRegular" w:cs="OpenSansRegular"/>
          <w:color w:val="000000" w:themeColor="text1"/>
        </w:rPr>
        <w:fldChar w:fldCharType="separate"/>
      </w:r>
      <w:hyperlink w:anchor="_Toc148968379" w:history="1">
        <w:r w:rsidR="00BB3208" w:rsidRPr="005F674F">
          <w:rPr>
            <w:rStyle w:val="Hyperlink"/>
            <w:noProof/>
            <w:color w:val="000000" w:themeColor="text1"/>
          </w:rPr>
          <w:t>Figure 1: Review timeline</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_Toc148968379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15</w:t>
        </w:r>
        <w:r w:rsidR="00BB3208" w:rsidRPr="005F674F">
          <w:rPr>
            <w:noProof/>
            <w:webHidden/>
            <w:color w:val="000000" w:themeColor="text1"/>
          </w:rPr>
          <w:fldChar w:fldCharType="end"/>
        </w:r>
      </w:hyperlink>
    </w:p>
    <w:p w14:paraId="09214A7A" w14:textId="17407E8A"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380" w:history="1">
        <w:r w:rsidR="00BB3208" w:rsidRPr="005F674F">
          <w:rPr>
            <w:rStyle w:val="Hyperlink"/>
            <w:noProof/>
            <w:color w:val="000000" w:themeColor="text1"/>
          </w:rPr>
          <w:t>Figure 2: Review methodology infographic</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_Toc148968380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16</w:t>
        </w:r>
        <w:r w:rsidR="00BB3208" w:rsidRPr="005F674F">
          <w:rPr>
            <w:noProof/>
            <w:webHidden/>
            <w:color w:val="000000" w:themeColor="text1"/>
          </w:rPr>
          <w:fldChar w:fldCharType="end"/>
        </w:r>
      </w:hyperlink>
    </w:p>
    <w:p w14:paraId="5D32E48A" w14:textId="4FC2CA42"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381" w:history="1">
        <w:r w:rsidR="00BB3208" w:rsidRPr="005F674F">
          <w:rPr>
            <w:rStyle w:val="Hyperlink"/>
            <w:noProof/>
            <w:color w:val="000000" w:themeColor="text1"/>
          </w:rPr>
          <w:t>Figure 3: Key objectives of the Addendum</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_Toc148968381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17</w:t>
        </w:r>
        <w:r w:rsidR="00BB3208" w:rsidRPr="005F674F">
          <w:rPr>
            <w:noProof/>
            <w:webHidden/>
            <w:color w:val="000000" w:themeColor="text1"/>
          </w:rPr>
          <w:fldChar w:fldCharType="end"/>
        </w:r>
      </w:hyperlink>
    </w:p>
    <w:p w14:paraId="04766125" w14:textId="7AC2A1BD"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382" w:history="1">
        <w:r w:rsidR="00BB3208" w:rsidRPr="005F674F">
          <w:rPr>
            <w:rStyle w:val="Hyperlink"/>
            <w:noProof/>
            <w:color w:val="000000" w:themeColor="text1"/>
          </w:rPr>
          <w:t>Figure 4: Components of the NHRA Addendum</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_Toc148968382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18</w:t>
        </w:r>
        <w:r w:rsidR="00BB3208" w:rsidRPr="005F674F">
          <w:rPr>
            <w:noProof/>
            <w:webHidden/>
            <w:color w:val="000000" w:themeColor="text1"/>
          </w:rPr>
          <w:fldChar w:fldCharType="end"/>
        </w:r>
      </w:hyperlink>
    </w:p>
    <w:p w14:paraId="4C798834" w14:textId="4A724C6A"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383" w:history="1">
        <w:r w:rsidR="00BB3208" w:rsidRPr="005F674F">
          <w:rPr>
            <w:rStyle w:val="Hyperlink"/>
            <w:noProof/>
            <w:color w:val="000000" w:themeColor="text1"/>
          </w:rPr>
          <w:t>Figure 5: NHRA timeline</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_Toc148968383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19</w:t>
        </w:r>
        <w:r w:rsidR="00BB3208" w:rsidRPr="005F674F">
          <w:rPr>
            <w:noProof/>
            <w:webHidden/>
            <w:color w:val="000000" w:themeColor="text1"/>
          </w:rPr>
          <w:fldChar w:fldCharType="end"/>
        </w:r>
      </w:hyperlink>
    </w:p>
    <w:p w14:paraId="6D6B22D5" w14:textId="456E1BEC"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384" w:history="1">
        <w:r w:rsidR="00BB3208" w:rsidRPr="005F674F">
          <w:rPr>
            <w:rStyle w:val="Hyperlink"/>
            <w:noProof/>
            <w:color w:val="000000" w:themeColor="text1"/>
          </w:rPr>
          <w:t>Figure 6: NHRA national bodies</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_Toc148968384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20</w:t>
        </w:r>
        <w:r w:rsidR="00BB3208" w:rsidRPr="005F674F">
          <w:rPr>
            <w:noProof/>
            <w:webHidden/>
            <w:color w:val="000000" w:themeColor="text1"/>
          </w:rPr>
          <w:fldChar w:fldCharType="end"/>
        </w:r>
      </w:hyperlink>
    </w:p>
    <w:p w14:paraId="42242D74" w14:textId="164CE5EA"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385" w:history="1">
        <w:r w:rsidR="00BB3208" w:rsidRPr="005F674F">
          <w:rPr>
            <w:rStyle w:val="Hyperlink"/>
            <w:noProof/>
            <w:color w:val="000000" w:themeColor="text1"/>
          </w:rPr>
          <w:t>Figure 7: NHRA governance body changes since the inception</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_Toc148968385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20</w:t>
        </w:r>
        <w:r w:rsidR="00BB3208" w:rsidRPr="005F674F">
          <w:rPr>
            <w:noProof/>
            <w:webHidden/>
            <w:color w:val="000000" w:themeColor="text1"/>
          </w:rPr>
          <w:fldChar w:fldCharType="end"/>
        </w:r>
      </w:hyperlink>
    </w:p>
    <w:p w14:paraId="00F0A086" w14:textId="3522064C"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386" w:history="1">
        <w:r w:rsidR="00BB3208" w:rsidRPr="005F674F">
          <w:rPr>
            <w:rStyle w:val="Hyperlink"/>
            <w:noProof/>
            <w:color w:val="000000" w:themeColor="text1"/>
          </w:rPr>
          <w:t>Figure 8: NHRA funding and payment flows</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_Toc148968386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22</w:t>
        </w:r>
        <w:r w:rsidR="00BB3208" w:rsidRPr="005F674F">
          <w:rPr>
            <w:noProof/>
            <w:webHidden/>
            <w:color w:val="000000" w:themeColor="text1"/>
          </w:rPr>
          <w:fldChar w:fldCharType="end"/>
        </w:r>
      </w:hyperlink>
    </w:p>
    <w:p w14:paraId="2A4ADEF1" w14:textId="5B025940"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387" w:history="1">
        <w:r w:rsidR="00BB3208" w:rsidRPr="005F674F">
          <w:rPr>
            <w:rStyle w:val="Hyperlink"/>
            <w:noProof/>
            <w:color w:val="000000" w:themeColor="text1"/>
          </w:rPr>
          <w:t>Figure 9: Current reforms within health and care sectors (sample)</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_Toc148968387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23</w:t>
        </w:r>
        <w:r w:rsidR="00BB3208" w:rsidRPr="005F674F">
          <w:rPr>
            <w:noProof/>
            <w:webHidden/>
            <w:color w:val="000000" w:themeColor="text1"/>
          </w:rPr>
          <w:fldChar w:fldCharType="end"/>
        </w:r>
      </w:hyperlink>
    </w:p>
    <w:p w14:paraId="1557881D" w14:textId="622208A4"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388" w:history="1">
        <w:r w:rsidR="00BB3208" w:rsidRPr="005F674F">
          <w:rPr>
            <w:rStyle w:val="Hyperlink"/>
            <w:noProof/>
            <w:color w:val="000000" w:themeColor="text1"/>
          </w:rPr>
          <w:t>Figure 10: Consistent themes identified in the Review</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_Toc148968388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24</w:t>
        </w:r>
        <w:r w:rsidR="00BB3208" w:rsidRPr="005F674F">
          <w:rPr>
            <w:noProof/>
            <w:webHidden/>
            <w:color w:val="000000" w:themeColor="text1"/>
          </w:rPr>
          <w:fldChar w:fldCharType="end"/>
        </w:r>
      </w:hyperlink>
    </w:p>
    <w:p w14:paraId="5A0D873B" w14:textId="2E0A52F0"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389" w:history="1">
        <w:r w:rsidR="00BB3208" w:rsidRPr="005F674F">
          <w:rPr>
            <w:rStyle w:val="Hyperlink"/>
            <w:noProof/>
            <w:color w:val="000000" w:themeColor="text1"/>
          </w:rPr>
          <w:t>Figure 11: Australian health care landscape (adapted from Report on Government Services 2023 Report – Figure E.1)</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_Toc148968389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47</w:t>
        </w:r>
        <w:r w:rsidR="00BB3208" w:rsidRPr="005F674F">
          <w:rPr>
            <w:noProof/>
            <w:webHidden/>
            <w:color w:val="000000" w:themeColor="text1"/>
          </w:rPr>
          <w:fldChar w:fldCharType="end"/>
        </w:r>
      </w:hyperlink>
    </w:p>
    <w:p w14:paraId="5409B797" w14:textId="292FDE5C"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390" w:history="1">
        <w:r w:rsidR="00BB3208" w:rsidRPr="005F674F">
          <w:rPr>
            <w:rStyle w:val="Hyperlink"/>
            <w:noProof/>
            <w:color w:val="000000" w:themeColor="text1"/>
          </w:rPr>
          <w:t>Figure 12: Public hospital spending by source of funds, constant prices, 2010-11 to 2020-21</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_Toc148968390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48</w:t>
        </w:r>
        <w:r w:rsidR="00BB3208" w:rsidRPr="005F674F">
          <w:rPr>
            <w:noProof/>
            <w:webHidden/>
            <w:color w:val="000000" w:themeColor="text1"/>
          </w:rPr>
          <w:fldChar w:fldCharType="end"/>
        </w:r>
      </w:hyperlink>
    </w:p>
    <w:p w14:paraId="13D4F33A" w14:textId="3657ADB0"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391" w:history="1">
        <w:r w:rsidR="00BB3208" w:rsidRPr="005F674F">
          <w:rPr>
            <w:rStyle w:val="Hyperlink"/>
            <w:noProof/>
            <w:color w:val="000000" w:themeColor="text1"/>
          </w:rPr>
          <w:t>Figure 13: Proportion of total health spending in 2020-21 by funding source, current prices</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_Toc148968391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49</w:t>
        </w:r>
        <w:r w:rsidR="00BB3208" w:rsidRPr="005F674F">
          <w:rPr>
            <w:noProof/>
            <w:webHidden/>
            <w:color w:val="000000" w:themeColor="text1"/>
          </w:rPr>
          <w:fldChar w:fldCharType="end"/>
        </w:r>
      </w:hyperlink>
    </w:p>
    <w:p w14:paraId="6B83A39A" w14:textId="40A74E0A"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392" w:history="1">
        <w:r w:rsidR="00BB3208" w:rsidRPr="005F674F">
          <w:rPr>
            <w:rStyle w:val="Hyperlink"/>
            <w:noProof/>
            <w:color w:val="000000" w:themeColor="text1"/>
          </w:rPr>
          <w:t>Figure 14: Ratio of Australia’s total health expenditure to GDP, current prices, 2010-11 to 2020-21</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_Toc148968392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49</w:t>
        </w:r>
        <w:r w:rsidR="00BB3208" w:rsidRPr="005F674F">
          <w:rPr>
            <w:noProof/>
            <w:webHidden/>
            <w:color w:val="000000" w:themeColor="text1"/>
          </w:rPr>
          <w:fldChar w:fldCharType="end"/>
        </w:r>
      </w:hyperlink>
    </w:p>
    <w:p w14:paraId="3428393E" w14:textId="085B5F34"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393" w:history="1">
        <w:r w:rsidR="00BB3208" w:rsidRPr="005F674F">
          <w:rPr>
            <w:rStyle w:val="Hyperlink"/>
            <w:noProof/>
            <w:color w:val="000000" w:themeColor="text1"/>
          </w:rPr>
          <w:t>Figure 15 : Government health expenditure across OECD countries, 2021</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_Toc148968393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49</w:t>
        </w:r>
        <w:r w:rsidR="00BB3208" w:rsidRPr="005F674F">
          <w:rPr>
            <w:noProof/>
            <w:webHidden/>
            <w:color w:val="000000" w:themeColor="text1"/>
          </w:rPr>
          <w:fldChar w:fldCharType="end"/>
        </w:r>
      </w:hyperlink>
    </w:p>
    <w:p w14:paraId="0628C164" w14:textId="646BAA70"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394" w:history="1">
        <w:r w:rsidR="00BB3208" w:rsidRPr="005F674F">
          <w:rPr>
            <w:rStyle w:val="Hyperlink"/>
            <w:noProof/>
            <w:color w:val="000000" w:themeColor="text1"/>
          </w:rPr>
          <w:t>Figure 16: Commonwealth NHRA funding to States and Territories 2012-13 to 2022-23</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_Toc148968394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50</w:t>
        </w:r>
        <w:r w:rsidR="00BB3208" w:rsidRPr="005F674F">
          <w:rPr>
            <w:noProof/>
            <w:webHidden/>
            <w:color w:val="000000" w:themeColor="text1"/>
          </w:rPr>
          <w:fldChar w:fldCharType="end"/>
        </w:r>
      </w:hyperlink>
    </w:p>
    <w:p w14:paraId="648FBFD7" w14:textId="06689BCE"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395" w:history="1">
        <w:r w:rsidR="00BB3208" w:rsidRPr="005F674F">
          <w:rPr>
            <w:rStyle w:val="Hyperlink"/>
            <w:noProof/>
            <w:color w:val="000000" w:themeColor="text1"/>
          </w:rPr>
          <w:t>Figure 17: Commonwealth Contribution Rate from 2013-14 to 2022-23</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_Toc148968395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50</w:t>
        </w:r>
        <w:r w:rsidR="00BB3208" w:rsidRPr="005F674F">
          <w:rPr>
            <w:noProof/>
            <w:webHidden/>
            <w:color w:val="000000" w:themeColor="text1"/>
          </w:rPr>
          <w:fldChar w:fldCharType="end"/>
        </w:r>
      </w:hyperlink>
    </w:p>
    <w:p w14:paraId="79BF82E1" w14:textId="589F91F1"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396" w:history="1">
        <w:r w:rsidR="00BB3208" w:rsidRPr="005F674F">
          <w:rPr>
            <w:rStyle w:val="Hyperlink"/>
            <w:noProof/>
            <w:color w:val="000000" w:themeColor="text1"/>
          </w:rPr>
          <w:t>Figure 18: Proportion of people with selected chronic conditions by age</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_Toc148968396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51</w:t>
        </w:r>
        <w:r w:rsidR="00BB3208" w:rsidRPr="005F674F">
          <w:rPr>
            <w:noProof/>
            <w:webHidden/>
            <w:color w:val="000000" w:themeColor="text1"/>
          </w:rPr>
          <w:fldChar w:fldCharType="end"/>
        </w:r>
      </w:hyperlink>
    </w:p>
    <w:p w14:paraId="430CE188" w14:textId="53BFD82C"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397" w:history="1">
        <w:r w:rsidR="00BB3208" w:rsidRPr="005F674F">
          <w:rPr>
            <w:rStyle w:val="Hyperlink"/>
            <w:noProof/>
            <w:color w:val="000000" w:themeColor="text1"/>
          </w:rPr>
          <w:t>Figure 19: Life expectancy by Indigenous status and remoteness, 2015-2017</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_Toc148968397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52</w:t>
        </w:r>
        <w:r w:rsidR="00BB3208" w:rsidRPr="005F674F">
          <w:rPr>
            <w:noProof/>
            <w:webHidden/>
            <w:color w:val="000000" w:themeColor="text1"/>
          </w:rPr>
          <w:fldChar w:fldCharType="end"/>
        </w:r>
      </w:hyperlink>
    </w:p>
    <w:p w14:paraId="6034F88B" w14:textId="5F1E20B4"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398" w:history="1">
        <w:r w:rsidR="00BB3208" w:rsidRPr="005F674F">
          <w:rPr>
            <w:rStyle w:val="Hyperlink"/>
            <w:noProof/>
            <w:color w:val="000000" w:themeColor="text1"/>
          </w:rPr>
          <w:t>Figure 20: Proportion of patients who report they are bulked billed for GP non-referred attendances</w:t>
        </w:r>
        <w:r w:rsidR="00BB3208" w:rsidRPr="005F674F">
          <w:rPr>
            <w:rStyle w:val="Hyperlink"/>
            <w:noProof/>
            <w:color w:val="000000" w:themeColor="text1"/>
            <w:vertAlign w:val="superscript"/>
          </w:rPr>
          <w:t>51</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_Toc148968398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52</w:t>
        </w:r>
        <w:r w:rsidR="00BB3208" w:rsidRPr="005F674F">
          <w:rPr>
            <w:noProof/>
            <w:webHidden/>
            <w:color w:val="000000" w:themeColor="text1"/>
          </w:rPr>
          <w:fldChar w:fldCharType="end"/>
        </w:r>
      </w:hyperlink>
    </w:p>
    <w:p w14:paraId="6B2FDA0A" w14:textId="30B029E2"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399" w:history="1">
        <w:r w:rsidR="00BB3208" w:rsidRPr="005F674F">
          <w:rPr>
            <w:rStyle w:val="Hyperlink"/>
            <w:noProof/>
            <w:color w:val="000000" w:themeColor="text1"/>
          </w:rPr>
          <w:t>Figure 21: Number of available public hospital beds per 1000 population aged 65 or over</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_Toc148968399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53</w:t>
        </w:r>
        <w:r w:rsidR="00BB3208" w:rsidRPr="005F674F">
          <w:rPr>
            <w:noProof/>
            <w:webHidden/>
            <w:color w:val="000000" w:themeColor="text1"/>
          </w:rPr>
          <w:fldChar w:fldCharType="end"/>
        </w:r>
      </w:hyperlink>
    </w:p>
    <w:p w14:paraId="25CCA0E7" w14:textId="46E35E03"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400" w:history="1">
        <w:r w:rsidR="00BB3208" w:rsidRPr="005F674F">
          <w:rPr>
            <w:rStyle w:val="Hyperlink"/>
            <w:noProof/>
            <w:color w:val="000000" w:themeColor="text1"/>
          </w:rPr>
          <w:t>Figure 22: Proportion who depart the ED within 4 hours, average across all triage categories</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_Toc148968400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54</w:t>
        </w:r>
        <w:r w:rsidR="00BB3208" w:rsidRPr="005F674F">
          <w:rPr>
            <w:noProof/>
            <w:webHidden/>
            <w:color w:val="000000" w:themeColor="text1"/>
          </w:rPr>
          <w:fldChar w:fldCharType="end"/>
        </w:r>
      </w:hyperlink>
    </w:p>
    <w:p w14:paraId="36458DB8" w14:textId="0E912DA3"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401" w:history="1">
        <w:r w:rsidR="00BB3208" w:rsidRPr="005F674F">
          <w:rPr>
            <w:rStyle w:val="Hyperlink"/>
            <w:noProof/>
            <w:color w:val="000000" w:themeColor="text1"/>
          </w:rPr>
          <w:t>Figure 23: Proportion of patients waiting longer than the clinically recommended time for elective surgery by clinical category, 2012-22</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_Toc148968401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54</w:t>
        </w:r>
        <w:r w:rsidR="00BB3208" w:rsidRPr="005F674F">
          <w:rPr>
            <w:noProof/>
            <w:webHidden/>
            <w:color w:val="000000" w:themeColor="text1"/>
          </w:rPr>
          <w:fldChar w:fldCharType="end"/>
        </w:r>
      </w:hyperlink>
    </w:p>
    <w:p w14:paraId="255A907B" w14:textId="2CDB3E7D"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402" w:history="1">
        <w:r w:rsidR="00BB3208" w:rsidRPr="005F674F">
          <w:rPr>
            <w:rStyle w:val="Hyperlink"/>
            <w:noProof/>
            <w:color w:val="000000" w:themeColor="text1"/>
          </w:rPr>
          <w:t>Figure 24: Rate of separations with a HAC, per 100 separations, 2012-2022</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_Toc148968402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55</w:t>
        </w:r>
        <w:r w:rsidR="00BB3208" w:rsidRPr="005F674F">
          <w:rPr>
            <w:noProof/>
            <w:webHidden/>
            <w:color w:val="000000" w:themeColor="text1"/>
          </w:rPr>
          <w:fldChar w:fldCharType="end"/>
        </w:r>
      </w:hyperlink>
    </w:p>
    <w:p w14:paraId="1E6580D9" w14:textId="7C5DBA81"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403" w:history="1">
        <w:r w:rsidR="00BB3208" w:rsidRPr="005F674F">
          <w:rPr>
            <w:rStyle w:val="Hyperlink"/>
            <w:noProof/>
            <w:color w:val="000000" w:themeColor="text1"/>
          </w:rPr>
          <w:t>Figure 25: Indexed growth in NEP and Health Consumer Price Index</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_Toc148968403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57</w:t>
        </w:r>
        <w:r w:rsidR="00BB3208" w:rsidRPr="005F674F">
          <w:rPr>
            <w:noProof/>
            <w:webHidden/>
            <w:color w:val="000000" w:themeColor="text1"/>
          </w:rPr>
          <w:fldChar w:fldCharType="end"/>
        </w:r>
      </w:hyperlink>
    </w:p>
    <w:p w14:paraId="370CC738" w14:textId="61243F9C"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404" w:history="1">
        <w:r w:rsidR="00BB3208" w:rsidRPr="005F674F">
          <w:rPr>
            <w:rStyle w:val="Hyperlink"/>
            <w:noProof/>
            <w:color w:val="000000" w:themeColor="text1"/>
          </w:rPr>
          <w:t>Figure 26: Indexed growth in hospital beds compared to hospital separations and total NWAU per 1000 population</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_Toc148968404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57</w:t>
        </w:r>
        <w:r w:rsidR="00BB3208" w:rsidRPr="005F674F">
          <w:rPr>
            <w:noProof/>
            <w:webHidden/>
            <w:color w:val="000000" w:themeColor="text1"/>
          </w:rPr>
          <w:fldChar w:fldCharType="end"/>
        </w:r>
      </w:hyperlink>
    </w:p>
    <w:p w14:paraId="004386A4" w14:textId="635EFF6C"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405" w:history="1">
        <w:r w:rsidR="00BB3208" w:rsidRPr="005F674F">
          <w:rPr>
            <w:rStyle w:val="Hyperlink"/>
            <w:noProof/>
            <w:color w:val="000000" w:themeColor="text1"/>
          </w:rPr>
          <w:t>Figure 27: Average daily presentations to ED, by month, all States and Territories, 2018-19 to 2021-22</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_Toc148968405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58</w:t>
        </w:r>
        <w:r w:rsidR="00BB3208" w:rsidRPr="005F674F">
          <w:rPr>
            <w:noProof/>
            <w:webHidden/>
            <w:color w:val="000000" w:themeColor="text1"/>
          </w:rPr>
          <w:fldChar w:fldCharType="end"/>
        </w:r>
      </w:hyperlink>
    </w:p>
    <w:p w14:paraId="3990E625" w14:textId="2CFC0461"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406" w:history="1">
        <w:r w:rsidR="00BB3208" w:rsidRPr="005F674F">
          <w:rPr>
            <w:rStyle w:val="Hyperlink"/>
            <w:noProof/>
            <w:color w:val="000000" w:themeColor="text1"/>
          </w:rPr>
          <w:t>Figure 28: Summary of recommendations</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_Toc148968406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59</w:t>
        </w:r>
        <w:r w:rsidR="00BB3208" w:rsidRPr="005F674F">
          <w:rPr>
            <w:noProof/>
            <w:webHidden/>
            <w:color w:val="000000" w:themeColor="text1"/>
          </w:rPr>
          <w:fldChar w:fldCharType="end"/>
        </w:r>
      </w:hyperlink>
    </w:p>
    <w:p w14:paraId="06D9E580" w14:textId="5CB6C36B"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407" w:history="1">
        <w:r w:rsidR="00BB3208" w:rsidRPr="005F674F">
          <w:rPr>
            <w:rStyle w:val="Hyperlink"/>
            <w:noProof/>
            <w:color w:val="000000" w:themeColor="text1"/>
          </w:rPr>
          <w:t>Figure 29: Functions and NHRA national body coverage</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_Toc148968407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65</w:t>
        </w:r>
        <w:r w:rsidR="00BB3208" w:rsidRPr="005F674F">
          <w:rPr>
            <w:noProof/>
            <w:webHidden/>
            <w:color w:val="000000" w:themeColor="text1"/>
          </w:rPr>
          <w:fldChar w:fldCharType="end"/>
        </w:r>
      </w:hyperlink>
    </w:p>
    <w:p w14:paraId="70460902" w14:textId="7512A800"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408" w:history="1">
        <w:r w:rsidR="00BB3208" w:rsidRPr="005F674F">
          <w:rPr>
            <w:rStyle w:val="Hyperlink"/>
            <w:noProof/>
            <w:color w:val="000000" w:themeColor="text1"/>
          </w:rPr>
          <w:t>Figure 30: Bulk billing rates for GP attendances over time, by key age groups</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_Toc148968408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70</w:t>
        </w:r>
        <w:r w:rsidR="00BB3208" w:rsidRPr="005F674F">
          <w:rPr>
            <w:noProof/>
            <w:webHidden/>
            <w:color w:val="000000" w:themeColor="text1"/>
          </w:rPr>
          <w:fldChar w:fldCharType="end"/>
        </w:r>
      </w:hyperlink>
    </w:p>
    <w:p w14:paraId="49D483B1" w14:textId="668FA3CE"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409" w:history="1">
        <w:r w:rsidR="00BB3208" w:rsidRPr="005F674F">
          <w:rPr>
            <w:rStyle w:val="Hyperlink"/>
            <w:noProof/>
            <w:color w:val="000000" w:themeColor="text1"/>
          </w:rPr>
          <w:t>Figure 31: Out of pocket costs for GP services over time, by age group (dollars presented as 2021-22 dollars, using total CPI)</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_Toc148968409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70</w:t>
        </w:r>
        <w:r w:rsidR="00BB3208" w:rsidRPr="005F674F">
          <w:rPr>
            <w:noProof/>
            <w:webHidden/>
            <w:color w:val="000000" w:themeColor="text1"/>
          </w:rPr>
          <w:fldChar w:fldCharType="end"/>
        </w:r>
      </w:hyperlink>
    </w:p>
    <w:p w14:paraId="78CD01C7" w14:textId="29E909D1"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410" w:history="1">
        <w:r w:rsidR="00BB3208" w:rsidRPr="005F674F">
          <w:rPr>
            <w:rStyle w:val="Hyperlink"/>
            <w:noProof/>
            <w:color w:val="000000" w:themeColor="text1"/>
          </w:rPr>
          <w:t>Figure 32: Frail Elderly Patient pathway – suboptimal and optimal</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_Toc148968410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75</w:t>
        </w:r>
        <w:r w:rsidR="00BB3208" w:rsidRPr="005F674F">
          <w:rPr>
            <w:noProof/>
            <w:webHidden/>
            <w:color w:val="000000" w:themeColor="text1"/>
          </w:rPr>
          <w:fldChar w:fldCharType="end"/>
        </w:r>
      </w:hyperlink>
    </w:p>
    <w:p w14:paraId="6BCA1F62" w14:textId="3343403B"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411" w:history="1">
        <w:r w:rsidR="00BB3208" w:rsidRPr="005F674F">
          <w:rPr>
            <w:rStyle w:val="Hyperlink"/>
            <w:noProof/>
            <w:color w:val="000000" w:themeColor="text1"/>
          </w:rPr>
          <w:t>Figure 33: Indexed public hospital separations, bed capacity, and NWAU from 2012-2021</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_Toc148968411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85</w:t>
        </w:r>
        <w:r w:rsidR="00BB3208" w:rsidRPr="005F674F">
          <w:rPr>
            <w:noProof/>
            <w:webHidden/>
            <w:color w:val="000000" w:themeColor="text1"/>
          </w:rPr>
          <w:fldChar w:fldCharType="end"/>
        </w:r>
      </w:hyperlink>
    </w:p>
    <w:p w14:paraId="4422E89D" w14:textId="4D270050"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412" w:history="1">
        <w:r w:rsidR="00BB3208" w:rsidRPr="005F674F">
          <w:rPr>
            <w:rStyle w:val="Hyperlink"/>
            <w:noProof/>
            <w:color w:val="000000" w:themeColor="text1"/>
          </w:rPr>
          <w:t>Figure 34: Change in the Commonwealth Contribution Rate from 2013-14 to 2022-23</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_Toc148968412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89</w:t>
        </w:r>
        <w:r w:rsidR="00BB3208" w:rsidRPr="005F674F">
          <w:rPr>
            <w:noProof/>
            <w:webHidden/>
            <w:color w:val="000000" w:themeColor="text1"/>
          </w:rPr>
          <w:fldChar w:fldCharType="end"/>
        </w:r>
      </w:hyperlink>
    </w:p>
    <w:p w14:paraId="0A42AC2D" w14:textId="01F9E932"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413" w:history="1">
        <w:r w:rsidR="00BB3208" w:rsidRPr="005F674F">
          <w:rPr>
            <w:rStyle w:val="Hyperlink"/>
            <w:noProof/>
            <w:color w:val="000000" w:themeColor="text1"/>
          </w:rPr>
          <w:t>Figure 35: Potentially avoidable deaths (aged under 75) by remoteness area, 2017-2021</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_Toc148968413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102</w:t>
        </w:r>
        <w:r w:rsidR="00BB3208" w:rsidRPr="005F674F">
          <w:rPr>
            <w:noProof/>
            <w:webHidden/>
            <w:color w:val="000000" w:themeColor="text1"/>
          </w:rPr>
          <w:fldChar w:fldCharType="end"/>
        </w:r>
      </w:hyperlink>
    </w:p>
    <w:p w14:paraId="3AD3E55B" w14:textId="57EC8D02"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414" w:history="1">
        <w:r w:rsidR="00BB3208" w:rsidRPr="005F674F">
          <w:rPr>
            <w:rStyle w:val="Hyperlink"/>
            <w:noProof/>
            <w:color w:val="000000" w:themeColor="text1"/>
          </w:rPr>
          <w:t>Figure 36: Age-standardised rates of total potentially preventable hospitalisations, by remoteness area (2012–13 to 2017–18)</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_Toc148968414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102</w:t>
        </w:r>
        <w:r w:rsidR="00BB3208" w:rsidRPr="005F674F">
          <w:rPr>
            <w:noProof/>
            <w:webHidden/>
            <w:color w:val="000000" w:themeColor="text1"/>
          </w:rPr>
          <w:fldChar w:fldCharType="end"/>
        </w:r>
      </w:hyperlink>
    </w:p>
    <w:p w14:paraId="6E12B7EF" w14:textId="4307C7D9"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415" w:history="1">
        <w:r w:rsidR="00BB3208" w:rsidRPr="005F674F">
          <w:rPr>
            <w:rStyle w:val="Hyperlink"/>
            <w:noProof/>
            <w:color w:val="000000" w:themeColor="text1"/>
          </w:rPr>
          <w:t>Figure 37: NHRA Interim Quantitative Performance Framework – NHRA objectives and indicator measures</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_Toc148968415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120</w:t>
        </w:r>
        <w:r w:rsidR="00BB3208" w:rsidRPr="005F674F">
          <w:rPr>
            <w:noProof/>
            <w:webHidden/>
            <w:color w:val="000000" w:themeColor="text1"/>
          </w:rPr>
          <w:fldChar w:fldCharType="end"/>
        </w:r>
      </w:hyperlink>
    </w:p>
    <w:p w14:paraId="5F2750E5" w14:textId="0D378D32"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416" w:history="1">
        <w:r w:rsidR="00BB3208" w:rsidRPr="005F674F">
          <w:rPr>
            <w:rStyle w:val="Hyperlink"/>
            <w:noProof/>
            <w:color w:val="000000" w:themeColor="text1"/>
          </w:rPr>
          <w:t>Figure 38: NHRA Interim Quantitative Performance Framework Data Placemat</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_Toc148968416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123</w:t>
        </w:r>
        <w:r w:rsidR="00BB3208" w:rsidRPr="005F674F">
          <w:rPr>
            <w:noProof/>
            <w:webHidden/>
            <w:color w:val="000000" w:themeColor="text1"/>
          </w:rPr>
          <w:fldChar w:fldCharType="end"/>
        </w:r>
      </w:hyperlink>
    </w:p>
    <w:p w14:paraId="025751D0" w14:textId="093E12D2"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417" w:history="1">
        <w:r w:rsidR="00BB3208" w:rsidRPr="005F674F">
          <w:rPr>
            <w:rStyle w:val="Hyperlink"/>
            <w:noProof/>
            <w:color w:val="000000" w:themeColor="text1"/>
          </w:rPr>
          <w:t>Figure 39: Average daily presentations to ED, by month, all States and Territories, 2018-19 to 2021-22</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_Toc148968417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124</w:t>
        </w:r>
        <w:r w:rsidR="00BB3208" w:rsidRPr="005F674F">
          <w:rPr>
            <w:noProof/>
            <w:webHidden/>
            <w:color w:val="000000" w:themeColor="text1"/>
          </w:rPr>
          <w:fldChar w:fldCharType="end"/>
        </w:r>
      </w:hyperlink>
    </w:p>
    <w:p w14:paraId="6AEA4C43" w14:textId="0BB4F0D8"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418" w:history="1">
        <w:r w:rsidR="00BB3208" w:rsidRPr="005F674F">
          <w:rPr>
            <w:rStyle w:val="Hyperlink"/>
            <w:noProof/>
            <w:color w:val="000000" w:themeColor="text1"/>
          </w:rPr>
          <w:t>Figure 40: Proportion of patients waiting longer than the clinically recommended time for elective surgery by clinical category, 2012-22</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_Toc148968418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126</w:t>
        </w:r>
        <w:r w:rsidR="00BB3208" w:rsidRPr="005F674F">
          <w:rPr>
            <w:noProof/>
            <w:webHidden/>
            <w:color w:val="000000" w:themeColor="text1"/>
          </w:rPr>
          <w:fldChar w:fldCharType="end"/>
        </w:r>
      </w:hyperlink>
    </w:p>
    <w:p w14:paraId="397C8CEB" w14:textId="02146A0E"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419" w:history="1">
        <w:r w:rsidR="00BB3208" w:rsidRPr="005F674F">
          <w:rPr>
            <w:rStyle w:val="Hyperlink"/>
            <w:noProof/>
            <w:color w:val="000000" w:themeColor="text1"/>
          </w:rPr>
          <w:t>Figure 41: Overarching strategic implementation</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_Toc148968419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129</w:t>
        </w:r>
        <w:r w:rsidR="00BB3208" w:rsidRPr="005F674F">
          <w:rPr>
            <w:noProof/>
            <w:webHidden/>
            <w:color w:val="000000" w:themeColor="text1"/>
          </w:rPr>
          <w:fldChar w:fldCharType="end"/>
        </w:r>
      </w:hyperlink>
    </w:p>
    <w:p w14:paraId="7A36F766" w14:textId="6B7E42B6" w:rsidR="00BB3208" w:rsidRPr="005F674F" w:rsidRDefault="00000000">
      <w:pPr>
        <w:pStyle w:val="TableofFigures"/>
        <w:tabs>
          <w:tab w:val="right" w:leader="dot" w:pos="10456"/>
        </w:tabs>
        <w:rPr>
          <w:rFonts w:asciiTheme="minorHAnsi" w:eastAsiaTheme="minorEastAsia" w:hAnsiTheme="minorHAnsi" w:cstheme="minorBidi"/>
          <w:noProof/>
          <w:color w:val="000000" w:themeColor="text1"/>
          <w:sz w:val="22"/>
          <w:szCs w:val="22"/>
          <w:lang w:eastAsia="en-AU"/>
        </w:rPr>
      </w:pPr>
      <w:hyperlink w:anchor="_Toc148968420" w:history="1">
        <w:r w:rsidR="00BB3208" w:rsidRPr="005F674F">
          <w:rPr>
            <w:rStyle w:val="Hyperlink"/>
            <w:noProof/>
            <w:color w:val="000000" w:themeColor="text1"/>
          </w:rPr>
          <w:t>Figure 42: Recommendation implementation timeline</w:t>
        </w:r>
        <w:r w:rsidR="00BB3208" w:rsidRPr="005F674F">
          <w:rPr>
            <w:noProof/>
            <w:webHidden/>
            <w:color w:val="000000" w:themeColor="text1"/>
          </w:rPr>
          <w:tab/>
        </w:r>
        <w:r w:rsidR="00BB3208" w:rsidRPr="005F674F">
          <w:rPr>
            <w:noProof/>
            <w:webHidden/>
            <w:color w:val="000000" w:themeColor="text1"/>
          </w:rPr>
          <w:fldChar w:fldCharType="begin"/>
        </w:r>
        <w:r w:rsidR="00BB3208" w:rsidRPr="005F674F">
          <w:rPr>
            <w:noProof/>
            <w:webHidden/>
            <w:color w:val="000000" w:themeColor="text1"/>
          </w:rPr>
          <w:instrText xml:space="preserve"> PAGEREF _Toc148968420 \h </w:instrText>
        </w:r>
        <w:r w:rsidR="00BB3208" w:rsidRPr="005F674F">
          <w:rPr>
            <w:noProof/>
            <w:webHidden/>
            <w:color w:val="000000" w:themeColor="text1"/>
          </w:rPr>
        </w:r>
        <w:r w:rsidR="00BB3208" w:rsidRPr="005F674F">
          <w:rPr>
            <w:noProof/>
            <w:webHidden/>
            <w:color w:val="000000" w:themeColor="text1"/>
          </w:rPr>
          <w:fldChar w:fldCharType="separate"/>
        </w:r>
        <w:r w:rsidR="003F5D51">
          <w:rPr>
            <w:noProof/>
            <w:webHidden/>
            <w:color w:val="000000" w:themeColor="text1"/>
          </w:rPr>
          <w:t>130</w:t>
        </w:r>
        <w:r w:rsidR="00BB3208" w:rsidRPr="005F674F">
          <w:rPr>
            <w:noProof/>
            <w:webHidden/>
            <w:color w:val="000000" w:themeColor="text1"/>
          </w:rPr>
          <w:fldChar w:fldCharType="end"/>
        </w:r>
      </w:hyperlink>
    </w:p>
    <w:p w14:paraId="6E1C37B6" w14:textId="29BDF0B4" w:rsidR="00D67839" w:rsidRPr="00C0090D" w:rsidRDefault="002474BC" w:rsidP="00672300">
      <w:r w:rsidRPr="005F674F">
        <w:rPr>
          <w:rFonts w:ascii="OpenSansRegular" w:hAnsi="OpenSansRegular" w:cs="OpenSansRegular"/>
          <w:color w:val="000000" w:themeColor="text1"/>
        </w:rPr>
        <w:fldChar w:fldCharType="end"/>
      </w:r>
    </w:p>
    <w:p w14:paraId="4B923362" w14:textId="77777777" w:rsidR="00F9113D" w:rsidRPr="00C0090D" w:rsidRDefault="00F9113D" w:rsidP="00672300">
      <w:pPr>
        <w:sectPr w:rsidR="00F9113D" w:rsidRPr="00C0090D" w:rsidSect="004C05AF">
          <w:pgSz w:w="11906" w:h="16838" w:code="9"/>
          <w:pgMar w:top="1134" w:right="720" w:bottom="720" w:left="720" w:header="680" w:footer="425" w:gutter="0"/>
          <w:pgNumType w:fmt="lowerRoman"/>
          <w:cols w:space="284"/>
          <w:noEndnote/>
          <w:docGrid w:linePitch="360"/>
        </w:sectPr>
      </w:pPr>
    </w:p>
    <w:p w14:paraId="42CA1097" w14:textId="54D24CD7" w:rsidR="00F9113D" w:rsidRPr="00C0090D" w:rsidRDefault="00F9113D" w:rsidP="00731587">
      <w:pPr>
        <w:pStyle w:val="ExecutiveHeading"/>
      </w:pPr>
      <w:bookmarkStart w:id="4" w:name="_Toc215906318"/>
      <w:bookmarkStart w:id="5" w:name="_Toc227746675"/>
      <w:bookmarkStart w:id="6" w:name="_Toc227746679"/>
      <w:bookmarkStart w:id="7" w:name="_Toc227746683"/>
      <w:bookmarkStart w:id="8" w:name="_Toc227746687"/>
      <w:bookmarkStart w:id="9" w:name="_Toc227748309"/>
      <w:bookmarkStart w:id="10" w:name="_Toc227748327"/>
      <w:bookmarkStart w:id="11" w:name="_Toc227748331"/>
      <w:bookmarkStart w:id="12" w:name="_Toc227748335"/>
      <w:bookmarkStart w:id="13" w:name="_Toc227748374"/>
      <w:bookmarkStart w:id="14" w:name="_Toc227748378"/>
      <w:bookmarkStart w:id="15" w:name="_Toc227748382"/>
      <w:bookmarkStart w:id="16" w:name="_Toc227748494"/>
      <w:bookmarkStart w:id="17" w:name="_Toc227748498"/>
      <w:bookmarkStart w:id="18" w:name="_Toc228005205"/>
      <w:bookmarkStart w:id="19" w:name="_Toc228092496"/>
      <w:bookmarkStart w:id="20" w:name="_Toc228264951"/>
      <w:bookmarkStart w:id="21" w:name="_Toc228264973"/>
      <w:bookmarkStart w:id="22" w:name="_Toc228264977"/>
      <w:bookmarkStart w:id="23" w:name="_Toc228264981"/>
      <w:bookmarkStart w:id="24" w:name="_Toc228264985"/>
      <w:bookmarkStart w:id="25" w:name="_Toc228265215"/>
      <w:bookmarkStart w:id="26" w:name="_Toc288198024"/>
      <w:bookmarkStart w:id="27" w:name="_Toc448829185"/>
      <w:bookmarkStart w:id="28" w:name="_Toc456353381"/>
      <w:bookmarkStart w:id="29" w:name="_Toc462313128"/>
      <w:bookmarkStart w:id="30" w:name="_Toc462317837"/>
      <w:bookmarkStart w:id="31" w:name="_Toc462397802"/>
      <w:bookmarkStart w:id="32" w:name="_Toc463002429"/>
      <w:bookmarkStart w:id="33" w:name="_Toc472586341"/>
      <w:bookmarkStart w:id="34" w:name="_Toc482168119"/>
      <w:bookmarkStart w:id="35" w:name="_Toc482174906"/>
      <w:bookmarkStart w:id="36" w:name="_Toc33430644"/>
      <w:bookmarkStart w:id="37" w:name="_Toc143291627"/>
      <w:bookmarkStart w:id="38" w:name="_Toc148968348"/>
      <w:bookmarkStart w:id="39" w:name="_Hlk147486072"/>
      <w:r w:rsidRPr="00C0090D">
        <w:t>Executive summary</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2E118608" w14:textId="5A21D9F0" w:rsidR="00D02F2A" w:rsidRDefault="001B4FA3" w:rsidP="00DD6DC3">
      <w:pPr>
        <w:pStyle w:val="Heading2un-numbered"/>
      </w:pPr>
      <w:r>
        <w:t>N</w:t>
      </w:r>
      <w:r w:rsidR="00E6523B">
        <w:t xml:space="preserve">ational </w:t>
      </w:r>
      <w:r>
        <w:t>H</w:t>
      </w:r>
      <w:r w:rsidR="00E6523B">
        <w:t xml:space="preserve">ealth </w:t>
      </w:r>
      <w:r>
        <w:t>R</w:t>
      </w:r>
      <w:r w:rsidR="00E6523B">
        <w:t xml:space="preserve">eform </w:t>
      </w:r>
      <w:r>
        <w:t>A</w:t>
      </w:r>
      <w:r w:rsidR="00E6523B">
        <w:t>greement</w:t>
      </w:r>
      <w:r w:rsidR="00DD6DC3">
        <w:t xml:space="preserve"> context</w:t>
      </w:r>
    </w:p>
    <w:p w14:paraId="2717C882" w14:textId="41CBC458" w:rsidR="00416F8F" w:rsidRDefault="00416F8F" w:rsidP="00416F8F">
      <w:r>
        <w:t xml:space="preserve">The </w:t>
      </w:r>
      <w:r w:rsidRPr="006142C4">
        <w:rPr>
          <w:i/>
          <w:iCs/>
        </w:rPr>
        <w:t>National Health Reform Agreement</w:t>
      </w:r>
      <w:r>
        <w:t xml:space="preserve"> </w:t>
      </w:r>
      <w:r w:rsidR="00E6523B">
        <w:t>(NHRA</w:t>
      </w:r>
      <w:r w:rsidR="00620439">
        <w:t xml:space="preserve"> or Agreement</w:t>
      </w:r>
      <w:r w:rsidR="00E6523B">
        <w:t xml:space="preserve">) </w:t>
      </w:r>
      <w:r>
        <w:t xml:space="preserve">has its genesis in a substantial health reform agenda, dating back to 2011, that sought to improve and mature how the Commonwealth, States and Territories fund public hospitals, and provide a platform for broader collaboration that could achieve a connected, sustainable and equitable health system. In 2021-22, $59.2 billion in Commonwealth, State and Territory funding was administered under the NHRA.  </w:t>
      </w:r>
    </w:p>
    <w:p w14:paraId="5673DFD8" w14:textId="4D00F57E" w:rsidR="00416F8F" w:rsidRDefault="00DF3F64" w:rsidP="00416F8F">
      <w:r>
        <w:t xml:space="preserve">Designing </w:t>
      </w:r>
      <w:r w:rsidR="00416F8F">
        <w:t xml:space="preserve">a health system </w:t>
      </w:r>
      <w:r>
        <w:t>able to</w:t>
      </w:r>
      <w:r w:rsidR="00416F8F">
        <w:t xml:space="preserve"> deliver continual improvement in outcomes, drive more integrated care and equity of access, in a context where more people have chronic and complex needs and there is inequity in health outcomes</w:t>
      </w:r>
      <w:r>
        <w:t>,</w:t>
      </w:r>
      <w:r w:rsidR="00416F8F">
        <w:t xml:space="preserve"> was as fundamental to the 2011 NHRA as it is today. Many of the aspirations and objectives of the Agreement are as relevant now as they were then.</w:t>
      </w:r>
    </w:p>
    <w:p w14:paraId="365F3949" w14:textId="7FBE19AA" w:rsidR="00416F8F" w:rsidRDefault="00416F8F" w:rsidP="00416F8F">
      <w:r>
        <w:t>While the original NHRA sought to put aside historic Commonwealth-State</w:t>
      </w:r>
      <w:r w:rsidR="00C11D75">
        <w:t xml:space="preserve"> and </w:t>
      </w:r>
      <w:r w:rsidR="00D14B4F">
        <w:t>Territory</w:t>
      </w:r>
      <w:r>
        <w:t xml:space="preserve"> differences on funding adequacy and share, improve patient outcomes and experience through innovative models of care and embed governance that would drive a ‘…nationally unified but locally controlled health system’, it has had mixed success and the level of enduring reform that was anticipated has not been achieved.</w:t>
      </w:r>
    </w:p>
    <w:p w14:paraId="7E257ADC" w14:textId="4436B96E" w:rsidR="00416F8F" w:rsidRDefault="00416F8F" w:rsidP="00416F8F">
      <w:r>
        <w:t xml:space="preserve">That is not to say that benefits have not accrued from the 2011 NHRA and its successor Addenda. The introduction of </w:t>
      </w:r>
      <w:r w:rsidR="00AA2252">
        <w:t>a</w:t>
      </w:r>
      <w:r>
        <w:t>ctivity-</w:t>
      </w:r>
      <w:r w:rsidR="00AA2252">
        <w:t>b</w:t>
      </w:r>
      <w:r>
        <w:t xml:space="preserve">ased </w:t>
      </w:r>
      <w:r w:rsidR="00AA2252">
        <w:t>f</w:t>
      </w:r>
      <w:r>
        <w:t>unding (ABF) as the predominant method of funding public hospitals has generated technical efficiency in the allocation of funding, as well as accountability and transparency through its classification systems, pricing determinations and funding flows. The establishment and operation of the Agreement’s independent national bodies has been key to this achievement, though not without challenge</w:t>
      </w:r>
      <w:r w:rsidR="00DF3F64">
        <w:t>s</w:t>
      </w:r>
      <w:r>
        <w:t xml:space="preserve">. </w:t>
      </w:r>
    </w:p>
    <w:p w14:paraId="7EE745DA" w14:textId="38D6CBAC" w:rsidR="00416F8F" w:rsidRDefault="00416F8F" w:rsidP="00416F8F">
      <w:r>
        <w:t>At the same time, the focus on the funding of acute activity through ABF has detracted from methods to allocate funds across the health system</w:t>
      </w:r>
      <w:r w:rsidR="00DF3F64">
        <w:t xml:space="preserve"> in the most efficient way</w:t>
      </w:r>
      <w:r>
        <w:t>: the capacity to deliver the right care in the right place at the right time. At its simplest, care delivered outside an acute setting that can reduce the likelihood of an acute presentation or mitigate its complexity is likely to be a more efficient way of allocating funding</w:t>
      </w:r>
      <w:r w:rsidR="00DF3F64">
        <w:t xml:space="preserve"> and improve patient outcomes</w:t>
      </w:r>
      <w:r>
        <w:t xml:space="preserve">. This is particularly the case in an environment of an ageing population and a rise in chronic and complex conditions. </w:t>
      </w:r>
    </w:p>
    <w:p w14:paraId="096FA6D2" w14:textId="056CB319" w:rsidR="00416F8F" w:rsidRDefault="00416F8F" w:rsidP="00416F8F">
      <w:r>
        <w:t xml:space="preserve">The challenge for a future NHRA is to deliver models of care most likely to reduce the rate and complexity of acute </w:t>
      </w:r>
      <w:r w:rsidR="00382D5B">
        <w:t xml:space="preserve">hospital </w:t>
      </w:r>
      <w:r>
        <w:t>admissions and improve patient outcomes, using a variety of tools, and to be more adaptive and innovative in forecasting and planning for future challenges.</w:t>
      </w:r>
    </w:p>
    <w:p w14:paraId="1B5F8C0D" w14:textId="1E31F1F2" w:rsidR="00416F8F" w:rsidRDefault="00416F8F" w:rsidP="00416F8F">
      <w:r>
        <w:t xml:space="preserve">This Review was conducted against the requirements set out in Clause 21 of the Agreement and further directions from Health Ministers, notably to consider the impact of </w:t>
      </w:r>
      <w:r w:rsidR="00382D5B">
        <w:t xml:space="preserve">the </w:t>
      </w:r>
      <w:r>
        <w:t xml:space="preserve">COVID-19 </w:t>
      </w:r>
      <w:r w:rsidR="00382D5B">
        <w:t xml:space="preserve">pandemic </w:t>
      </w:r>
      <w:r>
        <w:t>which coincided with the commencement of the 2020-25 Addendum. Its findings were informed by a wide-ranging consultation process comprising workshops, interviews with key stakeholders</w:t>
      </w:r>
      <w:r w:rsidR="00AA5408">
        <w:t>,</w:t>
      </w:r>
      <w:r>
        <w:t xml:space="preserve"> a targeted call for </w:t>
      </w:r>
      <w:r w:rsidR="00CE13E9">
        <w:t xml:space="preserve">written </w:t>
      </w:r>
      <w:r>
        <w:t>submissions</w:t>
      </w:r>
      <w:r w:rsidR="00AA5408">
        <w:t xml:space="preserve">, and </w:t>
      </w:r>
      <w:r w:rsidR="00AA5408" w:rsidRPr="00AA5408">
        <w:t xml:space="preserve">extensive data </w:t>
      </w:r>
      <w:r w:rsidR="00DF3F64">
        <w:t>retrieval and analysis</w:t>
      </w:r>
      <w:r>
        <w:t xml:space="preserve">. </w:t>
      </w:r>
    </w:p>
    <w:p w14:paraId="3B8C8652" w14:textId="6EE6E29F" w:rsidR="00416F8F" w:rsidRDefault="00416F8F" w:rsidP="00416F8F">
      <w:r>
        <w:t xml:space="preserve">There was a level of unanimity that emerged through consultation about the key themes that needed attention. These themes became the organising principles for </w:t>
      </w:r>
      <w:r w:rsidR="00C8269D">
        <w:t xml:space="preserve">this </w:t>
      </w:r>
      <w:r w:rsidR="00E07817">
        <w:t>Report and</w:t>
      </w:r>
      <w:r w:rsidR="00C8269D">
        <w:t xml:space="preserve"> </w:t>
      </w:r>
      <w:r>
        <w:t xml:space="preserve">have guided the development of recommendations consistent with the </w:t>
      </w:r>
      <w:r w:rsidR="00C8269D">
        <w:t>T</w:t>
      </w:r>
      <w:r>
        <w:t xml:space="preserve">erms of </w:t>
      </w:r>
      <w:r w:rsidR="00C8269D">
        <w:t>R</w:t>
      </w:r>
      <w:r>
        <w:t>eference.</w:t>
      </w:r>
      <w:r w:rsidR="00203958">
        <w:t xml:space="preserve"> An implementation Roadmap </w:t>
      </w:r>
      <w:r w:rsidR="00DF3F64">
        <w:t>is provided</w:t>
      </w:r>
      <w:r w:rsidR="00203958">
        <w:t xml:space="preserve"> to </w:t>
      </w:r>
      <w:r w:rsidR="00E07817">
        <w:t>inform the most effective</w:t>
      </w:r>
      <w:r w:rsidR="00203958">
        <w:t xml:space="preserve"> </w:t>
      </w:r>
      <w:r w:rsidR="00E07817">
        <w:t xml:space="preserve">sequencing of recommendations, including where development work is required leading up to a new Agreement. </w:t>
      </w:r>
    </w:p>
    <w:p w14:paraId="1909C917" w14:textId="1604DF07" w:rsidR="00416F8F" w:rsidRDefault="00416F8F" w:rsidP="004A26E0">
      <w:pPr>
        <w:pStyle w:val="Heading2un-numbered"/>
      </w:pPr>
      <w:r>
        <w:t xml:space="preserve">Whole of </w:t>
      </w:r>
      <w:r w:rsidR="008C3380">
        <w:t xml:space="preserve">Health </w:t>
      </w:r>
      <w:r>
        <w:t>System Agreement</w:t>
      </w:r>
    </w:p>
    <w:p w14:paraId="27742DE8" w14:textId="652854A9" w:rsidR="00416F8F" w:rsidRDefault="00416F8F" w:rsidP="00416F8F">
      <w:r>
        <w:t xml:space="preserve">There was a general view that the NHRA did not operate as a health system agreement, but as a technical hospital financing agreement </w:t>
      </w:r>
      <w:r w:rsidR="002A3753">
        <w:t xml:space="preserve">and, while it has </w:t>
      </w:r>
      <w:r w:rsidR="004B6097">
        <w:t>had success</w:t>
      </w:r>
      <w:r w:rsidR="002A3753">
        <w:t xml:space="preserve"> in this area, </w:t>
      </w:r>
      <w:r>
        <w:t xml:space="preserve">its </w:t>
      </w:r>
      <w:r w:rsidR="002A3753">
        <w:t xml:space="preserve">broader </w:t>
      </w:r>
      <w:r>
        <w:t xml:space="preserve">aspiration to take a system-wide approach and drive innovation and integration has not been realised in practice. </w:t>
      </w:r>
    </w:p>
    <w:p w14:paraId="6712971B" w14:textId="2A90DED5" w:rsidR="00AF3A68" w:rsidRDefault="00416F8F" w:rsidP="00416F8F">
      <w:r>
        <w:t>A future Agreement should be reshaped as a single collaborative health system Agreement that recognises that all elements of the health system need to work effectively together to improve patient outcomes, is performance-focused, predicts and prepares for future challenges and is clear on shared and individual accountabilities.</w:t>
      </w:r>
      <w:r w:rsidR="00AF3A68">
        <w:t xml:space="preserve"> </w:t>
      </w:r>
    </w:p>
    <w:p w14:paraId="1641471F" w14:textId="7E9F8A3D" w:rsidR="00DF3F64" w:rsidRDefault="00416F8F" w:rsidP="00DF3F64">
      <w:r>
        <w:t xml:space="preserve">The governance of the Agreement needs to reflect its broader ambition, fully utilise the resources and expertise of the national bodies </w:t>
      </w:r>
      <w:r w:rsidR="00A91328">
        <w:t>and</w:t>
      </w:r>
      <w:r>
        <w:t xml:space="preserve"> </w:t>
      </w:r>
      <w:r w:rsidR="000D58DB" w:rsidRPr="00C56D25">
        <w:t xml:space="preserve">dedicate resources </w:t>
      </w:r>
      <w:r w:rsidRPr="00C56D25">
        <w:t>to ensure innovation and reform remains at the forefront</w:t>
      </w:r>
      <w:r w:rsidR="000D58DB" w:rsidRPr="00C56D25">
        <w:t xml:space="preserve">, </w:t>
      </w:r>
      <w:r w:rsidR="00035688" w:rsidRPr="00C56D25">
        <w:t>establishing</w:t>
      </w:r>
      <w:r w:rsidR="000D58DB" w:rsidRPr="00C56D25">
        <w:t xml:space="preserve"> </w:t>
      </w:r>
      <w:r w:rsidR="00A668B5">
        <w:t>an innovation and reform entity</w:t>
      </w:r>
      <w:r w:rsidRPr="00C56D25">
        <w:t xml:space="preserve">. </w:t>
      </w:r>
      <w:r w:rsidR="00035688" w:rsidRPr="00C56D25">
        <w:t>Relevant e</w:t>
      </w:r>
      <w:r w:rsidR="00DF3F64" w:rsidRPr="00C56D25">
        <w:t>lements</w:t>
      </w:r>
      <w:r w:rsidR="00DF3F64">
        <w:t xml:space="preserve"> of related Agreements, including Closing the Gap, Preventive Health and Mental Health and Suicide Prevention need to be </w:t>
      </w:r>
      <w:r w:rsidR="00D8610B">
        <w:t>reflected in</w:t>
      </w:r>
      <w:r w:rsidR="00DF3F64">
        <w:t xml:space="preserve"> the NHRA with actions, accountabilities and milestones agreed</w:t>
      </w:r>
      <w:r w:rsidR="00035688">
        <w:t>.</w:t>
      </w:r>
    </w:p>
    <w:p w14:paraId="68021412" w14:textId="3E156315" w:rsidR="00DF3F64" w:rsidRDefault="00416F8F" w:rsidP="00416F8F">
      <w:r>
        <w:t>The Medicare Principles</w:t>
      </w:r>
      <w:r w:rsidR="00C82316">
        <w:t>,</w:t>
      </w:r>
      <w:r>
        <w:t xml:space="preserve"> that provide equitable access on the basis of clinical need and free of charge to a public patient in a public hospital</w:t>
      </w:r>
      <w:r w:rsidR="00C82316">
        <w:t>,</w:t>
      </w:r>
      <w:r>
        <w:t xml:space="preserve"> remain fundamental to a future Agreement.</w:t>
      </w:r>
      <w:r w:rsidR="00DF3F64" w:rsidRPr="00DF3F64">
        <w:t xml:space="preserve"> </w:t>
      </w:r>
    </w:p>
    <w:p w14:paraId="5ADB64A1" w14:textId="203A44C1" w:rsidR="00416F8F" w:rsidRDefault="008C3380" w:rsidP="008C3380">
      <w:pPr>
        <w:pStyle w:val="Heading2un-numbered"/>
      </w:pPr>
      <w:r>
        <w:t>A focus and platform for i</w:t>
      </w:r>
      <w:r w:rsidR="00416F8F">
        <w:t xml:space="preserve">ntersectoral </w:t>
      </w:r>
      <w:r>
        <w:t>c</w:t>
      </w:r>
      <w:r w:rsidR="00416F8F">
        <w:t>ollaboration</w:t>
      </w:r>
    </w:p>
    <w:p w14:paraId="2DB05213" w14:textId="304900B0" w:rsidR="00416F8F" w:rsidRDefault="00416F8F" w:rsidP="00416F8F">
      <w:r>
        <w:t>Stakeholders considered that the NHRA fell short in encouraging intersectoral collaboration (for example between the acute, primary</w:t>
      </w:r>
      <w:r w:rsidR="00583543">
        <w:t>, disability</w:t>
      </w:r>
      <w:r>
        <w:t xml:space="preserve"> and aged care systems) and enabling integrated patient care and that this has led to fragmented care pathways and bottlenecks and detracted from patient outcomes.</w:t>
      </w:r>
    </w:p>
    <w:p w14:paraId="08F68404" w14:textId="77777777" w:rsidR="0091238C" w:rsidRDefault="00416F8F" w:rsidP="00416F8F">
      <w:r>
        <w:t xml:space="preserve">To improve coordination between sectors requires an integrating layer to operate at the local level and a proactive approach to improve care pathways for vulnerable groups. The role of local hospital networks (LHNs), primary health networks (PHNs) and Aboriginal Community Controlled Health Organisations (ACCHOs) needs to be reinvigorated and authorised with flexible funding to support local initiatives. </w:t>
      </w:r>
    </w:p>
    <w:p w14:paraId="604977B8" w14:textId="7FFBEC85" w:rsidR="00416F8F" w:rsidRDefault="0091238C" w:rsidP="00416F8F">
      <w:r>
        <w:t>Reduced access to primary care puts pressure on State-based health services, often the provider of last resort for vulnerable communities. This is particularly the case where there are thin markets, often but not always in rural areas, and</w:t>
      </w:r>
      <w:r w:rsidR="00D93D9C">
        <w:t xml:space="preserve"> when</w:t>
      </w:r>
      <w:r>
        <w:t xml:space="preserve"> the continued provision of primary care relies on a small number of providers. Models of care that can identify and respond to emerging gaps in service systems and that make the best use of scarce resources are needed, with equitable and sustainable funding attached.  </w:t>
      </w:r>
      <w:r w:rsidR="00416F8F">
        <w:t xml:space="preserve">A </w:t>
      </w:r>
      <w:r>
        <w:t xml:space="preserve">further </w:t>
      </w:r>
      <w:r w:rsidR="00416F8F">
        <w:t>priority is to improve the acute-aged-disability care interface. The impact on hospital flow and poor outcomes for patients who are ready for discharge but unable to be placed safely back into the community was consistently raised. More proactive management of these patients, supported by data and appropriate funding from the point of admission is key</w:t>
      </w:r>
      <w:r>
        <w:t>, together with access to step-down and support services in the community or residential settings</w:t>
      </w:r>
      <w:r w:rsidR="00010D8B">
        <w:t>.</w:t>
      </w:r>
    </w:p>
    <w:p w14:paraId="7D82BF5B" w14:textId="4F078995" w:rsidR="00416F8F" w:rsidRDefault="00416F8F" w:rsidP="008C3380">
      <w:pPr>
        <w:pStyle w:val="Heading2un-numbered"/>
      </w:pPr>
      <w:r>
        <w:t xml:space="preserve">Optimal </w:t>
      </w:r>
      <w:r w:rsidR="008C3380">
        <w:t>m</w:t>
      </w:r>
      <w:r>
        <w:t xml:space="preserve">odels of </w:t>
      </w:r>
      <w:r w:rsidR="008C3380">
        <w:t>c</w:t>
      </w:r>
      <w:r>
        <w:t>are</w:t>
      </w:r>
    </w:p>
    <w:p w14:paraId="1BF40D62" w14:textId="487D1597" w:rsidR="00416F8F" w:rsidRDefault="00416F8F" w:rsidP="00416F8F">
      <w:r>
        <w:t xml:space="preserve">The NHRA, with its focus on </w:t>
      </w:r>
      <w:r w:rsidR="00010D8B">
        <w:t xml:space="preserve">the </w:t>
      </w:r>
      <w:r>
        <w:t xml:space="preserve">funding </w:t>
      </w:r>
      <w:r w:rsidR="00010D8B">
        <w:t xml:space="preserve">of </w:t>
      </w:r>
      <w:r>
        <w:t>activity, tends to drive care toward inpatient settings, while the health needs of the population increasingly require multidisciplinary integrated care that supports transitions across sectors. The NHRA has not enabled this patient-centred approach due to the split of roles and responsibilities</w:t>
      </w:r>
      <w:r w:rsidR="00803D3B">
        <w:t>,</w:t>
      </w:r>
      <w:r>
        <w:t xml:space="preserve"> where service gaps emerge.</w:t>
      </w:r>
    </w:p>
    <w:p w14:paraId="7CB21DDF" w14:textId="3ACB75BC" w:rsidR="00416F8F" w:rsidRDefault="00416F8F" w:rsidP="00416F8F">
      <w:r>
        <w:t>The way that funding is delivered through the NHRA</w:t>
      </w:r>
      <w:r w:rsidR="00CD01C2">
        <w:t>, primarily through ABF,</w:t>
      </w:r>
      <w:r>
        <w:t xml:space="preserve"> has tended to respond to demand rather than seek to shape demand. The next Agreement should take a proactive approach to shape demand and deliver higher value care by establishing shared incentives and payment streams that focus on early intervention in non-hospital settings and accelerate the adoption of agreed high value care pathways through bundling of payments, use of technology and incentives. How public hospital services are understood needs to be broadened to adapt to emerging models and digital tools</w:t>
      </w:r>
      <w:r w:rsidR="00010D8B">
        <w:t>, with virtual care incorporated into funding mechanisms</w:t>
      </w:r>
      <w:r>
        <w:t xml:space="preserve"> The Review proposes that the scale, pace and focus of new pricing arrangements should be mapped out in a new National Health Funding and Payments Framework.</w:t>
      </w:r>
    </w:p>
    <w:p w14:paraId="5830F9D5" w14:textId="7C9CF0AB" w:rsidR="00416F8F" w:rsidRDefault="00416F8F" w:rsidP="008C3380">
      <w:pPr>
        <w:pStyle w:val="Heading2un-numbered"/>
      </w:pPr>
      <w:r>
        <w:t xml:space="preserve">Financing </w:t>
      </w:r>
      <w:r w:rsidR="00E34C34">
        <w:t>r</w:t>
      </w:r>
      <w:r>
        <w:t>eform</w:t>
      </w:r>
    </w:p>
    <w:p w14:paraId="69ED4A1A" w14:textId="31AA15BF" w:rsidR="00416F8F" w:rsidRDefault="00416F8F" w:rsidP="00416F8F">
      <w:r>
        <w:t xml:space="preserve">The level of Commonwealth contribution to public hospital funding was seen as growing too slowly (currently 40.3%), with differences in the Commonwealth share for individual States and Territories remaining significant and an expectation that the Commonwealth share will remain relatively flat due to the operation of the 6.5% national growth cap. The capacity to respond to demand pressures in the system is further affected by the operation of a cap that covers both price and activity growth, which, in an environment of cost escalation, leaves insufficient room for new activity. </w:t>
      </w:r>
      <w:r w:rsidR="00010D8B">
        <w:t>S</w:t>
      </w:r>
      <w:r>
        <w:t xml:space="preserve">maller jurisdictions remain concerned at the misalignment between their costs and the national efficient price (related to scale) and all jurisdictions were concerned that the </w:t>
      </w:r>
      <w:r w:rsidR="00537A4B">
        <w:t>three</w:t>
      </w:r>
      <w:r>
        <w:t xml:space="preserve"> year time lag between incurring costs and their reflection in the NEP generated funding gaps.</w:t>
      </w:r>
    </w:p>
    <w:p w14:paraId="4F40AC99" w14:textId="465109DF" w:rsidR="00416F8F" w:rsidRDefault="00416F8F" w:rsidP="00416F8F">
      <w:r>
        <w:t xml:space="preserve">While </w:t>
      </w:r>
      <w:r w:rsidR="00493F7C">
        <w:t>ABF</w:t>
      </w:r>
      <w:r>
        <w:t xml:space="preserve"> is, and should continue to be, a foundational element of a new Agreement, issues such as calculation complexity, lags between costs and price, and impacts on smaller jurisdictions need to be reviewed by </w:t>
      </w:r>
      <w:r w:rsidR="00493F7C">
        <w:t xml:space="preserve">the </w:t>
      </w:r>
      <w:r w:rsidR="00435788">
        <w:t>Indep</w:t>
      </w:r>
      <w:r w:rsidR="00F56505">
        <w:t>endent Hospital and Aged Care Pricing Authority (</w:t>
      </w:r>
      <w:r>
        <w:t>IHACPA</w:t>
      </w:r>
      <w:r w:rsidR="00F56505">
        <w:t>)</w:t>
      </w:r>
      <w:r>
        <w:t xml:space="preserve"> in consultation with jurisdictions. Consideration by all parties of a new methodology to determine the Commonwealth’s funding share should seek to simplify the calculation, narrow the differences between individual </w:t>
      </w:r>
      <w:r w:rsidR="002760BF">
        <w:t>S</w:t>
      </w:r>
      <w:r>
        <w:t xml:space="preserve">tates and </w:t>
      </w:r>
      <w:r w:rsidR="002760BF">
        <w:t>T</w:t>
      </w:r>
      <w:r>
        <w:t xml:space="preserve">erritories and accelerate the trajectory to a 45% </w:t>
      </w:r>
      <w:r w:rsidR="000033FE" w:rsidRPr="000033FE">
        <w:t xml:space="preserve">Commonwealth contribution </w:t>
      </w:r>
      <w:r w:rsidR="00BF3CB8">
        <w:t>to</w:t>
      </w:r>
      <w:r w:rsidR="000033FE" w:rsidRPr="000033FE">
        <w:t xml:space="preserve"> nationally efficient public hospital activity</w:t>
      </w:r>
      <w:r w:rsidR="001E1DFE">
        <w:t xml:space="preserve">. </w:t>
      </w:r>
      <w:r>
        <w:t>The national growth cap should be reframed as an activity only cap, with price growth removed, noting the considerable drivers on all parties to drive efficiency.</w:t>
      </w:r>
      <w:r w:rsidR="0091238C">
        <w:t xml:space="preserve"> There remains an important role for block funding where diseconomies of scale dictate</w:t>
      </w:r>
      <w:r w:rsidR="00D93D9C">
        <w:t>,</w:t>
      </w:r>
      <w:r w:rsidR="0091238C">
        <w:t xml:space="preserve"> and for the transparency that has been a feature of ABF to be extended to other funding streams, such as Teaching </w:t>
      </w:r>
      <w:r w:rsidR="003459DF">
        <w:t xml:space="preserve">and </w:t>
      </w:r>
      <w:r w:rsidR="0091238C">
        <w:t>Training and Public Health.</w:t>
      </w:r>
    </w:p>
    <w:p w14:paraId="7F2A4BA9" w14:textId="53A525BC" w:rsidR="00416F8F" w:rsidRDefault="00416F8F" w:rsidP="00416F8F">
      <w:r>
        <w:t xml:space="preserve">Access to </w:t>
      </w:r>
      <w:r w:rsidR="00B435E4">
        <w:t>Pharmaceutical Benefits Scheme (</w:t>
      </w:r>
      <w:r>
        <w:t>PBS</w:t>
      </w:r>
      <w:r w:rsidR="00B435E4">
        <w:t>)</w:t>
      </w:r>
      <w:r>
        <w:t xml:space="preserve"> subsidised medicines for patients at the point of discharge improves continuity of care at a time when patients and their families can be vulnerable. A nationally consistent approach in this regard should be a feature of a new Agreement, as should a uniform way to undertake health technology assessment for high-cost, highly specialised therapies (to date</w:t>
      </w:r>
      <w:r w:rsidR="00EF50F0">
        <w:t>,</w:t>
      </w:r>
      <w:r>
        <w:t xml:space="preserve"> cell and gene therapies), </w:t>
      </w:r>
      <w:r w:rsidR="00CD01C2">
        <w:t xml:space="preserve">which are </w:t>
      </w:r>
      <w:r>
        <w:t>likely to increase in both number and diversity in the life of the next Agreement.</w:t>
      </w:r>
    </w:p>
    <w:p w14:paraId="14A589AF" w14:textId="2B8B0ABF" w:rsidR="00416F8F" w:rsidRDefault="00DA34A8" w:rsidP="008C3380">
      <w:pPr>
        <w:pStyle w:val="Heading2un-numbered"/>
      </w:pPr>
      <w:r>
        <w:t>Progressing l</w:t>
      </w:r>
      <w:r w:rsidR="00416F8F">
        <w:t>ong-</w:t>
      </w:r>
      <w:r w:rsidR="00E34C34">
        <w:t>t</w:t>
      </w:r>
      <w:r w:rsidR="00416F8F">
        <w:t xml:space="preserve">erm </w:t>
      </w:r>
      <w:r w:rsidR="00E34C34">
        <w:t>h</w:t>
      </w:r>
      <w:r w:rsidR="00416F8F">
        <w:t xml:space="preserve">ealth </w:t>
      </w:r>
      <w:r w:rsidR="00E34C34">
        <w:t>r</w:t>
      </w:r>
      <w:r w:rsidR="00416F8F">
        <w:t>eforms</w:t>
      </w:r>
    </w:p>
    <w:p w14:paraId="2D9FB8A5" w14:textId="77777777" w:rsidR="00416F8F" w:rsidRDefault="00416F8F" w:rsidP="00416F8F">
      <w:r>
        <w:t>The NHRA Addendum identified six long term reform priorities that remain important, but progress in delivering against these has been slow, in part due to the COVID-19 pandemic as well as a lack of dedicated resources (workforce and funding), measurable outcomes and clear accountabilities.</w:t>
      </w:r>
    </w:p>
    <w:p w14:paraId="637B6303" w14:textId="7397881A" w:rsidR="00416F8F" w:rsidRDefault="00416F8F" w:rsidP="00416F8F">
      <w:r w:rsidRPr="001B3D4F">
        <w:t xml:space="preserve">While COVID-19 was a unique event that required extraordinary effort across all jurisdictions, it is difficult to advance a reform agenda without dedicated resources as there will always be pressing operational matters that take priority. A new Agreement should establish a </w:t>
      </w:r>
      <w:r w:rsidR="00597EAF" w:rsidRPr="001B3D4F">
        <w:t xml:space="preserve">national innovation </w:t>
      </w:r>
      <w:r w:rsidRPr="001B3D4F">
        <w:t xml:space="preserve">and </w:t>
      </w:r>
      <w:r w:rsidR="00597EAF" w:rsidRPr="001B3D4F">
        <w:t xml:space="preserve">reform </w:t>
      </w:r>
      <w:r w:rsidR="00001987" w:rsidRPr="001B3D4F">
        <w:t>entity</w:t>
      </w:r>
      <w:r w:rsidR="0082197E" w:rsidRPr="001B3D4F">
        <w:t xml:space="preserve">, </w:t>
      </w:r>
      <w:r w:rsidRPr="001B3D4F">
        <w:t>authorised and resourced</w:t>
      </w:r>
      <w:r>
        <w:t xml:space="preserve"> to work with jurisdictions and the national bodies to establish priorities, develop innovative approaches and implement a long-term reform program driven by performance data and supported by an Innovation Fund. </w:t>
      </w:r>
      <w:r w:rsidR="00597EAF">
        <w:t>A new national body</w:t>
      </w:r>
      <w:r w:rsidR="00354191">
        <w:t xml:space="preserve">, </w:t>
      </w:r>
      <w:r w:rsidR="001C1959">
        <w:t xml:space="preserve">the National Innovation and Reform Agency, </w:t>
      </w:r>
      <w:r w:rsidR="00597EAF">
        <w:t xml:space="preserve">is recommended to perform this task. </w:t>
      </w:r>
      <w:r w:rsidR="00010D8B">
        <w:t>Embedding a program of action focused on prevention and wellbeing should be a high priority, aligned with the objectives of the National Preventive Health Agreement and the emerging work of the Australian Centre for Disease Control.</w:t>
      </w:r>
    </w:p>
    <w:p w14:paraId="0F925876" w14:textId="5FB2B35D" w:rsidR="00416F8F" w:rsidRDefault="00416F8F" w:rsidP="008C3380">
      <w:pPr>
        <w:pStyle w:val="Heading2un-numbered"/>
      </w:pPr>
      <w:r>
        <w:t xml:space="preserve">Rural and </w:t>
      </w:r>
      <w:r w:rsidR="00E34C34">
        <w:t>r</w:t>
      </w:r>
      <w:r>
        <w:t xml:space="preserve">emote </w:t>
      </w:r>
      <w:r w:rsidR="00E34C34">
        <w:t>s</w:t>
      </w:r>
      <w:r>
        <w:t xml:space="preserve">ervice </w:t>
      </w:r>
      <w:r w:rsidR="00E34C34">
        <w:t>d</w:t>
      </w:r>
      <w:r>
        <w:t>elivery</w:t>
      </w:r>
    </w:p>
    <w:p w14:paraId="7C586FB2" w14:textId="70FA5900" w:rsidR="00416F8F" w:rsidRDefault="00416F8F" w:rsidP="00416F8F">
      <w:r>
        <w:t>There remains evidence that people living in rural and remote communities experience poorer health outcomes, related in part to geographical distance and medical workforce distribution. Service systems in these areas can be fragile as they rely on a small number of providers and are vulnerable to any change</w:t>
      </w:r>
      <w:r w:rsidR="00010D8B">
        <w:t xml:space="preserve">, </w:t>
      </w:r>
      <w:r>
        <w:t xml:space="preserve">with </w:t>
      </w:r>
      <w:r w:rsidR="00620B2C">
        <w:t>S</w:t>
      </w:r>
      <w:r>
        <w:t>tate</w:t>
      </w:r>
      <w:r w:rsidR="00C11D75">
        <w:t xml:space="preserve"> and </w:t>
      </w:r>
      <w:r w:rsidR="00620B2C">
        <w:t>Territory-</w:t>
      </w:r>
      <w:r>
        <w:t xml:space="preserve">run services needing to step in as providers of last resort. </w:t>
      </w:r>
    </w:p>
    <w:p w14:paraId="67C1EEC8" w14:textId="64822D77" w:rsidR="00416F8F" w:rsidRDefault="00416F8F" w:rsidP="00416F8F">
      <w:r>
        <w:t xml:space="preserve">The NHRA </w:t>
      </w:r>
      <w:r w:rsidR="00010D8B">
        <w:t>should</w:t>
      </w:r>
      <w:r>
        <w:t xml:space="preserve"> establish a coordinated national approach to address health disparities in rural and remote communities, that encompass models of care able to function where workforce and infrastructure is limited, with health providers operating at a full scope of practice and greater integration across sectors to get the most from available resources.  </w:t>
      </w:r>
    </w:p>
    <w:p w14:paraId="15F256E2" w14:textId="13922C94" w:rsidR="00416F8F" w:rsidRDefault="00416F8F" w:rsidP="00416F8F">
      <w:r>
        <w:t>A shared plan of action focused on equity of access in rural and remote areas should form a Schedule of a new Agreement with priority actions and milestone, national datasets and minimum access standards, appropriate regionality weightings in funding formulae and equitable distribution of Teaching</w:t>
      </w:r>
      <w:r w:rsidR="00E93E04">
        <w:t>,</w:t>
      </w:r>
      <w:r>
        <w:t xml:space="preserve"> Training and Research funds. Some of the current mechanisms to improve access to services such as the Single Employer Model and access to </w:t>
      </w:r>
      <w:r w:rsidR="00231354">
        <w:t>the Medicare Benefits Schedule (</w:t>
      </w:r>
      <w:r>
        <w:t>MBS</w:t>
      </w:r>
      <w:r w:rsidR="00231354">
        <w:t>)</w:t>
      </w:r>
      <w:r>
        <w:t xml:space="preserve"> by </w:t>
      </w:r>
      <w:r w:rsidR="00E93E04">
        <w:t>S</w:t>
      </w:r>
      <w:r>
        <w:t>tate</w:t>
      </w:r>
      <w:r w:rsidR="00C11D75">
        <w:t xml:space="preserve"> and </w:t>
      </w:r>
      <w:r w:rsidR="00E93E04">
        <w:t>Territory</w:t>
      </w:r>
      <w:r>
        <w:t xml:space="preserve"> managed services through section 19(2) </w:t>
      </w:r>
      <w:r w:rsidR="00231354" w:rsidRPr="00650E28">
        <w:rPr>
          <w:i/>
        </w:rPr>
        <w:t>Health Insurance Act 1973</w:t>
      </w:r>
      <w:r w:rsidR="00231354" w:rsidRPr="00650E28">
        <w:t xml:space="preserve"> </w:t>
      </w:r>
      <w:r>
        <w:t xml:space="preserve">exemptions should be made more widely available </w:t>
      </w:r>
      <w:r w:rsidR="00583543">
        <w:t xml:space="preserve">across </w:t>
      </w:r>
      <w:r>
        <w:t>rural and remote settings</w:t>
      </w:r>
      <w:r w:rsidR="00583543">
        <w:t xml:space="preserve"> and where ‘thin markets’ emerge</w:t>
      </w:r>
      <w:r>
        <w:t>.</w:t>
      </w:r>
    </w:p>
    <w:p w14:paraId="0CFBE8FB" w14:textId="018D9DAD" w:rsidR="00416F8F" w:rsidRDefault="00DA34A8" w:rsidP="008C3380">
      <w:pPr>
        <w:pStyle w:val="Heading2un-numbered"/>
      </w:pPr>
      <w:r>
        <w:t xml:space="preserve">Clear commitment to closing the gap for </w:t>
      </w:r>
      <w:r w:rsidR="00416F8F">
        <w:t>First Nations’ People</w:t>
      </w:r>
    </w:p>
    <w:p w14:paraId="3725A699" w14:textId="659BEE91" w:rsidR="00416F8F" w:rsidRDefault="00416F8F" w:rsidP="00416F8F">
      <w:r>
        <w:t>Access to necessary and culturally responsive health services is a key mechanism to close the gap in life expectancy and health outcomes for First Nations’ people. While the current Addend</w:t>
      </w:r>
      <w:r w:rsidR="00627BFA">
        <w:t>um</w:t>
      </w:r>
      <w:r>
        <w:t xml:space="preserve"> acknowledges the </w:t>
      </w:r>
      <w:r w:rsidR="00010D8B">
        <w:t>Closing the Gap</w:t>
      </w:r>
      <w:r w:rsidR="007405A4">
        <w:rPr>
          <w:i/>
          <w:iCs/>
        </w:rPr>
        <w:t xml:space="preserve"> </w:t>
      </w:r>
      <w:r>
        <w:t xml:space="preserve">targets, it does not establish a national action plan to be delivered and enabled through the NHRA. </w:t>
      </w:r>
    </w:p>
    <w:p w14:paraId="3A750503" w14:textId="1DC9ECDE" w:rsidR="00416F8F" w:rsidRDefault="00416F8F" w:rsidP="00416F8F">
      <w:r>
        <w:t>A new Agreement should have a specific Schedule that enunciates the shared commitment of the parties to improve the health of First Nations’ people through specific actions and accountabilities to be taken as part of the NHRA</w:t>
      </w:r>
      <w:r w:rsidR="007405A4">
        <w:t>. This includes</w:t>
      </w:r>
      <w:r>
        <w:t xml:space="preserve"> authorising the role of ACCHOs as key participants in the Agreement and its local commissioning, improving cultural safety in health service delivery, in consultation with communities, and establishing agreed measurement and reporting.  </w:t>
      </w:r>
    </w:p>
    <w:p w14:paraId="364E1E3B" w14:textId="3665A2A5" w:rsidR="00416F8F" w:rsidRDefault="00DA34A8" w:rsidP="008C3380">
      <w:pPr>
        <w:pStyle w:val="Heading2un-numbered"/>
      </w:pPr>
      <w:r>
        <w:t>Embedding w</w:t>
      </w:r>
      <w:r w:rsidR="00416F8F">
        <w:t xml:space="preserve">orkforce and </w:t>
      </w:r>
      <w:r>
        <w:t>d</w:t>
      </w:r>
      <w:r w:rsidR="00416F8F">
        <w:t xml:space="preserve">igital </w:t>
      </w:r>
      <w:r>
        <w:t>h</w:t>
      </w:r>
      <w:r w:rsidR="00416F8F">
        <w:t>ealth</w:t>
      </w:r>
      <w:r>
        <w:t xml:space="preserve"> as key enablers</w:t>
      </w:r>
    </w:p>
    <w:p w14:paraId="6DEA849D" w14:textId="2DE80260" w:rsidR="00416F8F" w:rsidRDefault="00416F8F" w:rsidP="00416F8F">
      <w:r>
        <w:t>A sufficient and skilled health workforce and an ability to provide the full range of digital and digitally informed health services are key enablers of effectiveness and efficiency across the health system. Neither of these have been strongly present in the NHRA to date, instead forming part of other bilateral agreements and processes.</w:t>
      </w:r>
    </w:p>
    <w:p w14:paraId="58EE6A4D" w14:textId="185E7357" w:rsidR="00416F8F" w:rsidRDefault="00416F8F" w:rsidP="00416F8F">
      <w:r>
        <w:t xml:space="preserve">There is value in bringing these elements into dedicated Schedules of a new </w:t>
      </w:r>
      <w:r w:rsidR="001F68A0">
        <w:t>Agreement</w:t>
      </w:r>
      <w:r>
        <w:t xml:space="preserve">, reflecting shared commitments and actions, accountabilities and performance milestones. Ensuring a sufficient and quality health workforce through a dedicated workforce planning body is part of this, as is collaborative work on enabling a full scope of practice across all professions consistent with safe practice standards. An explicit commitment of the parties to advance digital health solutions should acknowledge the role of the Australian Digital Health Agency </w:t>
      </w:r>
      <w:r w:rsidR="00547312">
        <w:t xml:space="preserve">(ADHA) </w:t>
      </w:r>
      <w:r>
        <w:t xml:space="preserve">and the related </w:t>
      </w:r>
      <w:r w:rsidRPr="00547312">
        <w:rPr>
          <w:i/>
          <w:iCs/>
        </w:rPr>
        <w:t>Intergovernmental Agreement on National Digital Health</w:t>
      </w:r>
      <w:r>
        <w:t xml:space="preserve">, with agreed priorities, roles and responsibilities and actions to progress digital health solutions and data sharing. </w:t>
      </w:r>
    </w:p>
    <w:p w14:paraId="4D710222" w14:textId="6458D138" w:rsidR="00416F8F" w:rsidRDefault="00416F8F" w:rsidP="008C3380">
      <w:pPr>
        <w:pStyle w:val="Heading2un-numbered"/>
      </w:pPr>
      <w:r>
        <w:t xml:space="preserve">Measuring </w:t>
      </w:r>
      <w:r w:rsidR="00DA34A8">
        <w:t>the s</w:t>
      </w:r>
      <w:r>
        <w:t>uccess</w:t>
      </w:r>
      <w:r w:rsidR="00DA34A8">
        <w:t xml:space="preserve"> of the Agreement</w:t>
      </w:r>
    </w:p>
    <w:p w14:paraId="036BBD5A" w14:textId="0535605E" w:rsidR="00416F8F" w:rsidRDefault="00416F8F" w:rsidP="00416F8F">
      <w:r>
        <w:t>Measuring the performance of the health system, understanding future pressures and the capacity of the system to respond to these pressures is essential to a well operating and responsive health system agreement. The health system is interconnected and so measuring its performance must also cross sectors and boundaries, seek to understand pain points for consumers and incorporate patient experience and outcome measures. While there has been a</w:t>
      </w:r>
      <w:r w:rsidR="00010D8B">
        <w:t>n</w:t>
      </w:r>
      <w:r>
        <w:t xml:space="preserve"> </w:t>
      </w:r>
      <w:r w:rsidR="00A53DA3">
        <w:t xml:space="preserve">Australian Health Performance Framework </w:t>
      </w:r>
      <w:r>
        <w:t xml:space="preserve">as part of the Agreement, it is not widely accessible or understood, has not enabled reflection on system pressures nor development of shared solutions. </w:t>
      </w:r>
    </w:p>
    <w:p w14:paraId="574BE7DB" w14:textId="4A7BE9E4" w:rsidR="00416F8F" w:rsidRDefault="00416F8F" w:rsidP="00416F8F">
      <w:r>
        <w:t>As part of the Review an</w:t>
      </w:r>
      <w:r w:rsidR="00F52F43" w:rsidRPr="00861DB1">
        <w:t xml:space="preserve"> Interim </w:t>
      </w:r>
      <w:r w:rsidR="00F52F43">
        <w:t xml:space="preserve">Quantitative </w:t>
      </w:r>
      <w:r w:rsidR="00F52F43" w:rsidRPr="00861DB1">
        <w:t>Performance Framework</w:t>
      </w:r>
      <w:r w:rsidR="00F52F43">
        <w:t xml:space="preserve"> </w:t>
      </w:r>
      <w:r>
        <w:t xml:space="preserve">was developed to better understand and track performance against the Agreement objectives of efficiency, effectiveness, sustainability and equity. This is intended as a starting point for a </w:t>
      </w:r>
      <w:r w:rsidR="0062056C">
        <w:t xml:space="preserve">performance framework for a </w:t>
      </w:r>
      <w:r>
        <w:t>new Agreement and has identified gaps where collaborative development work is needed</w:t>
      </w:r>
      <w:r w:rsidR="00010D8B">
        <w:t xml:space="preserve">, for </w:t>
      </w:r>
      <w:r>
        <w:t>example, in patient reported outcome and experience measures, quality and safety indicators, the incidence and reasons for patients in hospital awaiting discharge, consistency of workforce data and measures of access to primary care.</w:t>
      </w:r>
      <w:r w:rsidR="00F16610">
        <w:t xml:space="preserve"> </w:t>
      </w:r>
    </w:p>
    <w:p w14:paraId="160AA550" w14:textId="23B16BA1" w:rsidR="00416F8F" w:rsidRDefault="00416F8F" w:rsidP="00416F8F">
      <w:r>
        <w:t xml:space="preserve">Monitoring the performance of the health system and developing policy responses, working with jurisdictions and the national bodies, should be a key function of </w:t>
      </w:r>
      <w:r w:rsidR="004B53FF">
        <w:t xml:space="preserve">the </w:t>
      </w:r>
      <w:r w:rsidR="002E2F92">
        <w:t>innovation</w:t>
      </w:r>
      <w:r>
        <w:t xml:space="preserve"> and </w:t>
      </w:r>
      <w:r w:rsidR="002E2F92">
        <w:t>r</w:t>
      </w:r>
      <w:r>
        <w:t xml:space="preserve">eform </w:t>
      </w:r>
      <w:r w:rsidR="004B53FF">
        <w:t>function of the Agreement</w:t>
      </w:r>
      <w:r>
        <w:t>.</w:t>
      </w:r>
      <w:r w:rsidR="00F16610">
        <w:t xml:space="preserve"> It is also important to track the progress of the parties to the Agreement against their accountabilities (individual and shared) and those of the national bodies.</w:t>
      </w:r>
    </w:p>
    <w:p w14:paraId="31749EFE" w14:textId="76568A3A" w:rsidR="00416F8F" w:rsidRDefault="00DA34A8" w:rsidP="008C3380">
      <w:pPr>
        <w:pStyle w:val="Heading2un-numbered"/>
      </w:pPr>
      <w:r>
        <w:t xml:space="preserve">Learning from </w:t>
      </w:r>
      <w:r w:rsidR="00416F8F">
        <w:t>COVID-19</w:t>
      </w:r>
      <w:r>
        <w:t xml:space="preserve"> and preparing for future events</w:t>
      </w:r>
    </w:p>
    <w:p w14:paraId="62044133" w14:textId="1FDE1CCD" w:rsidR="00416F8F" w:rsidRDefault="00416F8F" w:rsidP="00416F8F">
      <w:r>
        <w:t xml:space="preserve">The Addendum came into effect at the same time as the emergence of COVID-19, and so has operated at a time of major and unprecedented disruption to the health system. There are lessons from this experience, many of which are emerging from the various inquiries that have been undertaken or are </w:t>
      </w:r>
      <w:r w:rsidR="006C7E3B">
        <w:t>in train</w:t>
      </w:r>
      <w:r>
        <w:t xml:space="preserve">. A future NHRA should set out the principles and processes to establish time-limited funding arrangements in response to times of extreme national emergency, the circumstances in which these would be triggered and the path back to </w:t>
      </w:r>
      <w:r w:rsidR="00FF6139">
        <w:t>business-as-usual</w:t>
      </w:r>
      <w:r>
        <w:t xml:space="preserve"> arrangements.</w:t>
      </w:r>
    </w:p>
    <w:p w14:paraId="584633F1" w14:textId="661352CD" w:rsidR="00416F8F" w:rsidRDefault="00416F8F" w:rsidP="00416F8F">
      <w:r>
        <w:t xml:space="preserve">COVID-19 has brought long term consequences for the health system, with </w:t>
      </w:r>
      <w:r w:rsidR="00A30232">
        <w:t xml:space="preserve">reported </w:t>
      </w:r>
      <w:r>
        <w:t>increase</w:t>
      </w:r>
      <w:r w:rsidR="00A30232">
        <w:t>s in</w:t>
      </w:r>
      <w:r>
        <w:t xml:space="preserve"> demand and acuity, the impact of long </w:t>
      </w:r>
      <w:r w:rsidR="00CF37CE">
        <w:t>COVID and</w:t>
      </w:r>
      <w:r>
        <w:t xml:space="preserve"> backlogs in planned </w:t>
      </w:r>
      <w:r w:rsidR="00CF37CE">
        <w:t xml:space="preserve">elective surgery </w:t>
      </w:r>
      <w:r>
        <w:t xml:space="preserve">procedures. The way in which NHRA funding operates, including how base funding is determined and a growth cap applied, mitigates against managing demand surges. A COVID-19 recovery plan should be </w:t>
      </w:r>
      <w:r w:rsidR="002170F1">
        <w:t xml:space="preserve">put in place </w:t>
      </w:r>
      <w:r>
        <w:t xml:space="preserve">for the remaining period of the Agreement to address demand pressure. </w:t>
      </w:r>
    </w:p>
    <w:p w14:paraId="7BB2D143" w14:textId="77777777" w:rsidR="00BA137C" w:rsidRDefault="00BA137C" w:rsidP="00BA137C">
      <w:pPr>
        <w:pStyle w:val="Heading2un-numbered"/>
      </w:pPr>
      <w:r>
        <w:t>Conclusion</w:t>
      </w:r>
    </w:p>
    <w:p w14:paraId="161301E3" w14:textId="3A8851AF" w:rsidR="00BA137C" w:rsidRDefault="00BA137C" w:rsidP="00BA137C">
      <w:r>
        <w:t xml:space="preserve">The Agreement has been successful in improving the technical efficiency and transparency of public hospital funding through the operation of ABF with nationally consistent classification and pricing systems and funding flows. It has been less successful in delivering the right care in the right place at the right time (allocative efficiency) to respond to the needs of an ageing population </w:t>
      </w:r>
      <w:r w:rsidR="00467078">
        <w:t xml:space="preserve">and one </w:t>
      </w:r>
      <w:r>
        <w:t xml:space="preserve">with higher rates of chronic and complex conditions, to incentivise high value care and optimal patient outcomes. </w:t>
      </w:r>
    </w:p>
    <w:p w14:paraId="723C1AEF" w14:textId="77777777" w:rsidR="00BA137C" w:rsidRPr="004468CF" w:rsidRDefault="00BA137C" w:rsidP="00BA137C">
      <w:r>
        <w:t xml:space="preserve">The next stage of reform requires a single collaborative whole of health system Agreement, that incorporates a National Health Funding and Payments Framework that can deliver optimal models of care and increase the Commonwealth funding share over time. Critical system priorities and enablers need to be embedded into the Agreement, not just as aspirational statements, but with clear accountabilities and programs of action. A focus on innovation and reform and measurement of performance can better map and enable the system to respond to future pressures. </w:t>
      </w:r>
    </w:p>
    <w:p w14:paraId="074313ED" w14:textId="77777777" w:rsidR="001A3B81" w:rsidRDefault="001A3B81" w:rsidP="004468CF"/>
    <w:p w14:paraId="6EB36E03" w14:textId="77777777" w:rsidR="00FF34E4" w:rsidRDefault="00FF34E4" w:rsidP="00C2024B">
      <w:pPr>
        <w:pStyle w:val="Caption"/>
        <w:sectPr w:rsidR="00FF34E4" w:rsidSect="007366FE">
          <w:headerReference w:type="even" r:id="rId23"/>
          <w:headerReference w:type="default" r:id="rId24"/>
          <w:footerReference w:type="default" r:id="rId25"/>
          <w:headerReference w:type="first" r:id="rId26"/>
          <w:pgSz w:w="11906" w:h="16838" w:code="9"/>
          <w:pgMar w:top="1418" w:right="720" w:bottom="720" w:left="720" w:header="559" w:footer="425" w:gutter="0"/>
          <w:pgNumType w:start="1"/>
          <w:cols w:space="284"/>
          <w:noEndnote/>
          <w:docGrid w:linePitch="360"/>
        </w:sectPr>
      </w:pPr>
    </w:p>
    <w:bookmarkEnd w:id="39"/>
    <w:p w14:paraId="3E6B6F9C" w14:textId="4190134F" w:rsidR="00DA34A8" w:rsidRDefault="00DA34A8" w:rsidP="00DA34A8">
      <w:pPr>
        <w:pStyle w:val="Heading2un-numbered"/>
      </w:pPr>
      <w:r>
        <w:t xml:space="preserve">Recommendations </w:t>
      </w:r>
    </w:p>
    <w:p w14:paraId="76D0C173" w14:textId="652CDB86" w:rsidR="00347BF4" w:rsidRDefault="0019129B" w:rsidP="00E26714">
      <w:r>
        <w:t xml:space="preserve">The Review </w:t>
      </w:r>
      <w:r w:rsidRPr="00466FC9">
        <w:t xml:space="preserve">includes </w:t>
      </w:r>
      <w:r w:rsidRPr="00650E28">
        <w:t>forty-</w:t>
      </w:r>
      <w:r w:rsidR="00466FC9" w:rsidRPr="00650E28">
        <w:t>five</w:t>
      </w:r>
      <w:r w:rsidR="00FF6139" w:rsidRPr="00466FC9">
        <w:t xml:space="preserve"> </w:t>
      </w:r>
      <w:r w:rsidR="00347BF4" w:rsidRPr="00466FC9">
        <w:t>recommendations</w:t>
      </w:r>
      <w:r w:rsidR="00347BF4" w:rsidRPr="00347BF4">
        <w:t xml:space="preserve"> </w:t>
      </w:r>
      <w:r w:rsidR="001E1145" w:rsidRPr="002F0986">
        <w:t>intended both to inform and guide the remainder of the Addendum period as well as present options for future reform and Agreements</w:t>
      </w:r>
      <w:r w:rsidR="004C501E">
        <w:t xml:space="preserve">, identified in </w:t>
      </w:r>
      <w:r w:rsidR="004C501E">
        <w:fldChar w:fldCharType="begin" w:fldLock="1"/>
      </w:r>
      <w:r w:rsidR="004C501E">
        <w:instrText xml:space="preserve"> REF _Ref147440330 \h </w:instrText>
      </w:r>
      <w:r w:rsidR="004C501E">
        <w:fldChar w:fldCharType="separate"/>
      </w:r>
      <w:r w:rsidR="00FA10A4" w:rsidRPr="00C2024B">
        <w:t xml:space="preserve">Table </w:t>
      </w:r>
      <w:r w:rsidR="00FA10A4">
        <w:rPr>
          <w:noProof/>
        </w:rPr>
        <w:t>1</w:t>
      </w:r>
      <w:r w:rsidR="004C501E">
        <w:fldChar w:fldCharType="end"/>
      </w:r>
      <w:r w:rsidR="004C501E">
        <w:t>.</w:t>
      </w:r>
    </w:p>
    <w:p w14:paraId="0D364CCD" w14:textId="7E06076E" w:rsidR="001A3B81" w:rsidRPr="00C2024B" w:rsidRDefault="001A3B81" w:rsidP="00C2024B">
      <w:pPr>
        <w:pStyle w:val="Caption"/>
      </w:pPr>
      <w:bookmarkStart w:id="40" w:name="_Ref147440330"/>
      <w:bookmarkStart w:id="41" w:name="_Toc148968365"/>
      <w:r w:rsidRPr="00C2024B">
        <w:t xml:space="preserve">Table </w:t>
      </w:r>
      <w:r>
        <w:fldChar w:fldCharType="begin"/>
      </w:r>
      <w:r>
        <w:instrText xml:space="preserve"> SEQ Table \* ARABIC </w:instrText>
      </w:r>
      <w:r>
        <w:fldChar w:fldCharType="separate"/>
      </w:r>
      <w:r w:rsidR="003F5D51">
        <w:rPr>
          <w:noProof/>
        </w:rPr>
        <w:t>1</w:t>
      </w:r>
      <w:r>
        <w:fldChar w:fldCharType="end"/>
      </w:r>
      <w:bookmarkEnd w:id="40"/>
      <w:r w:rsidRPr="00C2024B">
        <w:t xml:space="preserve">: List of </w:t>
      </w:r>
      <w:r w:rsidR="00646A4A" w:rsidRPr="00C2024B">
        <w:t>recommendation</w:t>
      </w:r>
      <w:r w:rsidRPr="00C2024B">
        <w:t>s</w:t>
      </w:r>
      <w:bookmarkEnd w:id="41"/>
    </w:p>
    <w:tbl>
      <w:tblPr>
        <w:tblStyle w:val="Deloittetable"/>
        <w:tblW w:w="5000" w:type="pct"/>
        <w:tblLook w:val="04A0" w:firstRow="1" w:lastRow="0" w:firstColumn="1" w:lastColumn="0" w:noHBand="0" w:noVBand="1"/>
      </w:tblPr>
      <w:tblGrid>
        <w:gridCol w:w="1283"/>
        <w:gridCol w:w="1334"/>
        <w:gridCol w:w="10140"/>
        <w:gridCol w:w="1943"/>
      </w:tblGrid>
      <w:tr w:rsidR="00ED6A10" w:rsidRPr="001B7507" w14:paraId="4B8566DB" w14:textId="312595CC" w:rsidTr="00025B1E">
        <w:trPr>
          <w:cnfStyle w:val="100000000000" w:firstRow="1" w:lastRow="0" w:firstColumn="0" w:lastColumn="0" w:oddVBand="0" w:evenVBand="0" w:oddHBand="0" w:evenHBand="0" w:firstRowFirstColumn="0" w:firstRowLastColumn="0" w:lastRowFirstColumn="0" w:lastRowLastColumn="0"/>
          <w:tblHeader/>
        </w:trPr>
        <w:tc>
          <w:tcPr>
            <w:tcW w:w="436" w:type="pct"/>
            <w:tcBorders>
              <w:top w:val="single" w:sz="12" w:space="0" w:color="0D8390"/>
              <w:bottom w:val="single" w:sz="8" w:space="0" w:color="D9D9D9"/>
            </w:tcBorders>
          </w:tcPr>
          <w:p w14:paraId="61DE2395" w14:textId="77777777" w:rsidR="00EB257A" w:rsidRPr="001B7507" w:rsidRDefault="00EB257A" w:rsidP="001B7507">
            <w:pPr>
              <w:spacing w:before="60" w:after="60"/>
              <w:rPr>
                <w:rFonts w:eastAsia="Verdana"/>
                <w:b/>
                <w:color w:val="0D8390"/>
                <w:sz w:val="18"/>
                <w:szCs w:val="18"/>
              </w:rPr>
            </w:pPr>
            <w:r w:rsidRPr="001B7507">
              <w:rPr>
                <w:rFonts w:eastAsia="Verdana"/>
                <w:b/>
                <w:color w:val="0D8390"/>
                <w:sz w:val="18"/>
                <w:szCs w:val="18"/>
              </w:rPr>
              <w:t>Theme</w:t>
            </w:r>
          </w:p>
        </w:tc>
        <w:tc>
          <w:tcPr>
            <w:tcW w:w="454" w:type="pct"/>
            <w:tcBorders>
              <w:top w:val="single" w:sz="12" w:space="0" w:color="0D8390"/>
              <w:bottom w:val="single" w:sz="8" w:space="0" w:color="D9D9D9"/>
            </w:tcBorders>
          </w:tcPr>
          <w:p w14:paraId="2207FE25" w14:textId="77777777" w:rsidR="00EB257A" w:rsidRPr="001B7507" w:rsidRDefault="00EB257A" w:rsidP="001B7507">
            <w:pPr>
              <w:spacing w:before="60" w:after="60"/>
              <w:rPr>
                <w:rFonts w:eastAsia="Verdana"/>
                <w:b/>
                <w:color w:val="0D8390"/>
                <w:sz w:val="18"/>
                <w:szCs w:val="18"/>
              </w:rPr>
            </w:pPr>
            <w:r w:rsidRPr="001B7507">
              <w:rPr>
                <w:rFonts w:eastAsia="Verdana"/>
                <w:b/>
                <w:color w:val="0D8390"/>
                <w:sz w:val="18"/>
                <w:szCs w:val="18"/>
              </w:rPr>
              <w:t>Topic</w:t>
            </w:r>
          </w:p>
        </w:tc>
        <w:tc>
          <w:tcPr>
            <w:tcW w:w="3449" w:type="pct"/>
            <w:tcBorders>
              <w:top w:val="single" w:sz="12" w:space="0" w:color="0D8390"/>
              <w:bottom w:val="single" w:sz="8" w:space="0" w:color="D9D9D9"/>
            </w:tcBorders>
          </w:tcPr>
          <w:p w14:paraId="27ADA450" w14:textId="77777777" w:rsidR="00EB257A" w:rsidRPr="001B7507" w:rsidRDefault="00EB257A" w:rsidP="001B7507">
            <w:pPr>
              <w:spacing w:before="60" w:after="60"/>
              <w:rPr>
                <w:rFonts w:eastAsia="Verdana"/>
                <w:b/>
                <w:color w:val="0D8390"/>
                <w:sz w:val="18"/>
                <w:szCs w:val="18"/>
              </w:rPr>
            </w:pPr>
            <w:r w:rsidRPr="001B7507">
              <w:rPr>
                <w:rFonts w:eastAsia="Verdana"/>
                <w:b/>
                <w:color w:val="0D8390"/>
                <w:sz w:val="18"/>
                <w:szCs w:val="18"/>
              </w:rPr>
              <w:t>Recommendation</w:t>
            </w:r>
          </w:p>
        </w:tc>
        <w:tc>
          <w:tcPr>
            <w:tcW w:w="661" w:type="pct"/>
            <w:tcBorders>
              <w:top w:val="single" w:sz="12" w:space="0" w:color="0D8390"/>
              <w:bottom w:val="single" w:sz="8" w:space="0" w:color="D9D9D9"/>
            </w:tcBorders>
          </w:tcPr>
          <w:p w14:paraId="09F07606" w14:textId="2968EA88" w:rsidR="00EB257A" w:rsidRPr="001B7507" w:rsidRDefault="00916F51" w:rsidP="001B7507">
            <w:pPr>
              <w:spacing w:before="60" w:after="60"/>
              <w:rPr>
                <w:rFonts w:eastAsia="Verdana"/>
                <w:b/>
                <w:color w:val="0D8390"/>
                <w:sz w:val="18"/>
                <w:szCs w:val="18"/>
              </w:rPr>
            </w:pPr>
            <w:r w:rsidRPr="001B7507">
              <w:rPr>
                <w:rFonts w:eastAsia="Verdana"/>
                <w:b/>
                <w:color w:val="0D8390"/>
                <w:sz w:val="18"/>
                <w:szCs w:val="18"/>
              </w:rPr>
              <w:t xml:space="preserve">Relevant </w:t>
            </w:r>
            <w:r w:rsidR="00A360FC" w:rsidRPr="001B7507">
              <w:rPr>
                <w:rFonts w:eastAsia="Verdana"/>
                <w:b/>
                <w:color w:val="0D8390"/>
                <w:sz w:val="18"/>
                <w:szCs w:val="18"/>
              </w:rPr>
              <w:t xml:space="preserve">Report </w:t>
            </w:r>
            <w:r w:rsidRPr="001B7507">
              <w:rPr>
                <w:rFonts w:eastAsia="Verdana"/>
                <w:b/>
                <w:color w:val="0D8390"/>
                <w:sz w:val="18"/>
                <w:szCs w:val="18"/>
              </w:rPr>
              <w:t>section</w:t>
            </w:r>
          </w:p>
        </w:tc>
      </w:tr>
      <w:tr w:rsidR="00ED6A10" w:rsidRPr="001B7507" w14:paraId="7EDC6E9E" w14:textId="150EF64D" w:rsidTr="00025B1E">
        <w:tc>
          <w:tcPr>
            <w:tcW w:w="436" w:type="pct"/>
            <w:vMerge w:val="restart"/>
            <w:tcBorders>
              <w:top w:val="single" w:sz="8" w:space="0" w:color="D9D9D9"/>
              <w:left w:val="nil"/>
              <w:right w:val="nil"/>
            </w:tcBorders>
            <w:shd w:val="clear" w:color="auto" w:fill="auto"/>
          </w:tcPr>
          <w:p w14:paraId="57C7B893" w14:textId="77777777" w:rsidR="00EB257A" w:rsidRPr="001B7507" w:rsidRDefault="00EB257A" w:rsidP="001B7507">
            <w:pPr>
              <w:spacing w:before="60" w:after="60"/>
              <w:rPr>
                <w:rFonts w:eastAsia="Verdana"/>
                <w:sz w:val="18"/>
                <w:szCs w:val="18"/>
              </w:rPr>
            </w:pPr>
            <w:r w:rsidRPr="001B7507">
              <w:rPr>
                <w:rFonts w:eastAsia="Verdana"/>
                <w:sz w:val="18"/>
                <w:szCs w:val="18"/>
              </w:rPr>
              <w:t>A shared whole of Health System Agreement with the right architecture and governance</w:t>
            </w:r>
          </w:p>
        </w:tc>
        <w:tc>
          <w:tcPr>
            <w:tcW w:w="454" w:type="pct"/>
            <w:tcBorders>
              <w:top w:val="single" w:sz="8" w:space="0" w:color="D9D9D9"/>
              <w:left w:val="nil"/>
              <w:bottom w:val="single" w:sz="8" w:space="0" w:color="D9D9D9"/>
              <w:right w:val="nil"/>
            </w:tcBorders>
          </w:tcPr>
          <w:p w14:paraId="2400B127" w14:textId="77777777" w:rsidR="00EB257A" w:rsidRPr="001B7507" w:rsidRDefault="00EB257A" w:rsidP="001B7507">
            <w:pPr>
              <w:spacing w:before="60" w:after="60"/>
              <w:rPr>
                <w:rFonts w:eastAsia="Verdana"/>
                <w:sz w:val="18"/>
                <w:szCs w:val="18"/>
              </w:rPr>
            </w:pPr>
            <w:r w:rsidRPr="001B7507">
              <w:rPr>
                <w:rFonts w:eastAsia="Verdana"/>
                <w:sz w:val="18"/>
                <w:szCs w:val="18"/>
              </w:rPr>
              <w:t>Single collaborative health system Agreement</w:t>
            </w:r>
          </w:p>
        </w:tc>
        <w:tc>
          <w:tcPr>
            <w:tcW w:w="3449" w:type="pct"/>
            <w:tcBorders>
              <w:top w:val="single" w:sz="8" w:space="0" w:color="D9D9D9"/>
              <w:left w:val="nil"/>
              <w:bottom w:val="single" w:sz="8" w:space="0" w:color="D9D9D9"/>
              <w:right w:val="nil"/>
            </w:tcBorders>
            <w:shd w:val="clear" w:color="auto" w:fill="auto"/>
          </w:tcPr>
          <w:p w14:paraId="4998DF2A" w14:textId="77777777" w:rsidR="00EB257A" w:rsidRPr="001B7507" w:rsidRDefault="00EB257A" w:rsidP="001B7507">
            <w:pPr>
              <w:pStyle w:val="ListParagraph"/>
              <w:numPr>
                <w:ilvl w:val="0"/>
                <w:numId w:val="95"/>
              </w:numPr>
              <w:spacing w:before="60" w:after="60"/>
              <w:contextualSpacing w:val="0"/>
              <w:rPr>
                <w:rFonts w:eastAsia="Verdana"/>
                <w:sz w:val="18"/>
                <w:szCs w:val="18"/>
              </w:rPr>
            </w:pPr>
            <w:r w:rsidRPr="001B7507">
              <w:rPr>
                <w:rFonts w:eastAsia="Verdana"/>
                <w:sz w:val="18"/>
                <w:szCs w:val="18"/>
              </w:rPr>
              <w:t>The NHRA should:</w:t>
            </w:r>
          </w:p>
          <w:p w14:paraId="08B6185E" w14:textId="77777777" w:rsidR="00EB257A" w:rsidRPr="001B7507" w:rsidRDefault="00EB257A" w:rsidP="001B7507">
            <w:pPr>
              <w:pStyle w:val="Summarytable"/>
              <w:numPr>
                <w:ilvl w:val="1"/>
                <w:numId w:val="115"/>
              </w:numPr>
              <w:spacing w:before="60" w:after="60"/>
              <w:ind w:left="850" w:hanging="425"/>
              <w:rPr>
                <w:b w:val="0"/>
                <w:bCs w:val="0"/>
                <w:sz w:val="18"/>
                <w:szCs w:val="18"/>
              </w:rPr>
            </w:pPr>
            <w:r w:rsidRPr="001B7507">
              <w:rPr>
                <w:b w:val="0"/>
                <w:bCs w:val="0"/>
                <w:sz w:val="18"/>
                <w:szCs w:val="18"/>
              </w:rPr>
              <w:t xml:space="preserve">Be framed as a </w:t>
            </w:r>
            <w:r w:rsidRPr="001B7507">
              <w:rPr>
                <w:sz w:val="18"/>
                <w:szCs w:val="18"/>
              </w:rPr>
              <w:t>single collaborative health system Agreement</w:t>
            </w:r>
            <w:r w:rsidRPr="001B7507">
              <w:rPr>
                <w:b w:val="0"/>
                <w:bCs w:val="0"/>
                <w:sz w:val="18"/>
                <w:szCs w:val="18"/>
              </w:rPr>
              <w:t xml:space="preserve"> that acknowledges that health system performance is a function of the hospital, primary, disability, aged care and prevention sectors working effectively together, in the interests of the consumer and system sustainability and which clearly sets out roles and responsibilities, actions and accountabilities of the parties.</w:t>
            </w:r>
          </w:p>
          <w:p w14:paraId="4CD173E9" w14:textId="5FE47DB5" w:rsidR="00EB257A" w:rsidRPr="001B7507" w:rsidRDefault="00EB257A" w:rsidP="001B7507">
            <w:pPr>
              <w:pStyle w:val="Summarytable"/>
              <w:numPr>
                <w:ilvl w:val="1"/>
                <w:numId w:val="115"/>
              </w:numPr>
              <w:spacing w:before="60" w:after="60"/>
              <w:ind w:left="850" w:hanging="425"/>
              <w:rPr>
                <w:b w:val="0"/>
                <w:bCs w:val="0"/>
                <w:sz w:val="18"/>
                <w:szCs w:val="18"/>
              </w:rPr>
            </w:pPr>
            <w:r w:rsidRPr="001B7507">
              <w:rPr>
                <w:b w:val="0"/>
                <w:bCs w:val="0"/>
                <w:sz w:val="18"/>
                <w:szCs w:val="18"/>
              </w:rPr>
              <w:t xml:space="preserve">Describe the </w:t>
            </w:r>
            <w:r w:rsidRPr="001B7507">
              <w:rPr>
                <w:sz w:val="18"/>
                <w:szCs w:val="18"/>
              </w:rPr>
              <w:t>shared vision, principles, objectives and reform goals for the health system</w:t>
            </w:r>
            <w:r w:rsidRPr="001B7507">
              <w:rPr>
                <w:b w:val="0"/>
                <w:bCs w:val="0"/>
                <w:sz w:val="18"/>
                <w:szCs w:val="18"/>
              </w:rPr>
              <w:t>, take a strategic view to health system challenges and drive innovation, with input from national bodies, system providers and consumers.</w:t>
            </w:r>
          </w:p>
          <w:p w14:paraId="1A58A077" w14:textId="3DC2D861" w:rsidR="00EB257A" w:rsidRPr="001B7507" w:rsidRDefault="00EB257A" w:rsidP="001B7507">
            <w:pPr>
              <w:pStyle w:val="Summarytable"/>
              <w:numPr>
                <w:ilvl w:val="1"/>
                <w:numId w:val="115"/>
              </w:numPr>
              <w:spacing w:before="60" w:after="60"/>
              <w:ind w:left="850" w:hanging="425"/>
              <w:rPr>
                <w:b w:val="0"/>
                <w:bCs w:val="0"/>
                <w:sz w:val="18"/>
                <w:szCs w:val="18"/>
              </w:rPr>
            </w:pPr>
            <w:r w:rsidRPr="001B7507">
              <w:rPr>
                <w:b w:val="0"/>
                <w:bCs w:val="0"/>
                <w:sz w:val="18"/>
                <w:szCs w:val="18"/>
              </w:rPr>
              <w:t xml:space="preserve">Establish </w:t>
            </w:r>
            <w:r w:rsidR="00083AC8" w:rsidRPr="001B7507">
              <w:rPr>
                <w:b w:val="0"/>
                <w:bCs w:val="0"/>
                <w:sz w:val="18"/>
                <w:szCs w:val="18"/>
              </w:rPr>
              <w:t>a</w:t>
            </w:r>
            <w:r w:rsidRPr="001B7507">
              <w:rPr>
                <w:b w:val="0"/>
                <w:bCs w:val="0"/>
                <w:sz w:val="18"/>
                <w:szCs w:val="18"/>
              </w:rPr>
              <w:t xml:space="preserve"> </w:t>
            </w:r>
            <w:r w:rsidRPr="001B7507">
              <w:rPr>
                <w:sz w:val="18"/>
                <w:szCs w:val="18"/>
              </w:rPr>
              <w:t>health system performance framework</w:t>
            </w:r>
            <w:r w:rsidR="00A41E1C" w:rsidRPr="001B7507">
              <w:rPr>
                <w:sz w:val="18"/>
                <w:szCs w:val="18"/>
              </w:rPr>
              <w:t>,</w:t>
            </w:r>
            <w:r w:rsidRPr="001B7507">
              <w:rPr>
                <w:b w:val="0"/>
                <w:bCs w:val="0"/>
                <w:sz w:val="18"/>
                <w:szCs w:val="18"/>
              </w:rPr>
              <w:t xml:space="preserve"> </w:t>
            </w:r>
            <w:r w:rsidR="00A41E1C" w:rsidRPr="001B7507">
              <w:rPr>
                <w:b w:val="0"/>
                <w:bCs w:val="0"/>
                <w:sz w:val="18"/>
                <w:szCs w:val="18"/>
              </w:rPr>
              <w:t xml:space="preserve">that is broadly-based and outcome-focused, </w:t>
            </w:r>
            <w:r w:rsidRPr="001B7507">
              <w:rPr>
                <w:b w:val="0"/>
                <w:bCs w:val="0"/>
                <w:sz w:val="18"/>
                <w:szCs w:val="18"/>
              </w:rPr>
              <w:t>to guide actions and actively monitor progress.</w:t>
            </w:r>
          </w:p>
          <w:p w14:paraId="5510C182" w14:textId="253CF3AB" w:rsidR="00EB257A" w:rsidRPr="001B7507" w:rsidRDefault="00EB257A" w:rsidP="001B7507">
            <w:pPr>
              <w:pStyle w:val="Summarytable"/>
              <w:numPr>
                <w:ilvl w:val="1"/>
                <w:numId w:val="115"/>
              </w:numPr>
              <w:spacing w:before="60" w:after="60"/>
              <w:ind w:left="850" w:hanging="425"/>
              <w:rPr>
                <w:b w:val="0"/>
                <w:bCs w:val="0"/>
                <w:sz w:val="18"/>
                <w:szCs w:val="18"/>
                <w:lang w:val="en-GB"/>
              </w:rPr>
            </w:pPr>
            <w:r w:rsidRPr="001B7507">
              <w:rPr>
                <w:b w:val="0"/>
                <w:bCs w:val="0"/>
                <w:sz w:val="18"/>
                <w:szCs w:val="18"/>
                <w:lang w:val="en-GB"/>
              </w:rPr>
              <w:t xml:space="preserve">Include </w:t>
            </w:r>
            <w:r w:rsidRPr="001B7507">
              <w:rPr>
                <w:sz w:val="18"/>
                <w:szCs w:val="18"/>
                <w:lang w:val="en-GB"/>
              </w:rPr>
              <w:t>individual Schedules</w:t>
            </w:r>
            <w:r w:rsidRPr="001B7507">
              <w:rPr>
                <w:b w:val="0"/>
                <w:bCs w:val="0"/>
                <w:sz w:val="18"/>
                <w:szCs w:val="18"/>
                <w:lang w:val="en-GB"/>
              </w:rPr>
              <w:t xml:space="preserve">, that are streamlined and updated to reflect shared goals, with outdated material removed, and </w:t>
            </w:r>
            <w:r w:rsidRPr="001B7507">
              <w:rPr>
                <w:sz w:val="18"/>
                <w:szCs w:val="18"/>
                <w:lang w:val="en-GB"/>
              </w:rPr>
              <w:t>key system enablers</w:t>
            </w:r>
            <w:r w:rsidRPr="001B7507">
              <w:rPr>
                <w:b w:val="0"/>
                <w:bCs w:val="0"/>
                <w:sz w:val="18"/>
                <w:szCs w:val="18"/>
                <w:lang w:val="en-GB"/>
              </w:rPr>
              <w:t xml:space="preserve"> (such as digital health and workforce) added.</w:t>
            </w:r>
          </w:p>
        </w:tc>
        <w:tc>
          <w:tcPr>
            <w:tcW w:w="661" w:type="pct"/>
            <w:tcBorders>
              <w:top w:val="single" w:sz="8" w:space="0" w:color="D9D9D9"/>
              <w:left w:val="nil"/>
              <w:bottom w:val="single" w:sz="8" w:space="0" w:color="D9D9D9"/>
              <w:right w:val="nil"/>
            </w:tcBorders>
          </w:tcPr>
          <w:p w14:paraId="7A0BB72B" w14:textId="5BA43C57" w:rsidR="00EB257A" w:rsidRPr="001B7507" w:rsidRDefault="00D12364" w:rsidP="001B7507">
            <w:pPr>
              <w:spacing w:before="60" w:after="60"/>
              <w:ind w:left="0"/>
              <w:rPr>
                <w:rFonts w:eastAsia="Verdana"/>
                <w:sz w:val="18"/>
                <w:szCs w:val="18"/>
              </w:rPr>
            </w:pPr>
            <w:r w:rsidRPr="001B7507">
              <w:rPr>
                <w:rFonts w:eastAsia="Verdana"/>
                <w:sz w:val="18"/>
                <w:szCs w:val="18"/>
              </w:rPr>
              <w:fldChar w:fldCharType="begin" w:fldLock="1"/>
            </w:r>
            <w:r w:rsidRPr="001B7507">
              <w:rPr>
                <w:rFonts w:eastAsia="Verdana"/>
                <w:sz w:val="18"/>
                <w:szCs w:val="18"/>
              </w:rPr>
              <w:instrText xml:space="preserve"> REF _Ref148440489 \w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Pr>
                <w:rFonts w:eastAsia="Verdana"/>
                <w:sz w:val="18"/>
                <w:szCs w:val="18"/>
              </w:rPr>
              <w:t>5.1.1.4</w:t>
            </w:r>
            <w:r w:rsidRPr="001B7507">
              <w:rPr>
                <w:rFonts w:eastAsia="Verdana"/>
                <w:sz w:val="18"/>
                <w:szCs w:val="18"/>
              </w:rPr>
              <w:fldChar w:fldCharType="end"/>
            </w:r>
            <w:r w:rsidRPr="001B7507">
              <w:rPr>
                <w:rFonts w:eastAsia="Verdana"/>
                <w:sz w:val="18"/>
                <w:szCs w:val="18"/>
              </w:rPr>
              <w:t xml:space="preserve"> - </w:t>
            </w:r>
            <w:r w:rsidRPr="001B7507">
              <w:rPr>
                <w:rFonts w:eastAsia="Verdana"/>
                <w:sz w:val="18"/>
                <w:szCs w:val="18"/>
              </w:rPr>
              <w:fldChar w:fldCharType="begin" w:fldLock="1"/>
            </w:r>
            <w:r w:rsidRPr="001B7507">
              <w:rPr>
                <w:rFonts w:eastAsia="Verdana"/>
                <w:sz w:val="18"/>
                <w:szCs w:val="18"/>
              </w:rPr>
              <w:instrText xml:space="preserve"> REF _Ref148440489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sidRPr="00FA10A4">
              <w:rPr>
                <w:sz w:val="18"/>
                <w:szCs w:val="18"/>
              </w:rPr>
              <w:t>Agreement structure going forward</w:t>
            </w:r>
            <w:r w:rsidRPr="001B7507">
              <w:rPr>
                <w:rFonts w:eastAsia="Verdana"/>
                <w:sz w:val="18"/>
                <w:szCs w:val="18"/>
              </w:rPr>
              <w:fldChar w:fldCharType="end"/>
            </w:r>
          </w:p>
        </w:tc>
      </w:tr>
      <w:tr w:rsidR="00ED6A10" w:rsidRPr="001B7507" w14:paraId="15EB929B" w14:textId="11EE07DF" w:rsidTr="00025B1E">
        <w:tc>
          <w:tcPr>
            <w:tcW w:w="436" w:type="pct"/>
            <w:vMerge/>
            <w:tcBorders>
              <w:left w:val="nil"/>
              <w:right w:val="nil"/>
            </w:tcBorders>
            <w:shd w:val="clear" w:color="auto" w:fill="auto"/>
          </w:tcPr>
          <w:p w14:paraId="698C8DCB" w14:textId="77777777" w:rsidR="00430EBB" w:rsidRPr="001B7507" w:rsidRDefault="00430EBB" w:rsidP="001B7507">
            <w:pPr>
              <w:spacing w:before="60" w:after="60"/>
              <w:rPr>
                <w:rFonts w:eastAsia="Verdana"/>
                <w:sz w:val="18"/>
                <w:szCs w:val="18"/>
              </w:rPr>
            </w:pPr>
          </w:p>
        </w:tc>
        <w:tc>
          <w:tcPr>
            <w:tcW w:w="454" w:type="pct"/>
            <w:tcBorders>
              <w:top w:val="single" w:sz="8" w:space="0" w:color="D9D9D9"/>
              <w:left w:val="nil"/>
              <w:bottom w:val="single" w:sz="8" w:space="0" w:color="D9D9D9"/>
              <w:right w:val="nil"/>
            </w:tcBorders>
          </w:tcPr>
          <w:p w14:paraId="5028A240" w14:textId="77777777" w:rsidR="00430EBB" w:rsidRPr="001B7507" w:rsidRDefault="00430EBB" w:rsidP="001B7507">
            <w:pPr>
              <w:spacing w:before="60" w:after="60"/>
              <w:rPr>
                <w:rFonts w:eastAsia="Verdana"/>
                <w:sz w:val="18"/>
                <w:szCs w:val="18"/>
              </w:rPr>
            </w:pPr>
            <w:r w:rsidRPr="001B7507">
              <w:rPr>
                <w:rFonts w:eastAsia="Verdana"/>
                <w:sz w:val="18"/>
                <w:szCs w:val="18"/>
              </w:rPr>
              <w:t>Audit of existing health related agreements between the Commonwealth, States and Territories</w:t>
            </w:r>
          </w:p>
        </w:tc>
        <w:tc>
          <w:tcPr>
            <w:tcW w:w="3449" w:type="pct"/>
            <w:tcBorders>
              <w:top w:val="single" w:sz="8" w:space="0" w:color="D9D9D9"/>
              <w:left w:val="nil"/>
              <w:bottom w:val="single" w:sz="8" w:space="0" w:color="D9D9D9"/>
              <w:right w:val="nil"/>
            </w:tcBorders>
            <w:shd w:val="clear" w:color="auto" w:fill="auto"/>
          </w:tcPr>
          <w:p w14:paraId="41E5549B" w14:textId="7E7B5588" w:rsidR="00430EBB" w:rsidRPr="001B7507" w:rsidRDefault="00430EBB" w:rsidP="001B7507">
            <w:pPr>
              <w:numPr>
                <w:ilvl w:val="0"/>
                <w:numId w:val="95"/>
              </w:numPr>
              <w:spacing w:before="60" w:after="60"/>
              <w:ind w:left="332" w:hanging="283"/>
              <w:rPr>
                <w:rFonts w:eastAsia="Verdana"/>
                <w:sz w:val="18"/>
                <w:szCs w:val="18"/>
              </w:rPr>
            </w:pPr>
            <w:r w:rsidRPr="001B7507">
              <w:rPr>
                <w:rFonts w:eastAsia="Verdana"/>
                <w:sz w:val="18"/>
                <w:szCs w:val="18"/>
              </w:rPr>
              <w:t xml:space="preserve">An </w:t>
            </w:r>
            <w:r w:rsidRPr="001B7507">
              <w:rPr>
                <w:rFonts w:eastAsia="Verdana"/>
                <w:b/>
                <w:bCs/>
                <w:sz w:val="18"/>
                <w:szCs w:val="18"/>
              </w:rPr>
              <w:t>audit of existing health related agreements</w:t>
            </w:r>
            <w:r w:rsidRPr="001B7507">
              <w:rPr>
                <w:rFonts w:eastAsia="Verdana"/>
                <w:sz w:val="18"/>
                <w:szCs w:val="18"/>
              </w:rPr>
              <w:t xml:space="preserve"> between the Commonwealth, States and Territories should be undertaken to determine whether, and to what degree, they are suitable for inclusion in a new Australian Healthcare Agreement, with an agreed timeframe as to when any such inclusions would take effect. Future health related agreements that operate outside the NHRA should align with, and be guided by, the shared vision, principles, objectives and reform goals for the health system proposed at Recommendation 1(b).</w:t>
            </w:r>
          </w:p>
        </w:tc>
        <w:tc>
          <w:tcPr>
            <w:tcW w:w="661" w:type="pct"/>
            <w:tcBorders>
              <w:top w:val="single" w:sz="8" w:space="0" w:color="D9D9D9"/>
              <w:left w:val="nil"/>
              <w:bottom w:val="single" w:sz="8" w:space="0" w:color="D9D9D9"/>
              <w:right w:val="nil"/>
            </w:tcBorders>
          </w:tcPr>
          <w:p w14:paraId="73B0C31C" w14:textId="567AF8D0" w:rsidR="00430EBB" w:rsidRPr="001B7507" w:rsidRDefault="00430EBB" w:rsidP="001B7507">
            <w:pPr>
              <w:spacing w:before="60" w:after="60"/>
              <w:ind w:left="49"/>
              <w:rPr>
                <w:rFonts w:eastAsia="Verdana"/>
                <w:sz w:val="18"/>
                <w:szCs w:val="18"/>
              </w:rPr>
            </w:pPr>
            <w:r w:rsidRPr="001B7507">
              <w:rPr>
                <w:rFonts w:eastAsia="Verdana"/>
                <w:sz w:val="18"/>
                <w:szCs w:val="18"/>
              </w:rPr>
              <w:fldChar w:fldCharType="begin" w:fldLock="1"/>
            </w:r>
            <w:r w:rsidRPr="001B7507">
              <w:rPr>
                <w:rFonts w:eastAsia="Verdana"/>
                <w:sz w:val="18"/>
                <w:szCs w:val="18"/>
              </w:rPr>
              <w:instrText xml:space="preserve"> REF _Ref148440489 \w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Pr>
                <w:rFonts w:eastAsia="Verdana"/>
                <w:sz w:val="18"/>
                <w:szCs w:val="18"/>
              </w:rPr>
              <w:t>5.1.1.4</w:t>
            </w:r>
            <w:r w:rsidRPr="001B7507">
              <w:rPr>
                <w:rFonts w:eastAsia="Verdana"/>
                <w:sz w:val="18"/>
                <w:szCs w:val="18"/>
              </w:rPr>
              <w:fldChar w:fldCharType="end"/>
            </w:r>
            <w:r w:rsidRPr="001B7507">
              <w:rPr>
                <w:rFonts w:eastAsia="Verdana"/>
                <w:sz w:val="18"/>
                <w:szCs w:val="18"/>
              </w:rPr>
              <w:t xml:space="preserve"> - </w:t>
            </w:r>
            <w:r w:rsidRPr="001B7507">
              <w:rPr>
                <w:rFonts w:eastAsia="Verdana"/>
                <w:sz w:val="18"/>
                <w:szCs w:val="18"/>
              </w:rPr>
              <w:fldChar w:fldCharType="begin" w:fldLock="1"/>
            </w:r>
            <w:r w:rsidRPr="001B7507">
              <w:rPr>
                <w:rFonts w:eastAsia="Verdana"/>
                <w:sz w:val="18"/>
                <w:szCs w:val="18"/>
              </w:rPr>
              <w:instrText xml:space="preserve"> REF _Ref148440489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sidRPr="00FA10A4">
              <w:rPr>
                <w:sz w:val="18"/>
                <w:szCs w:val="18"/>
              </w:rPr>
              <w:t>Agreement structure going forward</w:t>
            </w:r>
            <w:r w:rsidRPr="001B7507">
              <w:rPr>
                <w:rFonts w:eastAsia="Verdana"/>
                <w:sz w:val="18"/>
                <w:szCs w:val="18"/>
              </w:rPr>
              <w:fldChar w:fldCharType="end"/>
            </w:r>
          </w:p>
        </w:tc>
      </w:tr>
      <w:tr w:rsidR="00ED6A10" w:rsidRPr="001B7507" w14:paraId="2F273D39" w14:textId="13045864" w:rsidTr="00025B1E">
        <w:tc>
          <w:tcPr>
            <w:tcW w:w="436" w:type="pct"/>
            <w:vMerge/>
            <w:tcBorders>
              <w:left w:val="nil"/>
              <w:right w:val="nil"/>
            </w:tcBorders>
            <w:shd w:val="clear" w:color="auto" w:fill="auto"/>
          </w:tcPr>
          <w:p w14:paraId="31615C12" w14:textId="77777777" w:rsidR="00430EBB" w:rsidRPr="001B7507" w:rsidRDefault="00430EBB" w:rsidP="001B7507">
            <w:pPr>
              <w:spacing w:before="60" w:after="60"/>
              <w:rPr>
                <w:rFonts w:eastAsia="Verdana"/>
                <w:sz w:val="18"/>
                <w:szCs w:val="18"/>
              </w:rPr>
            </w:pPr>
          </w:p>
        </w:tc>
        <w:tc>
          <w:tcPr>
            <w:tcW w:w="454" w:type="pct"/>
            <w:tcBorders>
              <w:top w:val="single" w:sz="8" w:space="0" w:color="D9D9D9"/>
              <w:left w:val="nil"/>
              <w:bottom w:val="single" w:sz="8" w:space="0" w:color="D9D9D9"/>
              <w:right w:val="nil"/>
            </w:tcBorders>
          </w:tcPr>
          <w:p w14:paraId="7F15FD18" w14:textId="06E446FA" w:rsidR="00430EBB" w:rsidRPr="001B7507" w:rsidRDefault="00430EBB" w:rsidP="001B7507">
            <w:pPr>
              <w:spacing w:before="60" w:after="60"/>
              <w:ind w:right="138"/>
              <w:rPr>
                <w:rFonts w:eastAsia="Verdana"/>
                <w:sz w:val="18"/>
                <w:szCs w:val="18"/>
              </w:rPr>
            </w:pPr>
            <w:r w:rsidRPr="001B7507">
              <w:rPr>
                <w:rFonts w:eastAsia="Verdana"/>
                <w:sz w:val="18"/>
                <w:szCs w:val="18"/>
              </w:rPr>
              <w:t>Mental health and the NHRA</w:t>
            </w:r>
          </w:p>
        </w:tc>
        <w:tc>
          <w:tcPr>
            <w:tcW w:w="3449" w:type="pct"/>
            <w:tcBorders>
              <w:top w:val="single" w:sz="8" w:space="0" w:color="D9D9D9"/>
              <w:left w:val="nil"/>
              <w:bottom w:val="single" w:sz="8" w:space="0" w:color="D9D9D9"/>
              <w:right w:val="nil"/>
            </w:tcBorders>
            <w:shd w:val="clear" w:color="auto" w:fill="auto"/>
          </w:tcPr>
          <w:p w14:paraId="099B8AC4" w14:textId="039953B1" w:rsidR="00430EBB" w:rsidRPr="001B7507" w:rsidRDefault="00430EBB" w:rsidP="001B7507">
            <w:pPr>
              <w:numPr>
                <w:ilvl w:val="0"/>
                <w:numId w:val="95"/>
              </w:numPr>
              <w:spacing w:before="60" w:after="60"/>
              <w:rPr>
                <w:rFonts w:eastAsia="Verdana"/>
                <w:sz w:val="18"/>
                <w:szCs w:val="18"/>
              </w:rPr>
            </w:pPr>
            <w:r w:rsidRPr="001B7507">
              <w:rPr>
                <w:sz w:val="18"/>
                <w:szCs w:val="18"/>
              </w:rPr>
              <w:t xml:space="preserve">The NHRA should </w:t>
            </w:r>
            <w:r w:rsidRPr="001B7507">
              <w:rPr>
                <w:b/>
                <w:sz w:val="18"/>
                <w:szCs w:val="18"/>
              </w:rPr>
              <w:t>reaffirm the commitments to improving mental health outcomes</w:t>
            </w:r>
            <w:r w:rsidRPr="001B7507">
              <w:rPr>
                <w:sz w:val="18"/>
                <w:szCs w:val="18"/>
              </w:rPr>
              <w:t xml:space="preserve"> through the separate </w:t>
            </w:r>
            <w:r w:rsidRPr="00CB4599">
              <w:rPr>
                <w:i/>
                <w:iCs/>
                <w:sz w:val="18"/>
                <w:szCs w:val="18"/>
              </w:rPr>
              <w:t>National Mental Health and Suicide Prevention Agreement</w:t>
            </w:r>
            <w:r w:rsidRPr="001B7507">
              <w:rPr>
                <w:sz w:val="18"/>
                <w:szCs w:val="18"/>
              </w:rPr>
              <w:t>, utilising the mechanisms agreed through the NHRA, including models of care, financing, innovation and performance monitoring, to progress agreed actions in the area of mental health</w:t>
            </w:r>
            <w:r w:rsidRPr="001B7507">
              <w:rPr>
                <w:rFonts w:eastAsia="Verdana"/>
                <w:sz w:val="18"/>
                <w:szCs w:val="18"/>
              </w:rPr>
              <w:t>.</w:t>
            </w:r>
          </w:p>
        </w:tc>
        <w:tc>
          <w:tcPr>
            <w:tcW w:w="661" w:type="pct"/>
            <w:tcBorders>
              <w:top w:val="single" w:sz="8" w:space="0" w:color="D9D9D9"/>
              <w:left w:val="nil"/>
              <w:bottom w:val="single" w:sz="8" w:space="0" w:color="D9D9D9"/>
              <w:right w:val="nil"/>
            </w:tcBorders>
          </w:tcPr>
          <w:p w14:paraId="28BFB0F2" w14:textId="64A09F13" w:rsidR="00430EBB" w:rsidRPr="001B7507" w:rsidRDefault="00430EBB" w:rsidP="001B7507">
            <w:pPr>
              <w:spacing w:before="60" w:after="60"/>
              <w:ind w:left="0"/>
              <w:rPr>
                <w:sz w:val="18"/>
                <w:szCs w:val="18"/>
              </w:rPr>
            </w:pPr>
            <w:r w:rsidRPr="001B7507">
              <w:rPr>
                <w:rFonts w:eastAsia="Verdana"/>
                <w:sz w:val="18"/>
                <w:szCs w:val="18"/>
              </w:rPr>
              <w:fldChar w:fldCharType="begin" w:fldLock="1"/>
            </w:r>
            <w:r w:rsidRPr="001B7507">
              <w:rPr>
                <w:rFonts w:eastAsia="Verdana"/>
                <w:sz w:val="18"/>
                <w:szCs w:val="18"/>
              </w:rPr>
              <w:instrText xml:space="preserve"> REF _Ref148440489 \w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Pr>
                <w:rFonts w:eastAsia="Verdana"/>
                <w:sz w:val="18"/>
                <w:szCs w:val="18"/>
              </w:rPr>
              <w:t>5.1.1.4</w:t>
            </w:r>
            <w:r w:rsidRPr="001B7507">
              <w:rPr>
                <w:rFonts w:eastAsia="Verdana"/>
                <w:sz w:val="18"/>
                <w:szCs w:val="18"/>
              </w:rPr>
              <w:fldChar w:fldCharType="end"/>
            </w:r>
            <w:r w:rsidRPr="001B7507">
              <w:rPr>
                <w:rFonts w:eastAsia="Verdana"/>
                <w:sz w:val="18"/>
                <w:szCs w:val="18"/>
              </w:rPr>
              <w:t xml:space="preserve"> - </w:t>
            </w:r>
            <w:r w:rsidRPr="001B7507">
              <w:rPr>
                <w:rFonts w:eastAsia="Verdana"/>
                <w:sz w:val="18"/>
                <w:szCs w:val="18"/>
              </w:rPr>
              <w:fldChar w:fldCharType="begin" w:fldLock="1"/>
            </w:r>
            <w:r w:rsidRPr="001B7507">
              <w:rPr>
                <w:rFonts w:eastAsia="Verdana"/>
                <w:sz w:val="18"/>
                <w:szCs w:val="18"/>
              </w:rPr>
              <w:instrText xml:space="preserve"> REF _Ref148440489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sidRPr="00FA10A4">
              <w:rPr>
                <w:sz w:val="18"/>
                <w:szCs w:val="18"/>
              </w:rPr>
              <w:t>Agreement structure going forward</w:t>
            </w:r>
            <w:r w:rsidRPr="001B7507">
              <w:rPr>
                <w:rFonts w:eastAsia="Verdana"/>
                <w:sz w:val="18"/>
                <w:szCs w:val="18"/>
              </w:rPr>
              <w:fldChar w:fldCharType="end"/>
            </w:r>
          </w:p>
        </w:tc>
      </w:tr>
      <w:tr w:rsidR="00ED6A10" w:rsidRPr="001B7507" w14:paraId="7B323886" w14:textId="662CAB5C" w:rsidTr="00025B1E">
        <w:tc>
          <w:tcPr>
            <w:tcW w:w="436" w:type="pct"/>
            <w:vMerge/>
            <w:tcBorders>
              <w:left w:val="nil"/>
              <w:right w:val="nil"/>
            </w:tcBorders>
            <w:shd w:val="clear" w:color="auto" w:fill="auto"/>
          </w:tcPr>
          <w:p w14:paraId="0964050D" w14:textId="77777777" w:rsidR="00EB257A" w:rsidRPr="001B7507" w:rsidRDefault="00EB257A" w:rsidP="001B7507">
            <w:pPr>
              <w:spacing w:before="60" w:after="60"/>
              <w:rPr>
                <w:rFonts w:eastAsia="Verdana"/>
                <w:sz w:val="18"/>
                <w:szCs w:val="18"/>
              </w:rPr>
            </w:pPr>
          </w:p>
        </w:tc>
        <w:tc>
          <w:tcPr>
            <w:tcW w:w="454" w:type="pct"/>
            <w:tcBorders>
              <w:top w:val="single" w:sz="8" w:space="0" w:color="D9D9D9"/>
              <w:left w:val="nil"/>
              <w:bottom w:val="single" w:sz="8" w:space="0" w:color="D9D9D9"/>
              <w:right w:val="nil"/>
            </w:tcBorders>
          </w:tcPr>
          <w:p w14:paraId="5D2274CD" w14:textId="77777777" w:rsidR="00EB257A" w:rsidRPr="001B7507" w:rsidRDefault="00EB257A" w:rsidP="001B7507">
            <w:pPr>
              <w:spacing w:before="60" w:after="60"/>
              <w:rPr>
                <w:rFonts w:eastAsia="Verdana"/>
                <w:sz w:val="18"/>
                <w:szCs w:val="18"/>
              </w:rPr>
            </w:pPr>
            <w:r w:rsidRPr="001B7507">
              <w:rPr>
                <w:rFonts w:eastAsia="Verdana"/>
                <w:sz w:val="18"/>
                <w:szCs w:val="18"/>
              </w:rPr>
              <w:t>Medicare principles – processes and reporting</w:t>
            </w:r>
          </w:p>
        </w:tc>
        <w:tc>
          <w:tcPr>
            <w:tcW w:w="3449" w:type="pct"/>
            <w:tcBorders>
              <w:top w:val="single" w:sz="8" w:space="0" w:color="D9D9D9"/>
              <w:left w:val="nil"/>
              <w:bottom w:val="single" w:sz="8" w:space="0" w:color="D9D9D9"/>
              <w:right w:val="nil"/>
            </w:tcBorders>
            <w:shd w:val="clear" w:color="auto" w:fill="auto"/>
          </w:tcPr>
          <w:p w14:paraId="62B844B4" w14:textId="77777777" w:rsidR="00EB257A" w:rsidRPr="001B7507" w:rsidRDefault="00EB257A" w:rsidP="001B7507">
            <w:pPr>
              <w:numPr>
                <w:ilvl w:val="0"/>
                <w:numId w:val="95"/>
              </w:numPr>
              <w:spacing w:before="60" w:after="60"/>
              <w:rPr>
                <w:rFonts w:eastAsia="Verdana"/>
                <w:sz w:val="18"/>
                <w:szCs w:val="18"/>
              </w:rPr>
            </w:pPr>
            <w:r w:rsidRPr="001B7507">
              <w:rPr>
                <w:rFonts w:eastAsia="Verdana"/>
                <w:sz w:val="18"/>
                <w:szCs w:val="18"/>
              </w:rPr>
              <w:t xml:space="preserve">The </w:t>
            </w:r>
            <w:r w:rsidRPr="001B7507">
              <w:rPr>
                <w:rFonts w:eastAsia="Verdana"/>
                <w:b/>
                <w:bCs/>
                <w:sz w:val="18"/>
                <w:szCs w:val="18"/>
              </w:rPr>
              <w:t>Medicare Principles</w:t>
            </w:r>
            <w:r w:rsidRPr="001B7507">
              <w:rPr>
                <w:rFonts w:eastAsia="Verdana"/>
                <w:sz w:val="18"/>
                <w:szCs w:val="18"/>
              </w:rPr>
              <w:t xml:space="preserve"> (that enable treatment to be provided free of charge to a public patient in a public hospital, access to public hospital services on the basis of clinical need and within a clinically appropriate period, and arrangements that ensure equitable access to services regardless of geographic location) </w:t>
            </w:r>
            <w:r w:rsidRPr="001B7507">
              <w:rPr>
                <w:rFonts w:eastAsia="Verdana"/>
                <w:b/>
                <w:bCs/>
                <w:sz w:val="18"/>
                <w:szCs w:val="18"/>
              </w:rPr>
              <w:t>should remain a core feature of the NHRA</w:t>
            </w:r>
            <w:r w:rsidRPr="001B7507">
              <w:rPr>
                <w:rFonts w:eastAsia="Verdana"/>
                <w:sz w:val="18"/>
                <w:szCs w:val="18"/>
              </w:rPr>
              <w:t>. The effective operation of the Medicare principles should be supported by:</w:t>
            </w:r>
          </w:p>
          <w:p w14:paraId="52309D2F" w14:textId="1D9693EF" w:rsidR="00EB257A" w:rsidRPr="001B7507" w:rsidRDefault="00EB257A" w:rsidP="001B7507">
            <w:pPr>
              <w:pStyle w:val="ListParagraph"/>
              <w:numPr>
                <w:ilvl w:val="0"/>
                <w:numId w:val="130"/>
              </w:numPr>
              <w:spacing w:before="60" w:after="60"/>
              <w:contextualSpacing w:val="0"/>
              <w:rPr>
                <w:rFonts w:eastAsia="Verdana"/>
                <w:sz w:val="18"/>
                <w:szCs w:val="18"/>
              </w:rPr>
            </w:pPr>
            <w:r w:rsidRPr="001B7507">
              <w:rPr>
                <w:rFonts w:eastAsia="Verdana"/>
                <w:sz w:val="18"/>
                <w:szCs w:val="18"/>
              </w:rPr>
              <w:t>Processes to ensure the Medicare Principles are being delivered in practice through greater consistency within and across jurisdictions of the private patient election process</w:t>
            </w:r>
            <w:r w:rsidR="00D5372A" w:rsidRPr="001B7507">
              <w:rPr>
                <w:rFonts w:eastAsia="Verdana"/>
                <w:sz w:val="18"/>
                <w:szCs w:val="18"/>
              </w:rPr>
              <w:t>,</w:t>
            </w:r>
            <w:r w:rsidRPr="001B7507">
              <w:rPr>
                <w:rFonts w:eastAsia="Verdana"/>
                <w:sz w:val="18"/>
                <w:szCs w:val="18"/>
              </w:rPr>
              <w:t xml:space="preserve"> that is straightforward and understood by the patient and ensures accountability for the provider: for example, through rigorous informed financial consent processes, restricting multiple changes of election during an admission, making explicit a requirement for recording private patient election for non-admitted services and reporting data on out-of-pocket patient costs.</w:t>
            </w:r>
          </w:p>
          <w:p w14:paraId="4E78611B" w14:textId="691B0A36" w:rsidR="00EB257A" w:rsidRPr="001B7507" w:rsidRDefault="00EB257A" w:rsidP="001B7507">
            <w:pPr>
              <w:numPr>
                <w:ilvl w:val="0"/>
                <w:numId w:val="130"/>
              </w:numPr>
              <w:spacing w:before="60" w:after="60"/>
              <w:rPr>
                <w:rFonts w:eastAsia="Verdana"/>
                <w:sz w:val="18"/>
                <w:szCs w:val="18"/>
              </w:rPr>
            </w:pPr>
            <w:r w:rsidRPr="001B7507">
              <w:rPr>
                <w:rFonts w:eastAsia="Verdana"/>
                <w:sz w:val="18"/>
                <w:szCs w:val="18"/>
              </w:rPr>
              <w:t>Reporting of all Commonwealth, State and Territory funding provided to public hospitals, both through the NHRA and through Commonwealth programs such as MBS and PBS, to give a more complete picture and better map trends over time.</w:t>
            </w:r>
          </w:p>
        </w:tc>
        <w:tc>
          <w:tcPr>
            <w:tcW w:w="661" w:type="pct"/>
            <w:tcBorders>
              <w:top w:val="single" w:sz="8" w:space="0" w:color="D9D9D9"/>
              <w:left w:val="nil"/>
              <w:bottom w:val="single" w:sz="8" w:space="0" w:color="D9D9D9"/>
              <w:right w:val="nil"/>
            </w:tcBorders>
          </w:tcPr>
          <w:p w14:paraId="5AB6D2E5" w14:textId="0AFFA7B5" w:rsidR="00AA42DA" w:rsidRPr="001B7507" w:rsidRDefault="00430EBB" w:rsidP="002821C3">
            <w:pPr>
              <w:spacing w:before="60" w:after="60"/>
              <w:ind w:left="0"/>
              <w:rPr>
                <w:rFonts w:eastAsia="Verdana"/>
                <w:sz w:val="18"/>
                <w:szCs w:val="18"/>
              </w:rPr>
            </w:pPr>
            <w:r w:rsidRPr="001B7507">
              <w:rPr>
                <w:rFonts w:eastAsia="Verdana"/>
                <w:sz w:val="18"/>
                <w:szCs w:val="18"/>
              </w:rPr>
              <w:fldChar w:fldCharType="begin" w:fldLock="1"/>
            </w:r>
            <w:r w:rsidRPr="001B7507">
              <w:rPr>
                <w:rFonts w:eastAsia="Verdana"/>
                <w:sz w:val="18"/>
                <w:szCs w:val="18"/>
              </w:rPr>
              <w:instrText xml:space="preserve"> REF _Ref146707004 \w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Pr>
                <w:rFonts w:eastAsia="Verdana"/>
                <w:sz w:val="18"/>
                <w:szCs w:val="18"/>
              </w:rPr>
              <w:t>5.1.2</w:t>
            </w:r>
            <w:r w:rsidRPr="001B7507">
              <w:rPr>
                <w:rFonts w:eastAsia="Verdana"/>
                <w:sz w:val="18"/>
                <w:szCs w:val="18"/>
              </w:rPr>
              <w:fldChar w:fldCharType="end"/>
            </w:r>
            <w:r w:rsidRPr="001B7507">
              <w:rPr>
                <w:rFonts w:eastAsia="Verdana"/>
                <w:sz w:val="18"/>
                <w:szCs w:val="18"/>
              </w:rPr>
              <w:t xml:space="preserve"> - </w:t>
            </w:r>
            <w:r w:rsidRPr="001B7507">
              <w:rPr>
                <w:rFonts w:eastAsia="Verdana"/>
                <w:sz w:val="18"/>
                <w:szCs w:val="18"/>
              </w:rPr>
              <w:fldChar w:fldCharType="begin" w:fldLock="1"/>
            </w:r>
            <w:r w:rsidRPr="001B7507">
              <w:rPr>
                <w:rFonts w:eastAsia="Verdana"/>
                <w:sz w:val="18"/>
                <w:szCs w:val="18"/>
              </w:rPr>
              <w:instrText xml:space="preserve"> REF _Ref146707004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sidRPr="00FA10A4">
              <w:rPr>
                <w:sz w:val="18"/>
                <w:szCs w:val="18"/>
              </w:rPr>
              <w:t xml:space="preserve">Medicare </w:t>
            </w:r>
            <w:r w:rsidRPr="001B7507">
              <w:rPr>
                <w:rFonts w:eastAsia="Verdana"/>
                <w:sz w:val="18"/>
                <w:szCs w:val="18"/>
              </w:rPr>
              <w:fldChar w:fldCharType="end"/>
            </w:r>
          </w:p>
        </w:tc>
      </w:tr>
      <w:tr w:rsidR="00ED6A10" w:rsidRPr="001B7507" w14:paraId="03F5DDE7" w14:textId="00E9EBED" w:rsidTr="00025B1E">
        <w:tc>
          <w:tcPr>
            <w:tcW w:w="436" w:type="pct"/>
            <w:vMerge/>
            <w:tcBorders>
              <w:left w:val="nil"/>
              <w:right w:val="nil"/>
            </w:tcBorders>
            <w:shd w:val="clear" w:color="auto" w:fill="auto"/>
          </w:tcPr>
          <w:p w14:paraId="50AF6636" w14:textId="77777777" w:rsidR="00EB257A" w:rsidRPr="001B7507" w:rsidRDefault="00EB257A" w:rsidP="001B7507">
            <w:pPr>
              <w:spacing w:before="60" w:after="60"/>
              <w:rPr>
                <w:rFonts w:eastAsia="Verdana"/>
                <w:sz w:val="18"/>
                <w:szCs w:val="18"/>
              </w:rPr>
            </w:pPr>
          </w:p>
        </w:tc>
        <w:tc>
          <w:tcPr>
            <w:tcW w:w="454" w:type="pct"/>
            <w:tcBorders>
              <w:top w:val="single" w:sz="8" w:space="0" w:color="D9D9D9"/>
              <w:left w:val="nil"/>
              <w:bottom w:val="single" w:sz="8" w:space="0" w:color="D9D9D9"/>
              <w:right w:val="nil"/>
            </w:tcBorders>
          </w:tcPr>
          <w:p w14:paraId="73F1176E" w14:textId="77777777" w:rsidR="00EB257A" w:rsidRPr="001B7507" w:rsidRDefault="00EB257A" w:rsidP="001B7507">
            <w:pPr>
              <w:spacing w:before="60" w:after="60"/>
              <w:rPr>
                <w:rFonts w:eastAsia="Verdana"/>
                <w:sz w:val="18"/>
                <w:szCs w:val="18"/>
              </w:rPr>
            </w:pPr>
            <w:r w:rsidRPr="001B7507">
              <w:rPr>
                <w:rFonts w:eastAsia="Verdana"/>
                <w:sz w:val="18"/>
                <w:szCs w:val="18"/>
              </w:rPr>
              <w:t>Reference to governance settings in NHRA</w:t>
            </w:r>
          </w:p>
        </w:tc>
        <w:tc>
          <w:tcPr>
            <w:tcW w:w="3449" w:type="pct"/>
            <w:tcBorders>
              <w:top w:val="single" w:sz="8" w:space="0" w:color="D9D9D9"/>
              <w:left w:val="nil"/>
              <w:bottom w:val="single" w:sz="8" w:space="0" w:color="D9D9D9"/>
              <w:right w:val="nil"/>
            </w:tcBorders>
            <w:shd w:val="clear" w:color="auto" w:fill="auto"/>
          </w:tcPr>
          <w:p w14:paraId="031CD3CC" w14:textId="77777777" w:rsidR="00EB257A" w:rsidRPr="001B7507" w:rsidRDefault="00EB257A" w:rsidP="001B7507">
            <w:pPr>
              <w:numPr>
                <w:ilvl w:val="0"/>
                <w:numId w:val="95"/>
              </w:numPr>
              <w:spacing w:before="60" w:after="60"/>
              <w:ind w:left="332" w:hanging="283"/>
              <w:rPr>
                <w:rFonts w:eastAsia="Verdana"/>
                <w:sz w:val="18"/>
                <w:szCs w:val="18"/>
              </w:rPr>
            </w:pPr>
            <w:r w:rsidRPr="001B7507">
              <w:rPr>
                <w:rFonts w:eastAsia="Verdana"/>
                <w:sz w:val="18"/>
                <w:szCs w:val="18"/>
              </w:rPr>
              <w:t xml:space="preserve">The </w:t>
            </w:r>
            <w:r w:rsidRPr="001B7507">
              <w:rPr>
                <w:rFonts w:eastAsia="Verdana"/>
                <w:b/>
                <w:bCs/>
                <w:sz w:val="18"/>
                <w:szCs w:val="18"/>
              </w:rPr>
              <w:t>NHRA should be updated to reflect current governance settings</w:t>
            </w:r>
            <w:r w:rsidRPr="001B7507">
              <w:rPr>
                <w:rFonts w:eastAsia="Verdana"/>
                <w:sz w:val="18"/>
                <w:szCs w:val="18"/>
              </w:rPr>
              <w:t xml:space="preserve"> related to National Cabinet, with a check of roles and responsibilities of bodies referenced in the NHRA undertaken to ensure they remain relevant and have an appropriate place in a new Agreement.</w:t>
            </w:r>
          </w:p>
        </w:tc>
        <w:tc>
          <w:tcPr>
            <w:tcW w:w="661" w:type="pct"/>
            <w:tcBorders>
              <w:top w:val="single" w:sz="8" w:space="0" w:color="D9D9D9"/>
              <w:left w:val="nil"/>
              <w:bottom w:val="single" w:sz="8" w:space="0" w:color="D9D9D9"/>
              <w:right w:val="nil"/>
            </w:tcBorders>
          </w:tcPr>
          <w:p w14:paraId="290CA051" w14:textId="649B3C7C" w:rsidR="00EB257A" w:rsidRPr="001B7507" w:rsidRDefault="00DC7704" w:rsidP="001B7507">
            <w:pPr>
              <w:spacing w:before="60" w:after="60"/>
              <w:ind w:left="49"/>
              <w:rPr>
                <w:rFonts w:eastAsia="Verdana"/>
                <w:sz w:val="18"/>
                <w:szCs w:val="18"/>
              </w:rPr>
            </w:pPr>
            <w:r w:rsidRPr="001B7507">
              <w:rPr>
                <w:rFonts w:eastAsia="Verdana"/>
                <w:sz w:val="18"/>
                <w:szCs w:val="18"/>
              </w:rPr>
              <w:fldChar w:fldCharType="begin" w:fldLock="1"/>
            </w:r>
            <w:r w:rsidRPr="001B7507">
              <w:rPr>
                <w:rFonts w:eastAsia="Verdana"/>
                <w:sz w:val="18"/>
                <w:szCs w:val="18"/>
              </w:rPr>
              <w:instrText xml:space="preserve"> REF _Ref148441362 \w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Pr>
                <w:rFonts w:eastAsia="Verdana"/>
                <w:sz w:val="18"/>
                <w:szCs w:val="18"/>
              </w:rPr>
              <w:t>5.1.3.1</w:t>
            </w:r>
            <w:r w:rsidRPr="001B7507">
              <w:rPr>
                <w:rFonts w:eastAsia="Verdana"/>
                <w:sz w:val="18"/>
                <w:szCs w:val="18"/>
              </w:rPr>
              <w:fldChar w:fldCharType="end"/>
            </w:r>
            <w:r w:rsidR="0037121B" w:rsidRPr="001B7507">
              <w:rPr>
                <w:rFonts w:eastAsia="Verdana"/>
                <w:sz w:val="18"/>
                <w:szCs w:val="18"/>
              </w:rPr>
              <w:t xml:space="preserve"> - </w:t>
            </w:r>
            <w:r w:rsidRPr="001B7507">
              <w:rPr>
                <w:rFonts w:eastAsia="Verdana"/>
                <w:sz w:val="18"/>
                <w:szCs w:val="18"/>
              </w:rPr>
              <w:fldChar w:fldCharType="begin" w:fldLock="1"/>
            </w:r>
            <w:r w:rsidRPr="001B7507">
              <w:rPr>
                <w:rFonts w:eastAsia="Verdana"/>
                <w:sz w:val="18"/>
                <w:szCs w:val="18"/>
              </w:rPr>
              <w:instrText xml:space="preserve"> REF _Ref148441362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sidRPr="00FA10A4">
              <w:rPr>
                <w:sz w:val="18"/>
                <w:szCs w:val="18"/>
              </w:rPr>
              <w:t>Governance evolution</w:t>
            </w:r>
            <w:r w:rsidRPr="001B7507">
              <w:rPr>
                <w:rFonts w:eastAsia="Verdana"/>
                <w:sz w:val="18"/>
                <w:szCs w:val="18"/>
              </w:rPr>
              <w:fldChar w:fldCharType="end"/>
            </w:r>
          </w:p>
        </w:tc>
      </w:tr>
      <w:tr w:rsidR="00ED6A10" w:rsidRPr="001B7507" w14:paraId="1E250919" w14:textId="26B1FB05" w:rsidTr="00025B1E">
        <w:tc>
          <w:tcPr>
            <w:tcW w:w="436" w:type="pct"/>
            <w:vMerge/>
            <w:tcBorders>
              <w:left w:val="nil"/>
              <w:bottom w:val="single" w:sz="8" w:space="0" w:color="D9D9D9"/>
              <w:right w:val="nil"/>
            </w:tcBorders>
            <w:shd w:val="clear" w:color="auto" w:fill="auto"/>
          </w:tcPr>
          <w:p w14:paraId="0A4EA185" w14:textId="77777777" w:rsidR="00EB257A" w:rsidRPr="001B7507" w:rsidRDefault="00EB257A" w:rsidP="001B7507">
            <w:pPr>
              <w:spacing w:before="60" w:after="60"/>
              <w:rPr>
                <w:rFonts w:eastAsia="Verdana"/>
                <w:sz w:val="18"/>
                <w:szCs w:val="18"/>
              </w:rPr>
            </w:pPr>
          </w:p>
        </w:tc>
        <w:tc>
          <w:tcPr>
            <w:tcW w:w="454" w:type="pct"/>
            <w:tcBorders>
              <w:top w:val="single" w:sz="8" w:space="0" w:color="D9D9D9"/>
              <w:left w:val="nil"/>
              <w:bottom w:val="single" w:sz="8" w:space="0" w:color="D9D9D9"/>
              <w:right w:val="nil"/>
            </w:tcBorders>
          </w:tcPr>
          <w:p w14:paraId="05971113" w14:textId="77777777" w:rsidR="00EB257A" w:rsidRPr="001B7507" w:rsidRDefault="00EB257A" w:rsidP="001B7507">
            <w:pPr>
              <w:spacing w:before="60" w:after="60"/>
              <w:rPr>
                <w:rFonts w:eastAsia="Verdana"/>
                <w:sz w:val="18"/>
                <w:szCs w:val="18"/>
              </w:rPr>
            </w:pPr>
            <w:r w:rsidRPr="001B7507">
              <w:rPr>
                <w:rFonts w:eastAsia="Verdana"/>
                <w:sz w:val="18"/>
                <w:szCs w:val="18"/>
              </w:rPr>
              <w:t>Architecture of national bodies</w:t>
            </w:r>
          </w:p>
        </w:tc>
        <w:tc>
          <w:tcPr>
            <w:tcW w:w="3449" w:type="pct"/>
            <w:tcBorders>
              <w:top w:val="single" w:sz="8" w:space="0" w:color="D9D9D9"/>
              <w:left w:val="nil"/>
              <w:bottom w:val="single" w:sz="8" w:space="0" w:color="D9D9D9"/>
              <w:right w:val="nil"/>
            </w:tcBorders>
            <w:shd w:val="clear" w:color="auto" w:fill="auto"/>
          </w:tcPr>
          <w:p w14:paraId="0F76BF1B" w14:textId="77777777" w:rsidR="00EB257A" w:rsidRPr="004B0959" w:rsidRDefault="00EB257A" w:rsidP="004B0959">
            <w:pPr>
              <w:numPr>
                <w:ilvl w:val="0"/>
                <w:numId w:val="95"/>
              </w:numPr>
              <w:spacing w:before="60" w:after="60"/>
              <w:ind w:left="332" w:hanging="283"/>
              <w:rPr>
                <w:rFonts w:eastAsia="Verdana"/>
                <w:sz w:val="18"/>
                <w:szCs w:val="18"/>
              </w:rPr>
            </w:pPr>
            <w:r w:rsidRPr="004B0959">
              <w:rPr>
                <w:rFonts w:eastAsia="Verdana"/>
                <w:sz w:val="18"/>
                <w:szCs w:val="18"/>
              </w:rPr>
              <w:t xml:space="preserve">The </w:t>
            </w:r>
            <w:r w:rsidRPr="00F95F8D">
              <w:rPr>
                <w:rFonts w:eastAsia="Verdana"/>
                <w:b/>
                <w:bCs/>
                <w:sz w:val="18"/>
                <w:szCs w:val="18"/>
              </w:rPr>
              <w:t>general architecture of the national bodies should be retained</w:t>
            </w:r>
            <w:r w:rsidRPr="004B0959">
              <w:rPr>
                <w:rFonts w:eastAsia="Verdana"/>
                <w:sz w:val="18"/>
                <w:szCs w:val="18"/>
              </w:rPr>
              <w:t>, but with:</w:t>
            </w:r>
          </w:p>
          <w:p w14:paraId="598E1A08" w14:textId="77777777" w:rsidR="00EB257A" w:rsidRPr="004B0959" w:rsidRDefault="00EB257A" w:rsidP="002E09D0">
            <w:pPr>
              <w:pStyle w:val="Summarytable"/>
              <w:numPr>
                <w:ilvl w:val="0"/>
                <w:numId w:val="109"/>
              </w:numPr>
              <w:spacing w:before="60" w:after="60"/>
              <w:ind w:left="934"/>
              <w:rPr>
                <w:rFonts w:eastAsia="Verdana"/>
                <w:b w:val="0"/>
                <w:bCs w:val="0"/>
                <w:sz w:val="18"/>
                <w:szCs w:val="18"/>
              </w:rPr>
            </w:pPr>
            <w:r w:rsidRPr="004B0959">
              <w:rPr>
                <w:rFonts w:eastAsia="Verdana"/>
                <w:b w:val="0"/>
                <w:bCs w:val="0"/>
                <w:sz w:val="18"/>
                <w:szCs w:val="18"/>
              </w:rPr>
              <w:t xml:space="preserve">National bodies better utilised to support reform directions, with their expertise and data insights integrated into national policy development processes. </w:t>
            </w:r>
          </w:p>
          <w:p w14:paraId="3B898E71" w14:textId="34105E33" w:rsidR="00EB257A" w:rsidRPr="004B0959" w:rsidRDefault="00EB257A" w:rsidP="002E09D0">
            <w:pPr>
              <w:pStyle w:val="Summarytable"/>
              <w:numPr>
                <w:ilvl w:val="0"/>
                <w:numId w:val="109"/>
              </w:numPr>
              <w:spacing w:before="60" w:after="60"/>
              <w:ind w:left="934"/>
              <w:rPr>
                <w:rFonts w:eastAsia="Verdana"/>
                <w:b w:val="0"/>
                <w:bCs w:val="0"/>
                <w:sz w:val="18"/>
                <w:szCs w:val="18"/>
              </w:rPr>
            </w:pPr>
            <w:r w:rsidRPr="004B0959">
              <w:rPr>
                <w:rFonts w:eastAsia="Verdana"/>
                <w:b w:val="0"/>
                <w:bCs w:val="0"/>
                <w:sz w:val="18"/>
                <w:szCs w:val="18"/>
              </w:rPr>
              <w:t>Roles/responsibilities of the national bodies revisited to ensure they are clear and appropriate, and strengthened to enable them to form part of a unified respons</w:t>
            </w:r>
            <w:r w:rsidR="00132FC2" w:rsidRPr="004B0959">
              <w:rPr>
                <w:rFonts w:eastAsia="Verdana"/>
                <w:b w:val="0"/>
                <w:bCs w:val="0"/>
                <w:sz w:val="18"/>
                <w:szCs w:val="18"/>
              </w:rPr>
              <w:t>e</w:t>
            </w:r>
            <w:r w:rsidRPr="004B0959">
              <w:rPr>
                <w:rFonts w:eastAsia="Verdana"/>
                <w:b w:val="0"/>
                <w:bCs w:val="0"/>
                <w:sz w:val="18"/>
                <w:szCs w:val="18"/>
              </w:rPr>
              <w:t xml:space="preserve"> to emerging healthcare challenges and evolving patient needs.</w:t>
            </w:r>
          </w:p>
          <w:p w14:paraId="41B531CA" w14:textId="7C6A8611" w:rsidR="00EB257A" w:rsidRPr="004B0959" w:rsidRDefault="00EB257A" w:rsidP="002E09D0">
            <w:pPr>
              <w:pStyle w:val="Summarytable"/>
              <w:numPr>
                <w:ilvl w:val="0"/>
                <w:numId w:val="109"/>
              </w:numPr>
              <w:spacing w:before="60" w:after="60"/>
              <w:ind w:left="934"/>
              <w:rPr>
                <w:rFonts w:eastAsia="Verdana"/>
                <w:b w:val="0"/>
                <w:bCs w:val="0"/>
                <w:sz w:val="18"/>
                <w:szCs w:val="18"/>
              </w:rPr>
            </w:pPr>
            <w:r w:rsidRPr="004B0959">
              <w:rPr>
                <w:rFonts w:eastAsia="Verdana"/>
                <w:b w:val="0"/>
                <w:bCs w:val="0"/>
                <w:sz w:val="18"/>
                <w:szCs w:val="18"/>
              </w:rPr>
              <w:t xml:space="preserve">Jurisdictional engagement with national bodies better balanced between strategic and technical issues (rather than the current technical focus). </w:t>
            </w:r>
          </w:p>
          <w:p w14:paraId="598C92AC" w14:textId="39964DA0" w:rsidR="00EB257A" w:rsidRPr="004B0959" w:rsidRDefault="0046531D" w:rsidP="002E09D0">
            <w:pPr>
              <w:pStyle w:val="Summarytable"/>
              <w:numPr>
                <w:ilvl w:val="0"/>
                <w:numId w:val="109"/>
              </w:numPr>
              <w:spacing w:before="60" w:after="60"/>
              <w:ind w:left="934"/>
              <w:rPr>
                <w:rFonts w:eastAsia="Verdana"/>
                <w:b w:val="0"/>
                <w:bCs w:val="0"/>
                <w:sz w:val="18"/>
                <w:szCs w:val="18"/>
              </w:rPr>
            </w:pPr>
            <w:r w:rsidRPr="004B0959">
              <w:rPr>
                <w:rFonts w:eastAsia="Verdana"/>
                <w:b w:val="0"/>
                <w:bCs w:val="0"/>
                <w:sz w:val="18"/>
                <w:szCs w:val="18"/>
              </w:rPr>
              <w:t xml:space="preserve">A </w:t>
            </w:r>
            <w:r w:rsidRPr="00F95F8D">
              <w:rPr>
                <w:rFonts w:eastAsia="Verdana"/>
                <w:sz w:val="18"/>
                <w:szCs w:val="18"/>
              </w:rPr>
              <w:t>new performance framework</w:t>
            </w:r>
            <w:r w:rsidR="00EB257A" w:rsidRPr="004B0959">
              <w:rPr>
                <w:rFonts w:eastAsia="Verdana"/>
                <w:b w:val="0"/>
                <w:bCs w:val="0"/>
                <w:sz w:val="18"/>
                <w:szCs w:val="18"/>
              </w:rPr>
              <w:t xml:space="preserve"> informed and delivered (Recommendation 41) with input from all jurisdictions and the national bodies, and that includes the progress of the national bodies in delivering their accountabilities.</w:t>
            </w:r>
          </w:p>
          <w:p w14:paraId="14C0FC3A" w14:textId="10D01024" w:rsidR="00BA36B5" w:rsidRPr="004B0959" w:rsidRDefault="00BA36B5" w:rsidP="002E09D0">
            <w:pPr>
              <w:pStyle w:val="Summarytable"/>
              <w:numPr>
                <w:ilvl w:val="0"/>
                <w:numId w:val="109"/>
              </w:numPr>
              <w:ind w:left="934"/>
              <w:rPr>
                <w:rFonts w:eastAsia="Verdana"/>
                <w:b w:val="0"/>
                <w:bCs w:val="0"/>
                <w:sz w:val="18"/>
                <w:szCs w:val="18"/>
              </w:rPr>
            </w:pPr>
            <w:r w:rsidRPr="004B0959">
              <w:rPr>
                <w:rFonts w:eastAsia="Verdana"/>
                <w:b w:val="0"/>
                <w:bCs w:val="0"/>
                <w:sz w:val="18"/>
                <w:szCs w:val="18"/>
              </w:rPr>
              <w:t xml:space="preserve">A </w:t>
            </w:r>
            <w:r w:rsidRPr="00F95F8D">
              <w:rPr>
                <w:rFonts w:eastAsia="Verdana"/>
                <w:sz w:val="18"/>
                <w:szCs w:val="18"/>
              </w:rPr>
              <w:t>new National Innovation and Reform Agency</w:t>
            </w:r>
            <w:r w:rsidRPr="004B0959">
              <w:rPr>
                <w:rFonts w:eastAsia="Verdana"/>
                <w:b w:val="0"/>
                <w:bCs w:val="0"/>
                <w:sz w:val="18"/>
                <w:szCs w:val="18"/>
              </w:rPr>
              <w:t>, responsible for identifying emerging system pressures and driving innovation and long-term reform, working closely with HCEF and Health Ministers (linked to Recommendation 34).</w:t>
            </w:r>
          </w:p>
          <w:p w14:paraId="5B3A0989" w14:textId="77777777" w:rsidR="00EB257A" w:rsidRPr="004B0959" w:rsidRDefault="00EB257A" w:rsidP="002E09D0">
            <w:pPr>
              <w:pStyle w:val="Summarytable"/>
              <w:numPr>
                <w:ilvl w:val="0"/>
                <w:numId w:val="109"/>
              </w:numPr>
              <w:spacing w:before="60" w:after="60"/>
              <w:ind w:left="934"/>
              <w:rPr>
                <w:rFonts w:eastAsia="Verdana"/>
                <w:b w:val="0"/>
                <w:bCs w:val="0"/>
                <w:sz w:val="18"/>
                <w:szCs w:val="18"/>
              </w:rPr>
            </w:pPr>
            <w:r w:rsidRPr="00F95F8D">
              <w:rPr>
                <w:rFonts w:eastAsia="Verdana"/>
                <w:sz w:val="18"/>
                <w:szCs w:val="18"/>
              </w:rPr>
              <w:t>Digital health and workforce</w:t>
            </w:r>
            <w:r w:rsidRPr="004B0959">
              <w:rPr>
                <w:rFonts w:eastAsia="Verdana"/>
                <w:b w:val="0"/>
                <w:bCs w:val="0"/>
                <w:sz w:val="18"/>
                <w:szCs w:val="18"/>
              </w:rPr>
              <w:t xml:space="preserve"> </w:t>
            </w:r>
            <w:r w:rsidRPr="009A4C2E">
              <w:rPr>
                <w:rFonts w:eastAsia="Verdana"/>
                <w:sz w:val="18"/>
                <w:szCs w:val="18"/>
              </w:rPr>
              <w:t xml:space="preserve">recognised </w:t>
            </w:r>
            <w:r w:rsidRPr="004B0959">
              <w:rPr>
                <w:rFonts w:eastAsia="Verdana"/>
                <w:b w:val="0"/>
                <w:bCs w:val="0"/>
                <w:sz w:val="18"/>
                <w:szCs w:val="18"/>
              </w:rPr>
              <w:t>through dedicated bodies (existing or new) referenced in the Agreement, with relevant purpose, strategies and outcomes incorporated.</w:t>
            </w:r>
          </w:p>
          <w:p w14:paraId="5C8CBC6A" w14:textId="77777777" w:rsidR="00EB257A" w:rsidRPr="0053661A" w:rsidRDefault="00EB257A" w:rsidP="002E09D0">
            <w:pPr>
              <w:numPr>
                <w:ilvl w:val="0"/>
                <w:numId w:val="109"/>
              </w:numPr>
              <w:spacing w:before="60" w:after="60"/>
              <w:ind w:left="934"/>
              <w:rPr>
                <w:rFonts w:eastAsia="Verdana"/>
                <w:sz w:val="18"/>
                <w:szCs w:val="18"/>
              </w:rPr>
            </w:pPr>
            <w:r w:rsidRPr="004B0959">
              <w:rPr>
                <w:rFonts w:eastAsia="Verdana"/>
                <w:sz w:val="18"/>
                <w:szCs w:val="18"/>
              </w:rPr>
              <w:t>Strategic engagement between national bodies, Health Ministers and Health Chief Executives to occur at least annually.</w:t>
            </w:r>
          </w:p>
        </w:tc>
        <w:tc>
          <w:tcPr>
            <w:tcW w:w="661" w:type="pct"/>
            <w:tcBorders>
              <w:top w:val="single" w:sz="8" w:space="0" w:color="D9D9D9"/>
              <w:left w:val="nil"/>
              <w:bottom w:val="single" w:sz="8" w:space="0" w:color="D9D9D9"/>
              <w:right w:val="nil"/>
            </w:tcBorders>
          </w:tcPr>
          <w:p w14:paraId="14F7ADD6" w14:textId="4F97F569" w:rsidR="00EB257A" w:rsidRPr="001B7507" w:rsidRDefault="0037121B" w:rsidP="001B7507">
            <w:pPr>
              <w:spacing w:before="60" w:after="60"/>
              <w:ind w:left="0"/>
              <w:rPr>
                <w:rFonts w:eastAsia="Verdana"/>
                <w:sz w:val="18"/>
                <w:szCs w:val="18"/>
              </w:rPr>
            </w:pPr>
            <w:r w:rsidRPr="001B7507">
              <w:rPr>
                <w:rFonts w:eastAsia="Verdana"/>
                <w:sz w:val="18"/>
                <w:szCs w:val="18"/>
              </w:rPr>
              <w:fldChar w:fldCharType="begin" w:fldLock="1"/>
            </w:r>
            <w:r w:rsidRPr="001B7507">
              <w:rPr>
                <w:rFonts w:eastAsia="Verdana"/>
                <w:sz w:val="18"/>
                <w:szCs w:val="18"/>
              </w:rPr>
              <w:instrText xml:space="preserve"> REF _Ref148441387 \w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Pr>
                <w:rFonts w:eastAsia="Verdana"/>
                <w:sz w:val="18"/>
                <w:szCs w:val="18"/>
              </w:rPr>
              <w:t>5.1.3.3</w:t>
            </w:r>
            <w:r w:rsidRPr="001B7507">
              <w:rPr>
                <w:rFonts w:eastAsia="Verdana"/>
                <w:sz w:val="18"/>
                <w:szCs w:val="18"/>
              </w:rPr>
              <w:fldChar w:fldCharType="end"/>
            </w:r>
            <w:r w:rsidRPr="001B7507">
              <w:rPr>
                <w:rFonts w:eastAsia="Verdana"/>
                <w:sz w:val="18"/>
                <w:szCs w:val="18"/>
              </w:rPr>
              <w:t xml:space="preserve"> - </w:t>
            </w:r>
            <w:r w:rsidRPr="001B7507">
              <w:rPr>
                <w:rFonts w:eastAsia="Verdana"/>
                <w:sz w:val="18"/>
                <w:szCs w:val="18"/>
              </w:rPr>
              <w:fldChar w:fldCharType="begin" w:fldLock="1"/>
            </w:r>
            <w:r w:rsidRPr="001B7507">
              <w:rPr>
                <w:rFonts w:eastAsia="Verdana"/>
                <w:sz w:val="18"/>
                <w:szCs w:val="18"/>
              </w:rPr>
              <w:instrText xml:space="preserve"> REF _Ref148441387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sidRPr="00FA10A4">
              <w:rPr>
                <w:sz w:val="18"/>
                <w:szCs w:val="18"/>
              </w:rPr>
              <w:t>Governance for a future Agreement</w:t>
            </w:r>
            <w:r w:rsidRPr="001B7507">
              <w:rPr>
                <w:rFonts w:eastAsia="Verdana"/>
                <w:sz w:val="18"/>
                <w:szCs w:val="18"/>
              </w:rPr>
              <w:fldChar w:fldCharType="end"/>
            </w:r>
          </w:p>
        </w:tc>
      </w:tr>
      <w:tr w:rsidR="00ED6A10" w:rsidRPr="001B7507" w14:paraId="2E77C063" w14:textId="79873E5D" w:rsidTr="00025B1E">
        <w:tc>
          <w:tcPr>
            <w:tcW w:w="436" w:type="pct"/>
            <w:vMerge w:val="restart"/>
            <w:tcBorders>
              <w:top w:val="single" w:sz="8" w:space="0" w:color="D9D9D9"/>
              <w:left w:val="nil"/>
              <w:right w:val="nil"/>
            </w:tcBorders>
            <w:shd w:val="clear" w:color="auto" w:fill="auto"/>
          </w:tcPr>
          <w:p w14:paraId="0DDACEB7" w14:textId="77777777" w:rsidR="00EB257A" w:rsidRPr="001B7507" w:rsidRDefault="00EB257A" w:rsidP="001B7507">
            <w:pPr>
              <w:spacing w:before="60" w:after="60"/>
              <w:rPr>
                <w:rFonts w:eastAsia="Verdana"/>
                <w:sz w:val="18"/>
                <w:szCs w:val="18"/>
              </w:rPr>
            </w:pPr>
            <w:r w:rsidRPr="001B7507">
              <w:rPr>
                <w:rFonts w:eastAsia="Verdana"/>
                <w:sz w:val="18"/>
                <w:szCs w:val="18"/>
              </w:rPr>
              <w:t>A focus and platform for intersectoral collaboration</w:t>
            </w:r>
          </w:p>
        </w:tc>
        <w:tc>
          <w:tcPr>
            <w:tcW w:w="454" w:type="pct"/>
            <w:tcBorders>
              <w:top w:val="single" w:sz="8" w:space="0" w:color="D9D9D9"/>
              <w:left w:val="nil"/>
              <w:bottom w:val="single" w:sz="8" w:space="0" w:color="D9D9D9"/>
              <w:right w:val="nil"/>
            </w:tcBorders>
          </w:tcPr>
          <w:p w14:paraId="1E38F2A9" w14:textId="77777777" w:rsidR="00EB257A" w:rsidRPr="001B7507" w:rsidRDefault="00EB257A" w:rsidP="001B7507">
            <w:pPr>
              <w:spacing w:before="60" w:after="60"/>
              <w:rPr>
                <w:rFonts w:eastAsia="Verdana"/>
                <w:sz w:val="18"/>
                <w:szCs w:val="18"/>
              </w:rPr>
            </w:pPr>
            <w:r w:rsidRPr="001B7507">
              <w:rPr>
                <w:rFonts w:eastAsia="Verdana"/>
                <w:sz w:val="18"/>
                <w:szCs w:val="18"/>
              </w:rPr>
              <w:t>Intersectoral architecture (PHNs, LHNs and ACCHOs)</w:t>
            </w:r>
          </w:p>
        </w:tc>
        <w:tc>
          <w:tcPr>
            <w:tcW w:w="3449" w:type="pct"/>
            <w:tcBorders>
              <w:top w:val="single" w:sz="8" w:space="0" w:color="D9D9D9"/>
              <w:left w:val="nil"/>
              <w:bottom w:val="single" w:sz="8" w:space="0" w:color="D9D9D9"/>
              <w:right w:val="nil"/>
            </w:tcBorders>
            <w:shd w:val="clear" w:color="auto" w:fill="auto"/>
          </w:tcPr>
          <w:p w14:paraId="09C20F5F" w14:textId="77777777" w:rsidR="00EB257A" w:rsidRPr="001B7507" w:rsidRDefault="00EB257A" w:rsidP="001B7507">
            <w:pPr>
              <w:numPr>
                <w:ilvl w:val="0"/>
                <w:numId w:val="95"/>
              </w:numPr>
              <w:spacing w:before="60" w:after="60"/>
              <w:rPr>
                <w:rFonts w:eastAsia="Verdana"/>
                <w:sz w:val="18"/>
                <w:szCs w:val="18"/>
              </w:rPr>
            </w:pPr>
            <w:r w:rsidRPr="001B7507">
              <w:rPr>
                <w:sz w:val="18"/>
                <w:szCs w:val="18"/>
                <w:lang w:val="en-GB"/>
              </w:rPr>
              <w:t xml:space="preserve">The </w:t>
            </w:r>
            <w:r w:rsidRPr="001B7507">
              <w:rPr>
                <w:b/>
                <w:bCs/>
                <w:sz w:val="18"/>
                <w:szCs w:val="18"/>
                <w:lang w:val="en-GB"/>
              </w:rPr>
              <w:t>intersectoral architecture set out in the NHRA should be reinforced and improved</w:t>
            </w:r>
            <w:r w:rsidRPr="001B7507">
              <w:rPr>
                <w:sz w:val="18"/>
                <w:szCs w:val="18"/>
                <w:lang w:val="en-GB"/>
              </w:rPr>
              <w:t xml:space="preserve"> with a commitment to greater alignment and collaboration between PHNs, LHNs and ACCHOs. The future Agreement should</w:t>
            </w:r>
            <w:r w:rsidRPr="001B7507">
              <w:rPr>
                <w:rFonts w:eastAsia="Verdana"/>
                <w:sz w:val="18"/>
                <w:szCs w:val="18"/>
              </w:rPr>
              <w:t>:</w:t>
            </w:r>
          </w:p>
          <w:p w14:paraId="26F3C275" w14:textId="30BFAAE9" w:rsidR="00EB257A" w:rsidRPr="001B7507" w:rsidRDefault="00EB257A" w:rsidP="001B7507">
            <w:pPr>
              <w:pStyle w:val="ListParagraph"/>
              <w:numPr>
                <w:ilvl w:val="0"/>
                <w:numId w:val="110"/>
              </w:numPr>
              <w:spacing w:before="60" w:after="60"/>
              <w:ind w:left="855"/>
              <w:contextualSpacing w:val="0"/>
              <w:rPr>
                <w:sz w:val="18"/>
                <w:szCs w:val="18"/>
                <w:lang w:val="en-GB"/>
              </w:rPr>
            </w:pPr>
            <w:r w:rsidRPr="001B7507">
              <w:rPr>
                <w:sz w:val="18"/>
                <w:szCs w:val="18"/>
                <w:lang w:val="en-GB"/>
              </w:rPr>
              <w:t xml:space="preserve">Establish a </w:t>
            </w:r>
            <w:r w:rsidRPr="00DB1E1B">
              <w:rPr>
                <w:b/>
                <w:bCs/>
                <w:sz w:val="18"/>
                <w:szCs w:val="18"/>
                <w:lang w:val="en-GB"/>
              </w:rPr>
              <w:t>nationally consistent governance framework</w:t>
            </w:r>
            <w:r w:rsidRPr="001B7507">
              <w:rPr>
                <w:sz w:val="18"/>
                <w:szCs w:val="18"/>
                <w:lang w:val="en-GB"/>
              </w:rPr>
              <w:t xml:space="preserve"> with formal governance structures, mechanisms, and roles and responsibilities that drive and enforce integration between LHNs, PHNs, and ACCHOs. This national governance framework should have the flexibility to accommodate jurisdictional variance and unique regional needs and reiterate current Agreement expectations of clinician and community engagement, particularly relat</w:t>
            </w:r>
            <w:r w:rsidR="00132FC2">
              <w:rPr>
                <w:sz w:val="18"/>
                <w:szCs w:val="18"/>
                <w:lang w:val="en-GB"/>
              </w:rPr>
              <w:t>ed</w:t>
            </w:r>
            <w:r w:rsidRPr="001B7507">
              <w:rPr>
                <w:sz w:val="18"/>
                <w:szCs w:val="18"/>
                <w:lang w:val="en-GB"/>
              </w:rPr>
              <w:t xml:space="preserve"> to safety and quality of health care.</w:t>
            </w:r>
          </w:p>
          <w:p w14:paraId="7077C9E8" w14:textId="77777777" w:rsidR="00EB257A" w:rsidRPr="001B7507" w:rsidRDefault="00EB257A" w:rsidP="001B7507">
            <w:pPr>
              <w:pStyle w:val="ListParagraph"/>
              <w:numPr>
                <w:ilvl w:val="0"/>
                <w:numId w:val="110"/>
              </w:numPr>
              <w:spacing w:before="60" w:after="60"/>
              <w:ind w:left="855"/>
              <w:contextualSpacing w:val="0"/>
              <w:rPr>
                <w:sz w:val="18"/>
                <w:szCs w:val="18"/>
                <w:lang w:val="en-GB"/>
              </w:rPr>
            </w:pPr>
            <w:r w:rsidRPr="001B7507">
              <w:rPr>
                <w:sz w:val="18"/>
                <w:szCs w:val="18"/>
                <w:lang w:val="en-GB"/>
              </w:rPr>
              <w:t xml:space="preserve">Detail minimum requirements for how the Commonwealth and State and Territory health departments, PHNs, LHNs and ACCHOs will work together on </w:t>
            </w:r>
            <w:r w:rsidRPr="00DB1E1B">
              <w:rPr>
                <w:b/>
                <w:bCs/>
                <w:sz w:val="18"/>
                <w:szCs w:val="18"/>
                <w:lang w:val="en-GB"/>
              </w:rPr>
              <w:t>joint planning and commissioning</w:t>
            </w:r>
            <w:r w:rsidRPr="001B7507">
              <w:rPr>
                <w:sz w:val="18"/>
                <w:szCs w:val="18"/>
                <w:lang w:val="en-GB"/>
              </w:rPr>
              <w:t xml:space="preserve">. These requirements should contain the following elements: </w:t>
            </w:r>
          </w:p>
          <w:p w14:paraId="3E89CD75" w14:textId="77777777" w:rsidR="00EB257A" w:rsidRPr="001B7507" w:rsidRDefault="00EB257A" w:rsidP="001B7507">
            <w:pPr>
              <w:pStyle w:val="ListParagraph"/>
              <w:numPr>
                <w:ilvl w:val="0"/>
                <w:numId w:val="131"/>
              </w:numPr>
              <w:spacing w:before="60" w:after="60"/>
              <w:ind w:left="1422"/>
              <w:contextualSpacing w:val="0"/>
              <w:rPr>
                <w:sz w:val="18"/>
                <w:szCs w:val="18"/>
                <w:lang w:val="en-GB"/>
              </w:rPr>
            </w:pPr>
            <w:r w:rsidRPr="001B7507">
              <w:rPr>
                <w:sz w:val="18"/>
                <w:szCs w:val="18"/>
                <w:lang w:val="en-GB"/>
              </w:rPr>
              <w:t>Balanced representation in local governance.</w:t>
            </w:r>
          </w:p>
          <w:p w14:paraId="479BC4DD" w14:textId="77777777" w:rsidR="00EB257A" w:rsidRPr="001B7507" w:rsidRDefault="00EB257A" w:rsidP="001B7507">
            <w:pPr>
              <w:pStyle w:val="ListParagraph"/>
              <w:numPr>
                <w:ilvl w:val="0"/>
                <w:numId w:val="131"/>
              </w:numPr>
              <w:spacing w:before="60" w:after="60"/>
              <w:ind w:left="1422"/>
              <w:contextualSpacing w:val="0"/>
              <w:rPr>
                <w:sz w:val="18"/>
                <w:szCs w:val="18"/>
                <w:lang w:val="en-GB"/>
              </w:rPr>
            </w:pPr>
            <w:r w:rsidRPr="001B7507">
              <w:rPr>
                <w:sz w:val="18"/>
                <w:szCs w:val="18"/>
                <w:lang w:val="en-GB"/>
              </w:rPr>
              <w:t>Local planning and co-commissioning focused on improving patient pathways and outcomes, with flexibility to innovate and design care models that are fit-for-purpose and support long-term health reform goals.</w:t>
            </w:r>
          </w:p>
          <w:p w14:paraId="3DDC3770" w14:textId="77777777" w:rsidR="00EB257A" w:rsidRPr="001B7507" w:rsidRDefault="00EB257A" w:rsidP="001B7507">
            <w:pPr>
              <w:pStyle w:val="ListParagraph"/>
              <w:numPr>
                <w:ilvl w:val="0"/>
                <w:numId w:val="131"/>
              </w:numPr>
              <w:spacing w:before="60" w:after="60"/>
              <w:ind w:left="1422"/>
              <w:contextualSpacing w:val="0"/>
              <w:rPr>
                <w:sz w:val="18"/>
                <w:szCs w:val="18"/>
                <w:lang w:val="en-GB"/>
              </w:rPr>
            </w:pPr>
            <w:r w:rsidRPr="001B7507">
              <w:rPr>
                <w:sz w:val="18"/>
                <w:szCs w:val="18"/>
                <w:lang w:val="en-GB"/>
              </w:rPr>
              <w:t>Shared and, where possible, linked datasets on population and service utilisation at the local level.</w:t>
            </w:r>
          </w:p>
          <w:p w14:paraId="4447A5C5" w14:textId="77777777" w:rsidR="00EB257A" w:rsidRPr="001B7507" w:rsidRDefault="00EB257A" w:rsidP="001B7507">
            <w:pPr>
              <w:pStyle w:val="ListParagraph"/>
              <w:numPr>
                <w:ilvl w:val="0"/>
                <w:numId w:val="131"/>
              </w:numPr>
              <w:spacing w:before="60" w:after="60"/>
              <w:ind w:left="1422"/>
              <w:contextualSpacing w:val="0"/>
              <w:rPr>
                <w:sz w:val="18"/>
                <w:szCs w:val="18"/>
                <w:lang w:val="en-GB"/>
              </w:rPr>
            </w:pPr>
            <w:r w:rsidRPr="001B7507">
              <w:rPr>
                <w:sz w:val="18"/>
                <w:szCs w:val="18"/>
                <w:lang w:val="en-GB"/>
              </w:rPr>
              <w:t>Agreed programs of work that address local health priorities, with greater funding flexibility for PHNs and ACCHOs to support local service needs.</w:t>
            </w:r>
          </w:p>
          <w:p w14:paraId="7C99AC66" w14:textId="20EB4469" w:rsidR="00EB257A" w:rsidRPr="001B7507" w:rsidRDefault="00EB257A" w:rsidP="001B7507">
            <w:pPr>
              <w:numPr>
                <w:ilvl w:val="0"/>
                <w:numId w:val="111"/>
              </w:numPr>
              <w:spacing w:before="60" w:after="60"/>
              <w:ind w:left="1417"/>
              <w:rPr>
                <w:rFonts w:eastAsia="Verdana"/>
                <w:sz w:val="18"/>
                <w:szCs w:val="18"/>
              </w:rPr>
            </w:pPr>
            <w:r w:rsidRPr="001B7507">
              <w:rPr>
                <w:sz w:val="18"/>
                <w:szCs w:val="18"/>
                <w:lang w:val="en-GB"/>
              </w:rPr>
              <w:t>Shared reporting and accountability arrangements to measure progress against initiatives and the impact on health outcomes and the quality of health services.</w:t>
            </w:r>
          </w:p>
        </w:tc>
        <w:tc>
          <w:tcPr>
            <w:tcW w:w="661" w:type="pct"/>
            <w:tcBorders>
              <w:top w:val="single" w:sz="8" w:space="0" w:color="D9D9D9"/>
              <w:left w:val="nil"/>
              <w:bottom w:val="single" w:sz="8" w:space="0" w:color="D9D9D9"/>
              <w:right w:val="nil"/>
            </w:tcBorders>
          </w:tcPr>
          <w:p w14:paraId="547069A0" w14:textId="60957AD2" w:rsidR="00EB257A" w:rsidRPr="001B7507" w:rsidRDefault="001D2C9A" w:rsidP="001B7507">
            <w:pPr>
              <w:spacing w:before="60" w:after="60"/>
              <w:ind w:left="0"/>
              <w:rPr>
                <w:sz w:val="18"/>
                <w:szCs w:val="18"/>
                <w:lang w:val="en-GB"/>
              </w:rPr>
            </w:pPr>
            <w:r w:rsidRPr="001B7507">
              <w:rPr>
                <w:sz w:val="18"/>
                <w:szCs w:val="18"/>
                <w:lang w:val="en-GB"/>
              </w:rPr>
              <w:fldChar w:fldCharType="begin" w:fldLock="1"/>
            </w:r>
            <w:r w:rsidRPr="001B7507">
              <w:rPr>
                <w:sz w:val="18"/>
                <w:szCs w:val="18"/>
                <w:lang w:val="en-GB"/>
              </w:rPr>
              <w:instrText xml:space="preserve"> REF _Ref148441855 \w \h </w:instrText>
            </w:r>
            <w:r w:rsidR="00C66478" w:rsidRPr="001B7507">
              <w:rPr>
                <w:sz w:val="18"/>
                <w:szCs w:val="18"/>
                <w:lang w:val="en-GB"/>
              </w:rPr>
              <w:instrText xml:space="preserve"> \* MERGEFORMAT </w:instrText>
            </w:r>
            <w:r w:rsidRPr="001B7507">
              <w:rPr>
                <w:sz w:val="18"/>
                <w:szCs w:val="18"/>
                <w:lang w:val="en-GB"/>
              </w:rPr>
            </w:r>
            <w:r w:rsidRPr="001B7507">
              <w:rPr>
                <w:sz w:val="18"/>
                <w:szCs w:val="18"/>
                <w:lang w:val="en-GB"/>
              </w:rPr>
              <w:fldChar w:fldCharType="separate"/>
            </w:r>
            <w:r w:rsidR="00FA10A4">
              <w:rPr>
                <w:sz w:val="18"/>
                <w:szCs w:val="18"/>
                <w:lang w:val="en-GB"/>
              </w:rPr>
              <w:t>5.2.2</w:t>
            </w:r>
            <w:r w:rsidRPr="001B7507">
              <w:rPr>
                <w:sz w:val="18"/>
                <w:szCs w:val="18"/>
                <w:lang w:val="en-GB"/>
              </w:rPr>
              <w:fldChar w:fldCharType="end"/>
            </w:r>
            <w:r w:rsidRPr="001B7507">
              <w:rPr>
                <w:sz w:val="18"/>
                <w:szCs w:val="18"/>
                <w:lang w:val="en-GB"/>
              </w:rPr>
              <w:t xml:space="preserve"> - </w:t>
            </w:r>
            <w:r w:rsidRPr="001B7507">
              <w:rPr>
                <w:sz w:val="18"/>
                <w:szCs w:val="18"/>
                <w:lang w:val="en-GB"/>
              </w:rPr>
              <w:fldChar w:fldCharType="begin" w:fldLock="1"/>
            </w:r>
            <w:r w:rsidRPr="001B7507">
              <w:rPr>
                <w:sz w:val="18"/>
                <w:szCs w:val="18"/>
                <w:lang w:val="en-GB"/>
              </w:rPr>
              <w:instrText xml:space="preserve"> REF _Ref148441855 \h </w:instrText>
            </w:r>
            <w:r w:rsidR="00C66478" w:rsidRPr="001B7507">
              <w:rPr>
                <w:sz w:val="18"/>
                <w:szCs w:val="18"/>
                <w:lang w:val="en-GB"/>
              </w:rPr>
              <w:instrText xml:space="preserve"> \* MERGEFORMAT </w:instrText>
            </w:r>
            <w:r w:rsidRPr="001B7507">
              <w:rPr>
                <w:sz w:val="18"/>
                <w:szCs w:val="18"/>
                <w:lang w:val="en-GB"/>
              </w:rPr>
            </w:r>
            <w:r w:rsidRPr="001B7507">
              <w:rPr>
                <w:sz w:val="18"/>
                <w:szCs w:val="18"/>
                <w:lang w:val="en-GB"/>
              </w:rPr>
              <w:fldChar w:fldCharType="separate"/>
            </w:r>
            <w:r w:rsidR="00FA10A4" w:rsidRPr="00FA10A4">
              <w:rPr>
                <w:sz w:val="18"/>
                <w:szCs w:val="18"/>
              </w:rPr>
              <w:t>The role of PHNs in commissioning and driving an integrated health service</w:t>
            </w:r>
            <w:r w:rsidRPr="001B7507">
              <w:rPr>
                <w:sz w:val="18"/>
                <w:szCs w:val="18"/>
                <w:lang w:val="en-GB"/>
              </w:rPr>
              <w:fldChar w:fldCharType="end"/>
            </w:r>
          </w:p>
        </w:tc>
      </w:tr>
      <w:tr w:rsidR="00ED6A10" w:rsidRPr="001B7507" w14:paraId="440FD215" w14:textId="009BE66A" w:rsidTr="00025B1E">
        <w:tc>
          <w:tcPr>
            <w:tcW w:w="436" w:type="pct"/>
            <w:vMerge/>
            <w:tcBorders>
              <w:left w:val="nil"/>
              <w:right w:val="nil"/>
            </w:tcBorders>
            <w:shd w:val="clear" w:color="auto" w:fill="auto"/>
          </w:tcPr>
          <w:p w14:paraId="274B176B" w14:textId="77777777" w:rsidR="00EB257A" w:rsidRPr="001B7507" w:rsidRDefault="00EB257A" w:rsidP="001B7507">
            <w:pPr>
              <w:spacing w:before="60" w:after="60"/>
              <w:rPr>
                <w:rFonts w:eastAsia="Verdana"/>
                <w:sz w:val="18"/>
                <w:szCs w:val="18"/>
              </w:rPr>
            </w:pPr>
          </w:p>
        </w:tc>
        <w:tc>
          <w:tcPr>
            <w:tcW w:w="454" w:type="pct"/>
            <w:tcBorders>
              <w:top w:val="single" w:sz="8" w:space="0" w:color="D9D9D9"/>
              <w:left w:val="nil"/>
              <w:bottom w:val="single" w:sz="8" w:space="0" w:color="D9D9D9"/>
              <w:right w:val="nil"/>
            </w:tcBorders>
          </w:tcPr>
          <w:p w14:paraId="06CE1BEC" w14:textId="456669F1" w:rsidR="00EB257A" w:rsidRPr="001B7507" w:rsidRDefault="00EB257A" w:rsidP="001B7507">
            <w:pPr>
              <w:spacing w:before="60" w:after="60"/>
              <w:rPr>
                <w:rFonts w:eastAsia="Verdana"/>
                <w:sz w:val="18"/>
                <w:szCs w:val="18"/>
              </w:rPr>
            </w:pPr>
            <w:r w:rsidRPr="001B7507">
              <w:rPr>
                <w:rFonts w:eastAsia="Verdana"/>
                <w:sz w:val="18"/>
                <w:szCs w:val="18"/>
              </w:rPr>
              <w:t>Primary care interface</w:t>
            </w:r>
          </w:p>
        </w:tc>
        <w:tc>
          <w:tcPr>
            <w:tcW w:w="3449" w:type="pct"/>
            <w:tcBorders>
              <w:top w:val="single" w:sz="8" w:space="0" w:color="D9D9D9"/>
              <w:left w:val="nil"/>
              <w:bottom w:val="single" w:sz="8" w:space="0" w:color="D9D9D9"/>
              <w:right w:val="nil"/>
            </w:tcBorders>
            <w:shd w:val="clear" w:color="auto" w:fill="auto"/>
          </w:tcPr>
          <w:p w14:paraId="6A5EFBCC" w14:textId="77777777" w:rsidR="00EB257A" w:rsidRPr="001B7507" w:rsidRDefault="00EB257A" w:rsidP="001B7507">
            <w:pPr>
              <w:numPr>
                <w:ilvl w:val="0"/>
                <w:numId w:val="95"/>
              </w:numPr>
              <w:spacing w:before="60" w:after="60"/>
              <w:rPr>
                <w:color w:val="000000" w:themeColor="text1"/>
                <w:sz w:val="18"/>
                <w:szCs w:val="18"/>
                <w:lang w:val="en-GB"/>
              </w:rPr>
            </w:pPr>
            <w:r w:rsidRPr="001B7507">
              <w:rPr>
                <w:b/>
                <w:bCs/>
                <w:color w:val="000000" w:themeColor="text1"/>
                <w:sz w:val="18"/>
                <w:szCs w:val="18"/>
                <w:lang w:val="en-GB"/>
              </w:rPr>
              <w:t>Measures of primary care access</w:t>
            </w:r>
            <w:r w:rsidRPr="001B7507">
              <w:rPr>
                <w:color w:val="000000" w:themeColor="text1"/>
                <w:sz w:val="18"/>
                <w:szCs w:val="18"/>
                <w:lang w:val="en-GB"/>
              </w:rPr>
              <w:t>, able to be monitored at the local level, should inform the operation of the NHRA, including:</w:t>
            </w:r>
          </w:p>
          <w:p w14:paraId="58EEB03A" w14:textId="77777777" w:rsidR="00EB257A" w:rsidRPr="001B7507" w:rsidRDefault="00EB257A" w:rsidP="001B7507">
            <w:pPr>
              <w:numPr>
                <w:ilvl w:val="0"/>
                <w:numId w:val="133"/>
              </w:numPr>
              <w:spacing w:before="60" w:after="60"/>
              <w:ind w:left="855"/>
              <w:rPr>
                <w:color w:val="000000" w:themeColor="text1"/>
                <w:sz w:val="18"/>
                <w:szCs w:val="18"/>
                <w:lang w:val="en-GB"/>
              </w:rPr>
            </w:pPr>
            <w:r w:rsidRPr="001B7507">
              <w:rPr>
                <w:color w:val="000000" w:themeColor="text1"/>
                <w:sz w:val="18"/>
                <w:szCs w:val="18"/>
                <w:lang w:val="en-GB"/>
              </w:rPr>
              <w:t xml:space="preserve">whether and when </w:t>
            </w:r>
            <w:r w:rsidRPr="009A4C2E">
              <w:rPr>
                <w:b/>
                <w:bCs/>
                <w:color w:val="000000" w:themeColor="text1"/>
                <w:sz w:val="18"/>
                <w:szCs w:val="18"/>
                <w:lang w:val="en-GB"/>
              </w:rPr>
              <w:t>different models of care are mobilised</w:t>
            </w:r>
            <w:r w:rsidRPr="001B7507">
              <w:rPr>
                <w:color w:val="000000" w:themeColor="text1"/>
                <w:sz w:val="18"/>
                <w:szCs w:val="18"/>
                <w:lang w:val="en-GB"/>
              </w:rPr>
              <w:t xml:space="preserve"> to respond to serious service gaps that would otherwise result in avoidable hospital presentations</w:t>
            </w:r>
          </w:p>
          <w:p w14:paraId="57EB8938" w14:textId="77777777" w:rsidR="00EB257A" w:rsidRPr="001B7507" w:rsidRDefault="00EB257A" w:rsidP="001B7507">
            <w:pPr>
              <w:numPr>
                <w:ilvl w:val="0"/>
                <w:numId w:val="133"/>
              </w:numPr>
              <w:spacing w:before="60" w:after="60"/>
              <w:ind w:left="855"/>
              <w:rPr>
                <w:color w:val="000000" w:themeColor="text1"/>
                <w:sz w:val="18"/>
                <w:szCs w:val="18"/>
                <w:lang w:val="en-GB"/>
              </w:rPr>
            </w:pPr>
            <w:r w:rsidRPr="009A4C2E">
              <w:rPr>
                <w:b/>
                <w:bCs/>
                <w:color w:val="000000" w:themeColor="text1"/>
                <w:sz w:val="18"/>
                <w:szCs w:val="18"/>
                <w:lang w:val="en-GB"/>
              </w:rPr>
              <w:t>collaborative planning at the local level</w:t>
            </w:r>
            <w:r w:rsidRPr="001B7507">
              <w:rPr>
                <w:color w:val="000000" w:themeColor="text1"/>
                <w:sz w:val="18"/>
                <w:szCs w:val="18"/>
                <w:lang w:val="en-GB"/>
              </w:rPr>
              <w:t xml:space="preserve"> that would underpin the need for action and the escalation pathways through which action would be taken</w:t>
            </w:r>
          </w:p>
          <w:p w14:paraId="01FC159F" w14:textId="77777777" w:rsidR="00EB257A" w:rsidRPr="001B7507" w:rsidRDefault="00EB257A" w:rsidP="001B7507">
            <w:pPr>
              <w:numPr>
                <w:ilvl w:val="0"/>
                <w:numId w:val="133"/>
              </w:numPr>
              <w:spacing w:before="60" w:after="60"/>
              <w:ind w:left="855"/>
              <w:rPr>
                <w:color w:val="000000" w:themeColor="text1"/>
                <w:sz w:val="18"/>
                <w:szCs w:val="18"/>
                <w:lang w:val="en-GB"/>
              </w:rPr>
            </w:pPr>
            <w:r w:rsidRPr="001B7507">
              <w:rPr>
                <w:color w:val="000000" w:themeColor="text1"/>
                <w:sz w:val="18"/>
                <w:szCs w:val="18"/>
                <w:lang w:val="en-GB"/>
              </w:rPr>
              <w:t xml:space="preserve">a capacity to act quickly to use available resources to greatest effect with equitable funding arrangements agreed in advance. </w:t>
            </w:r>
          </w:p>
          <w:p w14:paraId="2C11DB1E" w14:textId="6E93C6C1" w:rsidR="00EB257A" w:rsidRPr="001B7507" w:rsidRDefault="00EB257A" w:rsidP="001B7507">
            <w:pPr>
              <w:spacing w:before="60" w:after="60"/>
              <w:ind w:left="360"/>
              <w:rPr>
                <w:b/>
                <w:bCs/>
                <w:sz w:val="18"/>
                <w:szCs w:val="18"/>
                <w:lang w:val="en-GB"/>
              </w:rPr>
            </w:pPr>
            <w:r w:rsidRPr="001B7507">
              <w:rPr>
                <w:color w:val="000000" w:themeColor="text1"/>
                <w:sz w:val="18"/>
                <w:szCs w:val="18"/>
                <w:lang w:val="en-GB"/>
              </w:rPr>
              <w:t>The triggers for this need to be negotiated as part of a new Agreement but should ensure there is every incentive for primary care to work effectively without intervention.</w:t>
            </w:r>
          </w:p>
        </w:tc>
        <w:tc>
          <w:tcPr>
            <w:tcW w:w="661" w:type="pct"/>
            <w:tcBorders>
              <w:top w:val="single" w:sz="8" w:space="0" w:color="D9D9D9"/>
              <w:left w:val="nil"/>
              <w:bottom w:val="single" w:sz="8" w:space="0" w:color="D9D9D9"/>
              <w:right w:val="nil"/>
            </w:tcBorders>
          </w:tcPr>
          <w:p w14:paraId="77E31BD0" w14:textId="6C022352" w:rsidR="00EB257A" w:rsidRPr="001B7507" w:rsidRDefault="00AF3CE2" w:rsidP="001B7507">
            <w:pPr>
              <w:spacing w:before="60" w:after="60"/>
              <w:ind w:left="0"/>
              <w:rPr>
                <w:color w:val="000000" w:themeColor="text1"/>
                <w:sz w:val="18"/>
                <w:szCs w:val="18"/>
                <w:lang w:val="en-GB"/>
              </w:rPr>
            </w:pPr>
            <w:r w:rsidRPr="001B7507">
              <w:rPr>
                <w:color w:val="000000" w:themeColor="text1"/>
                <w:sz w:val="18"/>
                <w:szCs w:val="18"/>
                <w:lang w:val="en-GB"/>
              </w:rPr>
              <w:fldChar w:fldCharType="begin" w:fldLock="1"/>
            </w:r>
            <w:r w:rsidRPr="001B7507">
              <w:rPr>
                <w:color w:val="000000" w:themeColor="text1"/>
                <w:sz w:val="18"/>
                <w:szCs w:val="18"/>
                <w:lang w:val="en-GB"/>
              </w:rPr>
              <w:instrText xml:space="preserve"> REF _Ref148441887 \w \h </w:instrText>
            </w:r>
            <w:r w:rsidR="00C66478" w:rsidRPr="001B7507">
              <w:rPr>
                <w:color w:val="000000" w:themeColor="text1"/>
                <w:sz w:val="18"/>
                <w:szCs w:val="18"/>
                <w:lang w:val="en-GB"/>
              </w:rPr>
              <w:instrText xml:space="preserve"> \* MERGEFORMAT </w:instrText>
            </w:r>
            <w:r w:rsidRPr="001B7507">
              <w:rPr>
                <w:color w:val="000000" w:themeColor="text1"/>
                <w:sz w:val="18"/>
                <w:szCs w:val="18"/>
                <w:lang w:val="en-GB"/>
              </w:rPr>
            </w:r>
            <w:r w:rsidRPr="001B7507">
              <w:rPr>
                <w:color w:val="000000" w:themeColor="text1"/>
                <w:sz w:val="18"/>
                <w:szCs w:val="18"/>
                <w:lang w:val="en-GB"/>
              </w:rPr>
              <w:fldChar w:fldCharType="separate"/>
            </w:r>
            <w:r w:rsidR="00FA10A4">
              <w:rPr>
                <w:color w:val="000000" w:themeColor="text1"/>
                <w:sz w:val="18"/>
                <w:szCs w:val="18"/>
                <w:lang w:val="en-GB"/>
              </w:rPr>
              <w:t>5.2.3.1</w:t>
            </w:r>
            <w:r w:rsidRPr="001B7507">
              <w:rPr>
                <w:color w:val="000000" w:themeColor="text1"/>
                <w:sz w:val="18"/>
                <w:szCs w:val="18"/>
                <w:lang w:val="en-GB"/>
              </w:rPr>
              <w:fldChar w:fldCharType="end"/>
            </w:r>
            <w:r w:rsidRPr="001B7507">
              <w:rPr>
                <w:color w:val="000000" w:themeColor="text1"/>
                <w:sz w:val="18"/>
                <w:szCs w:val="18"/>
                <w:lang w:val="en-GB"/>
              </w:rPr>
              <w:t xml:space="preserve"> - </w:t>
            </w:r>
            <w:r w:rsidRPr="001B7507">
              <w:rPr>
                <w:color w:val="000000" w:themeColor="text1"/>
                <w:sz w:val="18"/>
                <w:szCs w:val="18"/>
                <w:lang w:val="en-GB"/>
              </w:rPr>
              <w:fldChar w:fldCharType="begin" w:fldLock="1"/>
            </w:r>
            <w:r w:rsidRPr="001B7507">
              <w:rPr>
                <w:color w:val="000000" w:themeColor="text1"/>
                <w:sz w:val="18"/>
                <w:szCs w:val="18"/>
                <w:lang w:val="en-GB"/>
              </w:rPr>
              <w:instrText xml:space="preserve"> REF _Ref148441887 \h </w:instrText>
            </w:r>
            <w:r w:rsidR="00C66478" w:rsidRPr="001B7507">
              <w:rPr>
                <w:color w:val="000000" w:themeColor="text1"/>
                <w:sz w:val="18"/>
                <w:szCs w:val="18"/>
                <w:lang w:val="en-GB"/>
              </w:rPr>
              <w:instrText xml:space="preserve"> \* MERGEFORMAT </w:instrText>
            </w:r>
            <w:r w:rsidRPr="001B7507">
              <w:rPr>
                <w:color w:val="000000" w:themeColor="text1"/>
                <w:sz w:val="18"/>
                <w:szCs w:val="18"/>
                <w:lang w:val="en-GB"/>
              </w:rPr>
            </w:r>
            <w:r w:rsidRPr="001B7507">
              <w:rPr>
                <w:color w:val="000000" w:themeColor="text1"/>
                <w:sz w:val="18"/>
                <w:szCs w:val="18"/>
                <w:lang w:val="en-GB"/>
              </w:rPr>
              <w:fldChar w:fldCharType="separate"/>
            </w:r>
            <w:r w:rsidR="00FA10A4" w:rsidRPr="00FA10A4">
              <w:rPr>
                <w:sz w:val="18"/>
                <w:szCs w:val="18"/>
              </w:rPr>
              <w:t>Primary care interface</w:t>
            </w:r>
            <w:r w:rsidRPr="001B7507">
              <w:rPr>
                <w:color w:val="000000" w:themeColor="text1"/>
                <w:sz w:val="18"/>
                <w:szCs w:val="18"/>
                <w:lang w:val="en-GB"/>
              </w:rPr>
              <w:fldChar w:fldCharType="end"/>
            </w:r>
          </w:p>
        </w:tc>
      </w:tr>
      <w:tr w:rsidR="00ED6A10" w:rsidRPr="001B7507" w14:paraId="2EF9B699" w14:textId="34AD3560" w:rsidTr="00025B1E">
        <w:tc>
          <w:tcPr>
            <w:tcW w:w="436" w:type="pct"/>
            <w:vMerge/>
            <w:tcBorders>
              <w:left w:val="nil"/>
              <w:right w:val="nil"/>
            </w:tcBorders>
            <w:shd w:val="clear" w:color="auto" w:fill="auto"/>
          </w:tcPr>
          <w:p w14:paraId="431C6F34" w14:textId="77777777" w:rsidR="00EB257A" w:rsidRPr="001B7507" w:rsidRDefault="00EB257A" w:rsidP="001B7507">
            <w:pPr>
              <w:spacing w:before="60" w:after="60"/>
              <w:rPr>
                <w:rFonts w:eastAsia="Verdana"/>
                <w:sz w:val="18"/>
                <w:szCs w:val="18"/>
              </w:rPr>
            </w:pPr>
          </w:p>
        </w:tc>
        <w:tc>
          <w:tcPr>
            <w:tcW w:w="454" w:type="pct"/>
            <w:tcBorders>
              <w:top w:val="single" w:sz="8" w:space="0" w:color="D9D9D9"/>
              <w:left w:val="nil"/>
              <w:bottom w:val="single" w:sz="8" w:space="0" w:color="D9D9D9"/>
              <w:right w:val="nil"/>
            </w:tcBorders>
          </w:tcPr>
          <w:p w14:paraId="34E3048B" w14:textId="77777777" w:rsidR="00EB257A" w:rsidRPr="001B7507" w:rsidRDefault="00EB257A" w:rsidP="001B7507">
            <w:pPr>
              <w:spacing w:before="60" w:after="60"/>
              <w:rPr>
                <w:rFonts w:eastAsia="Verdana"/>
                <w:sz w:val="18"/>
                <w:szCs w:val="18"/>
              </w:rPr>
            </w:pPr>
            <w:r w:rsidRPr="001B7507">
              <w:rPr>
                <w:rFonts w:eastAsia="Verdana"/>
                <w:sz w:val="18"/>
                <w:szCs w:val="18"/>
              </w:rPr>
              <w:t>Collaboration between Aged Care and public hospitals</w:t>
            </w:r>
          </w:p>
        </w:tc>
        <w:tc>
          <w:tcPr>
            <w:tcW w:w="3449" w:type="pct"/>
            <w:tcBorders>
              <w:top w:val="single" w:sz="8" w:space="0" w:color="D9D9D9"/>
              <w:left w:val="nil"/>
              <w:bottom w:val="single" w:sz="8" w:space="0" w:color="D9D9D9"/>
              <w:right w:val="nil"/>
            </w:tcBorders>
            <w:shd w:val="clear" w:color="auto" w:fill="auto"/>
          </w:tcPr>
          <w:p w14:paraId="57369150" w14:textId="77777777" w:rsidR="00EB257A" w:rsidRPr="001B7507" w:rsidRDefault="00EB257A" w:rsidP="00CD1C28">
            <w:pPr>
              <w:numPr>
                <w:ilvl w:val="0"/>
                <w:numId w:val="95"/>
              </w:numPr>
              <w:spacing w:before="60" w:after="60"/>
              <w:rPr>
                <w:rFonts w:eastAsia="Verdana"/>
                <w:sz w:val="18"/>
                <w:szCs w:val="18"/>
              </w:rPr>
            </w:pPr>
            <w:r w:rsidRPr="006E1A01">
              <w:rPr>
                <w:rFonts w:eastAsia="Verdana"/>
                <w:b/>
                <w:bCs/>
                <w:sz w:val="18"/>
                <w:szCs w:val="18"/>
              </w:rPr>
              <w:t>Collaboration between Aged Care and public hospitals should be strengthened</w:t>
            </w:r>
            <w:r w:rsidRPr="001B7507">
              <w:rPr>
                <w:rFonts w:eastAsia="Verdana"/>
                <w:sz w:val="18"/>
                <w:szCs w:val="18"/>
              </w:rPr>
              <w:t xml:space="preserve"> through shared responsibility for supporting older patients to be discharged from hospital when clinically ready and to reduce avoidable ED presentations and hospital admissions. New strategies to address these long stay older patients (LSOP) include: </w:t>
            </w:r>
          </w:p>
          <w:p w14:paraId="63718805" w14:textId="2FB37079" w:rsidR="00EB257A" w:rsidRPr="001B7507" w:rsidRDefault="00EB257A" w:rsidP="001B7507">
            <w:pPr>
              <w:pStyle w:val="ListParagraph"/>
              <w:numPr>
                <w:ilvl w:val="0"/>
                <w:numId w:val="144"/>
              </w:numPr>
              <w:spacing w:before="60" w:after="60"/>
              <w:ind w:left="855"/>
              <w:contextualSpacing w:val="0"/>
              <w:rPr>
                <w:rFonts w:eastAsia="Verdana"/>
                <w:sz w:val="18"/>
                <w:szCs w:val="18"/>
              </w:rPr>
            </w:pPr>
            <w:r w:rsidRPr="001B7507">
              <w:rPr>
                <w:rFonts w:eastAsia="Verdana"/>
                <w:sz w:val="18"/>
                <w:szCs w:val="18"/>
              </w:rPr>
              <w:t xml:space="preserve">A </w:t>
            </w:r>
            <w:r w:rsidRPr="006E1A01">
              <w:rPr>
                <w:rFonts w:eastAsia="Verdana"/>
                <w:b/>
                <w:bCs/>
                <w:sz w:val="18"/>
                <w:szCs w:val="18"/>
              </w:rPr>
              <w:t>national data collection</w:t>
            </w:r>
            <w:r w:rsidRPr="001B7507">
              <w:rPr>
                <w:rFonts w:eastAsia="Verdana"/>
                <w:sz w:val="18"/>
                <w:szCs w:val="18"/>
              </w:rPr>
              <w:t xml:space="preserve"> to assess number and acuity/needs of LSOP</w:t>
            </w:r>
            <w:r w:rsidR="007D271E" w:rsidRPr="001B7507">
              <w:rPr>
                <w:rFonts w:eastAsia="Verdana"/>
                <w:sz w:val="18"/>
                <w:szCs w:val="18"/>
              </w:rPr>
              <w:t xml:space="preserve">. </w:t>
            </w:r>
            <w:r w:rsidRPr="001B7507">
              <w:rPr>
                <w:rFonts w:eastAsia="Verdana"/>
                <w:sz w:val="18"/>
                <w:szCs w:val="18"/>
              </w:rPr>
              <w:t>This is an early foundation that should commence immediately.</w:t>
            </w:r>
          </w:p>
          <w:p w14:paraId="157C1F7B" w14:textId="00CF67A8" w:rsidR="00EB257A" w:rsidRPr="001B7507" w:rsidRDefault="00EB257A" w:rsidP="001B7507">
            <w:pPr>
              <w:pStyle w:val="ListParagraph"/>
              <w:numPr>
                <w:ilvl w:val="0"/>
                <w:numId w:val="144"/>
              </w:numPr>
              <w:spacing w:before="60" w:after="60"/>
              <w:ind w:left="855"/>
              <w:contextualSpacing w:val="0"/>
              <w:rPr>
                <w:rFonts w:eastAsia="Verdana"/>
                <w:sz w:val="18"/>
                <w:szCs w:val="18"/>
              </w:rPr>
            </w:pPr>
            <w:r w:rsidRPr="001B7507">
              <w:rPr>
                <w:rFonts w:eastAsia="Verdana"/>
                <w:sz w:val="18"/>
                <w:szCs w:val="18"/>
              </w:rPr>
              <w:t xml:space="preserve">Greater availability and use of </w:t>
            </w:r>
            <w:r w:rsidRPr="006E1A01">
              <w:rPr>
                <w:rFonts w:eastAsia="Verdana"/>
                <w:b/>
                <w:bCs/>
                <w:sz w:val="18"/>
                <w:szCs w:val="18"/>
              </w:rPr>
              <w:t>transition care places</w:t>
            </w:r>
            <w:r w:rsidRPr="001B7507">
              <w:rPr>
                <w:rFonts w:eastAsia="Verdana"/>
                <w:sz w:val="18"/>
                <w:szCs w:val="18"/>
              </w:rPr>
              <w:t xml:space="preserve"> to support discharge from hospital to home, including step-down beds that are cost-shared and can bridge the gap between the hospital and a residential facility or community package.</w:t>
            </w:r>
          </w:p>
          <w:p w14:paraId="55D0683B" w14:textId="6908A875" w:rsidR="00EB257A" w:rsidRPr="001B7507" w:rsidRDefault="00EB257A" w:rsidP="001B7507">
            <w:pPr>
              <w:pStyle w:val="ListParagraph"/>
              <w:numPr>
                <w:ilvl w:val="0"/>
                <w:numId w:val="144"/>
              </w:numPr>
              <w:spacing w:before="60" w:after="60"/>
              <w:ind w:left="855"/>
              <w:contextualSpacing w:val="0"/>
              <w:rPr>
                <w:rFonts w:eastAsia="Verdana"/>
                <w:sz w:val="18"/>
                <w:szCs w:val="18"/>
              </w:rPr>
            </w:pPr>
            <w:r w:rsidRPr="001B7507">
              <w:rPr>
                <w:rFonts w:eastAsia="Verdana"/>
                <w:sz w:val="18"/>
                <w:szCs w:val="18"/>
              </w:rPr>
              <w:t xml:space="preserve">Creation of mechanisms (such as brokers, real time bed availability data, hospital liaison officers) to </w:t>
            </w:r>
            <w:r w:rsidRPr="006E1A01">
              <w:rPr>
                <w:rFonts w:eastAsia="Verdana"/>
                <w:b/>
                <w:bCs/>
                <w:sz w:val="18"/>
                <w:szCs w:val="18"/>
              </w:rPr>
              <w:t>actively manage placement of older people</w:t>
            </w:r>
            <w:r w:rsidRPr="001B7507">
              <w:rPr>
                <w:rFonts w:eastAsia="Verdana"/>
                <w:sz w:val="18"/>
                <w:szCs w:val="18"/>
              </w:rPr>
              <w:t>, from the point of admission to discharge.</w:t>
            </w:r>
          </w:p>
          <w:p w14:paraId="373B8244" w14:textId="0A69E837" w:rsidR="00EB257A" w:rsidRPr="001B7507" w:rsidRDefault="00EB257A" w:rsidP="001B7507">
            <w:pPr>
              <w:pStyle w:val="ListParagraph"/>
              <w:numPr>
                <w:ilvl w:val="0"/>
                <w:numId w:val="144"/>
              </w:numPr>
              <w:spacing w:before="60" w:after="60"/>
              <w:ind w:left="855"/>
              <w:contextualSpacing w:val="0"/>
              <w:rPr>
                <w:rFonts w:eastAsia="Verdana"/>
                <w:sz w:val="18"/>
                <w:szCs w:val="18"/>
              </w:rPr>
            </w:pPr>
            <w:r w:rsidRPr="001B7507">
              <w:rPr>
                <w:rFonts w:eastAsia="Verdana"/>
                <w:sz w:val="18"/>
                <w:szCs w:val="18"/>
              </w:rPr>
              <w:t xml:space="preserve">New models within residential aged care and the community (mobile outreach or rapid response teams) to support </w:t>
            </w:r>
            <w:r w:rsidRPr="006E1A01">
              <w:rPr>
                <w:rFonts w:eastAsia="Verdana"/>
                <w:b/>
                <w:bCs/>
                <w:sz w:val="18"/>
                <w:szCs w:val="18"/>
              </w:rPr>
              <w:t>placement of hard-to-place individuals</w:t>
            </w:r>
            <w:r w:rsidRPr="001B7507">
              <w:rPr>
                <w:rFonts w:eastAsia="Verdana"/>
                <w:sz w:val="18"/>
                <w:szCs w:val="18"/>
              </w:rPr>
              <w:t xml:space="preserve"> (including role of specialist dementia units and dementia training programs). </w:t>
            </w:r>
          </w:p>
          <w:p w14:paraId="2E4883EC" w14:textId="1DD96052" w:rsidR="00EB257A" w:rsidRPr="001B7507" w:rsidRDefault="00EB257A" w:rsidP="001B7507">
            <w:pPr>
              <w:spacing w:before="60" w:after="60"/>
              <w:ind w:left="855" w:hanging="426"/>
              <w:rPr>
                <w:sz w:val="18"/>
                <w:szCs w:val="18"/>
              </w:rPr>
            </w:pPr>
            <w:r w:rsidRPr="001B7507">
              <w:rPr>
                <w:rFonts w:eastAsia="Verdana"/>
                <w:sz w:val="18"/>
                <w:szCs w:val="18"/>
              </w:rPr>
              <w:t>e)</w:t>
            </w:r>
            <w:r w:rsidRPr="001B7507">
              <w:rPr>
                <w:rFonts w:eastAsia="Verdana"/>
                <w:sz w:val="18"/>
                <w:szCs w:val="18"/>
              </w:rPr>
              <w:tab/>
            </w:r>
            <w:r w:rsidRPr="006E1A01">
              <w:rPr>
                <w:rFonts w:eastAsia="Verdana"/>
                <w:b/>
                <w:bCs/>
                <w:sz w:val="18"/>
                <w:szCs w:val="18"/>
              </w:rPr>
              <w:t>Financial incentives</w:t>
            </w:r>
            <w:r w:rsidRPr="001B7507">
              <w:rPr>
                <w:rFonts w:eastAsia="Verdana"/>
                <w:sz w:val="18"/>
                <w:szCs w:val="18"/>
              </w:rPr>
              <w:t xml:space="preserve"> to better share risk where discharge is delayed and, for those with particularly complex needs, potential top-up payments to support placement with a RACF or community provider.</w:t>
            </w:r>
          </w:p>
        </w:tc>
        <w:tc>
          <w:tcPr>
            <w:tcW w:w="661" w:type="pct"/>
            <w:tcBorders>
              <w:top w:val="single" w:sz="8" w:space="0" w:color="D9D9D9"/>
              <w:left w:val="nil"/>
              <w:bottom w:val="single" w:sz="8" w:space="0" w:color="D9D9D9"/>
              <w:right w:val="nil"/>
            </w:tcBorders>
          </w:tcPr>
          <w:p w14:paraId="73E57D69" w14:textId="23914039" w:rsidR="00EB257A" w:rsidRPr="001B7507" w:rsidRDefault="00700662" w:rsidP="001B7507">
            <w:pPr>
              <w:spacing w:before="60" w:after="60"/>
              <w:ind w:left="0"/>
              <w:rPr>
                <w:rFonts w:eastAsia="Verdana"/>
                <w:sz w:val="18"/>
                <w:szCs w:val="18"/>
              </w:rPr>
            </w:pPr>
            <w:r w:rsidRPr="001B7507">
              <w:rPr>
                <w:rFonts w:eastAsia="Verdana"/>
                <w:sz w:val="18"/>
                <w:szCs w:val="18"/>
              </w:rPr>
              <w:fldChar w:fldCharType="begin" w:fldLock="1"/>
            </w:r>
            <w:r w:rsidRPr="001B7507">
              <w:rPr>
                <w:rFonts w:eastAsia="Verdana"/>
                <w:sz w:val="18"/>
                <w:szCs w:val="18"/>
              </w:rPr>
              <w:instrText xml:space="preserve"> REF _Ref148441910 \w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Pr>
                <w:rFonts w:eastAsia="Verdana"/>
                <w:sz w:val="18"/>
                <w:szCs w:val="18"/>
              </w:rPr>
              <w:t>5.2.3.4</w:t>
            </w:r>
            <w:r w:rsidRPr="001B7507">
              <w:rPr>
                <w:rFonts w:eastAsia="Verdana"/>
                <w:sz w:val="18"/>
                <w:szCs w:val="18"/>
              </w:rPr>
              <w:fldChar w:fldCharType="end"/>
            </w:r>
            <w:r w:rsidRPr="001B7507">
              <w:rPr>
                <w:rFonts w:eastAsia="Verdana"/>
                <w:sz w:val="18"/>
                <w:szCs w:val="18"/>
              </w:rPr>
              <w:t xml:space="preserve"> - </w:t>
            </w:r>
            <w:r w:rsidRPr="001B7507">
              <w:rPr>
                <w:rFonts w:eastAsia="Verdana"/>
                <w:sz w:val="18"/>
                <w:szCs w:val="18"/>
              </w:rPr>
              <w:fldChar w:fldCharType="begin" w:fldLock="1"/>
            </w:r>
            <w:r w:rsidRPr="001B7507">
              <w:rPr>
                <w:rFonts w:eastAsia="Verdana"/>
                <w:sz w:val="18"/>
                <w:szCs w:val="18"/>
              </w:rPr>
              <w:instrText xml:space="preserve"> REF _Ref148441910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sidRPr="00FA10A4">
              <w:rPr>
                <w:sz w:val="18"/>
                <w:szCs w:val="18"/>
              </w:rPr>
              <w:t>Increase capacity of timely and appropriate aged care and disability accommodation and support services</w:t>
            </w:r>
            <w:r w:rsidRPr="001B7507">
              <w:rPr>
                <w:rFonts w:eastAsia="Verdana"/>
                <w:sz w:val="18"/>
                <w:szCs w:val="18"/>
              </w:rPr>
              <w:fldChar w:fldCharType="end"/>
            </w:r>
          </w:p>
        </w:tc>
      </w:tr>
      <w:tr w:rsidR="00ED6A10" w:rsidRPr="001B7507" w14:paraId="1735E3A2" w14:textId="39AD6414" w:rsidTr="00025B1E">
        <w:tc>
          <w:tcPr>
            <w:tcW w:w="436" w:type="pct"/>
            <w:vMerge/>
            <w:tcBorders>
              <w:left w:val="nil"/>
              <w:bottom w:val="single" w:sz="8" w:space="0" w:color="D9D9D9"/>
              <w:right w:val="nil"/>
            </w:tcBorders>
            <w:shd w:val="clear" w:color="auto" w:fill="auto"/>
          </w:tcPr>
          <w:p w14:paraId="3CDED875" w14:textId="77777777" w:rsidR="00EB257A" w:rsidRPr="001B7507" w:rsidRDefault="00EB257A" w:rsidP="001B7507">
            <w:pPr>
              <w:spacing w:before="60" w:after="60"/>
              <w:rPr>
                <w:rFonts w:eastAsia="Verdana"/>
                <w:sz w:val="18"/>
                <w:szCs w:val="18"/>
              </w:rPr>
            </w:pPr>
          </w:p>
        </w:tc>
        <w:tc>
          <w:tcPr>
            <w:tcW w:w="454" w:type="pct"/>
            <w:tcBorders>
              <w:top w:val="single" w:sz="8" w:space="0" w:color="D9D9D9"/>
              <w:left w:val="nil"/>
              <w:bottom w:val="single" w:sz="8" w:space="0" w:color="D9D9D9"/>
              <w:right w:val="nil"/>
            </w:tcBorders>
          </w:tcPr>
          <w:p w14:paraId="4C22E847" w14:textId="77777777" w:rsidR="00EB257A" w:rsidRPr="001B7507" w:rsidRDefault="00EB257A" w:rsidP="001B7507">
            <w:pPr>
              <w:spacing w:before="60" w:after="60"/>
              <w:rPr>
                <w:rFonts w:eastAsia="Verdana"/>
                <w:sz w:val="18"/>
                <w:szCs w:val="18"/>
              </w:rPr>
            </w:pPr>
            <w:r w:rsidRPr="001B7507">
              <w:rPr>
                <w:rFonts w:eastAsia="Verdana"/>
                <w:sz w:val="18"/>
                <w:szCs w:val="18"/>
              </w:rPr>
              <w:t>Transition out of hospital to home of people with a disability</w:t>
            </w:r>
          </w:p>
        </w:tc>
        <w:tc>
          <w:tcPr>
            <w:tcW w:w="3449" w:type="pct"/>
            <w:tcBorders>
              <w:top w:val="single" w:sz="8" w:space="0" w:color="D9D9D9"/>
              <w:left w:val="nil"/>
              <w:bottom w:val="single" w:sz="8" w:space="0" w:color="D9D9D9"/>
              <w:right w:val="nil"/>
            </w:tcBorders>
            <w:shd w:val="clear" w:color="auto" w:fill="auto"/>
          </w:tcPr>
          <w:p w14:paraId="7235DB95" w14:textId="4216DD3F" w:rsidR="00EB257A" w:rsidRPr="001B7507" w:rsidRDefault="00EB257A" w:rsidP="001B7507">
            <w:pPr>
              <w:numPr>
                <w:ilvl w:val="0"/>
                <w:numId w:val="95"/>
              </w:numPr>
              <w:spacing w:before="60" w:after="60"/>
              <w:ind w:left="332" w:hanging="283"/>
              <w:rPr>
                <w:rFonts w:eastAsia="Verdana"/>
                <w:sz w:val="18"/>
                <w:szCs w:val="18"/>
              </w:rPr>
            </w:pPr>
            <w:r w:rsidRPr="001B7507">
              <w:rPr>
                <w:sz w:val="18"/>
                <w:szCs w:val="18"/>
                <w:lang w:val="en-GB"/>
              </w:rPr>
              <w:t xml:space="preserve">The proactive approach being taken to </w:t>
            </w:r>
            <w:r w:rsidRPr="001B7507">
              <w:rPr>
                <w:b/>
                <w:bCs/>
                <w:sz w:val="18"/>
                <w:szCs w:val="18"/>
                <w:lang w:val="en-GB"/>
              </w:rPr>
              <w:t>support</w:t>
            </w:r>
            <w:r w:rsidRPr="001B7507" w:rsidDel="00842858">
              <w:rPr>
                <w:b/>
                <w:bCs/>
                <w:sz w:val="18"/>
                <w:szCs w:val="18"/>
                <w:lang w:val="en-GB"/>
              </w:rPr>
              <w:t xml:space="preserve"> </w:t>
            </w:r>
            <w:r w:rsidRPr="001B7507">
              <w:rPr>
                <w:b/>
                <w:bCs/>
                <w:sz w:val="18"/>
                <w:szCs w:val="18"/>
                <w:lang w:val="en-GB"/>
              </w:rPr>
              <w:t>the transition out of hospital to home of people with a disability who are NDIS eligible and ready for discharge</w:t>
            </w:r>
            <w:r w:rsidRPr="001B7507">
              <w:rPr>
                <w:sz w:val="18"/>
                <w:szCs w:val="18"/>
                <w:lang w:val="en-GB"/>
              </w:rPr>
              <w:t xml:space="preserve"> should continue, supported by </w:t>
            </w:r>
            <w:r w:rsidR="007D271E" w:rsidRPr="001B7507">
              <w:rPr>
                <w:sz w:val="18"/>
                <w:szCs w:val="18"/>
                <w:lang w:val="en-GB"/>
              </w:rPr>
              <w:t xml:space="preserve">its own </w:t>
            </w:r>
            <w:r w:rsidRPr="001B7507">
              <w:rPr>
                <w:sz w:val="18"/>
                <w:szCs w:val="18"/>
                <w:lang w:val="en-GB"/>
              </w:rPr>
              <w:t xml:space="preserve">national data collection </w:t>
            </w:r>
            <w:r w:rsidR="007D271E" w:rsidRPr="001B7507">
              <w:rPr>
                <w:sz w:val="18"/>
                <w:szCs w:val="18"/>
                <w:lang w:val="en-GB"/>
              </w:rPr>
              <w:t xml:space="preserve">along the lines of that </w:t>
            </w:r>
            <w:r w:rsidRPr="001B7507">
              <w:rPr>
                <w:sz w:val="18"/>
                <w:szCs w:val="18"/>
                <w:lang w:val="en-GB"/>
              </w:rPr>
              <w:t xml:space="preserve">at Recommendation 9(a), </w:t>
            </w:r>
            <w:r w:rsidR="00EE1D42" w:rsidRPr="00EE1D42">
              <w:rPr>
                <w:sz w:val="18"/>
                <w:szCs w:val="18"/>
                <w:lang w:val="en-GB"/>
              </w:rPr>
              <w:t xml:space="preserve">with a focus on delivery of joint and concurrent responses across sectors, and further review of the mechanisms to ensure </w:t>
            </w:r>
            <w:r w:rsidR="00EE1D42" w:rsidRPr="00EE1D42">
              <w:rPr>
                <w:b/>
                <w:bCs/>
                <w:sz w:val="18"/>
                <w:szCs w:val="18"/>
                <w:lang w:val="en-GB"/>
              </w:rPr>
              <w:t xml:space="preserve">continuity of care </w:t>
            </w:r>
            <w:r w:rsidR="00EE1D42" w:rsidRPr="00EE1D42">
              <w:rPr>
                <w:sz w:val="18"/>
                <w:szCs w:val="18"/>
                <w:lang w:val="en-GB"/>
              </w:rPr>
              <w:t xml:space="preserve">for NDIS participants during </w:t>
            </w:r>
            <w:r w:rsidR="00386369">
              <w:rPr>
                <w:sz w:val="18"/>
                <w:szCs w:val="18"/>
                <w:lang w:val="en-GB"/>
              </w:rPr>
              <w:t xml:space="preserve">a </w:t>
            </w:r>
            <w:r w:rsidR="00EE1D42" w:rsidRPr="00EE1D42">
              <w:rPr>
                <w:sz w:val="18"/>
                <w:szCs w:val="18"/>
                <w:lang w:val="en-GB"/>
              </w:rPr>
              <w:t>hospital stay to ensure optimal patient outcomes</w:t>
            </w:r>
            <w:r w:rsidRPr="001B7507">
              <w:rPr>
                <w:rFonts w:eastAsia="Verdana"/>
                <w:sz w:val="18"/>
                <w:szCs w:val="18"/>
              </w:rPr>
              <w:t>.</w:t>
            </w:r>
          </w:p>
        </w:tc>
        <w:tc>
          <w:tcPr>
            <w:tcW w:w="661" w:type="pct"/>
            <w:tcBorders>
              <w:top w:val="single" w:sz="8" w:space="0" w:color="D9D9D9"/>
              <w:left w:val="nil"/>
              <w:bottom w:val="single" w:sz="8" w:space="0" w:color="D9D9D9"/>
              <w:right w:val="nil"/>
            </w:tcBorders>
          </w:tcPr>
          <w:p w14:paraId="4BE53772" w14:textId="5F4BB597" w:rsidR="00EB257A" w:rsidRPr="001B7507" w:rsidRDefault="00700662" w:rsidP="001B7507">
            <w:pPr>
              <w:spacing w:before="60" w:after="60"/>
              <w:ind w:left="49"/>
              <w:rPr>
                <w:sz w:val="18"/>
                <w:szCs w:val="18"/>
                <w:lang w:val="en-GB"/>
              </w:rPr>
            </w:pPr>
            <w:r w:rsidRPr="001B7507">
              <w:rPr>
                <w:sz w:val="18"/>
                <w:szCs w:val="18"/>
                <w:lang w:val="en-GB"/>
              </w:rPr>
              <w:fldChar w:fldCharType="begin" w:fldLock="1"/>
            </w:r>
            <w:r w:rsidRPr="001B7507">
              <w:rPr>
                <w:sz w:val="18"/>
                <w:szCs w:val="18"/>
                <w:lang w:val="en-GB"/>
              </w:rPr>
              <w:instrText xml:space="preserve"> REF _Ref148441940 \w \h </w:instrText>
            </w:r>
            <w:r w:rsidR="00C66478" w:rsidRPr="001B7507">
              <w:rPr>
                <w:sz w:val="18"/>
                <w:szCs w:val="18"/>
                <w:lang w:val="en-GB"/>
              </w:rPr>
              <w:instrText xml:space="preserve"> \* MERGEFORMAT </w:instrText>
            </w:r>
            <w:r w:rsidRPr="001B7507">
              <w:rPr>
                <w:sz w:val="18"/>
                <w:szCs w:val="18"/>
                <w:lang w:val="en-GB"/>
              </w:rPr>
            </w:r>
            <w:r w:rsidRPr="001B7507">
              <w:rPr>
                <w:sz w:val="18"/>
                <w:szCs w:val="18"/>
                <w:lang w:val="en-GB"/>
              </w:rPr>
              <w:fldChar w:fldCharType="separate"/>
            </w:r>
            <w:r w:rsidR="00FA10A4">
              <w:rPr>
                <w:sz w:val="18"/>
                <w:szCs w:val="18"/>
                <w:lang w:val="en-GB"/>
              </w:rPr>
              <w:t>5.2.3.5</w:t>
            </w:r>
            <w:r w:rsidRPr="001B7507">
              <w:rPr>
                <w:sz w:val="18"/>
                <w:szCs w:val="18"/>
                <w:lang w:val="en-GB"/>
              </w:rPr>
              <w:fldChar w:fldCharType="end"/>
            </w:r>
            <w:r w:rsidRPr="001B7507">
              <w:rPr>
                <w:sz w:val="18"/>
                <w:szCs w:val="18"/>
                <w:lang w:val="en-GB"/>
              </w:rPr>
              <w:t xml:space="preserve"> - </w:t>
            </w:r>
            <w:r w:rsidRPr="001B7507">
              <w:rPr>
                <w:sz w:val="18"/>
                <w:szCs w:val="18"/>
                <w:lang w:val="en-GB"/>
              </w:rPr>
              <w:fldChar w:fldCharType="begin" w:fldLock="1"/>
            </w:r>
            <w:r w:rsidRPr="001B7507">
              <w:rPr>
                <w:sz w:val="18"/>
                <w:szCs w:val="18"/>
                <w:lang w:val="en-GB"/>
              </w:rPr>
              <w:instrText xml:space="preserve"> REF _Ref148441940 \h </w:instrText>
            </w:r>
            <w:r w:rsidR="00C66478" w:rsidRPr="001B7507">
              <w:rPr>
                <w:sz w:val="18"/>
                <w:szCs w:val="18"/>
                <w:lang w:val="en-GB"/>
              </w:rPr>
              <w:instrText xml:space="preserve"> \* MERGEFORMAT </w:instrText>
            </w:r>
            <w:r w:rsidRPr="001B7507">
              <w:rPr>
                <w:sz w:val="18"/>
                <w:szCs w:val="18"/>
                <w:lang w:val="en-GB"/>
              </w:rPr>
            </w:r>
            <w:r w:rsidRPr="001B7507">
              <w:rPr>
                <w:sz w:val="18"/>
                <w:szCs w:val="18"/>
                <w:lang w:val="en-GB"/>
              </w:rPr>
              <w:fldChar w:fldCharType="separate"/>
            </w:r>
            <w:r w:rsidR="00FA10A4" w:rsidRPr="00FA10A4">
              <w:rPr>
                <w:sz w:val="18"/>
                <w:szCs w:val="18"/>
              </w:rPr>
              <w:t>Proactively facilitate NDIS participant discharge from public hospitals</w:t>
            </w:r>
            <w:r w:rsidRPr="001B7507">
              <w:rPr>
                <w:sz w:val="18"/>
                <w:szCs w:val="18"/>
                <w:lang w:val="en-GB"/>
              </w:rPr>
              <w:fldChar w:fldCharType="end"/>
            </w:r>
          </w:p>
        </w:tc>
      </w:tr>
      <w:tr w:rsidR="00ED6A10" w:rsidRPr="001B7507" w14:paraId="2D88203D" w14:textId="1548711D" w:rsidTr="00025B1E">
        <w:tc>
          <w:tcPr>
            <w:tcW w:w="436" w:type="pct"/>
            <w:tcBorders>
              <w:top w:val="single" w:sz="8" w:space="0" w:color="D9D9D9"/>
              <w:left w:val="nil"/>
              <w:bottom w:val="single" w:sz="8" w:space="0" w:color="D9D9D9"/>
              <w:right w:val="nil"/>
            </w:tcBorders>
            <w:shd w:val="clear" w:color="auto" w:fill="auto"/>
          </w:tcPr>
          <w:p w14:paraId="096A851D" w14:textId="77777777" w:rsidR="00EB257A" w:rsidRPr="001B7507" w:rsidRDefault="00EB257A" w:rsidP="001B7507">
            <w:pPr>
              <w:spacing w:before="60" w:after="60"/>
              <w:rPr>
                <w:rFonts w:eastAsia="Verdana"/>
                <w:sz w:val="18"/>
                <w:szCs w:val="18"/>
              </w:rPr>
            </w:pPr>
            <w:r w:rsidRPr="001B7507">
              <w:rPr>
                <w:rFonts w:eastAsia="Verdana"/>
                <w:sz w:val="18"/>
                <w:szCs w:val="18"/>
              </w:rPr>
              <w:t>Optimal models of care</w:t>
            </w:r>
          </w:p>
        </w:tc>
        <w:tc>
          <w:tcPr>
            <w:tcW w:w="454" w:type="pct"/>
            <w:tcBorders>
              <w:top w:val="single" w:sz="8" w:space="0" w:color="D9D9D9"/>
              <w:left w:val="nil"/>
              <w:bottom w:val="single" w:sz="8" w:space="0" w:color="D9D9D9"/>
              <w:right w:val="nil"/>
            </w:tcBorders>
          </w:tcPr>
          <w:p w14:paraId="5681530B" w14:textId="77777777" w:rsidR="00EB257A" w:rsidRPr="001B7507" w:rsidRDefault="00EB257A" w:rsidP="001B7507">
            <w:pPr>
              <w:spacing w:before="60" w:after="60"/>
              <w:rPr>
                <w:rFonts w:eastAsia="Verdana"/>
                <w:sz w:val="18"/>
                <w:szCs w:val="18"/>
              </w:rPr>
            </w:pPr>
            <w:r w:rsidRPr="001B7507">
              <w:rPr>
                <w:rFonts w:eastAsia="Verdana"/>
                <w:sz w:val="18"/>
                <w:szCs w:val="18"/>
              </w:rPr>
              <w:t>Development of optimal models of care</w:t>
            </w:r>
          </w:p>
        </w:tc>
        <w:tc>
          <w:tcPr>
            <w:tcW w:w="3449" w:type="pct"/>
            <w:tcBorders>
              <w:top w:val="single" w:sz="8" w:space="0" w:color="D9D9D9"/>
              <w:left w:val="nil"/>
              <w:bottom w:val="single" w:sz="8" w:space="0" w:color="D9D9D9"/>
              <w:right w:val="nil"/>
            </w:tcBorders>
            <w:shd w:val="clear" w:color="auto" w:fill="auto"/>
          </w:tcPr>
          <w:p w14:paraId="3A5BBEF6" w14:textId="77777777" w:rsidR="00EB257A" w:rsidRPr="001B7507" w:rsidRDefault="00EB257A" w:rsidP="001B7507">
            <w:pPr>
              <w:numPr>
                <w:ilvl w:val="0"/>
                <w:numId w:val="95"/>
              </w:numPr>
              <w:spacing w:before="60" w:after="60"/>
              <w:rPr>
                <w:rFonts w:eastAsia="Verdana"/>
                <w:sz w:val="18"/>
                <w:szCs w:val="18"/>
              </w:rPr>
            </w:pPr>
            <w:r w:rsidRPr="001B7507">
              <w:rPr>
                <w:rFonts w:eastAsia="Verdana"/>
                <w:sz w:val="18"/>
                <w:szCs w:val="18"/>
              </w:rPr>
              <w:t xml:space="preserve">The NHRA should prioritise the </w:t>
            </w:r>
            <w:r w:rsidRPr="001B7507">
              <w:rPr>
                <w:rFonts w:eastAsia="Verdana"/>
                <w:b/>
                <w:bCs/>
                <w:sz w:val="18"/>
                <w:szCs w:val="18"/>
              </w:rPr>
              <w:t>development of optimal models of care</w:t>
            </w:r>
            <w:r w:rsidRPr="001B7507">
              <w:rPr>
                <w:rFonts w:eastAsia="Verdana"/>
                <w:sz w:val="18"/>
                <w:szCs w:val="18"/>
              </w:rPr>
              <w:t>, using agreed innovative financing mechanisms, through:</w:t>
            </w:r>
          </w:p>
          <w:p w14:paraId="6CB9C7C5" w14:textId="543A39CB" w:rsidR="00EB257A" w:rsidRPr="001B7507" w:rsidRDefault="00EB257A" w:rsidP="001B7507">
            <w:pPr>
              <w:numPr>
                <w:ilvl w:val="0"/>
                <w:numId w:val="108"/>
              </w:numPr>
              <w:spacing w:before="60" w:after="60"/>
              <w:ind w:left="850"/>
              <w:rPr>
                <w:rFonts w:eastAsia="Verdana"/>
                <w:sz w:val="18"/>
                <w:szCs w:val="18"/>
              </w:rPr>
            </w:pPr>
            <w:r w:rsidRPr="001B7507">
              <w:rPr>
                <w:rFonts w:eastAsia="Verdana"/>
                <w:sz w:val="18"/>
                <w:szCs w:val="18"/>
              </w:rPr>
              <w:t xml:space="preserve">Enhancements that both </w:t>
            </w:r>
            <w:r w:rsidRPr="009A4C2E">
              <w:rPr>
                <w:rFonts w:eastAsia="Verdana"/>
                <w:b/>
                <w:bCs/>
                <w:sz w:val="18"/>
                <w:szCs w:val="18"/>
              </w:rPr>
              <w:t xml:space="preserve">respond to, and shape demand for </w:t>
            </w:r>
            <w:r w:rsidR="0061428A">
              <w:rPr>
                <w:rFonts w:eastAsia="Verdana"/>
                <w:b/>
                <w:bCs/>
                <w:sz w:val="18"/>
                <w:szCs w:val="18"/>
              </w:rPr>
              <w:t>health services</w:t>
            </w:r>
            <w:r w:rsidRPr="001B7507">
              <w:rPr>
                <w:rFonts w:eastAsia="Verdana"/>
                <w:sz w:val="18"/>
                <w:szCs w:val="18"/>
              </w:rPr>
              <w:t>, with a priority focus on:</w:t>
            </w:r>
          </w:p>
          <w:p w14:paraId="2E31B9B1" w14:textId="77777777" w:rsidR="00EB257A" w:rsidRPr="001B7507" w:rsidRDefault="00EB257A" w:rsidP="001B7507">
            <w:pPr>
              <w:pStyle w:val="Summarytable"/>
              <w:numPr>
                <w:ilvl w:val="0"/>
                <w:numId w:val="113"/>
              </w:numPr>
              <w:spacing w:before="60" w:after="60"/>
              <w:ind w:left="1417"/>
              <w:rPr>
                <w:b w:val="0"/>
                <w:bCs w:val="0"/>
                <w:sz w:val="18"/>
                <w:szCs w:val="18"/>
              </w:rPr>
            </w:pPr>
            <w:r w:rsidRPr="001B7507">
              <w:rPr>
                <w:b w:val="0"/>
                <w:bCs w:val="0"/>
                <w:sz w:val="18"/>
                <w:szCs w:val="18"/>
              </w:rPr>
              <w:t>Reducing rates of potentially preventable hospitalisations</w:t>
            </w:r>
          </w:p>
          <w:p w14:paraId="44AD8F25" w14:textId="77777777" w:rsidR="00EB257A" w:rsidRPr="001B7507" w:rsidRDefault="00EB257A" w:rsidP="001B7507">
            <w:pPr>
              <w:pStyle w:val="Summarytable"/>
              <w:numPr>
                <w:ilvl w:val="0"/>
                <w:numId w:val="113"/>
              </w:numPr>
              <w:spacing w:before="60" w:after="60"/>
              <w:ind w:left="1417"/>
              <w:rPr>
                <w:b w:val="0"/>
                <w:bCs w:val="0"/>
                <w:sz w:val="18"/>
                <w:szCs w:val="18"/>
              </w:rPr>
            </w:pPr>
            <w:r w:rsidRPr="001B7507">
              <w:rPr>
                <w:b w:val="0"/>
                <w:bCs w:val="0"/>
                <w:sz w:val="18"/>
                <w:szCs w:val="18"/>
              </w:rPr>
              <w:t>Scaled adoption of the ACSQHC Clinical Standards and Pathways</w:t>
            </w:r>
          </w:p>
          <w:p w14:paraId="51596218" w14:textId="77777777" w:rsidR="00EB257A" w:rsidRPr="001B7507" w:rsidRDefault="00EB257A" w:rsidP="001B7507">
            <w:pPr>
              <w:pStyle w:val="Summarytable"/>
              <w:numPr>
                <w:ilvl w:val="0"/>
                <w:numId w:val="113"/>
              </w:numPr>
              <w:spacing w:before="60" w:after="60"/>
              <w:ind w:left="1417"/>
              <w:rPr>
                <w:b w:val="0"/>
                <w:bCs w:val="0"/>
                <w:sz w:val="18"/>
                <w:szCs w:val="18"/>
              </w:rPr>
            </w:pPr>
            <w:r w:rsidRPr="001B7507">
              <w:rPr>
                <w:b w:val="0"/>
                <w:bCs w:val="0"/>
                <w:sz w:val="18"/>
                <w:szCs w:val="18"/>
              </w:rPr>
              <w:t>Bundling care for certain agreed pathways (maternity care, hip and knee replacement, stroke)</w:t>
            </w:r>
          </w:p>
          <w:p w14:paraId="6D1522E2" w14:textId="2760102F" w:rsidR="00EB257A" w:rsidRPr="001B7507" w:rsidRDefault="00EB257A" w:rsidP="001B7507">
            <w:pPr>
              <w:pStyle w:val="Summarytable"/>
              <w:numPr>
                <w:ilvl w:val="0"/>
                <w:numId w:val="113"/>
              </w:numPr>
              <w:spacing w:before="60" w:after="60"/>
              <w:ind w:left="1417"/>
              <w:rPr>
                <w:b w:val="0"/>
                <w:bCs w:val="0"/>
                <w:sz w:val="18"/>
                <w:szCs w:val="18"/>
              </w:rPr>
            </w:pPr>
            <w:r w:rsidRPr="001B7507">
              <w:rPr>
                <w:b w:val="0"/>
                <w:bCs w:val="0"/>
                <w:sz w:val="18"/>
                <w:szCs w:val="18"/>
              </w:rPr>
              <w:t>Embedding digital and technology solutions, including by enabling virtual care</w:t>
            </w:r>
          </w:p>
          <w:p w14:paraId="5EE83515" w14:textId="77777777" w:rsidR="00EB257A" w:rsidRPr="001B7507" w:rsidRDefault="00EB257A" w:rsidP="001B7507">
            <w:pPr>
              <w:numPr>
                <w:ilvl w:val="0"/>
                <w:numId w:val="113"/>
              </w:numPr>
              <w:spacing w:before="60" w:after="60"/>
              <w:ind w:left="1417"/>
              <w:rPr>
                <w:rFonts w:eastAsia="Verdana"/>
                <w:sz w:val="18"/>
                <w:szCs w:val="18"/>
              </w:rPr>
            </w:pPr>
            <w:r w:rsidRPr="001B7507">
              <w:rPr>
                <w:sz w:val="18"/>
                <w:szCs w:val="18"/>
              </w:rPr>
              <w:t>Improving access to quality services in rural and remote regions</w:t>
            </w:r>
            <w:r w:rsidRPr="001B7507">
              <w:rPr>
                <w:rFonts w:eastAsia="Verdana"/>
                <w:sz w:val="18"/>
                <w:szCs w:val="18"/>
              </w:rPr>
              <w:t>.</w:t>
            </w:r>
          </w:p>
          <w:p w14:paraId="0D493F92" w14:textId="77777777" w:rsidR="00EB257A" w:rsidRPr="001B7507" w:rsidRDefault="00EB257A" w:rsidP="001B7507">
            <w:pPr>
              <w:numPr>
                <w:ilvl w:val="0"/>
                <w:numId w:val="108"/>
              </w:numPr>
              <w:spacing w:before="60" w:after="60"/>
              <w:ind w:left="850"/>
              <w:rPr>
                <w:rFonts w:eastAsia="Verdana"/>
                <w:sz w:val="18"/>
                <w:szCs w:val="18"/>
              </w:rPr>
            </w:pPr>
            <w:r w:rsidRPr="001B7507">
              <w:rPr>
                <w:rFonts w:eastAsia="Verdana"/>
                <w:sz w:val="18"/>
                <w:szCs w:val="18"/>
              </w:rPr>
              <w:t xml:space="preserve">Establishing </w:t>
            </w:r>
            <w:r w:rsidRPr="009A4C2E">
              <w:rPr>
                <w:rFonts w:eastAsia="Verdana"/>
                <w:b/>
                <w:bCs/>
                <w:sz w:val="18"/>
                <w:szCs w:val="18"/>
              </w:rPr>
              <w:t>guidelines for the development of evidence based care models and pathways</w:t>
            </w:r>
            <w:r w:rsidRPr="001B7507">
              <w:rPr>
                <w:rFonts w:eastAsia="Verdana"/>
                <w:sz w:val="18"/>
                <w:szCs w:val="18"/>
              </w:rPr>
              <w:t xml:space="preserve"> that consider:</w:t>
            </w:r>
          </w:p>
          <w:p w14:paraId="4E188ED1" w14:textId="77777777" w:rsidR="00EB257A" w:rsidRPr="001B7507" w:rsidRDefault="00EB257A" w:rsidP="001B7507">
            <w:pPr>
              <w:numPr>
                <w:ilvl w:val="0"/>
                <w:numId w:val="114"/>
              </w:numPr>
              <w:spacing w:before="60" w:after="60"/>
              <w:ind w:left="1417"/>
              <w:rPr>
                <w:rFonts w:eastAsia="Verdana"/>
                <w:sz w:val="18"/>
                <w:szCs w:val="18"/>
              </w:rPr>
            </w:pPr>
            <w:r w:rsidRPr="001B7507">
              <w:rPr>
                <w:rFonts w:eastAsia="Verdana"/>
                <w:sz w:val="18"/>
                <w:szCs w:val="18"/>
              </w:rPr>
              <w:t>The needs of patients</w:t>
            </w:r>
          </w:p>
          <w:p w14:paraId="1F2BCC68" w14:textId="77777777" w:rsidR="00EB257A" w:rsidRPr="001B7507" w:rsidRDefault="00EB257A" w:rsidP="001B7507">
            <w:pPr>
              <w:numPr>
                <w:ilvl w:val="0"/>
                <w:numId w:val="114"/>
              </w:numPr>
              <w:spacing w:before="60" w:after="60"/>
              <w:ind w:left="1417"/>
              <w:rPr>
                <w:rFonts w:eastAsia="Verdana"/>
                <w:sz w:val="18"/>
                <w:szCs w:val="18"/>
              </w:rPr>
            </w:pPr>
            <w:r w:rsidRPr="001B7507">
              <w:rPr>
                <w:rFonts w:eastAsia="Verdana"/>
                <w:sz w:val="18"/>
                <w:szCs w:val="18"/>
              </w:rPr>
              <w:t xml:space="preserve">Whole of system pathways </w:t>
            </w:r>
          </w:p>
          <w:p w14:paraId="65F73098" w14:textId="77777777" w:rsidR="00EB257A" w:rsidRPr="001B7507" w:rsidRDefault="00EB257A" w:rsidP="001B7507">
            <w:pPr>
              <w:numPr>
                <w:ilvl w:val="0"/>
                <w:numId w:val="114"/>
              </w:numPr>
              <w:spacing w:before="60" w:after="60"/>
              <w:ind w:left="1417"/>
              <w:rPr>
                <w:rFonts w:eastAsia="Verdana"/>
                <w:sz w:val="18"/>
                <w:szCs w:val="18"/>
              </w:rPr>
            </w:pPr>
            <w:r w:rsidRPr="001B7507">
              <w:rPr>
                <w:rFonts w:eastAsia="Verdana"/>
                <w:sz w:val="18"/>
                <w:szCs w:val="18"/>
              </w:rPr>
              <w:t>Model of care enablers including data sharing and governance, capacity for local tailoring and adoption, workforce, funding, infrastructure and technology.</w:t>
            </w:r>
          </w:p>
          <w:p w14:paraId="6E4D7B82" w14:textId="048DF83C" w:rsidR="00EB257A" w:rsidRPr="001B7507" w:rsidRDefault="00EB257A" w:rsidP="001B7507">
            <w:pPr>
              <w:numPr>
                <w:ilvl w:val="0"/>
                <w:numId w:val="108"/>
              </w:numPr>
              <w:spacing w:before="60" w:after="60"/>
              <w:ind w:left="850"/>
              <w:rPr>
                <w:rFonts w:eastAsia="Verdana"/>
                <w:sz w:val="18"/>
                <w:szCs w:val="18"/>
              </w:rPr>
            </w:pPr>
            <w:r w:rsidRPr="001B7507">
              <w:rPr>
                <w:rFonts w:eastAsia="Verdana"/>
                <w:sz w:val="18"/>
                <w:szCs w:val="18"/>
              </w:rPr>
              <w:t xml:space="preserve">An </w:t>
            </w:r>
            <w:r w:rsidR="00C57218" w:rsidRPr="00C57218">
              <w:rPr>
                <w:rFonts w:eastAsia="Verdana"/>
                <w:b/>
                <w:bCs/>
                <w:sz w:val="18"/>
                <w:szCs w:val="18"/>
              </w:rPr>
              <w:t>I</w:t>
            </w:r>
            <w:r w:rsidRPr="00C57218">
              <w:rPr>
                <w:rFonts w:eastAsia="Verdana"/>
                <w:b/>
                <w:bCs/>
                <w:sz w:val="18"/>
                <w:szCs w:val="18"/>
              </w:rPr>
              <w:t xml:space="preserve">nnovation </w:t>
            </w:r>
            <w:r w:rsidR="00C57218">
              <w:rPr>
                <w:rFonts w:eastAsia="Verdana"/>
                <w:b/>
                <w:bCs/>
                <w:sz w:val="18"/>
                <w:szCs w:val="18"/>
              </w:rPr>
              <w:t>F</w:t>
            </w:r>
            <w:r w:rsidRPr="00C57218">
              <w:rPr>
                <w:rFonts w:eastAsia="Verdana"/>
                <w:b/>
                <w:bCs/>
                <w:sz w:val="18"/>
                <w:szCs w:val="18"/>
              </w:rPr>
              <w:t xml:space="preserve">unding </w:t>
            </w:r>
            <w:r w:rsidR="00C57218">
              <w:rPr>
                <w:rFonts w:eastAsia="Verdana"/>
                <w:b/>
                <w:bCs/>
                <w:sz w:val="18"/>
                <w:szCs w:val="18"/>
              </w:rPr>
              <w:t>P</w:t>
            </w:r>
            <w:r w:rsidRPr="00C57218">
              <w:rPr>
                <w:rFonts w:eastAsia="Verdana"/>
                <w:b/>
                <w:bCs/>
                <w:sz w:val="18"/>
                <w:szCs w:val="18"/>
              </w:rPr>
              <w:t>athway</w:t>
            </w:r>
            <w:r w:rsidRPr="001B7507">
              <w:rPr>
                <w:rFonts w:eastAsia="Verdana"/>
                <w:sz w:val="18"/>
                <w:szCs w:val="18"/>
              </w:rPr>
              <w:t xml:space="preserve"> that, from the outset, maps the transition from seed funding to operation at scale, subject to evaluation milestones being met</w:t>
            </w:r>
            <w:r w:rsidR="00D25EEB">
              <w:rPr>
                <w:rFonts w:eastAsia="Verdana"/>
                <w:sz w:val="18"/>
                <w:szCs w:val="18"/>
              </w:rPr>
              <w:t xml:space="preserve"> (linked to Recommendation 34)</w:t>
            </w:r>
            <w:r w:rsidRPr="001B7507">
              <w:rPr>
                <w:rFonts w:eastAsia="Verdana"/>
                <w:sz w:val="18"/>
                <w:szCs w:val="18"/>
              </w:rPr>
              <w:t xml:space="preserve">. The process by which innovative models of care will be initially funded and then brought to scale should form part of the ten year </w:t>
            </w:r>
            <w:r w:rsidR="00D97D6C">
              <w:rPr>
                <w:rFonts w:eastAsia="Verdana"/>
                <w:sz w:val="18"/>
                <w:szCs w:val="18"/>
              </w:rPr>
              <w:t xml:space="preserve">National Health </w:t>
            </w:r>
            <w:r w:rsidRPr="001B7507">
              <w:rPr>
                <w:rFonts w:eastAsia="Verdana"/>
                <w:sz w:val="18"/>
                <w:szCs w:val="18"/>
              </w:rPr>
              <w:t>Funding and Payments Framework at Recommendation 16.</w:t>
            </w:r>
          </w:p>
        </w:tc>
        <w:tc>
          <w:tcPr>
            <w:tcW w:w="661" w:type="pct"/>
            <w:tcBorders>
              <w:top w:val="single" w:sz="8" w:space="0" w:color="D9D9D9"/>
              <w:left w:val="nil"/>
              <w:bottom w:val="single" w:sz="8" w:space="0" w:color="D9D9D9"/>
              <w:right w:val="nil"/>
            </w:tcBorders>
          </w:tcPr>
          <w:p w14:paraId="172817AA" w14:textId="17F8121C" w:rsidR="00EB257A" w:rsidRPr="001B7507" w:rsidRDefault="00700662" w:rsidP="001B7507">
            <w:pPr>
              <w:spacing w:before="60" w:after="60"/>
              <w:ind w:left="0"/>
              <w:rPr>
                <w:rFonts w:eastAsia="Verdana"/>
                <w:sz w:val="18"/>
                <w:szCs w:val="18"/>
              </w:rPr>
            </w:pPr>
            <w:r w:rsidRPr="001B7507">
              <w:rPr>
                <w:rFonts w:eastAsia="Verdana"/>
                <w:sz w:val="18"/>
                <w:szCs w:val="18"/>
              </w:rPr>
              <w:fldChar w:fldCharType="begin" w:fldLock="1"/>
            </w:r>
            <w:r w:rsidRPr="001B7507">
              <w:rPr>
                <w:rFonts w:eastAsia="Verdana"/>
                <w:sz w:val="18"/>
                <w:szCs w:val="18"/>
              </w:rPr>
              <w:instrText xml:space="preserve"> REF _Ref148441964 \w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Pr>
                <w:rFonts w:eastAsia="Verdana"/>
                <w:sz w:val="18"/>
                <w:szCs w:val="18"/>
              </w:rPr>
              <w:t>5.3.2</w:t>
            </w:r>
            <w:r w:rsidRPr="001B7507">
              <w:rPr>
                <w:rFonts w:eastAsia="Verdana"/>
                <w:sz w:val="18"/>
                <w:szCs w:val="18"/>
              </w:rPr>
              <w:fldChar w:fldCharType="end"/>
            </w:r>
            <w:r w:rsidRPr="001B7507">
              <w:rPr>
                <w:rFonts w:eastAsia="Verdana"/>
                <w:sz w:val="18"/>
                <w:szCs w:val="18"/>
              </w:rPr>
              <w:t xml:space="preserve"> - </w:t>
            </w:r>
            <w:r w:rsidRPr="001B7507">
              <w:rPr>
                <w:rFonts w:eastAsia="Verdana"/>
                <w:sz w:val="18"/>
                <w:szCs w:val="18"/>
              </w:rPr>
              <w:fldChar w:fldCharType="begin" w:fldLock="1"/>
            </w:r>
            <w:r w:rsidRPr="001B7507">
              <w:rPr>
                <w:rFonts w:eastAsia="Verdana"/>
                <w:sz w:val="18"/>
                <w:szCs w:val="18"/>
              </w:rPr>
              <w:instrText xml:space="preserve"> REF _Ref148441964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sidRPr="00FA10A4">
              <w:rPr>
                <w:sz w:val="18"/>
                <w:szCs w:val="18"/>
              </w:rPr>
              <w:t>Priority areas of focus</w:t>
            </w:r>
            <w:r w:rsidRPr="001B7507">
              <w:rPr>
                <w:rFonts w:eastAsia="Verdana"/>
                <w:sz w:val="18"/>
                <w:szCs w:val="18"/>
              </w:rPr>
              <w:fldChar w:fldCharType="end"/>
            </w:r>
          </w:p>
        </w:tc>
      </w:tr>
      <w:tr w:rsidR="00ED6A10" w:rsidRPr="001B7507" w14:paraId="682B1A85" w14:textId="239B6D16" w:rsidTr="00025B1E">
        <w:tc>
          <w:tcPr>
            <w:tcW w:w="436" w:type="pct"/>
            <w:vMerge w:val="restart"/>
            <w:tcBorders>
              <w:top w:val="single" w:sz="8" w:space="0" w:color="D9D9D9"/>
              <w:left w:val="nil"/>
              <w:right w:val="nil"/>
            </w:tcBorders>
            <w:shd w:val="clear" w:color="auto" w:fill="auto"/>
          </w:tcPr>
          <w:p w14:paraId="5A49A14B" w14:textId="77777777" w:rsidR="00EB257A" w:rsidRPr="001B7507" w:rsidRDefault="00EB257A" w:rsidP="001B7507">
            <w:pPr>
              <w:spacing w:before="60" w:after="60"/>
              <w:rPr>
                <w:rFonts w:eastAsia="Verdana"/>
                <w:sz w:val="18"/>
                <w:szCs w:val="18"/>
              </w:rPr>
            </w:pPr>
            <w:r w:rsidRPr="001B7507">
              <w:rPr>
                <w:rFonts w:eastAsia="Verdana"/>
                <w:sz w:val="18"/>
                <w:szCs w:val="18"/>
              </w:rPr>
              <w:t>Optimal models of care - Building on the foundations of ABF</w:t>
            </w:r>
          </w:p>
        </w:tc>
        <w:tc>
          <w:tcPr>
            <w:tcW w:w="454" w:type="pct"/>
            <w:tcBorders>
              <w:top w:val="single" w:sz="8" w:space="0" w:color="D9D9D9"/>
              <w:left w:val="nil"/>
              <w:bottom w:val="single" w:sz="8" w:space="0" w:color="D9D9D9"/>
              <w:right w:val="nil"/>
            </w:tcBorders>
          </w:tcPr>
          <w:p w14:paraId="55BDB1FB" w14:textId="77777777" w:rsidR="00EB257A" w:rsidRPr="001B7507" w:rsidRDefault="00EB257A" w:rsidP="001B7507">
            <w:pPr>
              <w:spacing w:before="60" w:after="60"/>
              <w:rPr>
                <w:rFonts w:eastAsia="Verdana"/>
                <w:sz w:val="18"/>
                <w:szCs w:val="18"/>
              </w:rPr>
            </w:pPr>
            <w:r w:rsidRPr="001B7507">
              <w:rPr>
                <w:rFonts w:eastAsia="Verdana"/>
                <w:sz w:val="18"/>
                <w:szCs w:val="18"/>
              </w:rPr>
              <w:t>Scope of public hospital services reviewed and broadened</w:t>
            </w:r>
          </w:p>
        </w:tc>
        <w:tc>
          <w:tcPr>
            <w:tcW w:w="3449" w:type="pct"/>
            <w:tcBorders>
              <w:top w:val="single" w:sz="8" w:space="0" w:color="D9D9D9"/>
              <w:left w:val="nil"/>
              <w:bottom w:val="single" w:sz="8" w:space="0" w:color="D9D9D9"/>
              <w:right w:val="nil"/>
            </w:tcBorders>
            <w:shd w:val="clear" w:color="auto" w:fill="auto"/>
          </w:tcPr>
          <w:p w14:paraId="6961CE10" w14:textId="52FD1A63" w:rsidR="00EB257A" w:rsidRPr="001B7507" w:rsidRDefault="00EB257A" w:rsidP="001B7507">
            <w:pPr>
              <w:numPr>
                <w:ilvl w:val="0"/>
                <w:numId w:val="95"/>
              </w:numPr>
              <w:spacing w:before="60" w:after="60"/>
              <w:ind w:left="332" w:hanging="283"/>
              <w:rPr>
                <w:rFonts w:eastAsia="Verdana"/>
                <w:sz w:val="18"/>
                <w:szCs w:val="18"/>
              </w:rPr>
            </w:pPr>
            <w:r w:rsidRPr="001B7507">
              <w:rPr>
                <w:rFonts w:eastAsia="Verdana"/>
                <w:sz w:val="18"/>
                <w:szCs w:val="18"/>
              </w:rPr>
              <w:t xml:space="preserve">The </w:t>
            </w:r>
            <w:r w:rsidRPr="001B7507">
              <w:rPr>
                <w:rFonts w:eastAsia="Verdana"/>
                <w:b/>
                <w:bCs/>
                <w:sz w:val="18"/>
                <w:szCs w:val="18"/>
              </w:rPr>
              <w:t>scope of public hospital services referenced in the NHRA should be reviewed</w:t>
            </w:r>
            <w:r w:rsidRPr="001B7507">
              <w:rPr>
                <w:rFonts w:eastAsia="Verdana"/>
                <w:sz w:val="18"/>
                <w:szCs w:val="18"/>
              </w:rPr>
              <w:t xml:space="preserve">, with a view to removing reference to what was deemed to be a hospital service in 2010 (Clause A22), </w:t>
            </w:r>
            <w:r w:rsidRPr="001B7507">
              <w:rPr>
                <w:rFonts w:eastAsia="Verdana"/>
                <w:b/>
                <w:bCs/>
                <w:sz w:val="18"/>
                <w:szCs w:val="18"/>
              </w:rPr>
              <w:t>and broadened</w:t>
            </w:r>
            <w:r w:rsidRPr="001B7507">
              <w:rPr>
                <w:rFonts w:eastAsia="Verdana"/>
                <w:sz w:val="18"/>
                <w:szCs w:val="18"/>
              </w:rPr>
              <w:t xml:space="preserve"> to address current disparities between </w:t>
            </w:r>
            <w:r w:rsidR="00B265EE">
              <w:rPr>
                <w:rFonts w:eastAsia="Verdana"/>
                <w:sz w:val="18"/>
                <w:szCs w:val="18"/>
              </w:rPr>
              <w:t>S</w:t>
            </w:r>
            <w:r w:rsidRPr="001B7507">
              <w:rPr>
                <w:rFonts w:eastAsia="Verdana"/>
                <w:sz w:val="18"/>
                <w:szCs w:val="18"/>
              </w:rPr>
              <w:t xml:space="preserve">tates and </w:t>
            </w:r>
            <w:r w:rsidR="00B265EE">
              <w:rPr>
                <w:rFonts w:eastAsia="Verdana"/>
                <w:sz w:val="18"/>
                <w:szCs w:val="18"/>
              </w:rPr>
              <w:t>T</w:t>
            </w:r>
            <w:r w:rsidRPr="001B7507">
              <w:rPr>
                <w:rFonts w:eastAsia="Verdana"/>
                <w:sz w:val="18"/>
                <w:szCs w:val="18"/>
              </w:rPr>
              <w:t>erritories and to incorporate those services that are provided beyond the hospital door, including virtual services and in-reach/out-reach services, where the primary purpose is to both respond to, and shape demand for acute care by replacing or avoiding a hospital admission, with an appropriate transition to ensure any impact on activity growth caps are managed</w:t>
            </w:r>
            <w:r w:rsidRPr="001B7507">
              <w:rPr>
                <w:sz w:val="18"/>
                <w:szCs w:val="18"/>
              </w:rPr>
              <w:t>.</w:t>
            </w:r>
          </w:p>
        </w:tc>
        <w:tc>
          <w:tcPr>
            <w:tcW w:w="661" w:type="pct"/>
            <w:tcBorders>
              <w:top w:val="single" w:sz="8" w:space="0" w:color="D9D9D9"/>
              <w:left w:val="nil"/>
              <w:bottom w:val="single" w:sz="8" w:space="0" w:color="D9D9D9"/>
              <w:right w:val="nil"/>
            </w:tcBorders>
          </w:tcPr>
          <w:p w14:paraId="1CB4AA61" w14:textId="47EF8749" w:rsidR="00EB257A" w:rsidRPr="001B7507" w:rsidRDefault="00666C10" w:rsidP="001B7507">
            <w:pPr>
              <w:spacing w:before="60" w:after="60"/>
              <w:ind w:left="49"/>
              <w:rPr>
                <w:rFonts w:eastAsia="Verdana"/>
                <w:sz w:val="18"/>
                <w:szCs w:val="18"/>
              </w:rPr>
            </w:pPr>
            <w:r w:rsidRPr="001B7507">
              <w:rPr>
                <w:rFonts w:eastAsia="Verdana"/>
                <w:sz w:val="18"/>
                <w:szCs w:val="18"/>
              </w:rPr>
              <w:fldChar w:fldCharType="begin" w:fldLock="1"/>
            </w:r>
            <w:r w:rsidRPr="001B7507">
              <w:rPr>
                <w:rFonts w:eastAsia="Verdana"/>
                <w:sz w:val="18"/>
                <w:szCs w:val="18"/>
              </w:rPr>
              <w:instrText xml:space="preserve"> REF _Ref148442020 \w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Pr>
                <w:rFonts w:eastAsia="Verdana"/>
                <w:sz w:val="18"/>
                <w:szCs w:val="18"/>
              </w:rPr>
              <w:t>5.3.4.2</w:t>
            </w:r>
            <w:r w:rsidRPr="001B7507">
              <w:rPr>
                <w:rFonts w:eastAsia="Verdana"/>
                <w:sz w:val="18"/>
                <w:szCs w:val="18"/>
              </w:rPr>
              <w:fldChar w:fldCharType="end"/>
            </w:r>
            <w:r w:rsidRPr="001B7507">
              <w:rPr>
                <w:rFonts w:eastAsia="Verdana"/>
                <w:sz w:val="18"/>
                <w:szCs w:val="18"/>
              </w:rPr>
              <w:t xml:space="preserve"> - </w:t>
            </w:r>
            <w:r w:rsidRPr="001B7507">
              <w:rPr>
                <w:rFonts w:eastAsia="Verdana"/>
                <w:sz w:val="18"/>
                <w:szCs w:val="18"/>
              </w:rPr>
              <w:fldChar w:fldCharType="begin" w:fldLock="1"/>
            </w:r>
            <w:r w:rsidRPr="001B7507">
              <w:rPr>
                <w:rFonts w:eastAsia="Verdana"/>
                <w:sz w:val="18"/>
                <w:szCs w:val="18"/>
              </w:rPr>
              <w:instrText xml:space="preserve"> REF _Ref148442020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sidRPr="00FA10A4">
              <w:rPr>
                <w:sz w:val="18"/>
                <w:szCs w:val="18"/>
              </w:rPr>
              <w:t>Setting of care</w:t>
            </w:r>
            <w:r w:rsidRPr="001B7507">
              <w:rPr>
                <w:rFonts w:eastAsia="Verdana"/>
                <w:sz w:val="18"/>
                <w:szCs w:val="18"/>
              </w:rPr>
              <w:fldChar w:fldCharType="end"/>
            </w:r>
          </w:p>
        </w:tc>
      </w:tr>
      <w:tr w:rsidR="00ED6A10" w:rsidRPr="001B7507" w14:paraId="606DDC05" w14:textId="5BF8D667" w:rsidTr="00025B1E">
        <w:tc>
          <w:tcPr>
            <w:tcW w:w="436" w:type="pct"/>
            <w:vMerge/>
            <w:tcBorders>
              <w:left w:val="nil"/>
              <w:right w:val="nil"/>
            </w:tcBorders>
            <w:shd w:val="clear" w:color="auto" w:fill="auto"/>
          </w:tcPr>
          <w:p w14:paraId="58A550EF" w14:textId="77777777" w:rsidR="00EB257A" w:rsidRPr="001B7507" w:rsidRDefault="00EB257A" w:rsidP="001B7507">
            <w:pPr>
              <w:spacing w:before="60" w:after="60"/>
              <w:rPr>
                <w:rFonts w:eastAsia="Verdana"/>
                <w:sz w:val="18"/>
                <w:szCs w:val="18"/>
              </w:rPr>
            </w:pPr>
          </w:p>
        </w:tc>
        <w:tc>
          <w:tcPr>
            <w:tcW w:w="454" w:type="pct"/>
            <w:tcBorders>
              <w:top w:val="single" w:sz="8" w:space="0" w:color="D9D9D9"/>
              <w:left w:val="nil"/>
              <w:bottom w:val="single" w:sz="8" w:space="0" w:color="D9D9D9"/>
              <w:right w:val="nil"/>
            </w:tcBorders>
          </w:tcPr>
          <w:p w14:paraId="591EBAE3" w14:textId="77777777" w:rsidR="00EB257A" w:rsidRPr="001B7507" w:rsidRDefault="00EB257A" w:rsidP="001B7507">
            <w:pPr>
              <w:spacing w:before="60" w:after="60"/>
              <w:rPr>
                <w:rFonts w:eastAsia="Verdana"/>
                <w:sz w:val="18"/>
                <w:szCs w:val="18"/>
              </w:rPr>
            </w:pPr>
            <w:r w:rsidRPr="001B7507">
              <w:rPr>
                <w:rFonts w:eastAsia="Verdana"/>
                <w:sz w:val="18"/>
                <w:szCs w:val="18"/>
              </w:rPr>
              <w:t>Develop and implement bundled payments (initial focus on maternity care)</w:t>
            </w:r>
          </w:p>
        </w:tc>
        <w:tc>
          <w:tcPr>
            <w:tcW w:w="3449" w:type="pct"/>
            <w:tcBorders>
              <w:top w:val="single" w:sz="8" w:space="0" w:color="D9D9D9"/>
              <w:left w:val="nil"/>
              <w:bottom w:val="single" w:sz="8" w:space="0" w:color="D9D9D9"/>
              <w:right w:val="nil"/>
            </w:tcBorders>
            <w:shd w:val="clear" w:color="auto" w:fill="auto"/>
          </w:tcPr>
          <w:p w14:paraId="0AF47D0C" w14:textId="77777777" w:rsidR="00EB257A" w:rsidRPr="001B7507" w:rsidRDefault="00EB257A" w:rsidP="001B7507">
            <w:pPr>
              <w:numPr>
                <w:ilvl w:val="0"/>
                <w:numId w:val="95"/>
              </w:numPr>
              <w:spacing w:before="60" w:after="60"/>
              <w:ind w:left="332" w:hanging="283"/>
              <w:rPr>
                <w:rFonts w:eastAsia="Verdana"/>
                <w:sz w:val="18"/>
                <w:szCs w:val="18"/>
              </w:rPr>
            </w:pPr>
            <w:r w:rsidRPr="001B7507">
              <w:rPr>
                <w:rFonts w:eastAsia="Verdana"/>
                <w:sz w:val="18"/>
                <w:szCs w:val="18"/>
              </w:rPr>
              <w:t xml:space="preserve">A structured program of work should be undertaken to </w:t>
            </w:r>
            <w:r w:rsidRPr="001B7507">
              <w:rPr>
                <w:rFonts w:eastAsia="Verdana"/>
                <w:b/>
                <w:bCs/>
                <w:sz w:val="18"/>
                <w:szCs w:val="18"/>
              </w:rPr>
              <w:t>develop and implement bundled payments</w:t>
            </w:r>
            <w:r w:rsidRPr="001B7507">
              <w:rPr>
                <w:rFonts w:eastAsia="Verdana"/>
                <w:sz w:val="18"/>
                <w:szCs w:val="18"/>
              </w:rPr>
              <w:t xml:space="preserve"> within the NHRA for certain end to end episodes of care (before, during and after a planned hospital admission), with an </w:t>
            </w:r>
            <w:r w:rsidRPr="001B7507">
              <w:rPr>
                <w:rFonts w:eastAsia="Verdana"/>
                <w:b/>
                <w:bCs/>
                <w:sz w:val="18"/>
                <w:szCs w:val="18"/>
              </w:rPr>
              <w:t>initial focus on maternity care</w:t>
            </w:r>
            <w:r w:rsidRPr="001B7507">
              <w:rPr>
                <w:rFonts w:eastAsia="Verdana"/>
                <w:sz w:val="18"/>
                <w:szCs w:val="18"/>
              </w:rPr>
              <w:t>, and with additional priority areas identified early in the Agreement in consultation with the national bodies and relevant stakeholders. Bundled payments should be implemented across several priority areas within the period of the next Agreement.</w:t>
            </w:r>
          </w:p>
        </w:tc>
        <w:tc>
          <w:tcPr>
            <w:tcW w:w="661" w:type="pct"/>
            <w:tcBorders>
              <w:top w:val="single" w:sz="8" w:space="0" w:color="D9D9D9"/>
              <w:left w:val="nil"/>
              <w:bottom w:val="single" w:sz="8" w:space="0" w:color="D9D9D9"/>
              <w:right w:val="nil"/>
            </w:tcBorders>
          </w:tcPr>
          <w:p w14:paraId="744621DB" w14:textId="2DC149D0" w:rsidR="00EB257A" w:rsidRPr="001B7507" w:rsidRDefault="00694D62" w:rsidP="001B7507">
            <w:pPr>
              <w:spacing w:before="60" w:after="60"/>
              <w:ind w:left="49"/>
              <w:rPr>
                <w:rFonts w:eastAsia="Verdana"/>
                <w:sz w:val="18"/>
                <w:szCs w:val="18"/>
              </w:rPr>
            </w:pPr>
            <w:r w:rsidRPr="001B7507">
              <w:rPr>
                <w:rFonts w:eastAsia="Verdana"/>
                <w:sz w:val="18"/>
                <w:szCs w:val="18"/>
              </w:rPr>
              <w:fldChar w:fldCharType="begin" w:fldLock="1"/>
            </w:r>
            <w:r w:rsidRPr="001B7507">
              <w:rPr>
                <w:rFonts w:eastAsia="Verdana"/>
                <w:sz w:val="18"/>
                <w:szCs w:val="18"/>
              </w:rPr>
              <w:instrText xml:space="preserve"> REF _Ref148442043 \w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Pr>
                <w:rFonts w:eastAsia="Verdana"/>
                <w:sz w:val="18"/>
                <w:szCs w:val="18"/>
              </w:rPr>
              <w:t>5.3.4.3</w:t>
            </w:r>
            <w:r w:rsidRPr="001B7507">
              <w:rPr>
                <w:rFonts w:eastAsia="Verdana"/>
                <w:sz w:val="18"/>
                <w:szCs w:val="18"/>
              </w:rPr>
              <w:fldChar w:fldCharType="end"/>
            </w:r>
            <w:r w:rsidRPr="001B7507">
              <w:rPr>
                <w:rFonts w:eastAsia="Verdana"/>
                <w:sz w:val="18"/>
                <w:szCs w:val="18"/>
              </w:rPr>
              <w:t xml:space="preserve"> - </w:t>
            </w:r>
            <w:r w:rsidRPr="001B7507">
              <w:rPr>
                <w:rFonts w:eastAsia="Verdana"/>
                <w:sz w:val="18"/>
                <w:szCs w:val="18"/>
              </w:rPr>
              <w:fldChar w:fldCharType="begin" w:fldLock="1"/>
            </w:r>
            <w:r w:rsidRPr="001B7507">
              <w:rPr>
                <w:rFonts w:eastAsia="Verdana"/>
                <w:sz w:val="18"/>
                <w:szCs w:val="18"/>
              </w:rPr>
              <w:instrText xml:space="preserve"> REF _Ref148442043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sidRPr="00FA10A4">
              <w:rPr>
                <w:sz w:val="18"/>
                <w:szCs w:val="18"/>
              </w:rPr>
              <w:t>Bundled payments</w:t>
            </w:r>
            <w:r w:rsidRPr="001B7507">
              <w:rPr>
                <w:rFonts w:eastAsia="Verdana"/>
                <w:sz w:val="18"/>
                <w:szCs w:val="18"/>
              </w:rPr>
              <w:fldChar w:fldCharType="end"/>
            </w:r>
          </w:p>
        </w:tc>
      </w:tr>
      <w:tr w:rsidR="00ED6A10" w:rsidRPr="001B7507" w14:paraId="3B136321" w14:textId="777307BD" w:rsidTr="00025B1E">
        <w:tc>
          <w:tcPr>
            <w:tcW w:w="436" w:type="pct"/>
            <w:vMerge/>
            <w:tcBorders>
              <w:left w:val="nil"/>
              <w:right w:val="nil"/>
            </w:tcBorders>
            <w:shd w:val="clear" w:color="auto" w:fill="auto"/>
          </w:tcPr>
          <w:p w14:paraId="719EA187" w14:textId="77777777" w:rsidR="00EB257A" w:rsidRPr="001B7507" w:rsidRDefault="00EB257A" w:rsidP="001B7507">
            <w:pPr>
              <w:spacing w:before="60" w:after="60"/>
              <w:rPr>
                <w:rFonts w:eastAsia="Verdana"/>
                <w:sz w:val="18"/>
                <w:szCs w:val="18"/>
              </w:rPr>
            </w:pPr>
          </w:p>
        </w:tc>
        <w:tc>
          <w:tcPr>
            <w:tcW w:w="454" w:type="pct"/>
            <w:tcBorders>
              <w:top w:val="single" w:sz="8" w:space="0" w:color="D9D9D9"/>
              <w:left w:val="nil"/>
              <w:bottom w:val="single" w:sz="8" w:space="0" w:color="D9D9D9"/>
              <w:right w:val="nil"/>
            </w:tcBorders>
          </w:tcPr>
          <w:p w14:paraId="6DA79F97" w14:textId="77777777" w:rsidR="00EB257A" w:rsidRPr="001B7507" w:rsidRDefault="00EB257A" w:rsidP="001B7507">
            <w:pPr>
              <w:spacing w:before="60" w:after="60"/>
              <w:rPr>
                <w:rFonts w:eastAsia="Verdana"/>
                <w:sz w:val="18"/>
                <w:szCs w:val="18"/>
              </w:rPr>
            </w:pPr>
            <w:r w:rsidRPr="001B7507">
              <w:rPr>
                <w:rFonts w:eastAsia="Verdana"/>
                <w:sz w:val="18"/>
                <w:szCs w:val="18"/>
              </w:rPr>
              <w:t>Pricing approaches that reward high value care and penalise low value care</w:t>
            </w:r>
          </w:p>
        </w:tc>
        <w:tc>
          <w:tcPr>
            <w:tcW w:w="3449" w:type="pct"/>
            <w:tcBorders>
              <w:top w:val="single" w:sz="8" w:space="0" w:color="D9D9D9"/>
              <w:left w:val="nil"/>
              <w:bottom w:val="single" w:sz="8" w:space="0" w:color="D9D9D9"/>
              <w:right w:val="nil"/>
            </w:tcBorders>
            <w:shd w:val="clear" w:color="auto" w:fill="auto"/>
          </w:tcPr>
          <w:p w14:paraId="52A26541" w14:textId="3E72FF50" w:rsidR="00EB257A" w:rsidRPr="001B7507" w:rsidRDefault="00EB257A" w:rsidP="001B7507">
            <w:pPr>
              <w:numPr>
                <w:ilvl w:val="0"/>
                <w:numId w:val="95"/>
              </w:numPr>
              <w:spacing w:before="60" w:after="60"/>
              <w:ind w:left="332" w:hanging="283"/>
              <w:rPr>
                <w:rFonts w:eastAsia="Verdana"/>
                <w:sz w:val="18"/>
                <w:szCs w:val="18"/>
              </w:rPr>
            </w:pPr>
            <w:r w:rsidRPr="001B7507">
              <w:rPr>
                <w:rFonts w:eastAsia="Verdana"/>
                <w:sz w:val="18"/>
                <w:szCs w:val="18"/>
              </w:rPr>
              <w:t xml:space="preserve">A new Agreement should develop and implement pricing approaches that </w:t>
            </w:r>
            <w:r w:rsidRPr="001B7507">
              <w:rPr>
                <w:rFonts w:eastAsia="Verdana"/>
                <w:b/>
                <w:bCs/>
                <w:sz w:val="18"/>
                <w:szCs w:val="18"/>
              </w:rPr>
              <w:t>reward high value care and penalise low value care</w:t>
            </w:r>
            <w:r w:rsidRPr="001B7507">
              <w:rPr>
                <w:rFonts w:eastAsia="Verdana"/>
                <w:sz w:val="18"/>
                <w:szCs w:val="18"/>
              </w:rPr>
              <w:t xml:space="preserve">, providing incentives to accelerate changes in clinical practice and manage introduction of new technologies, supported by evidence, effectively accelerating the approach foreshadowed in the </w:t>
            </w:r>
            <w:r w:rsidR="00BB55B6" w:rsidRPr="001B7507">
              <w:rPr>
                <w:rFonts w:eastAsia="Verdana"/>
                <w:i/>
                <w:iCs/>
                <w:sz w:val="18"/>
                <w:szCs w:val="18"/>
              </w:rPr>
              <w:t xml:space="preserve">NHRA </w:t>
            </w:r>
            <w:r w:rsidRPr="001B7507">
              <w:rPr>
                <w:rFonts w:eastAsia="Verdana"/>
                <w:i/>
                <w:iCs/>
                <w:sz w:val="18"/>
                <w:szCs w:val="18"/>
              </w:rPr>
              <w:t>2020-2025 Addendum</w:t>
            </w:r>
            <w:r w:rsidRPr="001B7507">
              <w:rPr>
                <w:rFonts w:eastAsia="Verdana"/>
                <w:sz w:val="18"/>
                <w:szCs w:val="18"/>
              </w:rPr>
              <w:t>.</w:t>
            </w:r>
          </w:p>
        </w:tc>
        <w:tc>
          <w:tcPr>
            <w:tcW w:w="661" w:type="pct"/>
            <w:tcBorders>
              <w:top w:val="single" w:sz="8" w:space="0" w:color="D9D9D9"/>
              <w:left w:val="nil"/>
              <w:bottom w:val="single" w:sz="8" w:space="0" w:color="D9D9D9"/>
              <w:right w:val="nil"/>
            </w:tcBorders>
          </w:tcPr>
          <w:p w14:paraId="12FCDB78" w14:textId="67D7714C" w:rsidR="00EB257A" w:rsidRPr="001B7507" w:rsidRDefault="00694D62" w:rsidP="001B7507">
            <w:pPr>
              <w:spacing w:before="60" w:after="60"/>
              <w:ind w:left="49"/>
              <w:rPr>
                <w:rFonts w:eastAsia="Verdana"/>
                <w:sz w:val="18"/>
                <w:szCs w:val="18"/>
              </w:rPr>
            </w:pPr>
            <w:r w:rsidRPr="001B7507">
              <w:rPr>
                <w:rFonts w:eastAsia="Verdana"/>
                <w:sz w:val="18"/>
                <w:szCs w:val="18"/>
              </w:rPr>
              <w:fldChar w:fldCharType="begin" w:fldLock="1"/>
            </w:r>
            <w:r w:rsidRPr="001B7507">
              <w:rPr>
                <w:rFonts w:eastAsia="Verdana"/>
                <w:sz w:val="18"/>
                <w:szCs w:val="18"/>
              </w:rPr>
              <w:instrText xml:space="preserve"> REF _Ref148442058 \w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Pr>
                <w:rFonts w:eastAsia="Verdana"/>
                <w:sz w:val="18"/>
                <w:szCs w:val="18"/>
              </w:rPr>
              <w:t>5.3.4.4</w:t>
            </w:r>
            <w:r w:rsidRPr="001B7507">
              <w:rPr>
                <w:rFonts w:eastAsia="Verdana"/>
                <w:sz w:val="18"/>
                <w:szCs w:val="18"/>
              </w:rPr>
              <w:fldChar w:fldCharType="end"/>
            </w:r>
            <w:r w:rsidRPr="001B7507">
              <w:rPr>
                <w:rFonts w:eastAsia="Verdana"/>
                <w:sz w:val="18"/>
                <w:szCs w:val="18"/>
              </w:rPr>
              <w:t xml:space="preserve"> - </w:t>
            </w:r>
            <w:r w:rsidRPr="001B7507">
              <w:rPr>
                <w:rFonts w:eastAsia="Verdana"/>
                <w:sz w:val="18"/>
                <w:szCs w:val="18"/>
              </w:rPr>
              <w:fldChar w:fldCharType="begin" w:fldLock="1"/>
            </w:r>
            <w:r w:rsidRPr="001B7507">
              <w:rPr>
                <w:rFonts w:eastAsia="Verdana"/>
                <w:sz w:val="18"/>
                <w:szCs w:val="18"/>
              </w:rPr>
              <w:instrText xml:space="preserve"> REF _Ref148442058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sidRPr="00FA10A4">
              <w:rPr>
                <w:sz w:val="18"/>
                <w:szCs w:val="18"/>
              </w:rPr>
              <w:t>Paying for value/outcomes</w:t>
            </w:r>
            <w:r w:rsidRPr="001B7507">
              <w:rPr>
                <w:rFonts w:eastAsia="Verdana"/>
                <w:sz w:val="18"/>
                <w:szCs w:val="18"/>
              </w:rPr>
              <w:fldChar w:fldCharType="end"/>
            </w:r>
          </w:p>
        </w:tc>
      </w:tr>
      <w:tr w:rsidR="00ED6A10" w:rsidRPr="001B7507" w14:paraId="7D6780A1" w14:textId="00559C53" w:rsidTr="00025B1E">
        <w:tc>
          <w:tcPr>
            <w:tcW w:w="436" w:type="pct"/>
            <w:vMerge/>
            <w:tcBorders>
              <w:left w:val="nil"/>
              <w:right w:val="nil"/>
            </w:tcBorders>
            <w:shd w:val="clear" w:color="auto" w:fill="auto"/>
          </w:tcPr>
          <w:p w14:paraId="71CEADC5" w14:textId="77777777" w:rsidR="00EB257A" w:rsidRPr="001B7507" w:rsidRDefault="00EB257A" w:rsidP="001B7507">
            <w:pPr>
              <w:spacing w:before="60" w:after="60"/>
              <w:rPr>
                <w:rFonts w:eastAsia="Verdana"/>
                <w:sz w:val="18"/>
                <w:szCs w:val="18"/>
              </w:rPr>
            </w:pPr>
          </w:p>
        </w:tc>
        <w:tc>
          <w:tcPr>
            <w:tcW w:w="454" w:type="pct"/>
            <w:tcBorders>
              <w:top w:val="single" w:sz="8" w:space="0" w:color="D9D9D9"/>
              <w:left w:val="nil"/>
              <w:bottom w:val="single" w:sz="8" w:space="0" w:color="D9D9D9"/>
              <w:right w:val="nil"/>
            </w:tcBorders>
          </w:tcPr>
          <w:p w14:paraId="20ED5508" w14:textId="77777777" w:rsidR="00EB257A" w:rsidRPr="001B7507" w:rsidRDefault="00EB257A" w:rsidP="001B7507">
            <w:pPr>
              <w:spacing w:before="60" w:after="60"/>
              <w:rPr>
                <w:rFonts w:eastAsia="Verdana"/>
                <w:sz w:val="18"/>
                <w:szCs w:val="18"/>
              </w:rPr>
            </w:pPr>
            <w:r w:rsidRPr="001B7507">
              <w:rPr>
                <w:rFonts w:eastAsia="Verdana"/>
                <w:sz w:val="18"/>
                <w:szCs w:val="18"/>
              </w:rPr>
              <w:t>Retaining and strengthening safety and quality reforms</w:t>
            </w:r>
          </w:p>
        </w:tc>
        <w:tc>
          <w:tcPr>
            <w:tcW w:w="3449" w:type="pct"/>
            <w:tcBorders>
              <w:top w:val="single" w:sz="8" w:space="0" w:color="D9D9D9"/>
              <w:left w:val="nil"/>
              <w:bottom w:val="single" w:sz="8" w:space="0" w:color="D9D9D9"/>
              <w:right w:val="nil"/>
            </w:tcBorders>
            <w:shd w:val="clear" w:color="auto" w:fill="auto"/>
          </w:tcPr>
          <w:p w14:paraId="4BE3CE20" w14:textId="2F59F9E2" w:rsidR="00EB257A" w:rsidRPr="001B7507" w:rsidRDefault="00EB257A" w:rsidP="001B7507">
            <w:pPr>
              <w:numPr>
                <w:ilvl w:val="0"/>
                <w:numId w:val="95"/>
              </w:numPr>
              <w:spacing w:before="60" w:after="60"/>
              <w:ind w:left="332" w:hanging="283"/>
              <w:rPr>
                <w:rFonts w:eastAsia="Verdana"/>
                <w:sz w:val="18"/>
                <w:szCs w:val="18"/>
              </w:rPr>
            </w:pPr>
            <w:r w:rsidRPr="001B7507">
              <w:rPr>
                <w:rFonts w:eastAsia="Verdana"/>
                <w:sz w:val="18"/>
                <w:szCs w:val="18"/>
              </w:rPr>
              <w:t xml:space="preserve">The </w:t>
            </w:r>
            <w:r w:rsidRPr="001B7507">
              <w:rPr>
                <w:rFonts w:eastAsia="Verdana"/>
                <w:b/>
                <w:bCs/>
                <w:sz w:val="18"/>
                <w:szCs w:val="18"/>
              </w:rPr>
              <w:t>safety and quality reforms</w:t>
            </w:r>
            <w:r w:rsidRPr="001B7507">
              <w:rPr>
                <w:rFonts w:eastAsia="Verdana"/>
                <w:sz w:val="18"/>
                <w:szCs w:val="18"/>
              </w:rPr>
              <w:t xml:space="preserve"> introduced in the </w:t>
            </w:r>
            <w:r w:rsidR="00BB55B6" w:rsidRPr="001B7507">
              <w:rPr>
                <w:rFonts w:eastAsia="Verdana"/>
                <w:i/>
                <w:iCs/>
                <w:sz w:val="18"/>
                <w:szCs w:val="18"/>
              </w:rPr>
              <w:t xml:space="preserve">NHRA </w:t>
            </w:r>
            <w:r w:rsidRPr="001B7507">
              <w:rPr>
                <w:rFonts w:eastAsia="Verdana"/>
                <w:i/>
                <w:iCs/>
                <w:sz w:val="18"/>
                <w:szCs w:val="18"/>
              </w:rPr>
              <w:t>2017</w:t>
            </w:r>
            <w:r w:rsidR="00BB55B6" w:rsidRPr="001B7507">
              <w:rPr>
                <w:rFonts w:eastAsia="Verdana"/>
                <w:i/>
                <w:iCs/>
                <w:sz w:val="18"/>
                <w:szCs w:val="18"/>
              </w:rPr>
              <w:t>-2020</w:t>
            </w:r>
            <w:r w:rsidRPr="001B7507">
              <w:rPr>
                <w:rFonts w:eastAsia="Verdana"/>
                <w:i/>
                <w:iCs/>
                <w:sz w:val="18"/>
                <w:szCs w:val="18"/>
              </w:rPr>
              <w:t xml:space="preserve"> Addendum </w:t>
            </w:r>
            <w:r w:rsidRPr="001B7507">
              <w:rPr>
                <w:rFonts w:eastAsia="Verdana"/>
                <w:sz w:val="18"/>
                <w:szCs w:val="18"/>
              </w:rPr>
              <w:t xml:space="preserve">should be </w:t>
            </w:r>
            <w:r w:rsidRPr="001B7507">
              <w:rPr>
                <w:rFonts w:eastAsia="Verdana"/>
                <w:b/>
                <w:bCs/>
                <w:sz w:val="18"/>
                <w:szCs w:val="18"/>
              </w:rPr>
              <w:t>retained and strengthened</w:t>
            </w:r>
            <w:r w:rsidRPr="001B7507">
              <w:rPr>
                <w:rFonts w:eastAsia="Verdana"/>
                <w:sz w:val="18"/>
                <w:szCs w:val="18"/>
              </w:rPr>
              <w:t xml:space="preserve"> along the lines set out in Clause A162 of the Agreement, with continued scrutiny of the specific adjustment areas and their application to ensure they remain fit for purpose and are achieving their intended objective.</w:t>
            </w:r>
          </w:p>
        </w:tc>
        <w:tc>
          <w:tcPr>
            <w:tcW w:w="661" w:type="pct"/>
            <w:tcBorders>
              <w:top w:val="single" w:sz="8" w:space="0" w:color="D9D9D9"/>
              <w:left w:val="nil"/>
              <w:bottom w:val="single" w:sz="8" w:space="0" w:color="D9D9D9"/>
              <w:right w:val="nil"/>
            </w:tcBorders>
          </w:tcPr>
          <w:p w14:paraId="6F5ABF97" w14:textId="6E1AA1B6" w:rsidR="00EB257A" w:rsidRPr="001B7507" w:rsidRDefault="007A1187" w:rsidP="001B7507">
            <w:pPr>
              <w:spacing w:before="60" w:after="60"/>
              <w:ind w:left="49"/>
              <w:rPr>
                <w:rFonts w:eastAsia="Verdana"/>
                <w:sz w:val="18"/>
                <w:szCs w:val="18"/>
              </w:rPr>
            </w:pPr>
            <w:r w:rsidRPr="001B7507">
              <w:rPr>
                <w:rFonts w:eastAsia="Verdana"/>
                <w:sz w:val="18"/>
                <w:szCs w:val="18"/>
              </w:rPr>
              <w:fldChar w:fldCharType="begin" w:fldLock="1"/>
            </w:r>
            <w:r w:rsidRPr="001B7507">
              <w:rPr>
                <w:rFonts w:eastAsia="Verdana"/>
                <w:sz w:val="18"/>
                <w:szCs w:val="18"/>
              </w:rPr>
              <w:instrText xml:space="preserve"> REF _Ref148442093 \w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Pr>
                <w:rFonts w:eastAsia="Verdana"/>
                <w:sz w:val="18"/>
                <w:szCs w:val="18"/>
              </w:rPr>
              <w:t>5.3.4.5</w:t>
            </w:r>
            <w:r w:rsidRPr="001B7507">
              <w:rPr>
                <w:rFonts w:eastAsia="Verdana"/>
                <w:sz w:val="18"/>
                <w:szCs w:val="18"/>
              </w:rPr>
              <w:fldChar w:fldCharType="end"/>
            </w:r>
            <w:r w:rsidRPr="001B7507">
              <w:rPr>
                <w:rFonts w:eastAsia="Verdana"/>
                <w:sz w:val="18"/>
                <w:szCs w:val="18"/>
              </w:rPr>
              <w:t xml:space="preserve"> - </w:t>
            </w:r>
            <w:r w:rsidRPr="001B7507">
              <w:rPr>
                <w:rFonts w:eastAsia="Verdana"/>
                <w:sz w:val="18"/>
                <w:szCs w:val="18"/>
              </w:rPr>
              <w:fldChar w:fldCharType="begin" w:fldLock="1"/>
            </w:r>
            <w:r w:rsidRPr="001B7507">
              <w:rPr>
                <w:rFonts w:eastAsia="Verdana"/>
                <w:sz w:val="18"/>
                <w:szCs w:val="18"/>
              </w:rPr>
              <w:instrText xml:space="preserve"> REF _Ref148442093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sidRPr="00FA10A4">
              <w:rPr>
                <w:sz w:val="18"/>
                <w:szCs w:val="18"/>
              </w:rPr>
              <w:t>Safety and quality</w:t>
            </w:r>
            <w:r w:rsidRPr="001B7507">
              <w:rPr>
                <w:rFonts w:eastAsia="Verdana"/>
                <w:sz w:val="18"/>
                <w:szCs w:val="18"/>
              </w:rPr>
              <w:fldChar w:fldCharType="end"/>
            </w:r>
          </w:p>
        </w:tc>
      </w:tr>
      <w:tr w:rsidR="00ED6A10" w:rsidRPr="001B7507" w14:paraId="2E7D7234" w14:textId="6338ED85" w:rsidTr="00025B1E">
        <w:tc>
          <w:tcPr>
            <w:tcW w:w="436" w:type="pct"/>
            <w:vMerge/>
            <w:tcBorders>
              <w:left w:val="nil"/>
              <w:bottom w:val="single" w:sz="8" w:space="0" w:color="D9D9D9"/>
              <w:right w:val="nil"/>
            </w:tcBorders>
            <w:shd w:val="clear" w:color="auto" w:fill="auto"/>
          </w:tcPr>
          <w:p w14:paraId="06BEACFC" w14:textId="77777777" w:rsidR="00EB257A" w:rsidRPr="001B7507" w:rsidRDefault="00EB257A" w:rsidP="001B7507">
            <w:pPr>
              <w:spacing w:before="60" w:after="60"/>
              <w:rPr>
                <w:rFonts w:eastAsia="Verdana"/>
                <w:sz w:val="18"/>
                <w:szCs w:val="18"/>
              </w:rPr>
            </w:pPr>
          </w:p>
        </w:tc>
        <w:tc>
          <w:tcPr>
            <w:tcW w:w="454" w:type="pct"/>
            <w:tcBorders>
              <w:top w:val="single" w:sz="8" w:space="0" w:color="D9D9D9"/>
              <w:left w:val="nil"/>
              <w:bottom w:val="single" w:sz="8" w:space="0" w:color="D9D9D9"/>
              <w:right w:val="nil"/>
            </w:tcBorders>
          </w:tcPr>
          <w:p w14:paraId="5BFEE2D6" w14:textId="77777777" w:rsidR="00EB257A" w:rsidRPr="001B7507" w:rsidRDefault="00EB257A" w:rsidP="001B7507">
            <w:pPr>
              <w:spacing w:before="60" w:after="60"/>
              <w:rPr>
                <w:rFonts w:eastAsia="Verdana"/>
                <w:sz w:val="18"/>
                <w:szCs w:val="18"/>
              </w:rPr>
            </w:pPr>
            <w:r w:rsidRPr="001B7507">
              <w:rPr>
                <w:rFonts w:eastAsia="Verdana"/>
                <w:sz w:val="18"/>
                <w:szCs w:val="18"/>
              </w:rPr>
              <w:t>Ten-year National Health Funding and Payments Framework</w:t>
            </w:r>
          </w:p>
        </w:tc>
        <w:tc>
          <w:tcPr>
            <w:tcW w:w="3449" w:type="pct"/>
            <w:tcBorders>
              <w:top w:val="single" w:sz="8" w:space="0" w:color="D9D9D9"/>
              <w:left w:val="nil"/>
              <w:bottom w:val="single" w:sz="8" w:space="0" w:color="D9D9D9"/>
              <w:right w:val="nil"/>
            </w:tcBorders>
            <w:shd w:val="clear" w:color="auto" w:fill="auto"/>
          </w:tcPr>
          <w:p w14:paraId="5C511AC9" w14:textId="7C4C10BA" w:rsidR="00EB257A" w:rsidRPr="001B7507" w:rsidRDefault="00EB257A" w:rsidP="001B7507">
            <w:pPr>
              <w:numPr>
                <w:ilvl w:val="0"/>
                <w:numId w:val="95"/>
              </w:numPr>
              <w:spacing w:before="60" w:after="60"/>
              <w:ind w:left="332" w:hanging="283"/>
              <w:rPr>
                <w:rFonts w:eastAsia="Verdana"/>
                <w:sz w:val="18"/>
                <w:szCs w:val="18"/>
              </w:rPr>
            </w:pPr>
            <w:r w:rsidRPr="001B7507">
              <w:rPr>
                <w:rFonts w:eastAsia="Verdana"/>
                <w:sz w:val="18"/>
                <w:szCs w:val="18"/>
              </w:rPr>
              <w:t xml:space="preserve">The scale, pace and focus of new pricing arrangements should be underpinned by a </w:t>
            </w:r>
            <w:r w:rsidRPr="001B7507">
              <w:rPr>
                <w:rFonts w:eastAsia="Verdana"/>
                <w:b/>
                <w:bCs/>
                <w:sz w:val="18"/>
                <w:szCs w:val="18"/>
              </w:rPr>
              <w:t>ten-year National Health Funding and Payments Framework</w:t>
            </w:r>
            <w:r w:rsidRPr="001B7507">
              <w:rPr>
                <w:rFonts w:eastAsia="Verdana"/>
                <w:sz w:val="18"/>
                <w:szCs w:val="18"/>
              </w:rPr>
              <w:t>, informed by the national bodies and agreed between the Commonwealth, States and Territories, which incorporates blended models of care, virtual care, bundled payments and paying for value and outcomes, with clear and measurable milestones and accountabilities and an agreed transition path.</w:t>
            </w:r>
          </w:p>
        </w:tc>
        <w:tc>
          <w:tcPr>
            <w:tcW w:w="661" w:type="pct"/>
            <w:tcBorders>
              <w:top w:val="single" w:sz="8" w:space="0" w:color="D9D9D9"/>
              <w:left w:val="nil"/>
              <w:bottom w:val="single" w:sz="8" w:space="0" w:color="D9D9D9"/>
              <w:right w:val="nil"/>
            </w:tcBorders>
          </w:tcPr>
          <w:p w14:paraId="19FCFA2F" w14:textId="32630966" w:rsidR="00EB257A" w:rsidRPr="001B7507" w:rsidRDefault="007A1187" w:rsidP="001B7507">
            <w:pPr>
              <w:spacing w:before="60" w:after="60"/>
              <w:ind w:left="49"/>
              <w:rPr>
                <w:rFonts w:eastAsia="Verdana"/>
                <w:sz w:val="18"/>
                <w:szCs w:val="18"/>
              </w:rPr>
            </w:pPr>
            <w:r w:rsidRPr="001B7507">
              <w:rPr>
                <w:rFonts w:eastAsia="Verdana"/>
                <w:sz w:val="18"/>
                <w:szCs w:val="18"/>
              </w:rPr>
              <w:fldChar w:fldCharType="begin" w:fldLock="1"/>
            </w:r>
            <w:r w:rsidRPr="001B7507">
              <w:rPr>
                <w:rFonts w:eastAsia="Verdana"/>
                <w:sz w:val="18"/>
                <w:szCs w:val="18"/>
              </w:rPr>
              <w:instrText xml:space="preserve"> REF _Ref148442093 \w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Pr>
                <w:rFonts w:eastAsia="Verdana"/>
                <w:sz w:val="18"/>
                <w:szCs w:val="18"/>
              </w:rPr>
              <w:t>5.3.4.5</w:t>
            </w:r>
            <w:r w:rsidRPr="001B7507">
              <w:rPr>
                <w:rFonts w:eastAsia="Verdana"/>
                <w:sz w:val="18"/>
                <w:szCs w:val="18"/>
              </w:rPr>
              <w:fldChar w:fldCharType="end"/>
            </w:r>
            <w:r w:rsidRPr="001B7507">
              <w:rPr>
                <w:rFonts w:eastAsia="Verdana"/>
                <w:sz w:val="18"/>
                <w:szCs w:val="18"/>
              </w:rPr>
              <w:t xml:space="preserve"> - </w:t>
            </w:r>
            <w:r w:rsidRPr="001B7507">
              <w:rPr>
                <w:rFonts w:eastAsia="Verdana"/>
                <w:sz w:val="18"/>
                <w:szCs w:val="18"/>
              </w:rPr>
              <w:fldChar w:fldCharType="begin" w:fldLock="1"/>
            </w:r>
            <w:r w:rsidRPr="001B7507">
              <w:rPr>
                <w:rFonts w:eastAsia="Verdana"/>
                <w:sz w:val="18"/>
                <w:szCs w:val="18"/>
              </w:rPr>
              <w:instrText xml:space="preserve"> REF _Ref148442093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sidRPr="00FA10A4">
              <w:rPr>
                <w:sz w:val="18"/>
                <w:szCs w:val="18"/>
              </w:rPr>
              <w:t>Safety and quality</w:t>
            </w:r>
            <w:r w:rsidRPr="001B7507">
              <w:rPr>
                <w:rFonts w:eastAsia="Verdana"/>
                <w:sz w:val="18"/>
                <w:szCs w:val="18"/>
              </w:rPr>
              <w:fldChar w:fldCharType="end"/>
            </w:r>
          </w:p>
        </w:tc>
      </w:tr>
      <w:tr w:rsidR="00ED6A10" w:rsidRPr="001B7507" w14:paraId="7DC98277" w14:textId="298D851B" w:rsidTr="00025B1E">
        <w:tc>
          <w:tcPr>
            <w:tcW w:w="436" w:type="pct"/>
            <w:tcBorders>
              <w:top w:val="single" w:sz="8" w:space="0" w:color="D9D9D9"/>
              <w:left w:val="nil"/>
              <w:bottom w:val="single" w:sz="8" w:space="0" w:color="D9D9D9"/>
              <w:right w:val="nil"/>
            </w:tcBorders>
            <w:shd w:val="clear" w:color="auto" w:fill="auto"/>
          </w:tcPr>
          <w:p w14:paraId="1D92FEEC" w14:textId="77777777" w:rsidR="00EB257A" w:rsidRPr="001B7507" w:rsidRDefault="00EB257A" w:rsidP="001B7507">
            <w:pPr>
              <w:spacing w:before="60" w:after="60"/>
              <w:rPr>
                <w:rFonts w:eastAsia="Verdana"/>
                <w:sz w:val="18"/>
                <w:szCs w:val="18"/>
              </w:rPr>
            </w:pPr>
            <w:r w:rsidRPr="001B7507">
              <w:rPr>
                <w:rFonts w:eastAsia="Verdana"/>
                <w:sz w:val="18"/>
                <w:szCs w:val="18"/>
              </w:rPr>
              <w:t>Financing reform - Financing public hospitals and health care</w:t>
            </w:r>
          </w:p>
        </w:tc>
        <w:tc>
          <w:tcPr>
            <w:tcW w:w="454" w:type="pct"/>
            <w:tcBorders>
              <w:top w:val="single" w:sz="8" w:space="0" w:color="D9D9D9"/>
              <w:left w:val="nil"/>
              <w:bottom w:val="single" w:sz="8" w:space="0" w:color="D9D9D9"/>
              <w:right w:val="nil"/>
            </w:tcBorders>
          </w:tcPr>
          <w:p w14:paraId="2B4A68E5" w14:textId="77777777" w:rsidR="00EB257A" w:rsidRPr="001B7507" w:rsidRDefault="00EB257A" w:rsidP="001B7507">
            <w:pPr>
              <w:spacing w:before="60" w:after="60"/>
              <w:rPr>
                <w:rFonts w:eastAsia="Verdana"/>
                <w:sz w:val="18"/>
                <w:szCs w:val="18"/>
              </w:rPr>
            </w:pPr>
            <w:r w:rsidRPr="001B7507">
              <w:rPr>
                <w:rFonts w:eastAsia="Verdana"/>
                <w:sz w:val="18"/>
                <w:szCs w:val="18"/>
              </w:rPr>
              <w:t>Retaining activity-based funding</w:t>
            </w:r>
          </w:p>
        </w:tc>
        <w:tc>
          <w:tcPr>
            <w:tcW w:w="3449" w:type="pct"/>
            <w:tcBorders>
              <w:top w:val="single" w:sz="8" w:space="0" w:color="D9D9D9"/>
              <w:left w:val="nil"/>
              <w:bottom w:val="single" w:sz="8" w:space="0" w:color="D9D9D9"/>
              <w:right w:val="nil"/>
            </w:tcBorders>
            <w:shd w:val="clear" w:color="auto" w:fill="auto"/>
          </w:tcPr>
          <w:p w14:paraId="60A6E5C4" w14:textId="64A0BEC5" w:rsidR="00EB257A" w:rsidRPr="001B7507" w:rsidRDefault="00EB257A" w:rsidP="001B7507">
            <w:pPr>
              <w:numPr>
                <w:ilvl w:val="0"/>
                <w:numId w:val="95"/>
              </w:numPr>
              <w:spacing w:before="60" w:after="60"/>
              <w:ind w:left="332" w:hanging="283"/>
              <w:rPr>
                <w:rFonts w:eastAsia="Verdana"/>
                <w:sz w:val="18"/>
                <w:szCs w:val="18"/>
              </w:rPr>
            </w:pPr>
            <w:r w:rsidRPr="001B7507">
              <w:rPr>
                <w:b/>
                <w:bCs/>
                <w:sz w:val="18"/>
                <w:szCs w:val="18"/>
              </w:rPr>
              <w:t>Activity based funding should be retained as a foundational element of a future Agreement</w:t>
            </w:r>
            <w:r w:rsidRPr="001B7507">
              <w:rPr>
                <w:sz w:val="18"/>
                <w:szCs w:val="18"/>
              </w:rPr>
              <w:t>. ABF has proven value in enabling transparency, accountability and consistency of funded</w:t>
            </w:r>
            <w:r w:rsidR="00B344E5">
              <w:rPr>
                <w:sz w:val="18"/>
                <w:szCs w:val="18"/>
              </w:rPr>
              <w:t xml:space="preserve"> episodic</w:t>
            </w:r>
            <w:r w:rsidRPr="001B7507">
              <w:rPr>
                <w:sz w:val="18"/>
                <w:szCs w:val="18"/>
              </w:rPr>
              <w:t xml:space="preserve"> activity and provides a solid basis from which to enhance and evolve funding incentives to support system improvements.</w:t>
            </w:r>
          </w:p>
        </w:tc>
        <w:tc>
          <w:tcPr>
            <w:tcW w:w="661" w:type="pct"/>
            <w:tcBorders>
              <w:top w:val="single" w:sz="8" w:space="0" w:color="D9D9D9"/>
              <w:left w:val="nil"/>
              <w:bottom w:val="single" w:sz="8" w:space="0" w:color="D9D9D9"/>
              <w:right w:val="nil"/>
            </w:tcBorders>
          </w:tcPr>
          <w:p w14:paraId="35383599" w14:textId="2649D7B7" w:rsidR="00EB257A" w:rsidRPr="001B7507" w:rsidRDefault="00842C3C" w:rsidP="001B7507">
            <w:pPr>
              <w:spacing w:before="60" w:after="60"/>
              <w:ind w:left="49"/>
              <w:rPr>
                <w:sz w:val="18"/>
                <w:szCs w:val="18"/>
              </w:rPr>
            </w:pPr>
            <w:r w:rsidRPr="001B7507">
              <w:rPr>
                <w:sz w:val="18"/>
                <w:szCs w:val="18"/>
              </w:rPr>
              <w:fldChar w:fldCharType="begin" w:fldLock="1"/>
            </w:r>
            <w:r w:rsidRPr="001B7507">
              <w:rPr>
                <w:sz w:val="18"/>
                <w:szCs w:val="18"/>
              </w:rPr>
              <w:instrText xml:space="preserve"> REF _Ref148442120 \w \h </w:instrText>
            </w:r>
            <w:r w:rsidR="00C66478" w:rsidRPr="001B7507">
              <w:rPr>
                <w:sz w:val="18"/>
                <w:szCs w:val="18"/>
              </w:rPr>
              <w:instrText xml:space="preserve"> \* MERGEFORMAT </w:instrText>
            </w:r>
            <w:r w:rsidRPr="001B7507">
              <w:rPr>
                <w:sz w:val="18"/>
                <w:szCs w:val="18"/>
              </w:rPr>
            </w:r>
            <w:r w:rsidRPr="001B7507">
              <w:rPr>
                <w:sz w:val="18"/>
                <w:szCs w:val="18"/>
              </w:rPr>
              <w:fldChar w:fldCharType="separate"/>
            </w:r>
            <w:r w:rsidR="00FA10A4">
              <w:rPr>
                <w:sz w:val="18"/>
                <w:szCs w:val="18"/>
              </w:rPr>
              <w:t>5.4.1</w:t>
            </w:r>
            <w:r w:rsidRPr="001B7507">
              <w:rPr>
                <w:sz w:val="18"/>
                <w:szCs w:val="18"/>
              </w:rPr>
              <w:fldChar w:fldCharType="end"/>
            </w:r>
            <w:r w:rsidRPr="001B7507">
              <w:rPr>
                <w:sz w:val="18"/>
                <w:szCs w:val="18"/>
              </w:rPr>
              <w:t xml:space="preserve"> - </w:t>
            </w:r>
            <w:r w:rsidRPr="001B7507">
              <w:rPr>
                <w:sz w:val="18"/>
                <w:szCs w:val="18"/>
              </w:rPr>
              <w:fldChar w:fldCharType="begin" w:fldLock="1"/>
            </w:r>
            <w:r w:rsidRPr="001B7507">
              <w:rPr>
                <w:sz w:val="18"/>
                <w:szCs w:val="18"/>
              </w:rPr>
              <w:instrText xml:space="preserve"> REF _Ref148442120 \h </w:instrText>
            </w:r>
            <w:r w:rsidR="00C66478" w:rsidRPr="001B7507">
              <w:rPr>
                <w:sz w:val="18"/>
                <w:szCs w:val="18"/>
              </w:rPr>
              <w:instrText xml:space="preserve"> \* MERGEFORMAT </w:instrText>
            </w:r>
            <w:r w:rsidRPr="001B7507">
              <w:rPr>
                <w:sz w:val="18"/>
                <w:szCs w:val="18"/>
              </w:rPr>
            </w:r>
            <w:r w:rsidRPr="001B7507">
              <w:rPr>
                <w:sz w:val="18"/>
                <w:szCs w:val="18"/>
              </w:rPr>
              <w:fldChar w:fldCharType="separate"/>
            </w:r>
            <w:r w:rsidR="00FA10A4" w:rsidRPr="00FA10A4">
              <w:rPr>
                <w:sz w:val="18"/>
                <w:szCs w:val="18"/>
              </w:rPr>
              <w:t>Financing public hospitals and health care</w:t>
            </w:r>
            <w:r w:rsidRPr="001B7507">
              <w:rPr>
                <w:sz w:val="18"/>
                <w:szCs w:val="18"/>
              </w:rPr>
              <w:fldChar w:fldCharType="end"/>
            </w:r>
          </w:p>
        </w:tc>
      </w:tr>
      <w:tr w:rsidR="00ED6A10" w:rsidRPr="001B7507" w14:paraId="1B2090F9" w14:textId="6F9D9A00" w:rsidTr="00025B1E">
        <w:tc>
          <w:tcPr>
            <w:tcW w:w="436" w:type="pct"/>
            <w:vMerge w:val="restart"/>
            <w:tcBorders>
              <w:top w:val="single" w:sz="8" w:space="0" w:color="D9D9D9"/>
              <w:left w:val="nil"/>
              <w:right w:val="nil"/>
            </w:tcBorders>
            <w:shd w:val="clear" w:color="auto" w:fill="auto"/>
          </w:tcPr>
          <w:p w14:paraId="369F0F82" w14:textId="77777777" w:rsidR="00EB257A" w:rsidRPr="001B7507" w:rsidRDefault="00EB257A" w:rsidP="001B7507">
            <w:pPr>
              <w:spacing w:before="60" w:after="60"/>
              <w:rPr>
                <w:rFonts w:eastAsia="Verdana"/>
                <w:sz w:val="18"/>
                <w:szCs w:val="18"/>
              </w:rPr>
            </w:pPr>
            <w:r w:rsidRPr="001B7507">
              <w:rPr>
                <w:rFonts w:eastAsia="Verdana"/>
                <w:sz w:val="18"/>
                <w:szCs w:val="18"/>
              </w:rPr>
              <w:t>Financing reform - Reducing complexity</w:t>
            </w:r>
          </w:p>
        </w:tc>
        <w:tc>
          <w:tcPr>
            <w:tcW w:w="454" w:type="pct"/>
            <w:tcBorders>
              <w:top w:val="single" w:sz="8" w:space="0" w:color="D9D9D9"/>
              <w:left w:val="nil"/>
              <w:bottom w:val="single" w:sz="8" w:space="0" w:color="D9D9D9"/>
              <w:right w:val="nil"/>
            </w:tcBorders>
          </w:tcPr>
          <w:p w14:paraId="0F22C6DF" w14:textId="77777777" w:rsidR="00EB257A" w:rsidRPr="001B7507" w:rsidRDefault="00EB257A" w:rsidP="001B7507">
            <w:pPr>
              <w:spacing w:before="60" w:after="60"/>
              <w:rPr>
                <w:rFonts w:eastAsia="Verdana"/>
                <w:sz w:val="18"/>
                <w:szCs w:val="18"/>
              </w:rPr>
            </w:pPr>
            <w:r w:rsidRPr="001B7507">
              <w:rPr>
                <w:rFonts w:eastAsia="Verdana"/>
                <w:sz w:val="18"/>
                <w:szCs w:val="18"/>
              </w:rPr>
              <w:t>Review NEP calculation to reduce calculation complexity (particularly smaller jurisdictions)</w:t>
            </w:r>
          </w:p>
        </w:tc>
        <w:tc>
          <w:tcPr>
            <w:tcW w:w="3449" w:type="pct"/>
            <w:tcBorders>
              <w:top w:val="single" w:sz="8" w:space="0" w:color="D9D9D9"/>
              <w:left w:val="nil"/>
              <w:bottom w:val="single" w:sz="8" w:space="0" w:color="D9D9D9"/>
              <w:right w:val="nil"/>
            </w:tcBorders>
            <w:shd w:val="clear" w:color="auto" w:fill="auto"/>
          </w:tcPr>
          <w:p w14:paraId="443407EB" w14:textId="26D85470" w:rsidR="00EB257A" w:rsidRPr="001B7507" w:rsidRDefault="00EB257A" w:rsidP="001B7507">
            <w:pPr>
              <w:numPr>
                <w:ilvl w:val="0"/>
                <w:numId w:val="95"/>
              </w:numPr>
              <w:spacing w:before="60" w:after="60"/>
              <w:ind w:left="332" w:hanging="283"/>
              <w:rPr>
                <w:rFonts w:eastAsia="Verdana"/>
                <w:sz w:val="18"/>
                <w:szCs w:val="18"/>
              </w:rPr>
            </w:pPr>
            <w:r w:rsidRPr="001B7507">
              <w:rPr>
                <w:rFonts w:eastAsia="Verdana"/>
                <w:sz w:val="18"/>
                <w:szCs w:val="18"/>
              </w:rPr>
              <w:t xml:space="preserve">The IHACPA, in consultation with jurisdictions and the NHFB, should undertake a further </w:t>
            </w:r>
            <w:r w:rsidRPr="001B7507">
              <w:rPr>
                <w:rFonts w:eastAsia="Verdana"/>
                <w:b/>
                <w:bCs/>
                <w:sz w:val="18"/>
                <w:szCs w:val="18"/>
              </w:rPr>
              <w:t>review of the calculation of the NEP to seek to</w:t>
            </w:r>
            <w:r w:rsidRPr="001B7507">
              <w:rPr>
                <w:rFonts w:eastAsia="Verdana"/>
                <w:sz w:val="18"/>
                <w:szCs w:val="18"/>
              </w:rPr>
              <w:t xml:space="preserve"> </w:t>
            </w:r>
            <w:r w:rsidRPr="001B7507">
              <w:rPr>
                <w:rFonts w:eastAsia="Verdana"/>
                <w:b/>
                <w:bCs/>
                <w:sz w:val="18"/>
                <w:szCs w:val="18"/>
              </w:rPr>
              <w:t xml:space="preserve">reduce calculation complexity </w:t>
            </w:r>
            <w:r w:rsidRPr="001B7507">
              <w:rPr>
                <w:rFonts w:eastAsia="Verdana"/>
                <w:sz w:val="18"/>
                <w:szCs w:val="18"/>
              </w:rPr>
              <w:t xml:space="preserve">and </w:t>
            </w:r>
            <w:r w:rsidRPr="001B7507">
              <w:rPr>
                <w:rFonts w:eastAsia="Verdana"/>
                <w:b/>
                <w:sz w:val="18"/>
                <w:szCs w:val="18"/>
              </w:rPr>
              <w:t>address the particular funding challenges for smaller jurisdictions</w:t>
            </w:r>
            <w:r w:rsidRPr="001B7507">
              <w:rPr>
                <w:rFonts w:eastAsia="Verdana"/>
                <w:sz w:val="18"/>
                <w:szCs w:val="18"/>
              </w:rPr>
              <w:t xml:space="preserve"> unable to operate at the scale and without the cost base of larger jurisdictions. The impact of the NEP and the calculation of Indigenous, residential and treatment location adjustments should also be reviewed to ensure they are operating as intended.</w:t>
            </w:r>
          </w:p>
        </w:tc>
        <w:tc>
          <w:tcPr>
            <w:tcW w:w="661" w:type="pct"/>
            <w:tcBorders>
              <w:top w:val="single" w:sz="8" w:space="0" w:color="D9D9D9"/>
              <w:left w:val="nil"/>
              <w:bottom w:val="single" w:sz="8" w:space="0" w:color="D9D9D9"/>
              <w:right w:val="nil"/>
            </w:tcBorders>
          </w:tcPr>
          <w:p w14:paraId="0C29EF0F" w14:textId="6EF97406" w:rsidR="00EB257A" w:rsidRPr="001B7507" w:rsidRDefault="00842C3C" w:rsidP="001B7507">
            <w:pPr>
              <w:spacing w:before="60" w:after="60"/>
              <w:ind w:left="49"/>
              <w:rPr>
                <w:rFonts w:eastAsia="Verdana"/>
                <w:sz w:val="18"/>
                <w:szCs w:val="18"/>
              </w:rPr>
            </w:pPr>
            <w:r w:rsidRPr="001B7507">
              <w:rPr>
                <w:rFonts w:eastAsia="Verdana"/>
                <w:sz w:val="18"/>
                <w:szCs w:val="18"/>
              </w:rPr>
              <w:fldChar w:fldCharType="begin" w:fldLock="1"/>
            </w:r>
            <w:r w:rsidRPr="001B7507">
              <w:rPr>
                <w:rFonts w:eastAsia="Verdana"/>
                <w:sz w:val="18"/>
                <w:szCs w:val="18"/>
              </w:rPr>
              <w:instrText xml:space="preserve"> REF _Ref146631953 \w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Pr>
                <w:rFonts w:eastAsia="Verdana"/>
                <w:sz w:val="18"/>
                <w:szCs w:val="18"/>
              </w:rPr>
              <w:t>5.4.2.1</w:t>
            </w:r>
            <w:r w:rsidRPr="001B7507">
              <w:rPr>
                <w:rFonts w:eastAsia="Verdana"/>
                <w:sz w:val="18"/>
                <w:szCs w:val="18"/>
              </w:rPr>
              <w:fldChar w:fldCharType="end"/>
            </w:r>
            <w:r w:rsidRPr="001B7507">
              <w:rPr>
                <w:rFonts w:eastAsia="Verdana"/>
                <w:sz w:val="18"/>
                <w:szCs w:val="18"/>
              </w:rPr>
              <w:t xml:space="preserve"> - </w:t>
            </w:r>
            <w:r w:rsidRPr="001B7507">
              <w:rPr>
                <w:rFonts w:eastAsia="Verdana"/>
                <w:sz w:val="18"/>
                <w:szCs w:val="18"/>
              </w:rPr>
              <w:fldChar w:fldCharType="begin" w:fldLock="1"/>
            </w:r>
            <w:r w:rsidRPr="001B7507">
              <w:rPr>
                <w:rFonts w:eastAsia="Verdana"/>
                <w:sz w:val="18"/>
                <w:szCs w:val="18"/>
              </w:rPr>
              <w:instrText xml:space="preserve"> REF _Ref146631953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sidRPr="00FA10A4">
              <w:rPr>
                <w:sz w:val="18"/>
                <w:szCs w:val="18"/>
              </w:rPr>
              <w:t>Impact on smaller jurisdictions</w:t>
            </w:r>
            <w:r w:rsidRPr="001B7507">
              <w:rPr>
                <w:rFonts w:eastAsia="Verdana"/>
                <w:sz w:val="18"/>
                <w:szCs w:val="18"/>
              </w:rPr>
              <w:fldChar w:fldCharType="end"/>
            </w:r>
          </w:p>
        </w:tc>
      </w:tr>
      <w:tr w:rsidR="00ED6A10" w:rsidRPr="001B7507" w14:paraId="344F5F6F" w14:textId="4CD4D7FD" w:rsidTr="00025B1E">
        <w:tc>
          <w:tcPr>
            <w:tcW w:w="436" w:type="pct"/>
            <w:vMerge/>
            <w:tcBorders>
              <w:left w:val="nil"/>
              <w:right w:val="nil"/>
            </w:tcBorders>
            <w:shd w:val="clear" w:color="auto" w:fill="auto"/>
          </w:tcPr>
          <w:p w14:paraId="4B6668B0" w14:textId="77777777" w:rsidR="00EB257A" w:rsidRPr="001B7507" w:rsidRDefault="00EB257A" w:rsidP="001B7507">
            <w:pPr>
              <w:spacing w:before="60" w:after="60"/>
              <w:rPr>
                <w:rFonts w:eastAsia="Verdana"/>
                <w:sz w:val="18"/>
                <w:szCs w:val="18"/>
              </w:rPr>
            </w:pPr>
          </w:p>
        </w:tc>
        <w:tc>
          <w:tcPr>
            <w:tcW w:w="454" w:type="pct"/>
            <w:tcBorders>
              <w:top w:val="single" w:sz="8" w:space="0" w:color="D9D9D9"/>
              <w:left w:val="nil"/>
              <w:bottom w:val="single" w:sz="8" w:space="0" w:color="D9D9D9"/>
              <w:right w:val="nil"/>
            </w:tcBorders>
          </w:tcPr>
          <w:p w14:paraId="32CB05AD" w14:textId="77777777" w:rsidR="00EB257A" w:rsidRPr="001B7507" w:rsidRDefault="00EB257A" w:rsidP="001B7507">
            <w:pPr>
              <w:spacing w:before="60" w:after="60"/>
              <w:rPr>
                <w:rFonts w:eastAsia="Verdana"/>
                <w:sz w:val="18"/>
                <w:szCs w:val="18"/>
              </w:rPr>
            </w:pPr>
            <w:r w:rsidRPr="001B7507">
              <w:rPr>
                <w:rFonts w:eastAsia="Verdana"/>
                <w:sz w:val="18"/>
                <w:szCs w:val="18"/>
              </w:rPr>
              <w:t>Identify options for use of more recent activity / cost data</w:t>
            </w:r>
          </w:p>
        </w:tc>
        <w:tc>
          <w:tcPr>
            <w:tcW w:w="3449" w:type="pct"/>
            <w:tcBorders>
              <w:top w:val="single" w:sz="8" w:space="0" w:color="D9D9D9"/>
              <w:left w:val="nil"/>
              <w:bottom w:val="single" w:sz="8" w:space="0" w:color="D9D9D9"/>
              <w:right w:val="nil"/>
            </w:tcBorders>
            <w:shd w:val="clear" w:color="auto" w:fill="auto"/>
          </w:tcPr>
          <w:p w14:paraId="31A57A3E" w14:textId="5B0FD569" w:rsidR="00EB257A" w:rsidRPr="001B7507" w:rsidRDefault="00EB257A" w:rsidP="001B7507">
            <w:pPr>
              <w:numPr>
                <w:ilvl w:val="0"/>
                <w:numId w:val="95"/>
              </w:numPr>
              <w:spacing w:before="60" w:after="60"/>
              <w:ind w:left="332" w:hanging="283"/>
              <w:rPr>
                <w:rFonts w:eastAsia="Verdana"/>
                <w:sz w:val="18"/>
                <w:szCs w:val="18"/>
              </w:rPr>
            </w:pPr>
            <w:r w:rsidRPr="001B7507">
              <w:rPr>
                <w:rFonts w:eastAsia="Verdana"/>
                <w:sz w:val="18"/>
                <w:szCs w:val="18"/>
              </w:rPr>
              <w:t xml:space="preserve">A process should be undertaken that identifies and tests options, in consultation with jurisdictions, to calculate the NEP using </w:t>
            </w:r>
            <w:r w:rsidRPr="001B7507">
              <w:rPr>
                <w:rFonts w:eastAsia="Verdana"/>
                <w:b/>
                <w:bCs/>
                <w:sz w:val="18"/>
                <w:szCs w:val="18"/>
              </w:rPr>
              <w:t>more recent activity and cost data</w:t>
            </w:r>
            <w:r w:rsidRPr="001B7507">
              <w:rPr>
                <w:rFonts w:eastAsia="Verdana"/>
                <w:sz w:val="18"/>
                <w:szCs w:val="18"/>
              </w:rPr>
              <w:t xml:space="preserve"> than the current three</w:t>
            </w:r>
            <w:r w:rsidR="00A54C41">
              <w:rPr>
                <w:rFonts w:eastAsia="Verdana"/>
                <w:sz w:val="18"/>
                <w:szCs w:val="18"/>
              </w:rPr>
              <w:t>-</w:t>
            </w:r>
            <w:r w:rsidRPr="001B7507">
              <w:rPr>
                <w:rFonts w:eastAsia="Verdana"/>
                <w:sz w:val="18"/>
                <w:szCs w:val="18"/>
              </w:rPr>
              <w:t>year</w:t>
            </w:r>
            <w:r w:rsidR="00A54C41">
              <w:rPr>
                <w:rFonts w:eastAsia="Verdana"/>
                <w:sz w:val="18"/>
                <w:szCs w:val="18"/>
              </w:rPr>
              <w:t>-</w:t>
            </w:r>
            <w:r w:rsidRPr="001B7507">
              <w:rPr>
                <w:rFonts w:eastAsia="Verdana"/>
                <w:sz w:val="18"/>
                <w:szCs w:val="18"/>
              </w:rPr>
              <w:t>old data, with an agreed option implemented in the course of the next Agreement.</w:t>
            </w:r>
          </w:p>
        </w:tc>
        <w:tc>
          <w:tcPr>
            <w:tcW w:w="661" w:type="pct"/>
            <w:tcBorders>
              <w:top w:val="single" w:sz="8" w:space="0" w:color="D9D9D9"/>
              <w:left w:val="nil"/>
              <w:bottom w:val="single" w:sz="8" w:space="0" w:color="D9D9D9"/>
              <w:right w:val="nil"/>
            </w:tcBorders>
          </w:tcPr>
          <w:p w14:paraId="1C6EF1EF" w14:textId="2EA7381C" w:rsidR="00EB257A" w:rsidRPr="001B7507" w:rsidRDefault="009C13D6" w:rsidP="001B7507">
            <w:pPr>
              <w:spacing w:before="60" w:after="60"/>
              <w:ind w:left="49"/>
              <w:rPr>
                <w:rFonts w:eastAsia="Verdana"/>
                <w:sz w:val="18"/>
                <w:szCs w:val="18"/>
              </w:rPr>
            </w:pPr>
            <w:r w:rsidRPr="001B7507">
              <w:rPr>
                <w:rFonts w:eastAsia="Verdana"/>
                <w:sz w:val="18"/>
                <w:szCs w:val="18"/>
              </w:rPr>
              <w:fldChar w:fldCharType="begin" w:fldLock="1"/>
            </w:r>
            <w:r w:rsidRPr="001B7507">
              <w:rPr>
                <w:rFonts w:eastAsia="Verdana"/>
                <w:sz w:val="18"/>
                <w:szCs w:val="18"/>
              </w:rPr>
              <w:instrText xml:space="preserve"> REF _Ref145603522 \w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Pr>
                <w:rFonts w:eastAsia="Verdana"/>
                <w:sz w:val="18"/>
                <w:szCs w:val="18"/>
              </w:rPr>
              <w:t>5.4.2.2</w:t>
            </w:r>
            <w:r w:rsidRPr="001B7507">
              <w:rPr>
                <w:rFonts w:eastAsia="Verdana"/>
                <w:sz w:val="18"/>
                <w:szCs w:val="18"/>
              </w:rPr>
              <w:fldChar w:fldCharType="end"/>
            </w:r>
            <w:r w:rsidRPr="001B7507">
              <w:rPr>
                <w:rFonts w:eastAsia="Verdana"/>
                <w:sz w:val="18"/>
                <w:szCs w:val="18"/>
              </w:rPr>
              <w:t xml:space="preserve"> - </w:t>
            </w:r>
            <w:r w:rsidRPr="001B7507">
              <w:rPr>
                <w:rFonts w:eastAsia="Verdana"/>
                <w:sz w:val="18"/>
                <w:szCs w:val="18"/>
              </w:rPr>
              <w:fldChar w:fldCharType="begin" w:fldLock="1"/>
            </w:r>
            <w:r w:rsidRPr="001B7507">
              <w:rPr>
                <w:rFonts w:eastAsia="Verdana"/>
                <w:sz w:val="18"/>
                <w:szCs w:val="18"/>
              </w:rPr>
              <w:instrText xml:space="preserve"> REF _Ref145603522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sidRPr="00FA10A4">
              <w:rPr>
                <w:sz w:val="18"/>
                <w:szCs w:val="18"/>
              </w:rPr>
              <w:t>Timeliness of activity and cost data</w:t>
            </w:r>
            <w:r w:rsidRPr="001B7507">
              <w:rPr>
                <w:rFonts w:eastAsia="Verdana"/>
                <w:sz w:val="18"/>
                <w:szCs w:val="18"/>
              </w:rPr>
              <w:fldChar w:fldCharType="end"/>
            </w:r>
          </w:p>
        </w:tc>
      </w:tr>
      <w:tr w:rsidR="00ED6A10" w:rsidRPr="001B7507" w14:paraId="13B1ECB7" w14:textId="66EDC942" w:rsidTr="00025B1E">
        <w:tc>
          <w:tcPr>
            <w:tcW w:w="436" w:type="pct"/>
            <w:vMerge/>
            <w:tcBorders>
              <w:left w:val="nil"/>
              <w:right w:val="nil"/>
            </w:tcBorders>
            <w:shd w:val="clear" w:color="auto" w:fill="auto"/>
          </w:tcPr>
          <w:p w14:paraId="640D0707" w14:textId="77777777" w:rsidR="00EB257A" w:rsidRPr="001B7507" w:rsidRDefault="00EB257A" w:rsidP="001B7507">
            <w:pPr>
              <w:spacing w:before="60" w:after="60"/>
              <w:rPr>
                <w:rFonts w:eastAsia="Verdana"/>
                <w:sz w:val="18"/>
                <w:szCs w:val="18"/>
              </w:rPr>
            </w:pPr>
          </w:p>
        </w:tc>
        <w:tc>
          <w:tcPr>
            <w:tcW w:w="454" w:type="pct"/>
            <w:tcBorders>
              <w:top w:val="single" w:sz="8" w:space="0" w:color="D9D9D9"/>
              <w:left w:val="nil"/>
              <w:bottom w:val="single" w:sz="8" w:space="0" w:color="D9D9D9"/>
              <w:right w:val="nil"/>
            </w:tcBorders>
          </w:tcPr>
          <w:p w14:paraId="62D39259" w14:textId="77777777" w:rsidR="00EB257A" w:rsidRPr="001B7507" w:rsidRDefault="00EB257A" w:rsidP="001B7507">
            <w:pPr>
              <w:spacing w:before="60" w:after="60"/>
              <w:rPr>
                <w:rFonts w:eastAsia="Verdana"/>
                <w:sz w:val="18"/>
                <w:szCs w:val="18"/>
              </w:rPr>
            </w:pPr>
            <w:r w:rsidRPr="001B7507">
              <w:rPr>
                <w:rFonts w:eastAsia="Verdana"/>
                <w:sz w:val="18"/>
                <w:szCs w:val="18"/>
              </w:rPr>
              <w:t>Cross-border principles augmented</w:t>
            </w:r>
          </w:p>
        </w:tc>
        <w:tc>
          <w:tcPr>
            <w:tcW w:w="3449" w:type="pct"/>
            <w:tcBorders>
              <w:top w:val="single" w:sz="8" w:space="0" w:color="D9D9D9"/>
              <w:left w:val="nil"/>
              <w:bottom w:val="single" w:sz="8" w:space="0" w:color="D9D9D9"/>
              <w:right w:val="nil"/>
            </w:tcBorders>
            <w:shd w:val="clear" w:color="auto" w:fill="auto"/>
          </w:tcPr>
          <w:p w14:paraId="69A2555E" w14:textId="77777777" w:rsidR="00EB257A" w:rsidRPr="001B7507" w:rsidRDefault="00EB257A" w:rsidP="001B7507">
            <w:pPr>
              <w:numPr>
                <w:ilvl w:val="0"/>
                <w:numId w:val="95"/>
              </w:numPr>
              <w:spacing w:before="60" w:after="60"/>
              <w:ind w:left="332" w:hanging="283"/>
              <w:rPr>
                <w:rFonts w:eastAsia="Verdana"/>
                <w:sz w:val="18"/>
                <w:szCs w:val="18"/>
              </w:rPr>
            </w:pPr>
            <w:r w:rsidRPr="001B7507">
              <w:rPr>
                <w:rFonts w:eastAsia="Verdana"/>
                <w:sz w:val="18"/>
                <w:szCs w:val="18"/>
              </w:rPr>
              <w:t xml:space="preserve">The </w:t>
            </w:r>
            <w:r w:rsidRPr="001B7507">
              <w:rPr>
                <w:rFonts w:eastAsia="Verdana"/>
                <w:b/>
                <w:bCs/>
                <w:sz w:val="18"/>
                <w:szCs w:val="18"/>
              </w:rPr>
              <w:t>principles underpinning cross border arrangements</w:t>
            </w:r>
            <w:r w:rsidRPr="001B7507">
              <w:rPr>
                <w:rFonts w:eastAsia="Verdana"/>
                <w:sz w:val="18"/>
                <w:szCs w:val="18"/>
              </w:rPr>
              <w:t xml:space="preserve"> as set out in the Agreement should be confirmed but </w:t>
            </w:r>
            <w:r w:rsidRPr="001B7507">
              <w:rPr>
                <w:rFonts w:eastAsia="Verdana"/>
                <w:b/>
                <w:bCs/>
                <w:sz w:val="18"/>
                <w:szCs w:val="18"/>
              </w:rPr>
              <w:t>augmented with guidelines</w:t>
            </w:r>
            <w:r w:rsidRPr="001B7507">
              <w:rPr>
                <w:rFonts w:eastAsia="Verdana"/>
                <w:sz w:val="18"/>
                <w:szCs w:val="18"/>
              </w:rPr>
              <w:t xml:space="preserve"> that enable timely and fair outcomes applied on a consistent basis, including making allowance for capital and block components of funding, above certain thresholds of cross border activity.</w:t>
            </w:r>
          </w:p>
        </w:tc>
        <w:tc>
          <w:tcPr>
            <w:tcW w:w="661" w:type="pct"/>
            <w:tcBorders>
              <w:top w:val="single" w:sz="8" w:space="0" w:color="D9D9D9"/>
              <w:left w:val="nil"/>
              <w:bottom w:val="single" w:sz="8" w:space="0" w:color="D9D9D9"/>
              <w:right w:val="nil"/>
            </w:tcBorders>
          </w:tcPr>
          <w:p w14:paraId="4B4EC7E9" w14:textId="5C58D1CD" w:rsidR="00EB257A" w:rsidRPr="001B7507" w:rsidRDefault="009C13D6" w:rsidP="001B7507">
            <w:pPr>
              <w:spacing w:before="60" w:after="60"/>
              <w:ind w:left="49"/>
              <w:rPr>
                <w:rFonts w:eastAsia="Verdana"/>
                <w:sz w:val="18"/>
                <w:szCs w:val="18"/>
              </w:rPr>
            </w:pPr>
            <w:r w:rsidRPr="001B7507">
              <w:rPr>
                <w:rFonts w:eastAsia="Verdana"/>
                <w:sz w:val="18"/>
                <w:szCs w:val="18"/>
              </w:rPr>
              <w:fldChar w:fldCharType="begin" w:fldLock="1"/>
            </w:r>
            <w:r w:rsidRPr="001B7507">
              <w:rPr>
                <w:rFonts w:eastAsia="Verdana"/>
                <w:sz w:val="18"/>
                <w:szCs w:val="18"/>
              </w:rPr>
              <w:instrText xml:space="preserve"> REF _Ref148442184 \w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Pr>
                <w:rFonts w:eastAsia="Verdana"/>
                <w:sz w:val="18"/>
                <w:szCs w:val="18"/>
              </w:rPr>
              <w:t>5.4.2.3</w:t>
            </w:r>
            <w:r w:rsidRPr="001B7507">
              <w:rPr>
                <w:rFonts w:eastAsia="Verdana"/>
                <w:sz w:val="18"/>
                <w:szCs w:val="18"/>
              </w:rPr>
              <w:fldChar w:fldCharType="end"/>
            </w:r>
            <w:r w:rsidRPr="001B7507">
              <w:rPr>
                <w:rFonts w:eastAsia="Verdana"/>
                <w:sz w:val="18"/>
                <w:szCs w:val="18"/>
              </w:rPr>
              <w:t xml:space="preserve"> - </w:t>
            </w:r>
            <w:r w:rsidRPr="001B7507">
              <w:rPr>
                <w:rFonts w:eastAsia="Verdana"/>
                <w:sz w:val="18"/>
                <w:szCs w:val="18"/>
              </w:rPr>
              <w:fldChar w:fldCharType="begin" w:fldLock="1"/>
            </w:r>
            <w:r w:rsidRPr="001B7507">
              <w:rPr>
                <w:rFonts w:eastAsia="Verdana"/>
                <w:sz w:val="18"/>
                <w:szCs w:val="18"/>
              </w:rPr>
              <w:instrText xml:space="preserve"> REF _Ref148442184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sidRPr="00FA10A4">
              <w:rPr>
                <w:sz w:val="18"/>
                <w:szCs w:val="18"/>
              </w:rPr>
              <w:t>Cross-border arrangements</w:t>
            </w:r>
            <w:r w:rsidRPr="001B7507">
              <w:rPr>
                <w:rFonts w:eastAsia="Verdana"/>
                <w:sz w:val="18"/>
                <w:szCs w:val="18"/>
              </w:rPr>
              <w:fldChar w:fldCharType="end"/>
            </w:r>
          </w:p>
        </w:tc>
      </w:tr>
      <w:tr w:rsidR="00ED6A10" w:rsidRPr="001B7507" w14:paraId="2A2CFEC7" w14:textId="15729F79" w:rsidTr="00025B1E">
        <w:tc>
          <w:tcPr>
            <w:tcW w:w="436" w:type="pct"/>
            <w:vMerge/>
            <w:tcBorders>
              <w:left w:val="nil"/>
              <w:bottom w:val="single" w:sz="8" w:space="0" w:color="D9D9D9"/>
              <w:right w:val="nil"/>
            </w:tcBorders>
            <w:shd w:val="clear" w:color="auto" w:fill="auto"/>
          </w:tcPr>
          <w:p w14:paraId="2BD2DBBC" w14:textId="77777777" w:rsidR="00EB257A" w:rsidRPr="001B7507" w:rsidRDefault="00EB257A" w:rsidP="001B7507">
            <w:pPr>
              <w:spacing w:before="60" w:after="60"/>
              <w:rPr>
                <w:rFonts w:eastAsia="Verdana"/>
                <w:sz w:val="18"/>
                <w:szCs w:val="18"/>
              </w:rPr>
            </w:pPr>
          </w:p>
        </w:tc>
        <w:tc>
          <w:tcPr>
            <w:tcW w:w="454" w:type="pct"/>
            <w:tcBorders>
              <w:top w:val="single" w:sz="8" w:space="0" w:color="D9D9D9"/>
              <w:left w:val="nil"/>
              <w:bottom w:val="single" w:sz="8" w:space="0" w:color="D9D9D9"/>
              <w:right w:val="nil"/>
            </w:tcBorders>
          </w:tcPr>
          <w:p w14:paraId="53447810" w14:textId="77777777" w:rsidR="00EB257A" w:rsidRPr="001B7507" w:rsidRDefault="00EB257A" w:rsidP="001B7507">
            <w:pPr>
              <w:spacing w:before="60" w:after="60"/>
              <w:rPr>
                <w:rFonts w:eastAsia="Verdana"/>
                <w:sz w:val="18"/>
                <w:szCs w:val="18"/>
              </w:rPr>
            </w:pPr>
            <w:r w:rsidRPr="001B7507">
              <w:rPr>
                <w:rFonts w:eastAsia="Verdana"/>
                <w:sz w:val="18"/>
                <w:szCs w:val="18"/>
              </w:rPr>
              <w:t>Determining funding neutrality for private patients in public hospitals</w:t>
            </w:r>
          </w:p>
        </w:tc>
        <w:tc>
          <w:tcPr>
            <w:tcW w:w="3449" w:type="pct"/>
            <w:tcBorders>
              <w:top w:val="single" w:sz="8" w:space="0" w:color="D9D9D9"/>
              <w:left w:val="nil"/>
              <w:bottom w:val="single" w:sz="8" w:space="0" w:color="D9D9D9"/>
              <w:right w:val="nil"/>
            </w:tcBorders>
            <w:shd w:val="clear" w:color="auto" w:fill="auto"/>
          </w:tcPr>
          <w:p w14:paraId="04BEE392" w14:textId="77777777" w:rsidR="00EB257A" w:rsidRPr="001B7507" w:rsidRDefault="00EB257A" w:rsidP="001B7507">
            <w:pPr>
              <w:numPr>
                <w:ilvl w:val="0"/>
                <w:numId w:val="95"/>
              </w:numPr>
              <w:spacing w:before="60" w:after="60"/>
              <w:ind w:left="332" w:hanging="283"/>
              <w:rPr>
                <w:rFonts w:eastAsia="Verdana"/>
                <w:sz w:val="18"/>
                <w:szCs w:val="18"/>
              </w:rPr>
            </w:pPr>
            <w:r w:rsidRPr="001B7507">
              <w:rPr>
                <w:rFonts w:eastAsia="Verdana"/>
                <w:sz w:val="18"/>
                <w:szCs w:val="18"/>
              </w:rPr>
              <w:t xml:space="preserve">A review should be undertaken by IHACPA, in consultation with jurisdictions and the NHFB, regarding the requirements and implementation of the </w:t>
            </w:r>
            <w:r w:rsidRPr="001B7507">
              <w:rPr>
                <w:rFonts w:eastAsia="Verdana"/>
                <w:b/>
                <w:bCs/>
                <w:sz w:val="18"/>
                <w:szCs w:val="18"/>
              </w:rPr>
              <w:t>arrangements for determining funding neutrality for private patients in public hospitals</w:t>
            </w:r>
            <w:r w:rsidRPr="001B7507">
              <w:rPr>
                <w:rFonts w:eastAsia="Verdana"/>
                <w:sz w:val="18"/>
                <w:szCs w:val="18"/>
              </w:rPr>
              <w:t>, particularly in the calculation of growth funding, to determine whether the policy intent of the parties is being achieved, and what if any adjustments are required.</w:t>
            </w:r>
          </w:p>
        </w:tc>
        <w:tc>
          <w:tcPr>
            <w:tcW w:w="661" w:type="pct"/>
            <w:tcBorders>
              <w:top w:val="single" w:sz="8" w:space="0" w:color="D9D9D9"/>
              <w:left w:val="nil"/>
              <w:bottom w:val="single" w:sz="8" w:space="0" w:color="D9D9D9"/>
              <w:right w:val="nil"/>
            </w:tcBorders>
          </w:tcPr>
          <w:p w14:paraId="695CA76B" w14:textId="4E7D20A6" w:rsidR="00EB257A" w:rsidRPr="001B7507" w:rsidRDefault="00ED6A10" w:rsidP="001B7507">
            <w:pPr>
              <w:spacing w:before="60" w:after="60"/>
              <w:ind w:left="49"/>
              <w:rPr>
                <w:rFonts w:eastAsia="Verdana"/>
                <w:sz w:val="18"/>
                <w:szCs w:val="18"/>
              </w:rPr>
            </w:pPr>
            <w:r w:rsidRPr="001B7507">
              <w:rPr>
                <w:rFonts w:eastAsia="Verdana"/>
                <w:sz w:val="18"/>
                <w:szCs w:val="18"/>
              </w:rPr>
              <w:fldChar w:fldCharType="begin" w:fldLock="1"/>
            </w:r>
            <w:r w:rsidRPr="001B7507">
              <w:rPr>
                <w:rFonts w:eastAsia="Verdana"/>
                <w:sz w:val="18"/>
                <w:szCs w:val="18"/>
              </w:rPr>
              <w:instrText xml:space="preserve"> REF _Ref148442206 \w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Pr>
                <w:rFonts w:eastAsia="Verdana"/>
                <w:sz w:val="18"/>
                <w:szCs w:val="18"/>
              </w:rPr>
              <w:t>5.4.2.4</w:t>
            </w:r>
            <w:r w:rsidRPr="001B7507">
              <w:rPr>
                <w:rFonts w:eastAsia="Verdana"/>
                <w:sz w:val="18"/>
                <w:szCs w:val="18"/>
              </w:rPr>
              <w:fldChar w:fldCharType="end"/>
            </w:r>
            <w:r w:rsidRPr="001B7507">
              <w:rPr>
                <w:rFonts w:eastAsia="Verdana"/>
                <w:sz w:val="18"/>
                <w:szCs w:val="18"/>
              </w:rPr>
              <w:t xml:space="preserve"> - </w:t>
            </w:r>
            <w:r w:rsidRPr="001B7507">
              <w:rPr>
                <w:rFonts w:eastAsia="Verdana"/>
                <w:sz w:val="18"/>
                <w:szCs w:val="18"/>
              </w:rPr>
              <w:fldChar w:fldCharType="begin" w:fldLock="1"/>
            </w:r>
            <w:r w:rsidRPr="001B7507">
              <w:rPr>
                <w:rFonts w:eastAsia="Verdana"/>
                <w:sz w:val="18"/>
                <w:szCs w:val="18"/>
              </w:rPr>
              <w:instrText xml:space="preserve"> REF _Ref148442206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sidRPr="00FA10A4">
              <w:rPr>
                <w:sz w:val="18"/>
                <w:szCs w:val="18"/>
              </w:rPr>
              <w:t>Methodology for funding neutrality for private patients in public hospitals</w:t>
            </w:r>
            <w:r w:rsidRPr="001B7507">
              <w:rPr>
                <w:rFonts w:eastAsia="Verdana"/>
                <w:sz w:val="18"/>
                <w:szCs w:val="18"/>
              </w:rPr>
              <w:fldChar w:fldCharType="end"/>
            </w:r>
          </w:p>
        </w:tc>
      </w:tr>
      <w:tr w:rsidR="00ED6A10" w:rsidRPr="001B7507" w14:paraId="43C7064E" w14:textId="272E9653" w:rsidTr="00025B1E">
        <w:tc>
          <w:tcPr>
            <w:tcW w:w="436" w:type="pct"/>
            <w:vMerge w:val="restart"/>
            <w:tcBorders>
              <w:top w:val="single" w:sz="8" w:space="0" w:color="D9D9D9"/>
              <w:left w:val="nil"/>
              <w:right w:val="nil"/>
            </w:tcBorders>
            <w:shd w:val="clear" w:color="auto" w:fill="auto"/>
          </w:tcPr>
          <w:p w14:paraId="1B36EE9D" w14:textId="77777777" w:rsidR="00EB257A" w:rsidRPr="001B7507" w:rsidRDefault="00EB257A" w:rsidP="001B7507">
            <w:pPr>
              <w:spacing w:before="60" w:after="60"/>
              <w:rPr>
                <w:rFonts w:eastAsia="Verdana"/>
                <w:sz w:val="18"/>
                <w:szCs w:val="18"/>
              </w:rPr>
            </w:pPr>
            <w:r w:rsidRPr="001B7507">
              <w:rPr>
                <w:rFonts w:eastAsia="Verdana"/>
                <w:sz w:val="18"/>
                <w:szCs w:val="18"/>
              </w:rPr>
              <w:t xml:space="preserve">Financing reform - Commonwealth funding share and growth cap  </w:t>
            </w:r>
          </w:p>
        </w:tc>
        <w:tc>
          <w:tcPr>
            <w:tcW w:w="454" w:type="pct"/>
            <w:tcBorders>
              <w:top w:val="single" w:sz="8" w:space="0" w:color="D9D9D9"/>
              <w:left w:val="nil"/>
              <w:bottom w:val="single" w:sz="8" w:space="0" w:color="D9D9D9"/>
              <w:right w:val="nil"/>
            </w:tcBorders>
          </w:tcPr>
          <w:p w14:paraId="256CBA1B" w14:textId="0FB03EBA" w:rsidR="00EB257A" w:rsidRPr="001B7507" w:rsidRDefault="00EB257A" w:rsidP="001B7507">
            <w:pPr>
              <w:spacing w:before="60" w:after="60"/>
              <w:rPr>
                <w:rFonts w:eastAsia="Verdana"/>
                <w:sz w:val="18"/>
                <w:szCs w:val="18"/>
              </w:rPr>
            </w:pPr>
            <w:r w:rsidRPr="001B7507">
              <w:rPr>
                <w:rFonts w:eastAsia="Verdana"/>
                <w:sz w:val="18"/>
                <w:szCs w:val="18"/>
              </w:rPr>
              <w:t>New funding model to increase Commonwealth contribution to 45% of nationally efficient public hospital activity</w:t>
            </w:r>
          </w:p>
        </w:tc>
        <w:tc>
          <w:tcPr>
            <w:tcW w:w="3449" w:type="pct"/>
            <w:tcBorders>
              <w:top w:val="single" w:sz="8" w:space="0" w:color="D9D9D9"/>
              <w:left w:val="nil"/>
              <w:bottom w:val="single" w:sz="8" w:space="0" w:color="D9D9D9"/>
              <w:right w:val="nil"/>
            </w:tcBorders>
            <w:shd w:val="clear" w:color="auto" w:fill="auto"/>
          </w:tcPr>
          <w:p w14:paraId="572C52B5" w14:textId="77777777" w:rsidR="00EB257A" w:rsidRPr="001B7507" w:rsidRDefault="00EB257A" w:rsidP="001B7507">
            <w:pPr>
              <w:pStyle w:val="ListParagraph"/>
              <w:numPr>
                <w:ilvl w:val="0"/>
                <w:numId w:val="95"/>
              </w:numPr>
              <w:spacing w:before="60" w:after="60"/>
              <w:ind w:hanging="267"/>
              <w:contextualSpacing w:val="0"/>
              <w:rPr>
                <w:rFonts w:eastAsia="Verdana"/>
                <w:sz w:val="18"/>
                <w:szCs w:val="18"/>
              </w:rPr>
            </w:pPr>
            <w:r w:rsidRPr="001B7507">
              <w:rPr>
                <w:rFonts w:eastAsia="Verdana"/>
                <w:sz w:val="18"/>
                <w:szCs w:val="18"/>
              </w:rPr>
              <w:t>A new Agreement should put in place a</w:t>
            </w:r>
            <w:r w:rsidRPr="001B7507">
              <w:rPr>
                <w:rFonts w:eastAsia="Verdana"/>
                <w:b/>
                <w:bCs/>
                <w:sz w:val="18"/>
                <w:szCs w:val="18"/>
              </w:rPr>
              <w:t xml:space="preserve"> new and simpler funding model to gradually increase the Commonwealth contribution to 45% of nationally efficient public hospital activity </w:t>
            </w:r>
            <w:r w:rsidRPr="001B7507">
              <w:rPr>
                <w:rFonts w:eastAsia="Verdana"/>
                <w:sz w:val="18"/>
                <w:szCs w:val="18"/>
              </w:rPr>
              <w:t>through:</w:t>
            </w:r>
          </w:p>
          <w:p w14:paraId="5A6DCCBC" w14:textId="026DF91B" w:rsidR="00EB257A" w:rsidRPr="001B7507" w:rsidRDefault="00EB257A" w:rsidP="001B7507">
            <w:pPr>
              <w:pStyle w:val="ListParagraph"/>
              <w:numPr>
                <w:ilvl w:val="0"/>
                <w:numId w:val="97"/>
              </w:numPr>
              <w:spacing w:before="60" w:after="60"/>
              <w:ind w:left="997"/>
              <w:contextualSpacing w:val="0"/>
              <w:rPr>
                <w:rFonts w:eastAsia="Verdana"/>
                <w:color w:val="000000" w:themeColor="text1"/>
                <w:sz w:val="18"/>
                <w:szCs w:val="18"/>
              </w:rPr>
            </w:pPr>
            <w:r w:rsidRPr="001B7507">
              <w:rPr>
                <w:rFonts w:eastAsia="Verdana"/>
                <w:color w:val="000000" w:themeColor="text1"/>
                <w:sz w:val="18"/>
                <w:szCs w:val="18"/>
              </w:rPr>
              <w:t>An initial injection of Commonwealth funds into those States and Territories that sit below the current median contribution rate to bring them closer to the national average.</w:t>
            </w:r>
          </w:p>
          <w:p w14:paraId="4154201D" w14:textId="00BF2107" w:rsidR="00EB257A" w:rsidRPr="001B7507" w:rsidRDefault="00EB257A" w:rsidP="001B7507">
            <w:pPr>
              <w:pStyle w:val="ListParagraph"/>
              <w:numPr>
                <w:ilvl w:val="0"/>
                <w:numId w:val="97"/>
              </w:numPr>
              <w:spacing w:before="60" w:after="60"/>
              <w:ind w:left="997"/>
              <w:contextualSpacing w:val="0"/>
              <w:rPr>
                <w:rFonts w:eastAsia="Verdana"/>
                <w:color w:val="000000" w:themeColor="text1"/>
                <w:sz w:val="18"/>
                <w:szCs w:val="18"/>
              </w:rPr>
            </w:pPr>
            <w:r w:rsidRPr="001B7507">
              <w:rPr>
                <w:rFonts w:eastAsia="Verdana"/>
                <w:color w:val="000000" w:themeColor="text1"/>
                <w:sz w:val="18"/>
                <w:szCs w:val="18"/>
              </w:rPr>
              <w:t xml:space="preserve">Consideration of a new funding model that sets the Commonwealth contribution as a fixed percentage of the national efficient price of each </w:t>
            </w:r>
            <w:r w:rsidR="00A54C41">
              <w:rPr>
                <w:rFonts w:eastAsia="Verdana"/>
                <w:color w:val="000000" w:themeColor="text1"/>
                <w:sz w:val="18"/>
                <w:szCs w:val="18"/>
              </w:rPr>
              <w:t>S</w:t>
            </w:r>
            <w:r w:rsidRPr="001B7507">
              <w:rPr>
                <w:rFonts w:eastAsia="Verdana"/>
                <w:color w:val="000000" w:themeColor="text1"/>
                <w:sz w:val="18"/>
                <w:szCs w:val="18"/>
              </w:rPr>
              <w:t xml:space="preserve">tate and </w:t>
            </w:r>
            <w:r w:rsidR="00A54C41">
              <w:rPr>
                <w:rFonts w:eastAsia="Verdana"/>
                <w:color w:val="000000" w:themeColor="text1"/>
                <w:sz w:val="18"/>
                <w:szCs w:val="18"/>
              </w:rPr>
              <w:t>T</w:t>
            </w:r>
            <w:r w:rsidRPr="001B7507">
              <w:rPr>
                <w:rFonts w:eastAsia="Verdana"/>
                <w:color w:val="000000" w:themeColor="text1"/>
                <w:sz w:val="18"/>
                <w:szCs w:val="18"/>
              </w:rPr>
              <w:t>erritory’s total NWAU.</w:t>
            </w:r>
          </w:p>
          <w:p w14:paraId="5360CDE1" w14:textId="77777777" w:rsidR="00EB257A" w:rsidRPr="001B7507" w:rsidRDefault="00EB257A" w:rsidP="001B7507">
            <w:pPr>
              <w:numPr>
                <w:ilvl w:val="0"/>
                <w:numId w:val="97"/>
              </w:numPr>
              <w:spacing w:before="60" w:after="60"/>
              <w:ind w:left="997"/>
              <w:rPr>
                <w:rFonts w:eastAsia="Verdana"/>
                <w:sz w:val="18"/>
                <w:szCs w:val="18"/>
              </w:rPr>
            </w:pPr>
            <w:r w:rsidRPr="001B7507">
              <w:rPr>
                <w:rFonts w:eastAsia="Verdana"/>
                <w:color w:val="000000" w:themeColor="text1"/>
                <w:sz w:val="18"/>
                <w:szCs w:val="18"/>
              </w:rPr>
              <w:t>A stepped transition to increasing the Commonwealth percentage contribution to 45% over the course of the Agreement.</w:t>
            </w:r>
          </w:p>
        </w:tc>
        <w:tc>
          <w:tcPr>
            <w:tcW w:w="661" w:type="pct"/>
            <w:tcBorders>
              <w:top w:val="single" w:sz="8" w:space="0" w:color="D9D9D9"/>
              <w:left w:val="nil"/>
              <w:bottom w:val="single" w:sz="8" w:space="0" w:color="D9D9D9"/>
              <w:right w:val="nil"/>
            </w:tcBorders>
          </w:tcPr>
          <w:p w14:paraId="4149AC1E" w14:textId="7BB775AF" w:rsidR="00EB257A" w:rsidRPr="001B7507" w:rsidRDefault="00ED6A10" w:rsidP="001B7507">
            <w:pPr>
              <w:spacing w:before="60" w:after="60"/>
              <w:ind w:left="93"/>
              <w:rPr>
                <w:rFonts w:eastAsia="Verdana"/>
                <w:sz w:val="18"/>
                <w:szCs w:val="18"/>
              </w:rPr>
            </w:pPr>
            <w:r w:rsidRPr="001B7507">
              <w:rPr>
                <w:rFonts w:eastAsia="Verdana"/>
                <w:sz w:val="18"/>
                <w:szCs w:val="18"/>
              </w:rPr>
              <w:fldChar w:fldCharType="begin" w:fldLock="1"/>
            </w:r>
            <w:r w:rsidRPr="001B7507">
              <w:rPr>
                <w:rFonts w:eastAsia="Verdana"/>
                <w:sz w:val="18"/>
                <w:szCs w:val="18"/>
              </w:rPr>
              <w:instrText xml:space="preserve"> REF _Ref148442235 \w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Pr>
                <w:rFonts w:eastAsia="Verdana"/>
                <w:sz w:val="18"/>
                <w:szCs w:val="18"/>
              </w:rPr>
              <w:t>5.4.3.1</w:t>
            </w:r>
            <w:r w:rsidRPr="001B7507">
              <w:rPr>
                <w:rFonts w:eastAsia="Verdana"/>
                <w:sz w:val="18"/>
                <w:szCs w:val="18"/>
              </w:rPr>
              <w:fldChar w:fldCharType="end"/>
            </w:r>
            <w:r w:rsidRPr="001B7507">
              <w:rPr>
                <w:rFonts w:eastAsia="Verdana"/>
                <w:sz w:val="18"/>
                <w:szCs w:val="18"/>
              </w:rPr>
              <w:t xml:space="preserve"> - </w:t>
            </w:r>
            <w:r w:rsidRPr="001B7507">
              <w:rPr>
                <w:rFonts w:eastAsia="Verdana"/>
                <w:sz w:val="18"/>
                <w:szCs w:val="18"/>
              </w:rPr>
              <w:fldChar w:fldCharType="begin" w:fldLock="1"/>
            </w:r>
            <w:r w:rsidRPr="001B7507">
              <w:rPr>
                <w:rFonts w:eastAsia="Verdana"/>
                <w:sz w:val="18"/>
                <w:szCs w:val="18"/>
              </w:rPr>
              <w:instrText xml:space="preserve"> REF _Ref148442235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sidRPr="00FA10A4">
              <w:rPr>
                <w:sz w:val="18"/>
                <w:szCs w:val="18"/>
              </w:rPr>
              <w:t>Accelerate the Commonwealth contribution</w:t>
            </w:r>
            <w:r w:rsidRPr="001B7507">
              <w:rPr>
                <w:rFonts w:eastAsia="Verdana"/>
                <w:sz w:val="18"/>
                <w:szCs w:val="18"/>
              </w:rPr>
              <w:fldChar w:fldCharType="end"/>
            </w:r>
          </w:p>
        </w:tc>
      </w:tr>
      <w:tr w:rsidR="00ED6A10" w:rsidRPr="001B7507" w14:paraId="0DC5897F" w14:textId="34520822" w:rsidTr="00025B1E">
        <w:tc>
          <w:tcPr>
            <w:tcW w:w="436" w:type="pct"/>
            <w:vMerge/>
            <w:tcBorders>
              <w:left w:val="nil"/>
              <w:right w:val="nil"/>
            </w:tcBorders>
            <w:shd w:val="clear" w:color="auto" w:fill="auto"/>
          </w:tcPr>
          <w:p w14:paraId="4549C8CF" w14:textId="77777777" w:rsidR="00EB257A" w:rsidRPr="001B7507" w:rsidRDefault="00EB257A" w:rsidP="001B7507">
            <w:pPr>
              <w:spacing w:before="60" w:after="60"/>
              <w:rPr>
                <w:rFonts w:eastAsia="Verdana"/>
                <w:sz w:val="18"/>
                <w:szCs w:val="18"/>
              </w:rPr>
            </w:pPr>
          </w:p>
        </w:tc>
        <w:tc>
          <w:tcPr>
            <w:tcW w:w="454" w:type="pct"/>
            <w:tcBorders>
              <w:top w:val="single" w:sz="8" w:space="0" w:color="D9D9D9"/>
              <w:left w:val="nil"/>
              <w:bottom w:val="single" w:sz="8" w:space="0" w:color="D9D9D9"/>
              <w:right w:val="nil"/>
            </w:tcBorders>
          </w:tcPr>
          <w:p w14:paraId="3AA98B4F" w14:textId="77777777" w:rsidR="00EB257A" w:rsidRPr="001B7507" w:rsidRDefault="00EB257A" w:rsidP="001B7507">
            <w:pPr>
              <w:spacing w:before="60" w:after="60"/>
              <w:rPr>
                <w:rFonts w:eastAsia="Verdana"/>
                <w:sz w:val="18"/>
                <w:szCs w:val="18"/>
              </w:rPr>
            </w:pPr>
            <w:r w:rsidRPr="001B7507">
              <w:rPr>
                <w:rFonts w:eastAsia="Verdana"/>
                <w:sz w:val="18"/>
                <w:szCs w:val="18"/>
              </w:rPr>
              <w:t>Increased Cwlth contribution redirected to support new and blended models of care and innovation</w:t>
            </w:r>
          </w:p>
        </w:tc>
        <w:tc>
          <w:tcPr>
            <w:tcW w:w="3449" w:type="pct"/>
            <w:tcBorders>
              <w:top w:val="single" w:sz="8" w:space="0" w:color="D9D9D9"/>
              <w:left w:val="nil"/>
              <w:bottom w:val="single" w:sz="8" w:space="0" w:color="D9D9D9"/>
              <w:right w:val="nil"/>
            </w:tcBorders>
            <w:shd w:val="clear" w:color="auto" w:fill="auto"/>
          </w:tcPr>
          <w:p w14:paraId="155234F0" w14:textId="4DAD0CBB" w:rsidR="00EB257A" w:rsidRPr="001B7507" w:rsidRDefault="00EB257A" w:rsidP="001B7507">
            <w:pPr>
              <w:numPr>
                <w:ilvl w:val="0"/>
                <w:numId w:val="95"/>
              </w:numPr>
              <w:spacing w:before="60" w:after="60"/>
              <w:ind w:left="332" w:hanging="283"/>
              <w:rPr>
                <w:rFonts w:eastAsia="Verdana"/>
                <w:sz w:val="18"/>
                <w:szCs w:val="18"/>
              </w:rPr>
            </w:pPr>
            <w:r w:rsidRPr="001B7507">
              <w:rPr>
                <w:rFonts w:eastAsia="Verdana"/>
                <w:sz w:val="18"/>
                <w:szCs w:val="18"/>
              </w:rPr>
              <w:t xml:space="preserve">State and Territories should maintain their level of contribution to health funding through </w:t>
            </w:r>
            <w:r w:rsidR="005A04E6">
              <w:rPr>
                <w:rFonts w:eastAsia="Verdana"/>
                <w:sz w:val="18"/>
                <w:szCs w:val="18"/>
              </w:rPr>
              <w:t>the</w:t>
            </w:r>
            <w:r w:rsidRPr="001B7507">
              <w:rPr>
                <w:rFonts w:eastAsia="Verdana"/>
                <w:sz w:val="18"/>
                <w:szCs w:val="18"/>
              </w:rPr>
              <w:t xml:space="preserve"> transition</w:t>
            </w:r>
            <w:r w:rsidR="005A04E6">
              <w:rPr>
                <w:rFonts w:eastAsia="Verdana"/>
                <w:sz w:val="18"/>
                <w:szCs w:val="18"/>
              </w:rPr>
              <w:t xml:space="preserve"> at Recommendation 22</w:t>
            </w:r>
            <w:r w:rsidRPr="001B7507">
              <w:rPr>
                <w:rFonts w:eastAsia="Verdana"/>
                <w:sz w:val="18"/>
                <w:szCs w:val="18"/>
              </w:rPr>
              <w:t>, noting that this would allow State</w:t>
            </w:r>
            <w:r w:rsidR="00C11D75">
              <w:rPr>
                <w:rFonts w:eastAsia="Verdana"/>
                <w:sz w:val="18"/>
                <w:szCs w:val="18"/>
              </w:rPr>
              <w:t xml:space="preserve"> and </w:t>
            </w:r>
            <w:r w:rsidRPr="001B7507">
              <w:rPr>
                <w:rFonts w:eastAsia="Verdana"/>
                <w:sz w:val="18"/>
                <w:szCs w:val="18"/>
              </w:rPr>
              <w:t xml:space="preserve">Territory funds displaced through an increased Commonwealth contribution to be </w:t>
            </w:r>
            <w:r w:rsidRPr="001B7507">
              <w:rPr>
                <w:rFonts w:eastAsia="Verdana"/>
                <w:b/>
                <w:bCs/>
                <w:sz w:val="18"/>
                <w:szCs w:val="18"/>
              </w:rPr>
              <w:t xml:space="preserve">directed to support </w:t>
            </w:r>
            <w:r w:rsidR="00FF52AB">
              <w:rPr>
                <w:rFonts w:eastAsia="Verdana"/>
                <w:b/>
                <w:bCs/>
                <w:sz w:val="18"/>
                <w:szCs w:val="18"/>
              </w:rPr>
              <w:t xml:space="preserve">new and </w:t>
            </w:r>
            <w:r w:rsidRPr="001B7507">
              <w:rPr>
                <w:rFonts w:eastAsia="Verdana"/>
                <w:b/>
                <w:bCs/>
                <w:sz w:val="18"/>
                <w:szCs w:val="18"/>
              </w:rPr>
              <w:t xml:space="preserve">innovative models of care consistent with the National Health Funding and Payments Framework </w:t>
            </w:r>
            <w:r w:rsidRPr="003807D7">
              <w:rPr>
                <w:rFonts w:eastAsia="Verdana"/>
                <w:sz w:val="18"/>
                <w:szCs w:val="18"/>
              </w:rPr>
              <w:t>at Recommendation 16</w:t>
            </w:r>
            <w:r w:rsidRPr="001B7507">
              <w:rPr>
                <w:rFonts w:eastAsia="Verdana"/>
                <w:sz w:val="18"/>
                <w:szCs w:val="18"/>
              </w:rPr>
              <w:t>.</w:t>
            </w:r>
          </w:p>
        </w:tc>
        <w:tc>
          <w:tcPr>
            <w:tcW w:w="661" w:type="pct"/>
            <w:tcBorders>
              <w:top w:val="single" w:sz="8" w:space="0" w:color="D9D9D9"/>
              <w:left w:val="nil"/>
              <w:bottom w:val="single" w:sz="8" w:space="0" w:color="D9D9D9"/>
              <w:right w:val="nil"/>
            </w:tcBorders>
          </w:tcPr>
          <w:p w14:paraId="4A0ED1CC" w14:textId="3BB52020" w:rsidR="00EB257A" w:rsidRPr="001B7507" w:rsidRDefault="00ED6A10" w:rsidP="001B7507">
            <w:pPr>
              <w:spacing w:before="60" w:after="60"/>
              <w:ind w:left="49"/>
              <w:rPr>
                <w:rFonts w:eastAsia="Verdana"/>
                <w:sz w:val="18"/>
                <w:szCs w:val="18"/>
              </w:rPr>
            </w:pPr>
            <w:r w:rsidRPr="001B7507">
              <w:rPr>
                <w:rFonts w:eastAsia="Verdana"/>
                <w:sz w:val="18"/>
                <w:szCs w:val="18"/>
              </w:rPr>
              <w:fldChar w:fldCharType="begin" w:fldLock="1"/>
            </w:r>
            <w:r w:rsidRPr="001B7507">
              <w:rPr>
                <w:rFonts w:eastAsia="Verdana"/>
                <w:sz w:val="18"/>
                <w:szCs w:val="18"/>
              </w:rPr>
              <w:instrText xml:space="preserve"> REF _Ref148442235 \w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Pr>
                <w:rFonts w:eastAsia="Verdana"/>
                <w:sz w:val="18"/>
                <w:szCs w:val="18"/>
              </w:rPr>
              <w:t>5.4.3.1</w:t>
            </w:r>
            <w:r w:rsidRPr="001B7507">
              <w:rPr>
                <w:rFonts w:eastAsia="Verdana"/>
                <w:sz w:val="18"/>
                <w:szCs w:val="18"/>
              </w:rPr>
              <w:fldChar w:fldCharType="end"/>
            </w:r>
            <w:r w:rsidRPr="001B7507">
              <w:rPr>
                <w:rFonts w:eastAsia="Verdana"/>
                <w:sz w:val="18"/>
                <w:szCs w:val="18"/>
              </w:rPr>
              <w:t xml:space="preserve"> - </w:t>
            </w:r>
            <w:r w:rsidRPr="001B7507">
              <w:rPr>
                <w:rFonts w:eastAsia="Verdana"/>
                <w:sz w:val="18"/>
                <w:szCs w:val="18"/>
              </w:rPr>
              <w:fldChar w:fldCharType="begin" w:fldLock="1"/>
            </w:r>
            <w:r w:rsidRPr="001B7507">
              <w:rPr>
                <w:rFonts w:eastAsia="Verdana"/>
                <w:sz w:val="18"/>
                <w:szCs w:val="18"/>
              </w:rPr>
              <w:instrText xml:space="preserve"> REF _Ref148442235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sidRPr="00FA10A4">
              <w:rPr>
                <w:sz w:val="18"/>
                <w:szCs w:val="18"/>
              </w:rPr>
              <w:t>Accelerate the Commonwealth contribution</w:t>
            </w:r>
            <w:r w:rsidRPr="001B7507">
              <w:rPr>
                <w:rFonts w:eastAsia="Verdana"/>
                <w:sz w:val="18"/>
                <w:szCs w:val="18"/>
              </w:rPr>
              <w:fldChar w:fldCharType="end"/>
            </w:r>
          </w:p>
        </w:tc>
      </w:tr>
      <w:tr w:rsidR="00ED6A10" w:rsidRPr="001B7507" w14:paraId="2BEA2107" w14:textId="13EDAFDA" w:rsidTr="00025B1E">
        <w:tc>
          <w:tcPr>
            <w:tcW w:w="436" w:type="pct"/>
            <w:vMerge/>
            <w:tcBorders>
              <w:left w:val="nil"/>
              <w:bottom w:val="single" w:sz="8" w:space="0" w:color="D9D9D9"/>
              <w:right w:val="nil"/>
            </w:tcBorders>
            <w:shd w:val="clear" w:color="auto" w:fill="auto"/>
          </w:tcPr>
          <w:p w14:paraId="6E388A5A" w14:textId="77777777" w:rsidR="00EB257A" w:rsidRPr="001B7507" w:rsidRDefault="00EB257A" w:rsidP="001B7507">
            <w:pPr>
              <w:spacing w:before="60" w:after="60"/>
              <w:rPr>
                <w:rFonts w:eastAsia="Verdana"/>
                <w:sz w:val="18"/>
                <w:szCs w:val="18"/>
              </w:rPr>
            </w:pPr>
          </w:p>
        </w:tc>
        <w:tc>
          <w:tcPr>
            <w:tcW w:w="454" w:type="pct"/>
            <w:tcBorders>
              <w:top w:val="single" w:sz="8" w:space="0" w:color="D9D9D9"/>
              <w:left w:val="nil"/>
              <w:bottom w:val="single" w:sz="8" w:space="0" w:color="D9D9D9"/>
              <w:right w:val="nil"/>
            </w:tcBorders>
          </w:tcPr>
          <w:p w14:paraId="0A2087E6" w14:textId="77777777" w:rsidR="00EB257A" w:rsidRPr="001B7507" w:rsidRDefault="00EB257A" w:rsidP="001B7507">
            <w:pPr>
              <w:spacing w:before="60" w:after="60"/>
              <w:rPr>
                <w:rFonts w:eastAsia="Verdana"/>
                <w:sz w:val="18"/>
                <w:szCs w:val="18"/>
              </w:rPr>
            </w:pPr>
            <w:r w:rsidRPr="001B7507">
              <w:rPr>
                <w:rFonts w:eastAsia="Verdana"/>
                <w:sz w:val="18"/>
                <w:szCs w:val="18"/>
              </w:rPr>
              <w:t>Reframe 6.5% national funding cap to activity cap alone</w:t>
            </w:r>
          </w:p>
        </w:tc>
        <w:tc>
          <w:tcPr>
            <w:tcW w:w="3449" w:type="pct"/>
            <w:tcBorders>
              <w:top w:val="single" w:sz="8" w:space="0" w:color="D9D9D9"/>
              <w:left w:val="nil"/>
              <w:bottom w:val="single" w:sz="8" w:space="0" w:color="D9D9D9"/>
              <w:right w:val="nil"/>
            </w:tcBorders>
            <w:shd w:val="clear" w:color="auto" w:fill="auto"/>
          </w:tcPr>
          <w:p w14:paraId="1D0A36EF" w14:textId="019522BF" w:rsidR="00EB257A" w:rsidRPr="001B7507" w:rsidRDefault="00EB257A" w:rsidP="001B7507">
            <w:pPr>
              <w:numPr>
                <w:ilvl w:val="0"/>
                <w:numId w:val="95"/>
              </w:numPr>
              <w:spacing w:before="60" w:after="60"/>
              <w:ind w:left="332" w:hanging="283"/>
              <w:rPr>
                <w:rFonts w:eastAsia="Verdana"/>
                <w:sz w:val="18"/>
                <w:szCs w:val="18"/>
              </w:rPr>
            </w:pPr>
            <w:r w:rsidRPr="001B7507">
              <w:rPr>
                <w:rFonts w:eastAsia="Verdana"/>
                <w:sz w:val="18"/>
                <w:szCs w:val="18"/>
              </w:rPr>
              <w:t xml:space="preserve">Consideration </w:t>
            </w:r>
            <w:r w:rsidR="000F08B0" w:rsidRPr="001B7507">
              <w:rPr>
                <w:rFonts w:eastAsia="Verdana"/>
                <w:sz w:val="18"/>
                <w:szCs w:val="18"/>
              </w:rPr>
              <w:t xml:space="preserve">should </w:t>
            </w:r>
            <w:r w:rsidRPr="001B7507">
              <w:rPr>
                <w:rFonts w:eastAsia="Verdana"/>
                <w:sz w:val="18"/>
                <w:szCs w:val="18"/>
              </w:rPr>
              <w:t xml:space="preserve">be given to </w:t>
            </w:r>
            <w:r w:rsidRPr="001B7507">
              <w:rPr>
                <w:rFonts w:eastAsia="Verdana"/>
                <w:b/>
                <w:bCs/>
                <w:sz w:val="18"/>
                <w:szCs w:val="18"/>
              </w:rPr>
              <w:t>reframe the 6.5% national funding cap</w:t>
            </w:r>
            <w:r w:rsidRPr="001B7507">
              <w:rPr>
                <w:rFonts w:eastAsia="Verdana"/>
                <w:sz w:val="18"/>
                <w:szCs w:val="18"/>
              </w:rPr>
              <w:t xml:space="preserve"> to an activity cap alone (~4-5% activity growth)</w:t>
            </w:r>
            <w:r w:rsidR="002F3029" w:rsidRPr="001B7507">
              <w:rPr>
                <w:rFonts w:eastAsia="Verdana"/>
                <w:sz w:val="18"/>
                <w:szCs w:val="18"/>
              </w:rPr>
              <w:t>,</w:t>
            </w:r>
            <w:r w:rsidRPr="001B7507">
              <w:rPr>
                <w:rFonts w:eastAsia="Verdana"/>
                <w:sz w:val="18"/>
                <w:szCs w:val="18"/>
              </w:rPr>
              <w:t xml:space="preserve"> with price growth not subject to a cap but based on an efficient price calculation using contemporary activity and cost data.</w:t>
            </w:r>
          </w:p>
        </w:tc>
        <w:tc>
          <w:tcPr>
            <w:tcW w:w="661" w:type="pct"/>
            <w:tcBorders>
              <w:top w:val="single" w:sz="8" w:space="0" w:color="D9D9D9"/>
              <w:left w:val="nil"/>
              <w:bottom w:val="single" w:sz="8" w:space="0" w:color="D9D9D9"/>
              <w:right w:val="nil"/>
            </w:tcBorders>
          </w:tcPr>
          <w:p w14:paraId="207FEE60" w14:textId="5E5913CD" w:rsidR="00EB257A" w:rsidRPr="001B7507" w:rsidRDefault="004D186B" w:rsidP="001B7507">
            <w:pPr>
              <w:spacing w:before="60" w:after="60"/>
              <w:ind w:left="49"/>
              <w:rPr>
                <w:rFonts w:eastAsia="Verdana"/>
                <w:sz w:val="18"/>
                <w:szCs w:val="18"/>
              </w:rPr>
            </w:pPr>
            <w:r w:rsidRPr="001B7507">
              <w:rPr>
                <w:rFonts w:eastAsia="Verdana"/>
                <w:sz w:val="18"/>
                <w:szCs w:val="18"/>
              </w:rPr>
              <w:fldChar w:fldCharType="begin" w:fldLock="1"/>
            </w:r>
            <w:r w:rsidRPr="001B7507">
              <w:rPr>
                <w:rFonts w:eastAsia="Verdana"/>
                <w:sz w:val="18"/>
                <w:szCs w:val="18"/>
              </w:rPr>
              <w:instrText xml:space="preserve"> REF _Ref148442266 \w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Pr>
                <w:rFonts w:eastAsia="Verdana"/>
                <w:sz w:val="18"/>
                <w:szCs w:val="18"/>
              </w:rPr>
              <w:t>5.4.3.2</w:t>
            </w:r>
            <w:r w:rsidRPr="001B7507">
              <w:rPr>
                <w:rFonts w:eastAsia="Verdana"/>
                <w:sz w:val="18"/>
                <w:szCs w:val="18"/>
              </w:rPr>
              <w:fldChar w:fldCharType="end"/>
            </w:r>
            <w:r w:rsidRPr="001B7507">
              <w:rPr>
                <w:rFonts w:eastAsia="Verdana"/>
                <w:sz w:val="18"/>
                <w:szCs w:val="18"/>
              </w:rPr>
              <w:t xml:space="preserve"> - </w:t>
            </w:r>
            <w:r w:rsidRPr="001B7507">
              <w:rPr>
                <w:rFonts w:eastAsia="Verdana"/>
                <w:sz w:val="18"/>
                <w:szCs w:val="18"/>
              </w:rPr>
              <w:fldChar w:fldCharType="begin" w:fldLock="1"/>
            </w:r>
            <w:r w:rsidRPr="001B7507">
              <w:rPr>
                <w:rFonts w:eastAsia="Verdana"/>
                <w:sz w:val="18"/>
                <w:szCs w:val="18"/>
              </w:rPr>
              <w:instrText xml:space="preserve"> REF _Ref148442266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sidRPr="00FA10A4">
              <w:rPr>
                <w:sz w:val="18"/>
                <w:szCs w:val="18"/>
              </w:rPr>
              <w:t>Reframe the 6.5% national funding cap</w:t>
            </w:r>
            <w:r w:rsidRPr="001B7507">
              <w:rPr>
                <w:rFonts w:eastAsia="Verdana"/>
                <w:sz w:val="18"/>
                <w:szCs w:val="18"/>
              </w:rPr>
              <w:fldChar w:fldCharType="end"/>
            </w:r>
          </w:p>
        </w:tc>
      </w:tr>
      <w:tr w:rsidR="00ED6A10" w:rsidRPr="001B7507" w14:paraId="65B8FD5C" w14:textId="1D218B0A" w:rsidTr="00025B1E">
        <w:tc>
          <w:tcPr>
            <w:tcW w:w="436" w:type="pct"/>
            <w:vMerge w:val="restart"/>
            <w:tcBorders>
              <w:top w:val="single" w:sz="8" w:space="0" w:color="D9D9D9"/>
              <w:left w:val="nil"/>
              <w:right w:val="nil"/>
            </w:tcBorders>
            <w:shd w:val="clear" w:color="auto" w:fill="auto"/>
          </w:tcPr>
          <w:p w14:paraId="5001D7D8" w14:textId="77777777" w:rsidR="00EB257A" w:rsidRPr="001B7507" w:rsidRDefault="00EB257A" w:rsidP="001B7507">
            <w:pPr>
              <w:spacing w:before="60" w:after="60"/>
              <w:rPr>
                <w:rFonts w:eastAsia="Verdana"/>
                <w:sz w:val="18"/>
                <w:szCs w:val="18"/>
              </w:rPr>
            </w:pPr>
            <w:r w:rsidRPr="001B7507">
              <w:rPr>
                <w:rFonts w:eastAsia="Verdana"/>
                <w:sz w:val="18"/>
                <w:szCs w:val="18"/>
              </w:rPr>
              <w:t>Financing reform - Block funding and public health funding</w:t>
            </w:r>
          </w:p>
        </w:tc>
        <w:tc>
          <w:tcPr>
            <w:tcW w:w="454" w:type="pct"/>
            <w:tcBorders>
              <w:top w:val="single" w:sz="8" w:space="0" w:color="D9D9D9"/>
              <w:left w:val="nil"/>
              <w:bottom w:val="single" w:sz="8" w:space="0" w:color="D9D9D9"/>
              <w:right w:val="nil"/>
            </w:tcBorders>
          </w:tcPr>
          <w:p w14:paraId="71C24C30" w14:textId="77777777" w:rsidR="00EB257A" w:rsidRPr="001B7507" w:rsidRDefault="00EB257A" w:rsidP="001B7507">
            <w:pPr>
              <w:spacing w:before="60" w:after="60"/>
              <w:rPr>
                <w:rFonts w:eastAsia="Verdana"/>
                <w:sz w:val="18"/>
                <w:szCs w:val="18"/>
              </w:rPr>
            </w:pPr>
            <w:r w:rsidRPr="001B7507">
              <w:rPr>
                <w:rFonts w:eastAsia="Verdana"/>
                <w:sz w:val="18"/>
                <w:szCs w:val="18"/>
              </w:rPr>
              <w:t>Retain block funding arrangements</w:t>
            </w:r>
          </w:p>
        </w:tc>
        <w:tc>
          <w:tcPr>
            <w:tcW w:w="3449" w:type="pct"/>
            <w:tcBorders>
              <w:top w:val="single" w:sz="8" w:space="0" w:color="D9D9D9"/>
              <w:left w:val="nil"/>
              <w:bottom w:val="single" w:sz="8" w:space="0" w:color="D9D9D9"/>
              <w:right w:val="nil"/>
            </w:tcBorders>
            <w:shd w:val="clear" w:color="auto" w:fill="auto"/>
          </w:tcPr>
          <w:p w14:paraId="45F1BBA8" w14:textId="59EA1C3D" w:rsidR="00EB257A" w:rsidRPr="001B7507" w:rsidRDefault="00EB257A" w:rsidP="001B7507">
            <w:pPr>
              <w:numPr>
                <w:ilvl w:val="0"/>
                <w:numId w:val="95"/>
              </w:numPr>
              <w:spacing w:before="60" w:after="60"/>
              <w:ind w:left="332" w:hanging="283"/>
              <w:rPr>
                <w:rFonts w:eastAsia="Verdana"/>
                <w:sz w:val="18"/>
                <w:szCs w:val="18"/>
              </w:rPr>
            </w:pPr>
            <w:r w:rsidRPr="001B7507">
              <w:rPr>
                <w:rFonts w:eastAsia="Verdana"/>
                <w:b/>
                <w:bCs/>
                <w:sz w:val="18"/>
                <w:szCs w:val="18"/>
              </w:rPr>
              <w:t>Block funding arrangements should be retained as a feature of a future NHRA</w:t>
            </w:r>
            <w:r w:rsidRPr="001B7507">
              <w:rPr>
                <w:rFonts w:eastAsia="Verdana"/>
                <w:sz w:val="18"/>
                <w:szCs w:val="18"/>
              </w:rPr>
              <w:t>, recognising that certain services and functions, particularly in rural and remote areas</w:t>
            </w:r>
            <w:r w:rsidR="005839B7">
              <w:rPr>
                <w:rFonts w:eastAsia="Verdana"/>
                <w:sz w:val="18"/>
                <w:szCs w:val="18"/>
              </w:rPr>
              <w:t>,</w:t>
            </w:r>
            <w:r w:rsidRPr="001B7507">
              <w:rPr>
                <w:rFonts w:eastAsia="Verdana"/>
                <w:sz w:val="18"/>
                <w:szCs w:val="18"/>
              </w:rPr>
              <w:t xml:space="preserve"> are more appropriately funded in this way.</w:t>
            </w:r>
          </w:p>
        </w:tc>
        <w:tc>
          <w:tcPr>
            <w:tcW w:w="661" w:type="pct"/>
            <w:tcBorders>
              <w:top w:val="single" w:sz="8" w:space="0" w:color="D9D9D9"/>
              <w:left w:val="nil"/>
              <w:bottom w:val="single" w:sz="8" w:space="0" w:color="D9D9D9"/>
              <w:right w:val="nil"/>
            </w:tcBorders>
          </w:tcPr>
          <w:p w14:paraId="2ADFCBE3" w14:textId="61D2CD3E" w:rsidR="00EB257A" w:rsidRPr="001B7507" w:rsidRDefault="004D186B" w:rsidP="001B7507">
            <w:pPr>
              <w:spacing w:before="60" w:after="60"/>
              <w:ind w:left="49"/>
              <w:rPr>
                <w:rFonts w:eastAsia="Verdana"/>
                <w:sz w:val="18"/>
                <w:szCs w:val="18"/>
              </w:rPr>
            </w:pPr>
            <w:r w:rsidRPr="001B7507">
              <w:rPr>
                <w:rFonts w:eastAsia="Verdana"/>
                <w:sz w:val="18"/>
                <w:szCs w:val="18"/>
              </w:rPr>
              <w:fldChar w:fldCharType="begin" w:fldLock="1"/>
            </w:r>
            <w:r w:rsidRPr="001B7507">
              <w:rPr>
                <w:rFonts w:eastAsia="Verdana"/>
                <w:sz w:val="18"/>
                <w:szCs w:val="18"/>
              </w:rPr>
              <w:instrText xml:space="preserve"> REF _Ref148442285 \w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Pr>
                <w:rFonts w:eastAsia="Verdana"/>
                <w:sz w:val="18"/>
                <w:szCs w:val="18"/>
              </w:rPr>
              <w:t>5.4.4</w:t>
            </w:r>
            <w:r w:rsidRPr="001B7507">
              <w:rPr>
                <w:rFonts w:eastAsia="Verdana"/>
                <w:sz w:val="18"/>
                <w:szCs w:val="18"/>
              </w:rPr>
              <w:fldChar w:fldCharType="end"/>
            </w:r>
            <w:r w:rsidRPr="001B7507">
              <w:rPr>
                <w:rFonts w:eastAsia="Verdana"/>
                <w:sz w:val="18"/>
                <w:szCs w:val="18"/>
              </w:rPr>
              <w:t xml:space="preserve"> - </w:t>
            </w:r>
            <w:r w:rsidRPr="001B7507">
              <w:rPr>
                <w:rFonts w:eastAsia="Verdana"/>
                <w:sz w:val="18"/>
                <w:szCs w:val="18"/>
              </w:rPr>
              <w:fldChar w:fldCharType="begin" w:fldLock="1"/>
            </w:r>
            <w:r w:rsidRPr="001B7507">
              <w:rPr>
                <w:rFonts w:eastAsia="Verdana"/>
                <w:sz w:val="18"/>
                <w:szCs w:val="18"/>
              </w:rPr>
              <w:instrText xml:space="preserve"> REF _Ref148442285 \h </w:instrText>
            </w:r>
            <w:r w:rsidR="00C66478" w:rsidRPr="001B7507">
              <w:rPr>
                <w:rFonts w:eastAsia="Verdana"/>
                <w:sz w:val="18"/>
                <w:szCs w:val="18"/>
              </w:rPr>
              <w:instrText xml:space="preserve"> \* MERGEFORMAT </w:instrText>
            </w:r>
            <w:r w:rsidRPr="001B7507">
              <w:rPr>
                <w:rFonts w:eastAsia="Verdana"/>
                <w:sz w:val="18"/>
                <w:szCs w:val="18"/>
              </w:rPr>
            </w:r>
            <w:r w:rsidRPr="001B7507">
              <w:rPr>
                <w:rFonts w:eastAsia="Verdana"/>
                <w:sz w:val="18"/>
                <w:szCs w:val="18"/>
              </w:rPr>
              <w:fldChar w:fldCharType="separate"/>
            </w:r>
            <w:r w:rsidR="00FA10A4" w:rsidRPr="00FA10A4">
              <w:rPr>
                <w:sz w:val="18"/>
                <w:szCs w:val="18"/>
              </w:rPr>
              <w:t>Block funding and public health funding</w:t>
            </w:r>
            <w:r w:rsidRPr="001B7507">
              <w:rPr>
                <w:rFonts w:eastAsia="Verdana"/>
                <w:sz w:val="18"/>
                <w:szCs w:val="18"/>
              </w:rPr>
              <w:fldChar w:fldCharType="end"/>
            </w:r>
          </w:p>
        </w:tc>
      </w:tr>
      <w:tr w:rsidR="00ED6A10" w:rsidRPr="001B7507" w14:paraId="4175E3A8" w14:textId="7B515BE5" w:rsidTr="00025B1E">
        <w:tc>
          <w:tcPr>
            <w:tcW w:w="436" w:type="pct"/>
            <w:vMerge/>
            <w:tcBorders>
              <w:left w:val="nil"/>
              <w:right w:val="nil"/>
            </w:tcBorders>
            <w:shd w:val="clear" w:color="auto" w:fill="auto"/>
          </w:tcPr>
          <w:p w14:paraId="04DCB0C1" w14:textId="77777777" w:rsidR="00EB257A" w:rsidRPr="001B7507" w:rsidRDefault="00EB257A" w:rsidP="001B7507">
            <w:pPr>
              <w:spacing w:before="60" w:after="60"/>
              <w:rPr>
                <w:rFonts w:eastAsia="Verdana"/>
                <w:sz w:val="18"/>
                <w:szCs w:val="18"/>
              </w:rPr>
            </w:pPr>
          </w:p>
        </w:tc>
        <w:tc>
          <w:tcPr>
            <w:tcW w:w="454" w:type="pct"/>
            <w:tcBorders>
              <w:top w:val="single" w:sz="8" w:space="0" w:color="D9D9D9"/>
              <w:left w:val="nil"/>
              <w:bottom w:val="single" w:sz="8" w:space="0" w:color="D9D9D9"/>
              <w:right w:val="nil"/>
            </w:tcBorders>
          </w:tcPr>
          <w:p w14:paraId="21759908" w14:textId="77777777" w:rsidR="00EB257A" w:rsidRPr="001B7507" w:rsidRDefault="00EB257A" w:rsidP="001B7507">
            <w:pPr>
              <w:spacing w:before="60" w:after="60"/>
              <w:rPr>
                <w:rFonts w:eastAsia="Verdana"/>
                <w:sz w:val="18"/>
                <w:szCs w:val="18"/>
              </w:rPr>
            </w:pPr>
            <w:r w:rsidRPr="001B7507">
              <w:rPr>
                <w:rFonts w:eastAsia="Verdana"/>
                <w:sz w:val="18"/>
                <w:szCs w:val="18"/>
              </w:rPr>
              <w:t>Transparency in Teaching and Training funding and investments</w:t>
            </w:r>
          </w:p>
        </w:tc>
        <w:tc>
          <w:tcPr>
            <w:tcW w:w="3449" w:type="pct"/>
            <w:tcBorders>
              <w:top w:val="single" w:sz="8" w:space="0" w:color="D9D9D9"/>
              <w:left w:val="nil"/>
              <w:bottom w:val="single" w:sz="8" w:space="0" w:color="D9D9D9"/>
              <w:right w:val="nil"/>
            </w:tcBorders>
            <w:shd w:val="clear" w:color="auto" w:fill="auto"/>
          </w:tcPr>
          <w:p w14:paraId="377C953C" w14:textId="77777777" w:rsidR="00EB257A" w:rsidRPr="001B7507" w:rsidRDefault="00EB257A" w:rsidP="001B7507">
            <w:pPr>
              <w:numPr>
                <w:ilvl w:val="0"/>
                <w:numId w:val="95"/>
              </w:numPr>
              <w:spacing w:before="60" w:after="60"/>
              <w:ind w:left="332" w:hanging="283"/>
              <w:rPr>
                <w:rFonts w:eastAsia="Verdana"/>
                <w:sz w:val="18"/>
                <w:szCs w:val="18"/>
              </w:rPr>
            </w:pPr>
            <w:r w:rsidRPr="001B7507">
              <w:rPr>
                <w:rFonts w:eastAsia="Verdana"/>
                <w:color w:val="000000" w:themeColor="text1"/>
                <w:sz w:val="18"/>
                <w:szCs w:val="18"/>
              </w:rPr>
              <w:t>T</w:t>
            </w:r>
            <w:r w:rsidRPr="001B7507">
              <w:rPr>
                <w:rFonts w:eastAsia="Verdana"/>
                <w:sz w:val="18"/>
                <w:szCs w:val="18"/>
              </w:rPr>
              <w:t xml:space="preserve">here should be </w:t>
            </w:r>
            <w:r w:rsidRPr="001B7507">
              <w:rPr>
                <w:rFonts w:eastAsia="Verdana"/>
                <w:b/>
                <w:bCs/>
                <w:sz w:val="18"/>
                <w:szCs w:val="18"/>
              </w:rPr>
              <w:t>greater transparency in the funding and investment in Teaching and Training functions</w:t>
            </w:r>
            <w:r w:rsidRPr="001B7507">
              <w:rPr>
                <w:rFonts w:eastAsia="Verdana"/>
                <w:sz w:val="18"/>
                <w:szCs w:val="18"/>
              </w:rPr>
              <w:t>.</w:t>
            </w:r>
          </w:p>
        </w:tc>
        <w:tc>
          <w:tcPr>
            <w:tcW w:w="661" w:type="pct"/>
            <w:tcBorders>
              <w:top w:val="single" w:sz="8" w:space="0" w:color="D9D9D9"/>
              <w:left w:val="nil"/>
              <w:bottom w:val="single" w:sz="8" w:space="0" w:color="D9D9D9"/>
              <w:right w:val="nil"/>
            </w:tcBorders>
          </w:tcPr>
          <w:p w14:paraId="7B3F627D" w14:textId="4CE360D7" w:rsidR="00EB257A" w:rsidRPr="001B7507" w:rsidRDefault="004D186B" w:rsidP="001B7507">
            <w:pPr>
              <w:spacing w:before="60" w:after="60"/>
              <w:ind w:left="49"/>
              <w:rPr>
                <w:rFonts w:eastAsia="Verdana"/>
                <w:color w:val="000000" w:themeColor="text1"/>
                <w:sz w:val="18"/>
                <w:szCs w:val="18"/>
              </w:rPr>
            </w:pPr>
            <w:r w:rsidRPr="001B7507">
              <w:rPr>
                <w:rFonts w:eastAsia="Verdana"/>
                <w:color w:val="000000" w:themeColor="text1"/>
                <w:sz w:val="18"/>
                <w:szCs w:val="18"/>
              </w:rPr>
              <w:fldChar w:fldCharType="begin" w:fldLock="1"/>
            </w:r>
            <w:r w:rsidRPr="001B7507">
              <w:rPr>
                <w:rFonts w:eastAsia="Verdana"/>
                <w:color w:val="000000" w:themeColor="text1"/>
                <w:sz w:val="18"/>
                <w:szCs w:val="18"/>
              </w:rPr>
              <w:instrText xml:space="preserve"> REF _Ref146626526 \w \h </w:instrText>
            </w:r>
            <w:r w:rsidR="00C66478" w:rsidRPr="001B7507">
              <w:rPr>
                <w:rFonts w:eastAsia="Verdana"/>
                <w:color w:val="000000" w:themeColor="text1"/>
                <w:sz w:val="18"/>
                <w:szCs w:val="18"/>
              </w:rPr>
              <w:instrText xml:space="preserve"> \* MERGEFORMAT </w:instrText>
            </w:r>
            <w:r w:rsidRPr="001B7507">
              <w:rPr>
                <w:rFonts w:eastAsia="Verdana"/>
                <w:color w:val="000000" w:themeColor="text1"/>
                <w:sz w:val="18"/>
                <w:szCs w:val="18"/>
              </w:rPr>
            </w:r>
            <w:r w:rsidRPr="001B7507">
              <w:rPr>
                <w:rFonts w:eastAsia="Verdana"/>
                <w:color w:val="000000" w:themeColor="text1"/>
                <w:sz w:val="18"/>
                <w:szCs w:val="18"/>
              </w:rPr>
              <w:fldChar w:fldCharType="separate"/>
            </w:r>
            <w:r w:rsidR="00FA10A4">
              <w:rPr>
                <w:rFonts w:eastAsia="Verdana"/>
                <w:color w:val="000000" w:themeColor="text1"/>
                <w:sz w:val="18"/>
                <w:szCs w:val="18"/>
              </w:rPr>
              <w:t>5.4.4.1</w:t>
            </w:r>
            <w:r w:rsidRPr="001B7507">
              <w:rPr>
                <w:rFonts w:eastAsia="Verdana"/>
                <w:color w:val="000000" w:themeColor="text1"/>
                <w:sz w:val="18"/>
                <w:szCs w:val="18"/>
              </w:rPr>
              <w:fldChar w:fldCharType="end"/>
            </w:r>
            <w:r w:rsidRPr="001B7507">
              <w:rPr>
                <w:rFonts w:eastAsia="Verdana"/>
                <w:color w:val="000000" w:themeColor="text1"/>
                <w:sz w:val="18"/>
                <w:szCs w:val="18"/>
              </w:rPr>
              <w:t xml:space="preserve"> </w:t>
            </w:r>
            <w:r w:rsidR="00462BB1" w:rsidRPr="001B7507">
              <w:rPr>
                <w:rFonts w:eastAsia="Verdana"/>
                <w:color w:val="000000" w:themeColor="text1"/>
                <w:sz w:val="18"/>
                <w:szCs w:val="18"/>
              </w:rPr>
              <w:t>–</w:t>
            </w:r>
            <w:r w:rsidRPr="001B7507">
              <w:rPr>
                <w:rFonts w:eastAsia="Verdana"/>
                <w:color w:val="000000" w:themeColor="text1"/>
                <w:sz w:val="18"/>
                <w:szCs w:val="18"/>
              </w:rPr>
              <w:t xml:space="preserve"> </w:t>
            </w:r>
            <w:r w:rsidRPr="001B7507">
              <w:rPr>
                <w:rFonts w:eastAsia="Verdana"/>
                <w:color w:val="000000" w:themeColor="text1"/>
                <w:sz w:val="18"/>
                <w:szCs w:val="18"/>
              </w:rPr>
              <w:fldChar w:fldCharType="begin" w:fldLock="1"/>
            </w:r>
            <w:r w:rsidRPr="001B7507">
              <w:rPr>
                <w:rFonts w:eastAsia="Verdana"/>
                <w:color w:val="000000" w:themeColor="text1"/>
                <w:sz w:val="18"/>
                <w:szCs w:val="18"/>
              </w:rPr>
              <w:instrText xml:space="preserve"> REF _Ref146626526 \h </w:instrText>
            </w:r>
            <w:r w:rsidR="00C66478" w:rsidRPr="001B7507">
              <w:rPr>
                <w:rFonts w:eastAsia="Verdana"/>
                <w:color w:val="000000" w:themeColor="text1"/>
                <w:sz w:val="18"/>
                <w:szCs w:val="18"/>
              </w:rPr>
              <w:instrText xml:space="preserve"> \* MERGEFORMAT </w:instrText>
            </w:r>
            <w:r w:rsidRPr="001B7507">
              <w:rPr>
                <w:rFonts w:eastAsia="Verdana"/>
                <w:color w:val="000000" w:themeColor="text1"/>
                <w:sz w:val="18"/>
                <w:szCs w:val="18"/>
              </w:rPr>
            </w:r>
            <w:r w:rsidRPr="001B7507">
              <w:rPr>
                <w:rFonts w:eastAsia="Verdana"/>
                <w:color w:val="000000" w:themeColor="text1"/>
                <w:sz w:val="18"/>
                <w:szCs w:val="18"/>
              </w:rPr>
              <w:fldChar w:fldCharType="separate"/>
            </w:r>
            <w:r w:rsidR="00FA10A4" w:rsidRPr="00FA10A4">
              <w:rPr>
                <w:sz w:val="18"/>
                <w:szCs w:val="18"/>
              </w:rPr>
              <w:t>Transparency in Teaching and Training funding</w:t>
            </w:r>
            <w:r w:rsidRPr="001B7507">
              <w:rPr>
                <w:rFonts w:eastAsia="Verdana"/>
                <w:color w:val="000000" w:themeColor="text1"/>
                <w:sz w:val="18"/>
                <w:szCs w:val="18"/>
              </w:rPr>
              <w:fldChar w:fldCharType="end"/>
            </w:r>
          </w:p>
        </w:tc>
      </w:tr>
      <w:tr w:rsidR="00ED6A10" w:rsidRPr="001B7507" w14:paraId="76A25173" w14:textId="3B9A1503" w:rsidTr="00025B1E">
        <w:tc>
          <w:tcPr>
            <w:tcW w:w="436" w:type="pct"/>
            <w:vMerge/>
            <w:tcBorders>
              <w:left w:val="nil"/>
              <w:bottom w:val="single" w:sz="8" w:space="0" w:color="D9D9D9"/>
              <w:right w:val="nil"/>
            </w:tcBorders>
            <w:shd w:val="clear" w:color="auto" w:fill="auto"/>
          </w:tcPr>
          <w:p w14:paraId="62AB7B19" w14:textId="77777777" w:rsidR="00EB257A" w:rsidRPr="001B7507" w:rsidRDefault="00EB257A" w:rsidP="001B7507">
            <w:pPr>
              <w:spacing w:before="60" w:after="60"/>
              <w:rPr>
                <w:rFonts w:eastAsia="Verdana"/>
                <w:sz w:val="18"/>
                <w:szCs w:val="18"/>
              </w:rPr>
            </w:pPr>
          </w:p>
        </w:tc>
        <w:tc>
          <w:tcPr>
            <w:tcW w:w="454" w:type="pct"/>
            <w:tcBorders>
              <w:top w:val="single" w:sz="8" w:space="0" w:color="D9D9D9"/>
              <w:left w:val="nil"/>
              <w:bottom w:val="single" w:sz="8" w:space="0" w:color="D9D9D9"/>
              <w:right w:val="nil"/>
            </w:tcBorders>
          </w:tcPr>
          <w:p w14:paraId="679E4A77" w14:textId="77777777" w:rsidR="00EB257A" w:rsidRPr="001B7507" w:rsidRDefault="00EB257A" w:rsidP="001B7507">
            <w:pPr>
              <w:spacing w:before="60" w:after="60"/>
              <w:rPr>
                <w:rFonts w:eastAsia="Verdana"/>
                <w:sz w:val="18"/>
                <w:szCs w:val="18"/>
              </w:rPr>
            </w:pPr>
            <w:r w:rsidRPr="001B7507">
              <w:rPr>
                <w:rFonts w:eastAsia="Verdana"/>
                <w:sz w:val="18"/>
                <w:szCs w:val="18"/>
              </w:rPr>
              <w:t>Transparency and reporting on Public Health funding</w:t>
            </w:r>
          </w:p>
        </w:tc>
        <w:tc>
          <w:tcPr>
            <w:tcW w:w="3449" w:type="pct"/>
            <w:tcBorders>
              <w:top w:val="single" w:sz="8" w:space="0" w:color="D9D9D9"/>
              <w:left w:val="nil"/>
              <w:bottom w:val="single" w:sz="8" w:space="0" w:color="D9D9D9"/>
              <w:right w:val="nil"/>
            </w:tcBorders>
            <w:shd w:val="clear" w:color="auto" w:fill="auto"/>
          </w:tcPr>
          <w:p w14:paraId="3E9BB602" w14:textId="2DD64F6F" w:rsidR="00EB257A" w:rsidRPr="001B7507" w:rsidRDefault="00EB257A" w:rsidP="001B7507">
            <w:pPr>
              <w:numPr>
                <w:ilvl w:val="0"/>
                <w:numId w:val="95"/>
              </w:numPr>
              <w:spacing w:before="60" w:after="60"/>
              <w:ind w:left="332" w:hanging="283"/>
              <w:rPr>
                <w:rFonts w:eastAsia="Verdana"/>
                <w:sz w:val="18"/>
                <w:szCs w:val="18"/>
              </w:rPr>
            </w:pPr>
            <w:r w:rsidRPr="001B7507">
              <w:rPr>
                <w:rFonts w:eastAsia="Verdana"/>
                <w:color w:val="000000" w:themeColor="text1"/>
                <w:sz w:val="18"/>
                <w:szCs w:val="18"/>
              </w:rPr>
              <w:t xml:space="preserve">A new Agreement should improve transparency and reporting on </w:t>
            </w:r>
            <w:r w:rsidRPr="001B7507">
              <w:rPr>
                <w:rFonts w:eastAsia="Verdana"/>
                <w:b/>
                <w:bCs/>
                <w:color w:val="000000" w:themeColor="text1"/>
                <w:sz w:val="18"/>
                <w:szCs w:val="18"/>
              </w:rPr>
              <w:t>Public Health funding and investments</w:t>
            </w:r>
            <w:r w:rsidRPr="001B7507">
              <w:rPr>
                <w:rFonts w:eastAsia="Verdana"/>
                <w:color w:val="000000" w:themeColor="text1"/>
                <w:sz w:val="18"/>
                <w:szCs w:val="18"/>
              </w:rPr>
              <w:t xml:space="preserve">. Funding through the NHRA should be harmonised with investments and priorities of the Australian Centre for Disease Control, once established, </w:t>
            </w:r>
            <w:r w:rsidR="00EB05D4">
              <w:rPr>
                <w:rFonts w:eastAsia="Verdana"/>
                <w:color w:val="000000" w:themeColor="text1"/>
                <w:sz w:val="18"/>
                <w:szCs w:val="18"/>
              </w:rPr>
              <w:t xml:space="preserve">and </w:t>
            </w:r>
            <w:r w:rsidRPr="001B7507">
              <w:rPr>
                <w:rFonts w:eastAsia="Verdana"/>
                <w:color w:val="000000" w:themeColor="text1"/>
                <w:sz w:val="18"/>
                <w:szCs w:val="18"/>
              </w:rPr>
              <w:t xml:space="preserve">align with the </w:t>
            </w:r>
            <w:r w:rsidRPr="001B7507">
              <w:rPr>
                <w:rFonts w:eastAsia="Verdana"/>
                <w:i/>
                <w:iCs/>
                <w:color w:val="000000" w:themeColor="text1"/>
                <w:sz w:val="18"/>
                <w:szCs w:val="18"/>
              </w:rPr>
              <w:t>National Preventive Health Strategy</w:t>
            </w:r>
            <w:r w:rsidRPr="001B7507">
              <w:rPr>
                <w:rFonts w:eastAsia="Verdana"/>
                <w:color w:val="000000" w:themeColor="text1"/>
                <w:sz w:val="18"/>
                <w:szCs w:val="18"/>
              </w:rPr>
              <w:t xml:space="preserve"> (see Recommendation 44)</w:t>
            </w:r>
            <w:r w:rsidRPr="001B7507">
              <w:rPr>
                <w:rFonts w:eastAsia="Verdana"/>
                <w:sz w:val="18"/>
                <w:szCs w:val="18"/>
              </w:rPr>
              <w:t>.</w:t>
            </w:r>
          </w:p>
        </w:tc>
        <w:tc>
          <w:tcPr>
            <w:tcW w:w="661" w:type="pct"/>
            <w:tcBorders>
              <w:top w:val="single" w:sz="8" w:space="0" w:color="D9D9D9"/>
              <w:left w:val="nil"/>
              <w:bottom w:val="single" w:sz="8" w:space="0" w:color="D9D9D9"/>
              <w:right w:val="nil"/>
            </w:tcBorders>
          </w:tcPr>
          <w:p w14:paraId="2124EC95" w14:textId="673BF044" w:rsidR="00EB257A" w:rsidRPr="001B7507" w:rsidRDefault="00462BB1" w:rsidP="001B7507">
            <w:pPr>
              <w:spacing w:before="60" w:after="60"/>
              <w:ind w:left="49"/>
              <w:rPr>
                <w:rFonts w:eastAsia="Verdana"/>
                <w:color w:val="000000" w:themeColor="text1"/>
                <w:sz w:val="18"/>
                <w:szCs w:val="18"/>
              </w:rPr>
            </w:pPr>
            <w:r w:rsidRPr="001B7507">
              <w:rPr>
                <w:rFonts w:eastAsia="Verdana"/>
                <w:color w:val="000000" w:themeColor="text1"/>
                <w:sz w:val="18"/>
                <w:szCs w:val="18"/>
              </w:rPr>
              <w:fldChar w:fldCharType="begin" w:fldLock="1"/>
            </w:r>
            <w:r w:rsidRPr="001B7507">
              <w:rPr>
                <w:rFonts w:eastAsia="Verdana"/>
                <w:color w:val="000000" w:themeColor="text1"/>
                <w:sz w:val="18"/>
                <w:szCs w:val="18"/>
              </w:rPr>
              <w:instrText xml:space="preserve"> REF _Ref148442316 \w \h </w:instrText>
            </w:r>
            <w:r w:rsidR="00C66478" w:rsidRPr="001B7507">
              <w:rPr>
                <w:rFonts w:eastAsia="Verdana"/>
                <w:color w:val="000000" w:themeColor="text1"/>
                <w:sz w:val="18"/>
                <w:szCs w:val="18"/>
              </w:rPr>
              <w:instrText xml:space="preserve"> \* MERGEFORMAT </w:instrText>
            </w:r>
            <w:r w:rsidRPr="001B7507">
              <w:rPr>
                <w:rFonts w:eastAsia="Verdana"/>
                <w:color w:val="000000" w:themeColor="text1"/>
                <w:sz w:val="18"/>
                <w:szCs w:val="18"/>
              </w:rPr>
            </w:r>
            <w:r w:rsidRPr="001B7507">
              <w:rPr>
                <w:rFonts w:eastAsia="Verdana"/>
                <w:color w:val="000000" w:themeColor="text1"/>
                <w:sz w:val="18"/>
                <w:szCs w:val="18"/>
              </w:rPr>
              <w:fldChar w:fldCharType="separate"/>
            </w:r>
            <w:r w:rsidR="00FA10A4">
              <w:rPr>
                <w:rFonts w:eastAsia="Verdana"/>
                <w:color w:val="000000" w:themeColor="text1"/>
                <w:sz w:val="18"/>
                <w:szCs w:val="18"/>
              </w:rPr>
              <w:t>5.4.4.2</w:t>
            </w:r>
            <w:r w:rsidRPr="001B7507">
              <w:rPr>
                <w:rFonts w:eastAsia="Verdana"/>
                <w:color w:val="000000" w:themeColor="text1"/>
                <w:sz w:val="18"/>
                <w:szCs w:val="18"/>
              </w:rPr>
              <w:fldChar w:fldCharType="end"/>
            </w:r>
            <w:r w:rsidRPr="001B7507">
              <w:rPr>
                <w:rFonts w:eastAsia="Verdana"/>
                <w:color w:val="000000" w:themeColor="text1"/>
                <w:sz w:val="18"/>
                <w:szCs w:val="18"/>
              </w:rPr>
              <w:t xml:space="preserve"> - </w:t>
            </w:r>
            <w:r w:rsidRPr="001B7507">
              <w:rPr>
                <w:rFonts w:eastAsia="Verdana"/>
                <w:color w:val="000000" w:themeColor="text1"/>
                <w:sz w:val="18"/>
                <w:szCs w:val="18"/>
              </w:rPr>
              <w:fldChar w:fldCharType="begin" w:fldLock="1"/>
            </w:r>
            <w:r w:rsidRPr="001B7507">
              <w:rPr>
                <w:rFonts w:eastAsia="Verdana"/>
                <w:color w:val="000000" w:themeColor="text1"/>
                <w:sz w:val="18"/>
                <w:szCs w:val="18"/>
              </w:rPr>
              <w:instrText xml:space="preserve"> REF _Ref148442316 \h </w:instrText>
            </w:r>
            <w:r w:rsidR="00C66478" w:rsidRPr="001B7507">
              <w:rPr>
                <w:rFonts w:eastAsia="Verdana"/>
                <w:color w:val="000000" w:themeColor="text1"/>
                <w:sz w:val="18"/>
                <w:szCs w:val="18"/>
              </w:rPr>
              <w:instrText xml:space="preserve"> \* MERGEFORMAT </w:instrText>
            </w:r>
            <w:r w:rsidRPr="001B7507">
              <w:rPr>
                <w:rFonts w:eastAsia="Verdana"/>
                <w:color w:val="000000" w:themeColor="text1"/>
                <w:sz w:val="18"/>
                <w:szCs w:val="18"/>
              </w:rPr>
            </w:r>
            <w:r w:rsidRPr="001B7507">
              <w:rPr>
                <w:rFonts w:eastAsia="Verdana"/>
                <w:color w:val="000000" w:themeColor="text1"/>
                <w:sz w:val="18"/>
                <w:szCs w:val="18"/>
              </w:rPr>
              <w:fldChar w:fldCharType="separate"/>
            </w:r>
            <w:r w:rsidR="00FA10A4" w:rsidRPr="00FA10A4">
              <w:rPr>
                <w:sz w:val="18"/>
                <w:szCs w:val="18"/>
              </w:rPr>
              <w:t>Transparency of Public Health funding and prevention activities</w:t>
            </w:r>
            <w:r w:rsidRPr="001B7507">
              <w:rPr>
                <w:rFonts w:eastAsia="Verdana"/>
                <w:color w:val="000000" w:themeColor="text1"/>
                <w:sz w:val="18"/>
                <w:szCs w:val="18"/>
              </w:rPr>
              <w:fldChar w:fldCharType="end"/>
            </w:r>
          </w:p>
        </w:tc>
      </w:tr>
      <w:tr w:rsidR="00ED6A10" w:rsidRPr="001B7507" w14:paraId="07A22754" w14:textId="5D942D99" w:rsidTr="00025B1E">
        <w:tc>
          <w:tcPr>
            <w:tcW w:w="436" w:type="pct"/>
            <w:vMerge w:val="restart"/>
            <w:tcBorders>
              <w:top w:val="single" w:sz="8" w:space="0" w:color="D9D9D9"/>
              <w:left w:val="nil"/>
              <w:right w:val="nil"/>
            </w:tcBorders>
            <w:shd w:val="clear" w:color="auto" w:fill="auto"/>
          </w:tcPr>
          <w:p w14:paraId="4C1BAA1A" w14:textId="12707A9C" w:rsidR="00EB257A" w:rsidRPr="001B7507" w:rsidRDefault="00EB257A" w:rsidP="001B7507">
            <w:pPr>
              <w:spacing w:before="60" w:after="60"/>
              <w:rPr>
                <w:rFonts w:eastAsia="Verdana"/>
                <w:sz w:val="18"/>
                <w:szCs w:val="18"/>
              </w:rPr>
            </w:pPr>
            <w:r w:rsidRPr="001B7507">
              <w:rPr>
                <w:rFonts w:eastAsia="Verdana"/>
                <w:sz w:val="18"/>
                <w:szCs w:val="18"/>
              </w:rPr>
              <w:t xml:space="preserve">Financing reform - PBS reform and </w:t>
            </w:r>
            <w:r w:rsidR="00677BC2">
              <w:rPr>
                <w:rFonts w:eastAsia="Verdana"/>
                <w:sz w:val="18"/>
                <w:szCs w:val="18"/>
              </w:rPr>
              <w:t>h</w:t>
            </w:r>
            <w:r w:rsidRPr="001B7507">
              <w:rPr>
                <w:rFonts w:eastAsia="Verdana"/>
                <w:sz w:val="18"/>
                <w:szCs w:val="18"/>
              </w:rPr>
              <w:t xml:space="preserve">igh-cost, </w:t>
            </w:r>
            <w:r w:rsidR="00677BC2">
              <w:rPr>
                <w:rFonts w:eastAsia="Verdana"/>
                <w:sz w:val="18"/>
                <w:szCs w:val="18"/>
              </w:rPr>
              <w:t>h</w:t>
            </w:r>
            <w:r w:rsidRPr="001B7507">
              <w:rPr>
                <w:rFonts w:eastAsia="Verdana"/>
                <w:sz w:val="18"/>
                <w:szCs w:val="18"/>
              </w:rPr>
              <w:t xml:space="preserve">ighly </w:t>
            </w:r>
            <w:r w:rsidR="00677BC2">
              <w:rPr>
                <w:rFonts w:eastAsia="Verdana"/>
                <w:sz w:val="18"/>
                <w:szCs w:val="18"/>
              </w:rPr>
              <w:t>s</w:t>
            </w:r>
            <w:r w:rsidRPr="001B7507">
              <w:rPr>
                <w:rFonts w:eastAsia="Verdana"/>
                <w:sz w:val="18"/>
                <w:szCs w:val="18"/>
              </w:rPr>
              <w:t>pecialised therapies</w:t>
            </w:r>
          </w:p>
        </w:tc>
        <w:tc>
          <w:tcPr>
            <w:tcW w:w="454" w:type="pct"/>
            <w:tcBorders>
              <w:top w:val="single" w:sz="8" w:space="0" w:color="D9D9D9"/>
              <w:left w:val="nil"/>
              <w:bottom w:val="single" w:sz="8" w:space="0" w:color="D9D9D9"/>
              <w:right w:val="nil"/>
            </w:tcBorders>
          </w:tcPr>
          <w:p w14:paraId="5C599510" w14:textId="75F26F71" w:rsidR="00EB257A" w:rsidRPr="001B7507" w:rsidRDefault="00EB257A" w:rsidP="001B7507">
            <w:pPr>
              <w:spacing w:before="60" w:after="60"/>
              <w:rPr>
                <w:rFonts w:eastAsia="Verdana"/>
                <w:sz w:val="18"/>
                <w:szCs w:val="18"/>
              </w:rPr>
            </w:pPr>
            <w:r w:rsidRPr="001B7507">
              <w:rPr>
                <w:rFonts w:eastAsia="Verdana"/>
                <w:sz w:val="18"/>
                <w:szCs w:val="18"/>
              </w:rPr>
              <w:t>Nationally consistent access to medicines across the care continuum</w:t>
            </w:r>
          </w:p>
        </w:tc>
        <w:tc>
          <w:tcPr>
            <w:tcW w:w="3449" w:type="pct"/>
            <w:tcBorders>
              <w:top w:val="single" w:sz="8" w:space="0" w:color="D9D9D9"/>
              <w:left w:val="nil"/>
              <w:bottom w:val="single" w:sz="8" w:space="0" w:color="D9D9D9"/>
              <w:right w:val="nil"/>
            </w:tcBorders>
            <w:shd w:val="clear" w:color="auto" w:fill="auto"/>
          </w:tcPr>
          <w:p w14:paraId="56C4CF4F" w14:textId="77777777" w:rsidR="00EB257A" w:rsidRPr="001B7507" w:rsidRDefault="00EB257A" w:rsidP="001B7507">
            <w:pPr>
              <w:numPr>
                <w:ilvl w:val="0"/>
                <w:numId w:val="95"/>
              </w:numPr>
              <w:spacing w:before="60" w:after="60"/>
              <w:ind w:left="332" w:hanging="283"/>
              <w:rPr>
                <w:rFonts w:eastAsia="Verdana"/>
                <w:sz w:val="18"/>
                <w:szCs w:val="18"/>
              </w:rPr>
            </w:pPr>
            <w:r w:rsidRPr="001B7507">
              <w:rPr>
                <w:sz w:val="18"/>
                <w:szCs w:val="18"/>
              </w:rPr>
              <w:t xml:space="preserve">A new Agreement should deliver </w:t>
            </w:r>
            <w:r w:rsidRPr="001B7507">
              <w:rPr>
                <w:b/>
                <w:bCs/>
                <w:sz w:val="18"/>
                <w:szCs w:val="18"/>
              </w:rPr>
              <w:t>nationally consistent access to medicines across the care continuum</w:t>
            </w:r>
            <w:r w:rsidRPr="001B7507">
              <w:rPr>
                <w:sz w:val="18"/>
                <w:szCs w:val="18"/>
              </w:rPr>
              <w:t xml:space="preserve">, noting the benefits to patients of continuity of care on admission and discharge. </w:t>
            </w:r>
          </w:p>
          <w:p w14:paraId="2B941591" w14:textId="1F5C4F4D" w:rsidR="00EB257A" w:rsidRPr="001B7507" w:rsidRDefault="00EB257A" w:rsidP="001B7507">
            <w:pPr>
              <w:pStyle w:val="ListParagraph"/>
              <w:numPr>
                <w:ilvl w:val="0"/>
                <w:numId w:val="148"/>
              </w:numPr>
              <w:spacing w:before="60" w:after="60"/>
              <w:ind w:left="992" w:hanging="357"/>
              <w:contextualSpacing w:val="0"/>
              <w:rPr>
                <w:sz w:val="18"/>
                <w:szCs w:val="18"/>
              </w:rPr>
            </w:pPr>
            <w:r w:rsidRPr="001B7507">
              <w:rPr>
                <w:sz w:val="18"/>
                <w:szCs w:val="18"/>
              </w:rPr>
              <w:t xml:space="preserve">This would replace Pharmaceutical Reform Arrangements (PRAs) and require negotiations with, and preparations by, </w:t>
            </w:r>
            <w:bookmarkStart w:id="42" w:name="_Hlk148949934"/>
            <w:r w:rsidRPr="001B7507">
              <w:rPr>
                <w:sz w:val="18"/>
                <w:szCs w:val="18"/>
              </w:rPr>
              <w:t>N</w:t>
            </w:r>
            <w:r w:rsidR="00AF4316">
              <w:rPr>
                <w:sz w:val="18"/>
                <w:szCs w:val="18"/>
              </w:rPr>
              <w:t xml:space="preserve">ew </w:t>
            </w:r>
            <w:r w:rsidRPr="001B7507">
              <w:rPr>
                <w:sz w:val="18"/>
                <w:szCs w:val="18"/>
              </w:rPr>
              <w:t>S</w:t>
            </w:r>
            <w:r w:rsidR="00AF4316">
              <w:rPr>
                <w:sz w:val="18"/>
                <w:szCs w:val="18"/>
              </w:rPr>
              <w:t xml:space="preserve">outh </w:t>
            </w:r>
            <w:r w:rsidRPr="001B7507">
              <w:rPr>
                <w:sz w:val="18"/>
                <w:szCs w:val="18"/>
              </w:rPr>
              <w:t>W</w:t>
            </w:r>
            <w:r w:rsidR="00AF4316">
              <w:rPr>
                <w:sz w:val="18"/>
                <w:szCs w:val="18"/>
              </w:rPr>
              <w:t>ales</w:t>
            </w:r>
            <w:bookmarkEnd w:id="42"/>
            <w:r w:rsidRPr="001B7507">
              <w:rPr>
                <w:sz w:val="18"/>
                <w:szCs w:val="18"/>
              </w:rPr>
              <w:t xml:space="preserve"> and A</w:t>
            </w:r>
            <w:r w:rsidR="00AF4316">
              <w:rPr>
                <w:sz w:val="18"/>
                <w:szCs w:val="18"/>
              </w:rPr>
              <w:t xml:space="preserve">ustralian </w:t>
            </w:r>
            <w:r w:rsidRPr="001B7507">
              <w:rPr>
                <w:sz w:val="18"/>
                <w:szCs w:val="18"/>
              </w:rPr>
              <w:t>C</w:t>
            </w:r>
            <w:r w:rsidR="00AF4316">
              <w:rPr>
                <w:sz w:val="18"/>
                <w:szCs w:val="18"/>
              </w:rPr>
              <w:t xml:space="preserve">apital </w:t>
            </w:r>
            <w:r w:rsidRPr="001B7507">
              <w:rPr>
                <w:sz w:val="18"/>
                <w:szCs w:val="18"/>
              </w:rPr>
              <w:t>T</w:t>
            </w:r>
            <w:r w:rsidR="00AF4316">
              <w:rPr>
                <w:sz w:val="18"/>
                <w:szCs w:val="18"/>
              </w:rPr>
              <w:t>erritory</w:t>
            </w:r>
            <w:r w:rsidRPr="001B7507">
              <w:rPr>
                <w:sz w:val="18"/>
                <w:szCs w:val="18"/>
              </w:rPr>
              <w:t xml:space="preserve"> for access to PBS medicines in public hospitals for admitted patients on discharge, non-admitted patients and same day admitted patients. </w:t>
            </w:r>
          </w:p>
          <w:p w14:paraId="3DF9EF7E" w14:textId="6421A295" w:rsidR="00EB257A" w:rsidRPr="001B7507" w:rsidRDefault="00EB257A" w:rsidP="001B7507">
            <w:pPr>
              <w:pStyle w:val="ListParagraph"/>
              <w:numPr>
                <w:ilvl w:val="0"/>
                <w:numId w:val="148"/>
              </w:numPr>
              <w:spacing w:before="60" w:after="60"/>
              <w:ind w:left="992" w:hanging="357"/>
              <w:contextualSpacing w:val="0"/>
              <w:rPr>
                <w:sz w:val="18"/>
                <w:szCs w:val="18"/>
              </w:rPr>
            </w:pPr>
            <w:r w:rsidRPr="001B7507">
              <w:rPr>
                <w:sz w:val="18"/>
                <w:szCs w:val="18"/>
              </w:rPr>
              <w:t xml:space="preserve">Interim PRA arrangements for </w:t>
            </w:r>
            <w:r w:rsidR="00B552E3" w:rsidRPr="00B552E3">
              <w:rPr>
                <w:sz w:val="18"/>
                <w:szCs w:val="18"/>
              </w:rPr>
              <w:t>New South Wales</w:t>
            </w:r>
            <w:r w:rsidRPr="001B7507">
              <w:rPr>
                <w:sz w:val="18"/>
                <w:szCs w:val="18"/>
              </w:rPr>
              <w:t xml:space="preserve"> and the </w:t>
            </w:r>
            <w:r w:rsidR="00AF4316" w:rsidRPr="001B7507">
              <w:rPr>
                <w:sz w:val="18"/>
                <w:szCs w:val="18"/>
              </w:rPr>
              <w:t>A</w:t>
            </w:r>
            <w:r w:rsidR="00AF4316">
              <w:rPr>
                <w:sz w:val="18"/>
                <w:szCs w:val="18"/>
              </w:rPr>
              <w:t xml:space="preserve">ustralian </w:t>
            </w:r>
            <w:r w:rsidR="00AF4316" w:rsidRPr="001B7507">
              <w:rPr>
                <w:sz w:val="18"/>
                <w:szCs w:val="18"/>
              </w:rPr>
              <w:t>C</w:t>
            </w:r>
            <w:r w:rsidR="00AF4316">
              <w:rPr>
                <w:sz w:val="18"/>
                <w:szCs w:val="18"/>
              </w:rPr>
              <w:t xml:space="preserve">apital </w:t>
            </w:r>
            <w:r w:rsidR="00AF4316" w:rsidRPr="001B7507">
              <w:rPr>
                <w:sz w:val="18"/>
                <w:szCs w:val="18"/>
              </w:rPr>
              <w:t>T</w:t>
            </w:r>
            <w:r w:rsidR="00AF4316">
              <w:rPr>
                <w:sz w:val="18"/>
                <w:szCs w:val="18"/>
              </w:rPr>
              <w:t>erritory</w:t>
            </w:r>
            <w:r w:rsidRPr="001B7507">
              <w:rPr>
                <w:sz w:val="18"/>
                <w:szCs w:val="18"/>
              </w:rPr>
              <w:t xml:space="preserve"> in the lead-up to a new Agreement could be progressed, if supported by those jurisdictions.  </w:t>
            </w:r>
          </w:p>
          <w:p w14:paraId="73B87D0C" w14:textId="5E2E26D1" w:rsidR="00EB257A" w:rsidRPr="001B7507" w:rsidRDefault="00EB257A" w:rsidP="001B7507">
            <w:pPr>
              <w:pStyle w:val="ListParagraph"/>
              <w:numPr>
                <w:ilvl w:val="0"/>
                <w:numId w:val="148"/>
              </w:numPr>
              <w:spacing w:before="60" w:after="60"/>
              <w:ind w:left="992" w:hanging="357"/>
              <w:contextualSpacing w:val="0"/>
              <w:rPr>
                <w:rFonts w:eastAsia="Verdana"/>
                <w:sz w:val="18"/>
                <w:szCs w:val="18"/>
              </w:rPr>
            </w:pPr>
            <w:r w:rsidRPr="001B7507">
              <w:rPr>
                <w:sz w:val="18"/>
                <w:szCs w:val="18"/>
              </w:rPr>
              <w:t>This change could be implemented either through a new Medicines Schedule added to the Agreement, or through amendments to current Clauses A9 and A10 which address access to the Pharmaceutical Benefits Scheme.</w:t>
            </w:r>
          </w:p>
        </w:tc>
        <w:tc>
          <w:tcPr>
            <w:tcW w:w="661" w:type="pct"/>
            <w:tcBorders>
              <w:top w:val="single" w:sz="8" w:space="0" w:color="D9D9D9"/>
              <w:left w:val="nil"/>
              <w:bottom w:val="single" w:sz="8" w:space="0" w:color="D9D9D9"/>
              <w:right w:val="nil"/>
            </w:tcBorders>
          </w:tcPr>
          <w:p w14:paraId="18A62B5D" w14:textId="3E4F803E" w:rsidR="00EB257A" w:rsidRPr="001B7507" w:rsidRDefault="00462BB1" w:rsidP="001B7507">
            <w:pPr>
              <w:spacing w:before="60" w:after="60"/>
              <w:ind w:left="49"/>
              <w:rPr>
                <w:sz w:val="18"/>
                <w:szCs w:val="18"/>
              </w:rPr>
            </w:pPr>
            <w:r w:rsidRPr="001B7507">
              <w:rPr>
                <w:sz w:val="18"/>
                <w:szCs w:val="18"/>
              </w:rPr>
              <w:fldChar w:fldCharType="begin" w:fldLock="1"/>
            </w:r>
            <w:r w:rsidRPr="001B7507">
              <w:rPr>
                <w:sz w:val="18"/>
                <w:szCs w:val="18"/>
              </w:rPr>
              <w:instrText xml:space="preserve"> REF _Ref144887774 \w \h </w:instrText>
            </w:r>
            <w:r w:rsidR="00C66478" w:rsidRPr="001B7507">
              <w:rPr>
                <w:sz w:val="18"/>
                <w:szCs w:val="18"/>
              </w:rPr>
              <w:instrText xml:space="preserve"> \* MERGEFORMAT </w:instrText>
            </w:r>
            <w:r w:rsidRPr="001B7507">
              <w:rPr>
                <w:sz w:val="18"/>
                <w:szCs w:val="18"/>
              </w:rPr>
            </w:r>
            <w:r w:rsidRPr="001B7507">
              <w:rPr>
                <w:sz w:val="18"/>
                <w:szCs w:val="18"/>
              </w:rPr>
              <w:fldChar w:fldCharType="separate"/>
            </w:r>
            <w:r w:rsidR="00FA10A4">
              <w:rPr>
                <w:sz w:val="18"/>
                <w:szCs w:val="18"/>
              </w:rPr>
              <w:t>5.4.5.1</w:t>
            </w:r>
            <w:r w:rsidRPr="001B7507">
              <w:rPr>
                <w:sz w:val="18"/>
                <w:szCs w:val="18"/>
              </w:rPr>
              <w:fldChar w:fldCharType="end"/>
            </w:r>
            <w:r w:rsidRPr="001B7507">
              <w:rPr>
                <w:sz w:val="18"/>
                <w:szCs w:val="18"/>
              </w:rPr>
              <w:t xml:space="preserve"> </w:t>
            </w:r>
            <w:r w:rsidR="00827277">
              <w:rPr>
                <w:sz w:val="18"/>
                <w:szCs w:val="18"/>
              </w:rPr>
              <w:t>–</w:t>
            </w:r>
            <w:r w:rsidRPr="001B7507">
              <w:rPr>
                <w:sz w:val="18"/>
                <w:szCs w:val="18"/>
              </w:rPr>
              <w:t xml:space="preserve"> </w:t>
            </w:r>
            <w:r w:rsidR="00827277">
              <w:rPr>
                <w:sz w:val="18"/>
                <w:szCs w:val="18"/>
              </w:rPr>
              <w:t>Pharmaceutical Reform Arrangements</w:t>
            </w:r>
          </w:p>
        </w:tc>
      </w:tr>
      <w:tr w:rsidR="00ED6A10" w:rsidRPr="001B7507" w14:paraId="5D6D1352" w14:textId="4549FB50" w:rsidTr="00025B1E">
        <w:tc>
          <w:tcPr>
            <w:tcW w:w="436" w:type="pct"/>
            <w:vMerge/>
            <w:tcBorders>
              <w:left w:val="nil"/>
              <w:right w:val="nil"/>
            </w:tcBorders>
            <w:shd w:val="clear" w:color="auto" w:fill="auto"/>
          </w:tcPr>
          <w:p w14:paraId="50787A76" w14:textId="77777777" w:rsidR="00EB257A" w:rsidRPr="001B7507" w:rsidRDefault="00EB257A" w:rsidP="001B7507">
            <w:pPr>
              <w:spacing w:before="60" w:after="60"/>
              <w:rPr>
                <w:rFonts w:eastAsia="Verdana"/>
                <w:sz w:val="18"/>
                <w:szCs w:val="18"/>
              </w:rPr>
            </w:pPr>
          </w:p>
        </w:tc>
        <w:tc>
          <w:tcPr>
            <w:tcW w:w="454" w:type="pct"/>
            <w:tcBorders>
              <w:top w:val="single" w:sz="8" w:space="0" w:color="D9D9D9"/>
              <w:left w:val="nil"/>
              <w:bottom w:val="single" w:sz="8" w:space="0" w:color="D9D9D9"/>
              <w:right w:val="nil"/>
            </w:tcBorders>
          </w:tcPr>
          <w:p w14:paraId="38FEE8DE" w14:textId="77777777" w:rsidR="00EB257A" w:rsidRPr="001B7507" w:rsidRDefault="00EB257A" w:rsidP="001B7507">
            <w:pPr>
              <w:spacing w:before="60" w:after="60"/>
              <w:rPr>
                <w:rFonts w:eastAsia="Verdana"/>
                <w:sz w:val="18"/>
                <w:szCs w:val="18"/>
              </w:rPr>
            </w:pPr>
            <w:r w:rsidRPr="001B7507">
              <w:rPr>
                <w:rFonts w:eastAsia="Verdana"/>
                <w:sz w:val="18"/>
                <w:szCs w:val="18"/>
              </w:rPr>
              <w:t>Horizon scanning process for high-cost, highly specialised therapies</w:t>
            </w:r>
          </w:p>
        </w:tc>
        <w:tc>
          <w:tcPr>
            <w:tcW w:w="3449" w:type="pct"/>
            <w:tcBorders>
              <w:top w:val="single" w:sz="8" w:space="0" w:color="D9D9D9"/>
              <w:left w:val="nil"/>
              <w:bottom w:val="single" w:sz="8" w:space="0" w:color="D9D9D9"/>
              <w:right w:val="nil"/>
            </w:tcBorders>
            <w:shd w:val="clear" w:color="auto" w:fill="auto"/>
          </w:tcPr>
          <w:p w14:paraId="26386AFC" w14:textId="2376AC2E" w:rsidR="00EB257A" w:rsidRPr="001B7507" w:rsidRDefault="00A06793" w:rsidP="001B7507">
            <w:pPr>
              <w:numPr>
                <w:ilvl w:val="0"/>
                <w:numId w:val="95"/>
              </w:numPr>
              <w:spacing w:before="60" w:after="60"/>
              <w:ind w:left="332" w:hanging="283"/>
              <w:rPr>
                <w:rFonts w:eastAsia="Verdana"/>
                <w:sz w:val="18"/>
                <w:szCs w:val="18"/>
              </w:rPr>
            </w:pPr>
            <w:r w:rsidRPr="001B7507">
              <w:rPr>
                <w:color w:val="000000" w:themeColor="text1"/>
                <w:sz w:val="18"/>
                <w:szCs w:val="18"/>
              </w:rPr>
              <w:t>A structured</w:t>
            </w:r>
            <w:r w:rsidR="00EB257A" w:rsidRPr="001B7507">
              <w:rPr>
                <w:color w:val="000000" w:themeColor="text1"/>
                <w:sz w:val="18"/>
                <w:szCs w:val="18"/>
              </w:rPr>
              <w:t xml:space="preserve"> </w:t>
            </w:r>
            <w:r w:rsidR="00EB257A" w:rsidRPr="001B7507">
              <w:rPr>
                <w:b/>
                <w:bCs/>
                <w:color w:val="000000" w:themeColor="text1"/>
                <w:sz w:val="18"/>
                <w:szCs w:val="18"/>
              </w:rPr>
              <w:t>horizon scanning process</w:t>
            </w:r>
            <w:r w:rsidR="00EB257A" w:rsidRPr="00D44184">
              <w:rPr>
                <w:b/>
                <w:bCs/>
                <w:color w:val="000000" w:themeColor="text1"/>
                <w:sz w:val="18"/>
                <w:szCs w:val="18"/>
              </w:rPr>
              <w:t xml:space="preserve"> </w:t>
            </w:r>
            <w:r w:rsidR="003726D3" w:rsidRPr="001B7507">
              <w:rPr>
                <w:color w:val="000000" w:themeColor="text1"/>
                <w:sz w:val="18"/>
                <w:szCs w:val="18"/>
              </w:rPr>
              <w:t>should be established</w:t>
            </w:r>
            <w:r w:rsidR="00E30DFB">
              <w:rPr>
                <w:color w:val="000000" w:themeColor="text1"/>
                <w:sz w:val="18"/>
                <w:szCs w:val="18"/>
              </w:rPr>
              <w:t xml:space="preserve"> for high-cost, highly specialised </w:t>
            </w:r>
            <w:r w:rsidR="0074307B">
              <w:rPr>
                <w:color w:val="000000" w:themeColor="text1"/>
                <w:sz w:val="18"/>
                <w:szCs w:val="18"/>
              </w:rPr>
              <w:t>therapies</w:t>
            </w:r>
            <w:r w:rsidR="00EB257A" w:rsidRPr="001B7507">
              <w:rPr>
                <w:color w:val="000000" w:themeColor="text1"/>
                <w:sz w:val="18"/>
                <w:szCs w:val="18"/>
              </w:rPr>
              <w:t xml:space="preserve">, with </w:t>
            </w:r>
            <w:r w:rsidR="003726D3" w:rsidRPr="001B7507">
              <w:rPr>
                <w:color w:val="000000" w:themeColor="text1"/>
                <w:sz w:val="18"/>
                <w:szCs w:val="18"/>
              </w:rPr>
              <w:t xml:space="preserve">the </w:t>
            </w:r>
            <w:r w:rsidR="00EB257A" w:rsidRPr="001B7507">
              <w:rPr>
                <w:color w:val="000000" w:themeColor="text1"/>
                <w:sz w:val="18"/>
                <w:szCs w:val="18"/>
              </w:rPr>
              <w:t xml:space="preserve">involvement of all jurisdictions, and with input from relevant stakeholders, including but not limited to the </w:t>
            </w:r>
            <w:r w:rsidR="00730A0B" w:rsidRPr="00730A0B">
              <w:rPr>
                <w:color w:val="000000" w:themeColor="text1"/>
                <w:sz w:val="18"/>
                <w:szCs w:val="18"/>
              </w:rPr>
              <w:t xml:space="preserve">National Blood Authority, </w:t>
            </w:r>
            <w:r w:rsidR="008B6D96" w:rsidRPr="008B6D96">
              <w:rPr>
                <w:color w:val="000000" w:themeColor="text1"/>
                <w:sz w:val="18"/>
                <w:szCs w:val="18"/>
              </w:rPr>
              <w:t>Organ and Tissue Donation Authority</w:t>
            </w:r>
            <w:r w:rsidR="00730A0B" w:rsidRPr="00730A0B">
              <w:rPr>
                <w:color w:val="000000" w:themeColor="text1"/>
                <w:sz w:val="18"/>
                <w:szCs w:val="18"/>
              </w:rPr>
              <w:t xml:space="preserve">, Pharmaceutical Benefits Advisory Committee and Medical Services Advisory Committee </w:t>
            </w:r>
            <w:r w:rsidR="00EB257A" w:rsidRPr="001B7507">
              <w:rPr>
                <w:color w:val="000000" w:themeColor="text1"/>
                <w:sz w:val="18"/>
                <w:szCs w:val="18"/>
              </w:rPr>
              <w:t>to support forward planning and priority setting.</w:t>
            </w:r>
          </w:p>
        </w:tc>
        <w:tc>
          <w:tcPr>
            <w:tcW w:w="661" w:type="pct"/>
            <w:tcBorders>
              <w:top w:val="single" w:sz="8" w:space="0" w:color="D9D9D9"/>
              <w:left w:val="nil"/>
              <w:bottom w:val="single" w:sz="8" w:space="0" w:color="D9D9D9"/>
              <w:right w:val="nil"/>
            </w:tcBorders>
          </w:tcPr>
          <w:p w14:paraId="423B0EBE" w14:textId="5B3B8E0A" w:rsidR="00EB257A" w:rsidRPr="001B7507" w:rsidRDefault="00F61195" w:rsidP="001B7507">
            <w:pPr>
              <w:spacing w:before="60" w:after="60"/>
              <w:ind w:left="49"/>
              <w:rPr>
                <w:color w:val="000000" w:themeColor="text1"/>
                <w:sz w:val="18"/>
                <w:szCs w:val="18"/>
              </w:rPr>
            </w:pPr>
            <w:r w:rsidRPr="001B7507">
              <w:rPr>
                <w:color w:val="000000" w:themeColor="text1"/>
                <w:sz w:val="18"/>
                <w:szCs w:val="18"/>
              </w:rPr>
              <w:fldChar w:fldCharType="begin" w:fldLock="1"/>
            </w:r>
            <w:r w:rsidRPr="001B7507">
              <w:rPr>
                <w:color w:val="000000" w:themeColor="text1"/>
                <w:sz w:val="18"/>
                <w:szCs w:val="18"/>
              </w:rPr>
              <w:instrText xml:space="preserve"> REF _Ref148442358 \w \h </w:instrText>
            </w:r>
            <w:r w:rsidR="00C66478" w:rsidRPr="001B7507">
              <w:rPr>
                <w:color w:val="000000" w:themeColor="text1"/>
                <w:sz w:val="18"/>
                <w:szCs w:val="18"/>
              </w:rPr>
              <w:instrText xml:space="preserve"> \* MERGEFORMAT </w:instrText>
            </w:r>
            <w:r w:rsidRPr="001B7507">
              <w:rPr>
                <w:color w:val="000000" w:themeColor="text1"/>
                <w:sz w:val="18"/>
                <w:szCs w:val="18"/>
              </w:rPr>
            </w:r>
            <w:r w:rsidRPr="001B7507">
              <w:rPr>
                <w:color w:val="000000" w:themeColor="text1"/>
                <w:sz w:val="18"/>
                <w:szCs w:val="18"/>
              </w:rPr>
              <w:fldChar w:fldCharType="separate"/>
            </w:r>
            <w:r w:rsidR="00FA10A4">
              <w:rPr>
                <w:color w:val="000000" w:themeColor="text1"/>
                <w:sz w:val="18"/>
                <w:szCs w:val="18"/>
              </w:rPr>
              <w:t>5.4.5.2</w:t>
            </w:r>
            <w:r w:rsidRPr="001B7507">
              <w:rPr>
                <w:color w:val="000000" w:themeColor="text1"/>
                <w:sz w:val="18"/>
                <w:szCs w:val="18"/>
              </w:rPr>
              <w:fldChar w:fldCharType="end"/>
            </w:r>
            <w:r w:rsidRPr="001B7507">
              <w:rPr>
                <w:color w:val="000000" w:themeColor="text1"/>
                <w:sz w:val="18"/>
                <w:szCs w:val="18"/>
              </w:rPr>
              <w:t xml:space="preserve"> - </w:t>
            </w:r>
            <w:r w:rsidRPr="001B7507">
              <w:rPr>
                <w:color w:val="000000" w:themeColor="text1"/>
                <w:sz w:val="18"/>
                <w:szCs w:val="18"/>
              </w:rPr>
              <w:fldChar w:fldCharType="begin" w:fldLock="1"/>
            </w:r>
            <w:r w:rsidRPr="001B7507">
              <w:rPr>
                <w:color w:val="000000" w:themeColor="text1"/>
                <w:sz w:val="18"/>
                <w:szCs w:val="18"/>
              </w:rPr>
              <w:instrText xml:space="preserve"> REF _Ref148442358 \h </w:instrText>
            </w:r>
            <w:r w:rsidR="00C66478" w:rsidRPr="001B7507">
              <w:rPr>
                <w:color w:val="000000" w:themeColor="text1"/>
                <w:sz w:val="18"/>
                <w:szCs w:val="18"/>
              </w:rPr>
              <w:instrText xml:space="preserve"> \* MERGEFORMAT </w:instrText>
            </w:r>
            <w:r w:rsidRPr="001B7507">
              <w:rPr>
                <w:color w:val="000000" w:themeColor="text1"/>
                <w:sz w:val="18"/>
                <w:szCs w:val="18"/>
              </w:rPr>
            </w:r>
            <w:r w:rsidRPr="001B7507">
              <w:rPr>
                <w:color w:val="000000" w:themeColor="text1"/>
                <w:sz w:val="18"/>
                <w:szCs w:val="18"/>
              </w:rPr>
              <w:fldChar w:fldCharType="separate"/>
            </w:r>
            <w:r w:rsidR="00FA10A4" w:rsidRPr="00FA10A4">
              <w:rPr>
                <w:sz w:val="18"/>
                <w:szCs w:val="18"/>
              </w:rPr>
              <w:t>High-cost, highly specialised therapies</w:t>
            </w:r>
            <w:r w:rsidRPr="001B7507">
              <w:rPr>
                <w:color w:val="000000" w:themeColor="text1"/>
                <w:sz w:val="18"/>
                <w:szCs w:val="18"/>
              </w:rPr>
              <w:fldChar w:fldCharType="end"/>
            </w:r>
          </w:p>
        </w:tc>
      </w:tr>
      <w:tr w:rsidR="00ED6A10" w:rsidRPr="001B7507" w14:paraId="08C4511E" w14:textId="7482C91C" w:rsidTr="00025B1E">
        <w:tc>
          <w:tcPr>
            <w:tcW w:w="436" w:type="pct"/>
            <w:vMerge/>
            <w:tcBorders>
              <w:left w:val="nil"/>
              <w:right w:val="nil"/>
            </w:tcBorders>
            <w:shd w:val="clear" w:color="auto" w:fill="auto"/>
          </w:tcPr>
          <w:p w14:paraId="3C8B1F75" w14:textId="77777777" w:rsidR="00EB257A" w:rsidRPr="001B7507" w:rsidRDefault="00EB257A" w:rsidP="001B7507">
            <w:pPr>
              <w:spacing w:before="60" w:after="60"/>
              <w:rPr>
                <w:rFonts w:eastAsia="Verdana"/>
                <w:sz w:val="18"/>
                <w:szCs w:val="18"/>
              </w:rPr>
            </w:pPr>
          </w:p>
        </w:tc>
        <w:tc>
          <w:tcPr>
            <w:tcW w:w="454" w:type="pct"/>
            <w:tcBorders>
              <w:top w:val="single" w:sz="8" w:space="0" w:color="D9D9D9"/>
              <w:left w:val="nil"/>
              <w:bottom w:val="single" w:sz="8" w:space="0" w:color="D9D9D9"/>
              <w:right w:val="nil"/>
            </w:tcBorders>
          </w:tcPr>
          <w:p w14:paraId="4042B035" w14:textId="77777777" w:rsidR="00EB257A" w:rsidRPr="001B7507" w:rsidRDefault="00EB257A" w:rsidP="001B7507">
            <w:pPr>
              <w:spacing w:before="60" w:after="60"/>
              <w:rPr>
                <w:rFonts w:eastAsia="Verdana"/>
                <w:sz w:val="18"/>
                <w:szCs w:val="18"/>
              </w:rPr>
            </w:pPr>
            <w:r w:rsidRPr="001B7507">
              <w:rPr>
                <w:rFonts w:eastAsia="Verdana"/>
                <w:sz w:val="18"/>
                <w:szCs w:val="18"/>
              </w:rPr>
              <w:t>Unified national HTA process for high-cost, highly specialised therapies</w:t>
            </w:r>
          </w:p>
        </w:tc>
        <w:tc>
          <w:tcPr>
            <w:tcW w:w="3449" w:type="pct"/>
            <w:tcBorders>
              <w:top w:val="single" w:sz="8" w:space="0" w:color="D9D9D9"/>
              <w:left w:val="nil"/>
              <w:bottom w:val="single" w:sz="8" w:space="0" w:color="D9D9D9"/>
              <w:right w:val="nil"/>
            </w:tcBorders>
            <w:shd w:val="clear" w:color="auto" w:fill="auto"/>
          </w:tcPr>
          <w:p w14:paraId="596EBFE3" w14:textId="163A88C7" w:rsidR="00EB257A" w:rsidRPr="001B7507" w:rsidRDefault="003726D3" w:rsidP="001B7507">
            <w:pPr>
              <w:numPr>
                <w:ilvl w:val="0"/>
                <w:numId w:val="95"/>
              </w:numPr>
              <w:spacing w:before="60" w:after="60"/>
              <w:ind w:left="332" w:hanging="283"/>
              <w:rPr>
                <w:rFonts w:eastAsia="Verdana"/>
                <w:sz w:val="18"/>
                <w:szCs w:val="18"/>
              </w:rPr>
            </w:pPr>
            <w:r w:rsidRPr="001B7507">
              <w:rPr>
                <w:b/>
                <w:bCs/>
                <w:sz w:val="18"/>
                <w:szCs w:val="18"/>
                <w:lang w:val="en-GB"/>
              </w:rPr>
              <w:t>A</w:t>
            </w:r>
            <w:r w:rsidRPr="00C3362C">
              <w:rPr>
                <w:b/>
                <w:bCs/>
                <w:sz w:val="18"/>
                <w:szCs w:val="18"/>
                <w:lang w:val="en-GB"/>
              </w:rPr>
              <w:t xml:space="preserve"> unified national HTA process for the assessment and delivery of high-cost, highly specialised therapies</w:t>
            </w:r>
            <w:r w:rsidRPr="001B7507">
              <w:rPr>
                <w:sz w:val="18"/>
                <w:szCs w:val="18"/>
                <w:lang w:val="en-GB"/>
              </w:rPr>
              <w:t xml:space="preserve"> </w:t>
            </w:r>
            <w:r w:rsidRPr="001B7507">
              <w:rPr>
                <w:b/>
                <w:bCs/>
                <w:sz w:val="18"/>
                <w:szCs w:val="18"/>
                <w:lang w:val="en-GB"/>
              </w:rPr>
              <w:t xml:space="preserve">under the NHRA should be progressed, </w:t>
            </w:r>
            <w:r w:rsidRPr="001B7507">
              <w:rPr>
                <w:sz w:val="18"/>
                <w:szCs w:val="18"/>
                <w:lang w:val="en-GB"/>
              </w:rPr>
              <w:t xml:space="preserve">that addresses issues of national consistency, risk sharing, access (including the potential for private sector delivery), affordability, timeliness and information sharing. </w:t>
            </w:r>
          </w:p>
        </w:tc>
        <w:tc>
          <w:tcPr>
            <w:tcW w:w="661" w:type="pct"/>
            <w:tcBorders>
              <w:top w:val="single" w:sz="8" w:space="0" w:color="D9D9D9"/>
              <w:left w:val="nil"/>
              <w:bottom w:val="single" w:sz="8" w:space="0" w:color="D9D9D9"/>
              <w:right w:val="nil"/>
            </w:tcBorders>
          </w:tcPr>
          <w:p w14:paraId="586A36B3" w14:textId="279D5B87" w:rsidR="00EB257A" w:rsidRPr="001B7507" w:rsidRDefault="00F61195" w:rsidP="001B7507">
            <w:pPr>
              <w:spacing w:before="60" w:after="60"/>
              <w:ind w:left="49"/>
              <w:rPr>
                <w:sz w:val="18"/>
                <w:szCs w:val="18"/>
              </w:rPr>
            </w:pPr>
            <w:r w:rsidRPr="001B7507">
              <w:rPr>
                <w:color w:val="000000" w:themeColor="text1"/>
                <w:sz w:val="18"/>
                <w:szCs w:val="18"/>
              </w:rPr>
              <w:fldChar w:fldCharType="begin" w:fldLock="1"/>
            </w:r>
            <w:r w:rsidRPr="001B7507">
              <w:rPr>
                <w:color w:val="000000" w:themeColor="text1"/>
                <w:sz w:val="18"/>
                <w:szCs w:val="18"/>
              </w:rPr>
              <w:instrText xml:space="preserve"> REF _Ref148442358 \w \h </w:instrText>
            </w:r>
            <w:r w:rsidR="00C66478" w:rsidRPr="001B7507">
              <w:rPr>
                <w:color w:val="000000" w:themeColor="text1"/>
                <w:sz w:val="18"/>
                <w:szCs w:val="18"/>
              </w:rPr>
              <w:instrText xml:space="preserve"> \* MERGEFORMAT </w:instrText>
            </w:r>
            <w:r w:rsidRPr="001B7507">
              <w:rPr>
                <w:color w:val="000000" w:themeColor="text1"/>
                <w:sz w:val="18"/>
                <w:szCs w:val="18"/>
              </w:rPr>
            </w:r>
            <w:r w:rsidRPr="001B7507">
              <w:rPr>
                <w:color w:val="000000" w:themeColor="text1"/>
                <w:sz w:val="18"/>
                <w:szCs w:val="18"/>
              </w:rPr>
              <w:fldChar w:fldCharType="separate"/>
            </w:r>
            <w:r w:rsidR="00FA10A4">
              <w:rPr>
                <w:color w:val="000000" w:themeColor="text1"/>
                <w:sz w:val="18"/>
                <w:szCs w:val="18"/>
              </w:rPr>
              <w:t>5.4.5.2</w:t>
            </w:r>
            <w:r w:rsidRPr="001B7507">
              <w:rPr>
                <w:color w:val="000000" w:themeColor="text1"/>
                <w:sz w:val="18"/>
                <w:szCs w:val="18"/>
              </w:rPr>
              <w:fldChar w:fldCharType="end"/>
            </w:r>
            <w:r w:rsidRPr="001B7507">
              <w:rPr>
                <w:color w:val="000000" w:themeColor="text1"/>
                <w:sz w:val="18"/>
                <w:szCs w:val="18"/>
              </w:rPr>
              <w:t xml:space="preserve"> - </w:t>
            </w:r>
            <w:r w:rsidRPr="001B7507">
              <w:rPr>
                <w:color w:val="000000" w:themeColor="text1"/>
                <w:sz w:val="18"/>
                <w:szCs w:val="18"/>
              </w:rPr>
              <w:fldChar w:fldCharType="begin" w:fldLock="1"/>
            </w:r>
            <w:r w:rsidRPr="001B7507">
              <w:rPr>
                <w:color w:val="000000" w:themeColor="text1"/>
                <w:sz w:val="18"/>
                <w:szCs w:val="18"/>
              </w:rPr>
              <w:instrText xml:space="preserve"> REF _Ref148442358 \h </w:instrText>
            </w:r>
            <w:r w:rsidR="00C66478" w:rsidRPr="001B7507">
              <w:rPr>
                <w:color w:val="000000" w:themeColor="text1"/>
                <w:sz w:val="18"/>
                <w:szCs w:val="18"/>
              </w:rPr>
              <w:instrText xml:space="preserve"> \* MERGEFORMAT </w:instrText>
            </w:r>
            <w:r w:rsidRPr="001B7507">
              <w:rPr>
                <w:color w:val="000000" w:themeColor="text1"/>
                <w:sz w:val="18"/>
                <w:szCs w:val="18"/>
              </w:rPr>
            </w:r>
            <w:r w:rsidRPr="001B7507">
              <w:rPr>
                <w:color w:val="000000" w:themeColor="text1"/>
                <w:sz w:val="18"/>
                <w:szCs w:val="18"/>
              </w:rPr>
              <w:fldChar w:fldCharType="separate"/>
            </w:r>
            <w:r w:rsidR="00FA10A4" w:rsidRPr="00FA10A4">
              <w:rPr>
                <w:sz w:val="18"/>
                <w:szCs w:val="18"/>
              </w:rPr>
              <w:t>High-cost, highly specialised therapies</w:t>
            </w:r>
            <w:r w:rsidRPr="001B7507">
              <w:rPr>
                <w:color w:val="000000" w:themeColor="text1"/>
                <w:sz w:val="18"/>
                <w:szCs w:val="18"/>
              </w:rPr>
              <w:fldChar w:fldCharType="end"/>
            </w:r>
          </w:p>
        </w:tc>
      </w:tr>
      <w:tr w:rsidR="00ED6A10" w:rsidRPr="001B7507" w14:paraId="03AD2975" w14:textId="6E815294" w:rsidTr="00025B1E">
        <w:tc>
          <w:tcPr>
            <w:tcW w:w="436" w:type="pct"/>
            <w:vMerge/>
            <w:tcBorders>
              <w:left w:val="nil"/>
              <w:bottom w:val="single" w:sz="8" w:space="0" w:color="D9D9D9"/>
              <w:right w:val="nil"/>
            </w:tcBorders>
            <w:shd w:val="clear" w:color="auto" w:fill="auto"/>
          </w:tcPr>
          <w:p w14:paraId="6E68A3B8" w14:textId="77777777" w:rsidR="00EB257A" w:rsidRPr="001B7507" w:rsidRDefault="00EB257A" w:rsidP="001B7507">
            <w:pPr>
              <w:spacing w:before="60" w:after="60"/>
              <w:rPr>
                <w:rFonts w:eastAsia="Verdana"/>
                <w:sz w:val="18"/>
                <w:szCs w:val="18"/>
              </w:rPr>
            </w:pPr>
          </w:p>
        </w:tc>
        <w:tc>
          <w:tcPr>
            <w:tcW w:w="454" w:type="pct"/>
            <w:tcBorders>
              <w:top w:val="single" w:sz="8" w:space="0" w:color="D9D9D9"/>
              <w:left w:val="nil"/>
              <w:bottom w:val="single" w:sz="8" w:space="0" w:color="D9D9D9"/>
              <w:right w:val="nil"/>
            </w:tcBorders>
          </w:tcPr>
          <w:p w14:paraId="3F5DB00C" w14:textId="23E0E6C7" w:rsidR="00EB257A" w:rsidRPr="001B7507" w:rsidRDefault="00EB257A" w:rsidP="001B7507">
            <w:pPr>
              <w:spacing w:before="60" w:after="60"/>
              <w:rPr>
                <w:rFonts w:eastAsia="Verdana"/>
                <w:sz w:val="18"/>
                <w:szCs w:val="18"/>
              </w:rPr>
            </w:pPr>
            <w:r w:rsidRPr="001B7507">
              <w:rPr>
                <w:rFonts w:eastAsia="Verdana"/>
                <w:sz w:val="18"/>
                <w:szCs w:val="18"/>
              </w:rPr>
              <w:t>Cost consistency and cross-model approach for unified HTA framework</w:t>
            </w:r>
          </w:p>
        </w:tc>
        <w:tc>
          <w:tcPr>
            <w:tcW w:w="3449" w:type="pct"/>
            <w:tcBorders>
              <w:top w:val="single" w:sz="8" w:space="0" w:color="D9D9D9"/>
              <w:left w:val="nil"/>
              <w:bottom w:val="single" w:sz="8" w:space="0" w:color="D9D9D9"/>
              <w:right w:val="nil"/>
            </w:tcBorders>
            <w:shd w:val="clear" w:color="auto" w:fill="auto"/>
          </w:tcPr>
          <w:p w14:paraId="08378CE9" w14:textId="2064101A" w:rsidR="00EB257A" w:rsidRPr="001B7507" w:rsidRDefault="00EB257A" w:rsidP="001B7507">
            <w:pPr>
              <w:pStyle w:val="Summarytable"/>
              <w:numPr>
                <w:ilvl w:val="0"/>
                <w:numId w:val="95"/>
              </w:numPr>
              <w:spacing w:before="60" w:after="60"/>
              <w:rPr>
                <w:b w:val="0"/>
                <w:bCs w:val="0"/>
                <w:sz w:val="18"/>
                <w:szCs w:val="18"/>
              </w:rPr>
            </w:pPr>
            <w:r w:rsidRPr="001B7507">
              <w:rPr>
                <w:b w:val="0"/>
                <w:bCs w:val="0"/>
                <w:sz w:val="18"/>
                <w:szCs w:val="18"/>
                <w:lang w:val="en-GB"/>
              </w:rPr>
              <w:t xml:space="preserve">The unified HTA framework and methodology </w:t>
            </w:r>
            <w:r w:rsidRPr="001B7507">
              <w:rPr>
                <w:b w:val="0"/>
                <w:bCs w:val="0"/>
                <w:sz w:val="18"/>
                <w:szCs w:val="18"/>
              </w:rPr>
              <w:t>at</w:t>
            </w:r>
            <w:r w:rsidRPr="001B7507">
              <w:rPr>
                <w:b w:val="0"/>
                <w:bCs w:val="0"/>
                <w:sz w:val="18"/>
                <w:szCs w:val="18"/>
                <w:lang w:val="en-GB"/>
              </w:rPr>
              <w:t xml:space="preserve"> Recommendation 30 should: </w:t>
            </w:r>
          </w:p>
          <w:p w14:paraId="5625843C" w14:textId="5AC53C8E" w:rsidR="00EB257A" w:rsidRPr="001B7507" w:rsidRDefault="00EB257A" w:rsidP="001B7507">
            <w:pPr>
              <w:pStyle w:val="Summarytable"/>
              <w:numPr>
                <w:ilvl w:val="0"/>
                <w:numId w:val="98"/>
              </w:numPr>
              <w:spacing w:before="60" w:after="60"/>
              <w:ind w:left="856"/>
              <w:rPr>
                <w:b w:val="0"/>
                <w:bCs w:val="0"/>
                <w:sz w:val="18"/>
                <w:szCs w:val="18"/>
              </w:rPr>
            </w:pPr>
            <w:r w:rsidRPr="001B7507">
              <w:rPr>
                <w:sz w:val="18"/>
                <w:szCs w:val="18"/>
                <w:lang w:val="en-GB"/>
              </w:rPr>
              <w:t>Drive consistency</w:t>
            </w:r>
            <w:r w:rsidRPr="001B7507">
              <w:rPr>
                <w:b w:val="0"/>
                <w:bCs w:val="0"/>
                <w:sz w:val="18"/>
                <w:szCs w:val="18"/>
                <w:lang w:val="en-GB"/>
              </w:rPr>
              <w:t xml:space="preserve"> in identification of all costs associated with delivery (Commonwealth</w:t>
            </w:r>
            <w:r w:rsidR="00986017">
              <w:rPr>
                <w:b w:val="0"/>
                <w:bCs w:val="0"/>
                <w:sz w:val="18"/>
                <w:szCs w:val="18"/>
                <w:lang w:val="en-GB"/>
              </w:rPr>
              <w:t>,</w:t>
            </w:r>
            <w:r w:rsidRPr="001B7507">
              <w:rPr>
                <w:b w:val="0"/>
                <w:bCs w:val="0"/>
                <w:sz w:val="18"/>
                <w:szCs w:val="18"/>
                <w:lang w:val="en-GB"/>
              </w:rPr>
              <w:t xml:space="preserve"> State</w:t>
            </w:r>
            <w:r w:rsidR="00986017">
              <w:rPr>
                <w:b w:val="0"/>
                <w:bCs w:val="0"/>
                <w:sz w:val="18"/>
                <w:szCs w:val="18"/>
                <w:lang w:val="en-GB"/>
              </w:rPr>
              <w:t xml:space="preserve"> and </w:t>
            </w:r>
            <w:r w:rsidRPr="001B7507">
              <w:rPr>
                <w:b w:val="0"/>
                <w:bCs w:val="0"/>
                <w:sz w:val="18"/>
                <w:szCs w:val="18"/>
                <w:lang w:val="en-GB"/>
              </w:rPr>
              <w:t>Territory funded), but also lifetime potential avoided health system costs, through strengthened data collection and analysis.</w:t>
            </w:r>
          </w:p>
          <w:p w14:paraId="784ED779" w14:textId="77777777" w:rsidR="00EB257A" w:rsidRPr="001B7507" w:rsidRDefault="00EB257A" w:rsidP="001B7507">
            <w:pPr>
              <w:numPr>
                <w:ilvl w:val="0"/>
                <w:numId w:val="98"/>
              </w:numPr>
              <w:spacing w:before="60" w:after="60"/>
              <w:ind w:left="856"/>
              <w:rPr>
                <w:sz w:val="18"/>
                <w:szCs w:val="18"/>
              </w:rPr>
            </w:pPr>
            <w:r w:rsidRPr="001B7507">
              <w:rPr>
                <w:b/>
                <w:bCs/>
                <w:sz w:val="18"/>
                <w:szCs w:val="18"/>
              </w:rPr>
              <w:t>Take a cross-modal approach</w:t>
            </w:r>
            <w:r w:rsidRPr="001B7507">
              <w:rPr>
                <w:sz w:val="18"/>
                <w:szCs w:val="18"/>
              </w:rPr>
              <w:t xml:space="preserve"> that compares new high-cost, highly specialised therapies to the range of treatments/technologies for the same indication (e.g., medicines, devices, surgery).</w:t>
            </w:r>
          </w:p>
        </w:tc>
        <w:tc>
          <w:tcPr>
            <w:tcW w:w="661" w:type="pct"/>
            <w:tcBorders>
              <w:top w:val="single" w:sz="8" w:space="0" w:color="D9D9D9"/>
              <w:left w:val="nil"/>
              <w:bottom w:val="single" w:sz="8" w:space="0" w:color="D9D9D9"/>
              <w:right w:val="nil"/>
            </w:tcBorders>
          </w:tcPr>
          <w:p w14:paraId="7249F1F9" w14:textId="0A29F194" w:rsidR="00EB257A" w:rsidRPr="001B7507" w:rsidRDefault="00F61195" w:rsidP="001B7507">
            <w:pPr>
              <w:pStyle w:val="Summarytable"/>
              <w:spacing w:before="60" w:after="60"/>
              <w:ind w:left="0"/>
              <w:rPr>
                <w:b w:val="0"/>
                <w:bCs w:val="0"/>
                <w:sz w:val="18"/>
                <w:szCs w:val="18"/>
                <w:lang w:val="en-GB"/>
              </w:rPr>
            </w:pPr>
            <w:r w:rsidRPr="001B7507">
              <w:rPr>
                <w:b w:val="0"/>
                <w:bCs w:val="0"/>
                <w:color w:val="000000" w:themeColor="text1"/>
                <w:sz w:val="18"/>
                <w:szCs w:val="18"/>
              </w:rPr>
              <w:fldChar w:fldCharType="begin" w:fldLock="1"/>
            </w:r>
            <w:r w:rsidRPr="001B7507">
              <w:rPr>
                <w:b w:val="0"/>
                <w:bCs w:val="0"/>
                <w:color w:val="000000" w:themeColor="text1"/>
                <w:sz w:val="18"/>
                <w:szCs w:val="18"/>
              </w:rPr>
              <w:instrText xml:space="preserve"> REF _Ref148442358 \w \h  \* MERGEFORMAT </w:instrText>
            </w:r>
            <w:r w:rsidRPr="001B7507">
              <w:rPr>
                <w:b w:val="0"/>
                <w:bCs w:val="0"/>
                <w:color w:val="000000" w:themeColor="text1"/>
                <w:sz w:val="18"/>
                <w:szCs w:val="18"/>
              </w:rPr>
            </w:r>
            <w:r w:rsidRPr="001B7507">
              <w:rPr>
                <w:b w:val="0"/>
                <w:bCs w:val="0"/>
                <w:color w:val="000000" w:themeColor="text1"/>
                <w:sz w:val="18"/>
                <w:szCs w:val="18"/>
              </w:rPr>
              <w:fldChar w:fldCharType="separate"/>
            </w:r>
            <w:r w:rsidR="00FA10A4">
              <w:rPr>
                <w:b w:val="0"/>
                <w:bCs w:val="0"/>
                <w:color w:val="000000" w:themeColor="text1"/>
                <w:sz w:val="18"/>
                <w:szCs w:val="18"/>
              </w:rPr>
              <w:t>5.4.5.2</w:t>
            </w:r>
            <w:r w:rsidRPr="001B7507">
              <w:rPr>
                <w:b w:val="0"/>
                <w:bCs w:val="0"/>
                <w:color w:val="000000" w:themeColor="text1"/>
                <w:sz w:val="18"/>
                <w:szCs w:val="18"/>
              </w:rPr>
              <w:fldChar w:fldCharType="end"/>
            </w:r>
            <w:r w:rsidRPr="001B7507">
              <w:rPr>
                <w:b w:val="0"/>
                <w:bCs w:val="0"/>
                <w:color w:val="000000" w:themeColor="text1"/>
                <w:sz w:val="18"/>
                <w:szCs w:val="18"/>
              </w:rPr>
              <w:t xml:space="preserve"> - </w:t>
            </w:r>
            <w:r w:rsidRPr="001B7507">
              <w:rPr>
                <w:b w:val="0"/>
                <w:bCs w:val="0"/>
                <w:color w:val="000000" w:themeColor="text1"/>
                <w:sz w:val="18"/>
                <w:szCs w:val="18"/>
              </w:rPr>
              <w:fldChar w:fldCharType="begin" w:fldLock="1"/>
            </w:r>
            <w:r w:rsidRPr="001B7507">
              <w:rPr>
                <w:b w:val="0"/>
                <w:bCs w:val="0"/>
                <w:color w:val="000000" w:themeColor="text1"/>
                <w:sz w:val="18"/>
                <w:szCs w:val="18"/>
              </w:rPr>
              <w:instrText xml:space="preserve"> REF _Ref148442358 \h  \* MERGEFORMAT </w:instrText>
            </w:r>
            <w:r w:rsidRPr="001B7507">
              <w:rPr>
                <w:b w:val="0"/>
                <w:bCs w:val="0"/>
                <w:color w:val="000000" w:themeColor="text1"/>
                <w:sz w:val="18"/>
                <w:szCs w:val="18"/>
              </w:rPr>
            </w:r>
            <w:r w:rsidRPr="001B7507">
              <w:rPr>
                <w:b w:val="0"/>
                <w:bCs w:val="0"/>
                <w:color w:val="000000" w:themeColor="text1"/>
                <w:sz w:val="18"/>
                <w:szCs w:val="18"/>
              </w:rPr>
              <w:fldChar w:fldCharType="separate"/>
            </w:r>
            <w:r w:rsidR="00FA10A4" w:rsidRPr="00FA10A4">
              <w:rPr>
                <w:b w:val="0"/>
                <w:bCs w:val="0"/>
                <w:sz w:val="18"/>
                <w:szCs w:val="18"/>
              </w:rPr>
              <w:t>High-cost, highly specialised therapies</w:t>
            </w:r>
            <w:r w:rsidRPr="001B7507">
              <w:rPr>
                <w:b w:val="0"/>
                <w:bCs w:val="0"/>
                <w:color w:val="000000" w:themeColor="text1"/>
                <w:sz w:val="18"/>
                <w:szCs w:val="18"/>
              </w:rPr>
              <w:fldChar w:fldCharType="end"/>
            </w:r>
          </w:p>
        </w:tc>
      </w:tr>
      <w:tr w:rsidR="00ED6A10" w:rsidRPr="001B7507" w14:paraId="16C17A21" w14:textId="43310CFC" w:rsidTr="00025B1E">
        <w:tc>
          <w:tcPr>
            <w:tcW w:w="436" w:type="pct"/>
            <w:vMerge w:val="restart"/>
            <w:tcBorders>
              <w:top w:val="single" w:sz="8" w:space="0" w:color="D9D9D9"/>
              <w:left w:val="nil"/>
              <w:right w:val="nil"/>
            </w:tcBorders>
            <w:shd w:val="clear" w:color="auto" w:fill="auto"/>
          </w:tcPr>
          <w:p w14:paraId="251C2195" w14:textId="77777777" w:rsidR="00EB257A" w:rsidRPr="001B7507" w:rsidRDefault="00EB257A" w:rsidP="001B7507">
            <w:pPr>
              <w:spacing w:before="60" w:after="60"/>
              <w:rPr>
                <w:rFonts w:eastAsia="Verdana"/>
                <w:sz w:val="18"/>
                <w:szCs w:val="18"/>
              </w:rPr>
            </w:pPr>
            <w:r w:rsidRPr="001B7507">
              <w:rPr>
                <w:rFonts w:eastAsia="Verdana"/>
                <w:sz w:val="18"/>
                <w:szCs w:val="18"/>
              </w:rPr>
              <w:t>Progressing long-term health reforms</w:t>
            </w:r>
          </w:p>
        </w:tc>
        <w:tc>
          <w:tcPr>
            <w:tcW w:w="454" w:type="pct"/>
            <w:tcBorders>
              <w:top w:val="single" w:sz="8" w:space="0" w:color="D9D9D9"/>
              <w:left w:val="nil"/>
              <w:bottom w:val="single" w:sz="8" w:space="0" w:color="D9D9D9"/>
              <w:right w:val="nil"/>
            </w:tcBorders>
          </w:tcPr>
          <w:p w14:paraId="43410DD2" w14:textId="77777777" w:rsidR="00EB257A" w:rsidRPr="001B7507" w:rsidRDefault="00EB257A" w:rsidP="001B7507">
            <w:pPr>
              <w:spacing w:before="60" w:after="60"/>
              <w:rPr>
                <w:rFonts w:eastAsia="Verdana"/>
                <w:sz w:val="18"/>
                <w:szCs w:val="18"/>
              </w:rPr>
            </w:pPr>
            <w:r w:rsidRPr="001B7507">
              <w:rPr>
                <w:rFonts w:eastAsia="Verdana"/>
                <w:sz w:val="18"/>
                <w:szCs w:val="18"/>
              </w:rPr>
              <w:t>Reinforce a shared national commitment and program of action on long-term health reform areas</w:t>
            </w:r>
          </w:p>
        </w:tc>
        <w:tc>
          <w:tcPr>
            <w:tcW w:w="3449" w:type="pct"/>
            <w:tcBorders>
              <w:top w:val="single" w:sz="8" w:space="0" w:color="D9D9D9"/>
              <w:left w:val="nil"/>
              <w:bottom w:val="single" w:sz="8" w:space="0" w:color="D9D9D9"/>
              <w:right w:val="nil"/>
            </w:tcBorders>
            <w:shd w:val="clear" w:color="auto" w:fill="auto"/>
          </w:tcPr>
          <w:p w14:paraId="31BC1013" w14:textId="77777777" w:rsidR="00EB257A" w:rsidRPr="001B7507" w:rsidRDefault="00EB257A" w:rsidP="001B7507">
            <w:pPr>
              <w:numPr>
                <w:ilvl w:val="0"/>
                <w:numId w:val="95"/>
              </w:numPr>
              <w:spacing w:before="60" w:after="60"/>
              <w:ind w:left="332" w:hanging="283"/>
              <w:rPr>
                <w:rFonts w:eastAsia="Verdana"/>
                <w:sz w:val="18"/>
                <w:szCs w:val="18"/>
              </w:rPr>
            </w:pPr>
            <w:r w:rsidRPr="001B7507">
              <w:rPr>
                <w:color w:val="000000" w:themeColor="text1"/>
                <w:sz w:val="18"/>
                <w:szCs w:val="18"/>
              </w:rPr>
              <w:t xml:space="preserve">A new Agreement should </w:t>
            </w:r>
            <w:r w:rsidRPr="001B7507">
              <w:rPr>
                <w:b/>
                <w:bCs/>
                <w:color w:val="000000" w:themeColor="text1"/>
                <w:sz w:val="18"/>
                <w:szCs w:val="18"/>
              </w:rPr>
              <w:t>reinforce a shared national commitment and program of action on long-term health reform areas</w:t>
            </w:r>
            <w:r w:rsidRPr="001B7507">
              <w:rPr>
                <w:color w:val="000000" w:themeColor="text1"/>
                <w:sz w:val="18"/>
                <w:szCs w:val="18"/>
              </w:rPr>
              <w:t xml:space="preserve">, with a collaborative process to confirm or vary the current long term reform areas and with </w:t>
            </w:r>
            <w:r w:rsidRPr="001B7507">
              <w:rPr>
                <w:sz w:val="18"/>
                <w:szCs w:val="18"/>
              </w:rPr>
              <w:t>governance structures, incentives, resources, and success measures to drive the implementation of the reforms.</w:t>
            </w:r>
          </w:p>
        </w:tc>
        <w:tc>
          <w:tcPr>
            <w:tcW w:w="661" w:type="pct"/>
            <w:tcBorders>
              <w:top w:val="single" w:sz="8" w:space="0" w:color="D9D9D9"/>
              <w:left w:val="nil"/>
              <w:bottom w:val="single" w:sz="8" w:space="0" w:color="D9D9D9"/>
              <w:right w:val="nil"/>
            </w:tcBorders>
          </w:tcPr>
          <w:p w14:paraId="4BCBF4BD" w14:textId="2AC84FA9" w:rsidR="00EB257A" w:rsidRPr="001B7507" w:rsidRDefault="00F61195" w:rsidP="001B7507">
            <w:pPr>
              <w:spacing w:before="60" w:after="60"/>
              <w:ind w:left="49"/>
              <w:rPr>
                <w:color w:val="000000" w:themeColor="text1"/>
                <w:sz w:val="18"/>
                <w:szCs w:val="18"/>
              </w:rPr>
            </w:pPr>
            <w:r w:rsidRPr="001B7507">
              <w:rPr>
                <w:color w:val="000000" w:themeColor="text1"/>
                <w:sz w:val="18"/>
                <w:szCs w:val="18"/>
              </w:rPr>
              <w:fldChar w:fldCharType="begin" w:fldLock="1"/>
            </w:r>
            <w:r w:rsidRPr="001B7507">
              <w:rPr>
                <w:color w:val="000000" w:themeColor="text1"/>
                <w:sz w:val="18"/>
                <w:szCs w:val="18"/>
              </w:rPr>
              <w:instrText xml:space="preserve"> REF _Ref146113590 \w \h </w:instrText>
            </w:r>
            <w:r w:rsidR="00C66478" w:rsidRPr="001B7507">
              <w:rPr>
                <w:color w:val="000000" w:themeColor="text1"/>
                <w:sz w:val="18"/>
                <w:szCs w:val="18"/>
              </w:rPr>
              <w:instrText xml:space="preserve"> \* MERGEFORMAT </w:instrText>
            </w:r>
            <w:r w:rsidRPr="001B7507">
              <w:rPr>
                <w:color w:val="000000" w:themeColor="text1"/>
                <w:sz w:val="18"/>
                <w:szCs w:val="18"/>
              </w:rPr>
            </w:r>
            <w:r w:rsidRPr="001B7507">
              <w:rPr>
                <w:color w:val="000000" w:themeColor="text1"/>
                <w:sz w:val="18"/>
                <w:szCs w:val="18"/>
              </w:rPr>
              <w:fldChar w:fldCharType="separate"/>
            </w:r>
            <w:r w:rsidR="00FA10A4">
              <w:rPr>
                <w:color w:val="000000" w:themeColor="text1"/>
                <w:sz w:val="18"/>
                <w:szCs w:val="18"/>
              </w:rPr>
              <w:t>5.5.1</w:t>
            </w:r>
            <w:r w:rsidRPr="001B7507">
              <w:rPr>
                <w:color w:val="000000" w:themeColor="text1"/>
                <w:sz w:val="18"/>
                <w:szCs w:val="18"/>
              </w:rPr>
              <w:fldChar w:fldCharType="end"/>
            </w:r>
            <w:r w:rsidRPr="001B7507">
              <w:rPr>
                <w:color w:val="000000" w:themeColor="text1"/>
                <w:sz w:val="18"/>
                <w:szCs w:val="18"/>
              </w:rPr>
              <w:t xml:space="preserve"> - </w:t>
            </w:r>
            <w:r w:rsidRPr="001B7507">
              <w:rPr>
                <w:color w:val="000000" w:themeColor="text1"/>
                <w:sz w:val="18"/>
                <w:szCs w:val="18"/>
              </w:rPr>
              <w:fldChar w:fldCharType="begin" w:fldLock="1"/>
            </w:r>
            <w:r w:rsidRPr="001B7507">
              <w:rPr>
                <w:color w:val="000000" w:themeColor="text1"/>
                <w:sz w:val="18"/>
                <w:szCs w:val="18"/>
              </w:rPr>
              <w:instrText xml:space="preserve"> REF _Ref146113590 \h </w:instrText>
            </w:r>
            <w:r w:rsidR="00C66478" w:rsidRPr="001B7507">
              <w:rPr>
                <w:color w:val="000000" w:themeColor="text1"/>
                <w:sz w:val="18"/>
                <w:szCs w:val="18"/>
              </w:rPr>
              <w:instrText xml:space="preserve"> \* MERGEFORMAT </w:instrText>
            </w:r>
            <w:r w:rsidRPr="001B7507">
              <w:rPr>
                <w:color w:val="000000" w:themeColor="text1"/>
                <w:sz w:val="18"/>
                <w:szCs w:val="18"/>
              </w:rPr>
            </w:r>
            <w:r w:rsidRPr="001B7507">
              <w:rPr>
                <w:color w:val="000000" w:themeColor="text1"/>
                <w:sz w:val="18"/>
                <w:szCs w:val="18"/>
              </w:rPr>
              <w:fldChar w:fldCharType="separate"/>
            </w:r>
            <w:r w:rsidR="00FA10A4" w:rsidRPr="00FA10A4">
              <w:rPr>
                <w:sz w:val="18"/>
                <w:szCs w:val="18"/>
              </w:rPr>
              <w:t>National commitment</w:t>
            </w:r>
            <w:r w:rsidRPr="001B7507">
              <w:rPr>
                <w:color w:val="000000" w:themeColor="text1"/>
                <w:sz w:val="18"/>
                <w:szCs w:val="18"/>
              </w:rPr>
              <w:fldChar w:fldCharType="end"/>
            </w:r>
          </w:p>
        </w:tc>
      </w:tr>
      <w:tr w:rsidR="00ED6A10" w:rsidRPr="001B7507" w14:paraId="20D7A3AB" w14:textId="101C05F7" w:rsidTr="00025B1E">
        <w:tc>
          <w:tcPr>
            <w:tcW w:w="436" w:type="pct"/>
            <w:vMerge/>
            <w:tcBorders>
              <w:left w:val="nil"/>
              <w:bottom w:val="single" w:sz="8" w:space="0" w:color="D9D9D9"/>
              <w:right w:val="nil"/>
            </w:tcBorders>
            <w:shd w:val="clear" w:color="auto" w:fill="auto"/>
          </w:tcPr>
          <w:p w14:paraId="3A8C7307" w14:textId="77777777" w:rsidR="00EB257A" w:rsidRPr="001B7507" w:rsidRDefault="00EB257A" w:rsidP="001B7507">
            <w:pPr>
              <w:spacing w:before="60" w:after="60"/>
              <w:rPr>
                <w:rFonts w:eastAsia="Verdana"/>
                <w:sz w:val="18"/>
                <w:szCs w:val="18"/>
              </w:rPr>
            </w:pPr>
          </w:p>
        </w:tc>
        <w:tc>
          <w:tcPr>
            <w:tcW w:w="454" w:type="pct"/>
            <w:tcBorders>
              <w:top w:val="single" w:sz="8" w:space="0" w:color="D9D9D9"/>
              <w:left w:val="nil"/>
              <w:bottom w:val="single" w:sz="8" w:space="0" w:color="D9D9D9"/>
              <w:right w:val="nil"/>
            </w:tcBorders>
          </w:tcPr>
          <w:p w14:paraId="39259422" w14:textId="5A738CA5" w:rsidR="00EB257A" w:rsidRPr="001B7507" w:rsidRDefault="00EB257A" w:rsidP="001B7507">
            <w:pPr>
              <w:spacing w:before="60" w:after="60"/>
              <w:rPr>
                <w:rFonts w:eastAsia="Verdana"/>
                <w:sz w:val="18"/>
                <w:szCs w:val="18"/>
              </w:rPr>
            </w:pPr>
            <w:r w:rsidRPr="001B7507">
              <w:rPr>
                <w:rFonts w:eastAsia="Verdana"/>
                <w:sz w:val="18"/>
                <w:szCs w:val="18"/>
              </w:rPr>
              <w:t>Renewed focus on prevention activities</w:t>
            </w:r>
          </w:p>
        </w:tc>
        <w:tc>
          <w:tcPr>
            <w:tcW w:w="3449" w:type="pct"/>
            <w:tcBorders>
              <w:top w:val="single" w:sz="8" w:space="0" w:color="D9D9D9"/>
              <w:left w:val="nil"/>
              <w:bottom w:val="single" w:sz="8" w:space="0" w:color="D9D9D9"/>
              <w:right w:val="nil"/>
            </w:tcBorders>
            <w:shd w:val="clear" w:color="auto" w:fill="auto"/>
          </w:tcPr>
          <w:p w14:paraId="71B0A5DA" w14:textId="0678AAF3" w:rsidR="00EB257A" w:rsidRPr="001B7507" w:rsidRDefault="00EB257A" w:rsidP="001B7507">
            <w:pPr>
              <w:pStyle w:val="Summarytable"/>
              <w:numPr>
                <w:ilvl w:val="0"/>
                <w:numId w:val="95"/>
              </w:numPr>
              <w:spacing w:before="60" w:after="60"/>
              <w:rPr>
                <w:b w:val="0"/>
                <w:bCs w:val="0"/>
                <w:color w:val="000000" w:themeColor="text1"/>
                <w:sz w:val="18"/>
                <w:szCs w:val="18"/>
              </w:rPr>
            </w:pPr>
            <w:r w:rsidRPr="001B7507">
              <w:rPr>
                <w:b w:val="0"/>
                <w:bCs w:val="0"/>
                <w:color w:val="000000" w:themeColor="text1"/>
                <w:sz w:val="18"/>
                <w:szCs w:val="18"/>
              </w:rPr>
              <w:t xml:space="preserve">A </w:t>
            </w:r>
            <w:r w:rsidRPr="00597BF8">
              <w:rPr>
                <w:color w:val="000000" w:themeColor="text1"/>
                <w:sz w:val="18"/>
                <w:szCs w:val="18"/>
              </w:rPr>
              <w:t>renewed focus on prevention activities</w:t>
            </w:r>
            <w:r w:rsidRPr="001B7507">
              <w:rPr>
                <w:b w:val="0"/>
                <w:bCs w:val="0"/>
                <w:color w:val="000000" w:themeColor="text1"/>
                <w:sz w:val="18"/>
                <w:szCs w:val="18"/>
              </w:rPr>
              <w:t xml:space="preserve"> should be set out in the Agreement which directly addresses the rising burden of chronic disease in the community, complements the </w:t>
            </w:r>
            <w:r w:rsidRPr="00207DF8">
              <w:rPr>
                <w:b w:val="0"/>
                <w:bCs w:val="0"/>
                <w:i/>
                <w:iCs/>
                <w:color w:val="000000" w:themeColor="text1"/>
                <w:sz w:val="18"/>
                <w:szCs w:val="18"/>
              </w:rPr>
              <w:t>National Preventive Health Strategy 2021-2030</w:t>
            </w:r>
            <w:r w:rsidRPr="001B7507">
              <w:rPr>
                <w:b w:val="0"/>
                <w:bCs w:val="0"/>
                <w:color w:val="000000" w:themeColor="text1"/>
                <w:sz w:val="18"/>
                <w:szCs w:val="18"/>
              </w:rPr>
              <w:t xml:space="preserve"> and work of the Australian Centre for Disease Control and provides a shared program of action, with clear accountabilities, funding and milestones.</w:t>
            </w:r>
          </w:p>
        </w:tc>
        <w:tc>
          <w:tcPr>
            <w:tcW w:w="661" w:type="pct"/>
            <w:tcBorders>
              <w:top w:val="single" w:sz="8" w:space="0" w:color="D9D9D9"/>
              <w:left w:val="nil"/>
              <w:bottom w:val="single" w:sz="8" w:space="0" w:color="D9D9D9"/>
              <w:right w:val="nil"/>
            </w:tcBorders>
          </w:tcPr>
          <w:p w14:paraId="1E1D94A6" w14:textId="28E91FC0" w:rsidR="00EB257A" w:rsidRPr="001B7507" w:rsidRDefault="00F61195" w:rsidP="001B7507">
            <w:pPr>
              <w:pStyle w:val="Summarytable"/>
              <w:spacing w:before="60" w:after="60"/>
              <w:ind w:left="0"/>
              <w:rPr>
                <w:b w:val="0"/>
                <w:bCs w:val="0"/>
                <w:color w:val="000000" w:themeColor="text1"/>
                <w:sz w:val="18"/>
                <w:szCs w:val="18"/>
              </w:rPr>
            </w:pPr>
            <w:r w:rsidRPr="001B7507">
              <w:rPr>
                <w:b w:val="0"/>
                <w:bCs w:val="0"/>
                <w:color w:val="000000" w:themeColor="text1"/>
                <w:sz w:val="18"/>
                <w:szCs w:val="18"/>
              </w:rPr>
              <w:fldChar w:fldCharType="begin" w:fldLock="1"/>
            </w:r>
            <w:r w:rsidRPr="001B7507">
              <w:rPr>
                <w:b w:val="0"/>
                <w:bCs w:val="0"/>
                <w:color w:val="000000" w:themeColor="text1"/>
                <w:sz w:val="18"/>
                <w:szCs w:val="18"/>
              </w:rPr>
              <w:instrText xml:space="preserve"> REF _Ref148442414 \w \h </w:instrText>
            </w:r>
            <w:r w:rsidR="00C66478" w:rsidRPr="001B7507">
              <w:rPr>
                <w:b w:val="0"/>
                <w:bCs w:val="0"/>
                <w:color w:val="000000" w:themeColor="text1"/>
                <w:sz w:val="18"/>
                <w:szCs w:val="18"/>
              </w:rPr>
              <w:instrText xml:space="preserve"> \* MERGEFORMAT </w:instrText>
            </w:r>
            <w:r w:rsidRPr="001B7507">
              <w:rPr>
                <w:b w:val="0"/>
                <w:bCs w:val="0"/>
                <w:color w:val="000000" w:themeColor="text1"/>
                <w:sz w:val="18"/>
                <w:szCs w:val="18"/>
              </w:rPr>
            </w:r>
            <w:r w:rsidRPr="001B7507">
              <w:rPr>
                <w:b w:val="0"/>
                <w:bCs w:val="0"/>
                <w:color w:val="000000" w:themeColor="text1"/>
                <w:sz w:val="18"/>
                <w:szCs w:val="18"/>
              </w:rPr>
              <w:fldChar w:fldCharType="separate"/>
            </w:r>
            <w:r w:rsidR="00FA10A4">
              <w:rPr>
                <w:b w:val="0"/>
                <w:bCs w:val="0"/>
                <w:color w:val="000000" w:themeColor="text1"/>
                <w:sz w:val="18"/>
                <w:szCs w:val="18"/>
              </w:rPr>
              <w:t>5.5.2</w:t>
            </w:r>
            <w:r w:rsidRPr="001B7507">
              <w:rPr>
                <w:b w:val="0"/>
                <w:bCs w:val="0"/>
                <w:color w:val="000000" w:themeColor="text1"/>
                <w:sz w:val="18"/>
                <w:szCs w:val="18"/>
              </w:rPr>
              <w:fldChar w:fldCharType="end"/>
            </w:r>
            <w:r w:rsidRPr="001B7507">
              <w:rPr>
                <w:b w:val="0"/>
                <w:bCs w:val="0"/>
                <w:color w:val="000000" w:themeColor="text1"/>
                <w:sz w:val="18"/>
                <w:szCs w:val="18"/>
              </w:rPr>
              <w:t xml:space="preserve"> - </w:t>
            </w:r>
            <w:r w:rsidRPr="001B7507">
              <w:rPr>
                <w:b w:val="0"/>
                <w:bCs w:val="0"/>
                <w:color w:val="000000" w:themeColor="text1"/>
                <w:sz w:val="18"/>
                <w:szCs w:val="18"/>
              </w:rPr>
              <w:fldChar w:fldCharType="begin" w:fldLock="1"/>
            </w:r>
            <w:r w:rsidRPr="001B7507">
              <w:rPr>
                <w:b w:val="0"/>
                <w:bCs w:val="0"/>
                <w:color w:val="000000" w:themeColor="text1"/>
                <w:sz w:val="18"/>
                <w:szCs w:val="18"/>
              </w:rPr>
              <w:instrText xml:space="preserve"> REF _Ref148442414 \h </w:instrText>
            </w:r>
            <w:r w:rsidR="00C66478" w:rsidRPr="001B7507">
              <w:rPr>
                <w:b w:val="0"/>
                <w:bCs w:val="0"/>
                <w:color w:val="000000" w:themeColor="text1"/>
                <w:sz w:val="18"/>
                <w:szCs w:val="18"/>
              </w:rPr>
              <w:instrText xml:space="preserve"> \* MERGEFORMAT </w:instrText>
            </w:r>
            <w:r w:rsidRPr="001B7507">
              <w:rPr>
                <w:b w:val="0"/>
                <w:bCs w:val="0"/>
                <w:color w:val="000000" w:themeColor="text1"/>
                <w:sz w:val="18"/>
                <w:szCs w:val="18"/>
              </w:rPr>
            </w:r>
            <w:r w:rsidRPr="001B7507">
              <w:rPr>
                <w:b w:val="0"/>
                <w:bCs w:val="0"/>
                <w:color w:val="000000" w:themeColor="text1"/>
                <w:sz w:val="18"/>
                <w:szCs w:val="18"/>
              </w:rPr>
              <w:fldChar w:fldCharType="separate"/>
            </w:r>
            <w:r w:rsidR="00FA10A4" w:rsidRPr="00FA10A4">
              <w:rPr>
                <w:b w:val="0"/>
                <w:bCs w:val="0"/>
                <w:sz w:val="18"/>
                <w:szCs w:val="18"/>
              </w:rPr>
              <w:t>Prevention</w:t>
            </w:r>
            <w:r w:rsidRPr="001B7507">
              <w:rPr>
                <w:b w:val="0"/>
                <w:bCs w:val="0"/>
                <w:color w:val="000000" w:themeColor="text1"/>
                <w:sz w:val="18"/>
                <w:szCs w:val="18"/>
              </w:rPr>
              <w:fldChar w:fldCharType="end"/>
            </w:r>
          </w:p>
        </w:tc>
      </w:tr>
      <w:tr w:rsidR="00ED6A10" w:rsidRPr="001B7507" w14:paraId="2956DB0A" w14:textId="62554E5E" w:rsidTr="00025B1E">
        <w:tc>
          <w:tcPr>
            <w:tcW w:w="436" w:type="pct"/>
            <w:vMerge/>
            <w:tcBorders>
              <w:left w:val="nil"/>
              <w:bottom w:val="single" w:sz="8" w:space="0" w:color="D9D9D9"/>
              <w:right w:val="nil"/>
            </w:tcBorders>
            <w:shd w:val="clear" w:color="auto" w:fill="auto"/>
          </w:tcPr>
          <w:p w14:paraId="1776F392" w14:textId="77777777" w:rsidR="00EB257A" w:rsidRPr="001B7507" w:rsidRDefault="00EB257A" w:rsidP="001B7507">
            <w:pPr>
              <w:spacing w:before="60" w:after="60"/>
              <w:rPr>
                <w:rFonts w:eastAsia="Verdana"/>
                <w:sz w:val="18"/>
                <w:szCs w:val="18"/>
              </w:rPr>
            </w:pPr>
          </w:p>
        </w:tc>
        <w:tc>
          <w:tcPr>
            <w:tcW w:w="454" w:type="pct"/>
            <w:tcBorders>
              <w:top w:val="single" w:sz="8" w:space="0" w:color="D9D9D9"/>
              <w:left w:val="nil"/>
              <w:bottom w:val="single" w:sz="8" w:space="0" w:color="D9D9D9"/>
              <w:right w:val="nil"/>
            </w:tcBorders>
          </w:tcPr>
          <w:p w14:paraId="496AE8A1" w14:textId="77777777" w:rsidR="00EB257A" w:rsidRPr="001B7507" w:rsidRDefault="00EB257A" w:rsidP="001B7507">
            <w:pPr>
              <w:spacing w:before="60" w:after="60"/>
              <w:rPr>
                <w:rFonts w:eastAsia="Verdana"/>
                <w:sz w:val="18"/>
                <w:szCs w:val="18"/>
              </w:rPr>
            </w:pPr>
            <w:r w:rsidRPr="001B7507">
              <w:rPr>
                <w:rFonts w:eastAsia="Verdana"/>
                <w:sz w:val="18"/>
                <w:szCs w:val="18"/>
              </w:rPr>
              <w:t>Innovation and reform supported by agency and Innovation Fund</w:t>
            </w:r>
          </w:p>
        </w:tc>
        <w:tc>
          <w:tcPr>
            <w:tcW w:w="3449" w:type="pct"/>
            <w:tcBorders>
              <w:top w:val="single" w:sz="8" w:space="0" w:color="D9D9D9"/>
              <w:left w:val="nil"/>
              <w:bottom w:val="single" w:sz="8" w:space="0" w:color="D9D9D9"/>
              <w:right w:val="nil"/>
            </w:tcBorders>
            <w:shd w:val="clear" w:color="auto" w:fill="auto"/>
          </w:tcPr>
          <w:p w14:paraId="256B31FF" w14:textId="77777777" w:rsidR="00EB257A" w:rsidRPr="001B7507" w:rsidRDefault="00EB257A" w:rsidP="004C2FFB">
            <w:pPr>
              <w:pStyle w:val="Summarytable"/>
              <w:numPr>
                <w:ilvl w:val="0"/>
                <w:numId w:val="95"/>
              </w:numPr>
              <w:spacing w:before="60" w:after="60"/>
              <w:rPr>
                <w:b w:val="0"/>
                <w:bCs w:val="0"/>
                <w:color w:val="000000" w:themeColor="text1"/>
                <w:sz w:val="18"/>
                <w:szCs w:val="18"/>
              </w:rPr>
            </w:pPr>
            <w:r w:rsidRPr="001B7507">
              <w:rPr>
                <w:b w:val="0"/>
                <w:bCs w:val="0"/>
                <w:color w:val="000000" w:themeColor="text1"/>
                <w:sz w:val="18"/>
                <w:szCs w:val="18"/>
              </w:rPr>
              <w:t xml:space="preserve">A </w:t>
            </w:r>
            <w:r w:rsidRPr="001B7507">
              <w:rPr>
                <w:color w:val="000000" w:themeColor="text1"/>
                <w:sz w:val="18"/>
                <w:szCs w:val="18"/>
              </w:rPr>
              <w:t>focus on innovation and reform in the Agreement</w:t>
            </w:r>
            <w:r w:rsidRPr="001B7507">
              <w:rPr>
                <w:b w:val="0"/>
                <w:bCs w:val="0"/>
                <w:color w:val="000000" w:themeColor="text1"/>
                <w:sz w:val="18"/>
                <w:szCs w:val="18"/>
              </w:rPr>
              <w:t xml:space="preserve"> should be supported by:</w:t>
            </w:r>
          </w:p>
          <w:p w14:paraId="3AC2A0D8" w14:textId="615E3294" w:rsidR="004C2FFB" w:rsidRPr="00112071" w:rsidRDefault="004C2FFB" w:rsidP="007F0D2A">
            <w:pPr>
              <w:numPr>
                <w:ilvl w:val="0"/>
                <w:numId w:val="100"/>
              </w:numPr>
              <w:spacing w:before="60" w:after="60"/>
              <w:ind w:left="856"/>
              <w:rPr>
                <w:color w:val="000000" w:themeColor="text1"/>
                <w:sz w:val="18"/>
                <w:szCs w:val="18"/>
              </w:rPr>
            </w:pPr>
            <w:r w:rsidRPr="00112071">
              <w:rPr>
                <w:color w:val="000000" w:themeColor="text1"/>
                <w:sz w:val="18"/>
                <w:szCs w:val="18"/>
              </w:rPr>
              <w:t xml:space="preserve">A </w:t>
            </w:r>
            <w:r w:rsidRPr="008B6D96">
              <w:rPr>
                <w:b/>
                <w:bCs/>
                <w:color w:val="000000" w:themeColor="text1"/>
                <w:sz w:val="18"/>
                <w:szCs w:val="18"/>
              </w:rPr>
              <w:t>National Innovation and Reform Agency</w:t>
            </w:r>
            <w:r w:rsidRPr="00112071">
              <w:rPr>
                <w:color w:val="000000" w:themeColor="text1"/>
                <w:sz w:val="18"/>
                <w:szCs w:val="18"/>
              </w:rPr>
              <w:t>, authorised to develop and advise on long term system reforms and innovation, working with all jurisdictions and the national bodies, with strong reporting lines through HCEF to Health Ministers, and informed by performance data flowing from the Agreement (</w:t>
            </w:r>
            <w:r w:rsidR="00D25EEB">
              <w:rPr>
                <w:color w:val="000000" w:themeColor="text1"/>
                <w:sz w:val="18"/>
                <w:szCs w:val="18"/>
              </w:rPr>
              <w:t>linked</w:t>
            </w:r>
            <w:r w:rsidRPr="00112071">
              <w:rPr>
                <w:color w:val="000000" w:themeColor="text1"/>
                <w:sz w:val="18"/>
                <w:szCs w:val="18"/>
              </w:rPr>
              <w:t xml:space="preserve"> to Recommendation 6). </w:t>
            </w:r>
          </w:p>
          <w:p w14:paraId="1FB978AA" w14:textId="1E965492" w:rsidR="00EB257A" w:rsidRPr="001B7507" w:rsidRDefault="00EB257A" w:rsidP="007F0D2A">
            <w:pPr>
              <w:numPr>
                <w:ilvl w:val="0"/>
                <w:numId w:val="100"/>
              </w:numPr>
              <w:spacing w:before="60" w:after="60"/>
              <w:ind w:left="856"/>
              <w:rPr>
                <w:rFonts w:eastAsia="Verdana"/>
                <w:sz w:val="18"/>
                <w:szCs w:val="18"/>
              </w:rPr>
            </w:pPr>
            <w:r w:rsidRPr="007F0D2A">
              <w:rPr>
                <w:color w:val="000000" w:themeColor="text1"/>
                <w:sz w:val="18"/>
                <w:szCs w:val="18"/>
              </w:rPr>
              <w:t xml:space="preserve">An </w:t>
            </w:r>
            <w:r w:rsidRPr="008B6D96">
              <w:rPr>
                <w:b/>
                <w:bCs/>
                <w:color w:val="000000" w:themeColor="text1"/>
                <w:sz w:val="18"/>
                <w:szCs w:val="18"/>
              </w:rPr>
              <w:t>Innovation Fund</w:t>
            </w:r>
            <w:r w:rsidR="00B31475" w:rsidRPr="00112071">
              <w:rPr>
                <w:color w:val="000000" w:themeColor="text1"/>
                <w:sz w:val="18"/>
                <w:szCs w:val="18"/>
              </w:rPr>
              <w:t>,</w:t>
            </w:r>
            <w:r w:rsidRPr="00112071">
              <w:rPr>
                <w:color w:val="000000" w:themeColor="text1"/>
                <w:sz w:val="18"/>
                <w:szCs w:val="18"/>
              </w:rPr>
              <w:t xml:space="preserve"> drawn from new and freed up monies delivered through the NHRA</w:t>
            </w:r>
            <w:r w:rsidR="00B31475" w:rsidRPr="00112071">
              <w:rPr>
                <w:color w:val="000000" w:themeColor="text1"/>
                <w:sz w:val="18"/>
                <w:szCs w:val="18"/>
              </w:rPr>
              <w:t xml:space="preserve"> </w:t>
            </w:r>
            <w:r w:rsidR="00B31475" w:rsidRPr="008B6D96">
              <w:rPr>
                <w:b/>
                <w:bCs/>
                <w:color w:val="000000" w:themeColor="text1"/>
                <w:sz w:val="18"/>
                <w:szCs w:val="18"/>
              </w:rPr>
              <w:t>that can support</w:t>
            </w:r>
            <w:r w:rsidR="003913D4" w:rsidRPr="008B6D96">
              <w:rPr>
                <w:b/>
                <w:bCs/>
                <w:color w:val="000000" w:themeColor="text1"/>
                <w:sz w:val="18"/>
                <w:szCs w:val="18"/>
              </w:rPr>
              <w:t xml:space="preserve"> </w:t>
            </w:r>
            <w:r w:rsidRPr="008B6D96">
              <w:rPr>
                <w:b/>
                <w:bCs/>
                <w:color w:val="000000" w:themeColor="text1"/>
                <w:sz w:val="18"/>
                <w:szCs w:val="18"/>
              </w:rPr>
              <w:t>short term activities</w:t>
            </w:r>
            <w:r w:rsidRPr="00112071">
              <w:rPr>
                <w:color w:val="000000" w:themeColor="text1"/>
                <w:sz w:val="18"/>
                <w:szCs w:val="18"/>
              </w:rPr>
              <w:t>, while working with jurisdictions and the national bodies on options to implement successful innovation and reform at scale using the ‘</w:t>
            </w:r>
            <w:r w:rsidR="00A5491A">
              <w:rPr>
                <w:color w:val="000000" w:themeColor="text1"/>
                <w:sz w:val="18"/>
                <w:szCs w:val="18"/>
              </w:rPr>
              <w:t>F</w:t>
            </w:r>
            <w:r w:rsidRPr="00112071">
              <w:rPr>
                <w:color w:val="000000" w:themeColor="text1"/>
                <w:sz w:val="18"/>
                <w:szCs w:val="18"/>
              </w:rPr>
              <w:t xml:space="preserve">unding </w:t>
            </w:r>
            <w:r w:rsidR="00A5491A">
              <w:rPr>
                <w:color w:val="000000" w:themeColor="text1"/>
                <w:sz w:val="18"/>
                <w:szCs w:val="18"/>
              </w:rPr>
              <w:t>I</w:t>
            </w:r>
            <w:r w:rsidRPr="00112071">
              <w:rPr>
                <w:color w:val="000000" w:themeColor="text1"/>
                <w:sz w:val="18"/>
                <w:szCs w:val="18"/>
              </w:rPr>
              <w:t xml:space="preserve">nnovation </w:t>
            </w:r>
            <w:r w:rsidR="00A5491A">
              <w:rPr>
                <w:color w:val="000000" w:themeColor="text1"/>
                <w:sz w:val="18"/>
                <w:szCs w:val="18"/>
              </w:rPr>
              <w:t>P</w:t>
            </w:r>
            <w:r w:rsidRPr="00112071">
              <w:rPr>
                <w:color w:val="000000" w:themeColor="text1"/>
                <w:sz w:val="18"/>
                <w:szCs w:val="18"/>
              </w:rPr>
              <w:t>athway’ at Recommendation 11.</w:t>
            </w:r>
            <w:r w:rsidRPr="001B7507">
              <w:rPr>
                <w:color w:val="000000" w:themeColor="text1"/>
                <w:sz w:val="18"/>
                <w:szCs w:val="18"/>
              </w:rPr>
              <w:t xml:space="preserve">  </w:t>
            </w:r>
          </w:p>
        </w:tc>
        <w:tc>
          <w:tcPr>
            <w:tcW w:w="661" w:type="pct"/>
            <w:tcBorders>
              <w:top w:val="single" w:sz="8" w:space="0" w:color="D9D9D9"/>
              <w:left w:val="nil"/>
              <w:bottom w:val="single" w:sz="8" w:space="0" w:color="D9D9D9"/>
              <w:right w:val="nil"/>
            </w:tcBorders>
          </w:tcPr>
          <w:p w14:paraId="7DAC5C2A" w14:textId="55C388BC" w:rsidR="00EB257A" w:rsidRPr="001B7507" w:rsidRDefault="00B31EEA" w:rsidP="001B7507">
            <w:pPr>
              <w:pStyle w:val="Summarytable"/>
              <w:spacing w:before="60" w:after="60"/>
              <w:ind w:left="0"/>
              <w:rPr>
                <w:b w:val="0"/>
                <w:bCs w:val="0"/>
                <w:color w:val="000000" w:themeColor="text1"/>
                <w:sz w:val="18"/>
                <w:szCs w:val="18"/>
              </w:rPr>
            </w:pPr>
            <w:r w:rsidRPr="001B7507">
              <w:rPr>
                <w:b w:val="0"/>
                <w:bCs w:val="0"/>
                <w:color w:val="000000" w:themeColor="text1"/>
                <w:sz w:val="18"/>
                <w:szCs w:val="18"/>
              </w:rPr>
              <w:fldChar w:fldCharType="begin" w:fldLock="1"/>
            </w:r>
            <w:r w:rsidRPr="001B7507">
              <w:rPr>
                <w:b w:val="0"/>
                <w:bCs w:val="0"/>
                <w:color w:val="000000" w:themeColor="text1"/>
                <w:sz w:val="18"/>
                <w:szCs w:val="18"/>
              </w:rPr>
              <w:instrText xml:space="preserve"> REF _Ref146626157 \w \h </w:instrText>
            </w:r>
            <w:r w:rsidR="00C66478" w:rsidRPr="001B7507">
              <w:rPr>
                <w:b w:val="0"/>
                <w:bCs w:val="0"/>
                <w:color w:val="000000" w:themeColor="text1"/>
                <w:sz w:val="18"/>
                <w:szCs w:val="18"/>
              </w:rPr>
              <w:instrText xml:space="preserve"> \* MERGEFORMAT </w:instrText>
            </w:r>
            <w:r w:rsidRPr="001B7507">
              <w:rPr>
                <w:b w:val="0"/>
                <w:bCs w:val="0"/>
                <w:color w:val="000000" w:themeColor="text1"/>
                <w:sz w:val="18"/>
                <w:szCs w:val="18"/>
              </w:rPr>
            </w:r>
            <w:r w:rsidRPr="001B7507">
              <w:rPr>
                <w:b w:val="0"/>
                <w:bCs w:val="0"/>
                <w:color w:val="000000" w:themeColor="text1"/>
                <w:sz w:val="18"/>
                <w:szCs w:val="18"/>
              </w:rPr>
              <w:fldChar w:fldCharType="separate"/>
            </w:r>
            <w:r w:rsidR="00FA10A4">
              <w:rPr>
                <w:b w:val="0"/>
                <w:bCs w:val="0"/>
                <w:color w:val="000000" w:themeColor="text1"/>
                <w:sz w:val="18"/>
                <w:szCs w:val="18"/>
              </w:rPr>
              <w:t>5.5.4</w:t>
            </w:r>
            <w:r w:rsidRPr="001B7507">
              <w:rPr>
                <w:b w:val="0"/>
                <w:bCs w:val="0"/>
                <w:color w:val="000000" w:themeColor="text1"/>
                <w:sz w:val="18"/>
                <w:szCs w:val="18"/>
              </w:rPr>
              <w:fldChar w:fldCharType="end"/>
            </w:r>
            <w:r w:rsidRPr="001B7507">
              <w:rPr>
                <w:b w:val="0"/>
                <w:bCs w:val="0"/>
                <w:color w:val="000000" w:themeColor="text1"/>
                <w:sz w:val="18"/>
                <w:szCs w:val="18"/>
              </w:rPr>
              <w:t xml:space="preserve"> </w:t>
            </w:r>
            <w:r w:rsidR="00137844" w:rsidRPr="001B7507">
              <w:rPr>
                <w:b w:val="0"/>
                <w:bCs w:val="0"/>
                <w:color w:val="000000" w:themeColor="text1"/>
                <w:sz w:val="18"/>
                <w:szCs w:val="18"/>
              </w:rPr>
              <w:t>–</w:t>
            </w:r>
            <w:r w:rsidRPr="001B7507">
              <w:rPr>
                <w:b w:val="0"/>
                <w:bCs w:val="0"/>
                <w:color w:val="000000" w:themeColor="text1"/>
                <w:sz w:val="18"/>
                <w:szCs w:val="18"/>
              </w:rPr>
              <w:t xml:space="preserve"> </w:t>
            </w:r>
            <w:r w:rsidRPr="001B7507">
              <w:rPr>
                <w:b w:val="0"/>
                <w:bCs w:val="0"/>
                <w:color w:val="000000" w:themeColor="text1"/>
                <w:sz w:val="18"/>
                <w:szCs w:val="18"/>
              </w:rPr>
              <w:fldChar w:fldCharType="begin" w:fldLock="1"/>
            </w:r>
            <w:r w:rsidRPr="001B7507">
              <w:rPr>
                <w:b w:val="0"/>
                <w:bCs w:val="0"/>
                <w:color w:val="000000" w:themeColor="text1"/>
                <w:sz w:val="18"/>
                <w:szCs w:val="18"/>
              </w:rPr>
              <w:instrText xml:space="preserve"> REF _Ref146626157 \h </w:instrText>
            </w:r>
            <w:r w:rsidR="00C66478" w:rsidRPr="001B7507">
              <w:rPr>
                <w:b w:val="0"/>
                <w:bCs w:val="0"/>
                <w:color w:val="000000" w:themeColor="text1"/>
                <w:sz w:val="18"/>
                <w:szCs w:val="18"/>
              </w:rPr>
              <w:instrText xml:space="preserve"> \* MERGEFORMAT </w:instrText>
            </w:r>
            <w:r w:rsidRPr="001B7507">
              <w:rPr>
                <w:b w:val="0"/>
                <w:bCs w:val="0"/>
                <w:color w:val="000000" w:themeColor="text1"/>
                <w:sz w:val="18"/>
                <w:szCs w:val="18"/>
              </w:rPr>
            </w:r>
            <w:r w:rsidRPr="001B7507">
              <w:rPr>
                <w:b w:val="0"/>
                <w:bCs w:val="0"/>
                <w:color w:val="000000" w:themeColor="text1"/>
                <w:sz w:val="18"/>
                <w:szCs w:val="18"/>
              </w:rPr>
              <w:fldChar w:fldCharType="separate"/>
            </w:r>
            <w:r w:rsidR="00FA10A4" w:rsidRPr="00FA10A4">
              <w:rPr>
                <w:b w:val="0"/>
                <w:bCs w:val="0"/>
                <w:sz w:val="18"/>
                <w:szCs w:val="18"/>
              </w:rPr>
              <w:t>Funding</w:t>
            </w:r>
            <w:r w:rsidRPr="001B7507">
              <w:rPr>
                <w:b w:val="0"/>
                <w:bCs w:val="0"/>
                <w:color w:val="000000" w:themeColor="text1"/>
                <w:sz w:val="18"/>
                <w:szCs w:val="18"/>
              </w:rPr>
              <w:fldChar w:fldCharType="end"/>
            </w:r>
          </w:p>
        </w:tc>
      </w:tr>
      <w:tr w:rsidR="00ED6A10" w:rsidRPr="001B7507" w14:paraId="11BD6FF4" w14:textId="3D01BD4D" w:rsidTr="00025B1E">
        <w:tc>
          <w:tcPr>
            <w:tcW w:w="436" w:type="pct"/>
            <w:vMerge w:val="restart"/>
            <w:tcBorders>
              <w:top w:val="single" w:sz="8" w:space="0" w:color="D9D9D9"/>
              <w:left w:val="nil"/>
              <w:right w:val="nil"/>
            </w:tcBorders>
            <w:shd w:val="clear" w:color="auto" w:fill="auto"/>
          </w:tcPr>
          <w:p w14:paraId="041DDAD7" w14:textId="77777777" w:rsidR="00EB257A" w:rsidRPr="001B7507" w:rsidRDefault="00EB257A" w:rsidP="001B7507">
            <w:pPr>
              <w:spacing w:before="60" w:after="60"/>
              <w:rPr>
                <w:rFonts w:eastAsia="Verdana"/>
                <w:sz w:val="18"/>
                <w:szCs w:val="18"/>
              </w:rPr>
            </w:pPr>
            <w:r w:rsidRPr="001B7507">
              <w:rPr>
                <w:rFonts w:eastAsia="Verdana"/>
                <w:sz w:val="18"/>
                <w:szCs w:val="18"/>
              </w:rPr>
              <w:t>Rural and remote service delivery that is fit for purpose</w:t>
            </w:r>
          </w:p>
        </w:tc>
        <w:tc>
          <w:tcPr>
            <w:tcW w:w="454" w:type="pct"/>
            <w:tcBorders>
              <w:top w:val="single" w:sz="8" w:space="0" w:color="D9D9D9"/>
              <w:left w:val="nil"/>
              <w:bottom w:val="single" w:sz="8" w:space="0" w:color="D9D9D9"/>
              <w:right w:val="nil"/>
            </w:tcBorders>
          </w:tcPr>
          <w:p w14:paraId="0861132B" w14:textId="77777777" w:rsidR="00EB257A" w:rsidRPr="001B7507" w:rsidRDefault="00EB257A" w:rsidP="001B7507">
            <w:pPr>
              <w:spacing w:before="60" w:after="60"/>
              <w:rPr>
                <w:rFonts w:eastAsia="Verdana"/>
                <w:sz w:val="18"/>
                <w:szCs w:val="18"/>
              </w:rPr>
            </w:pPr>
            <w:r w:rsidRPr="001B7507">
              <w:rPr>
                <w:rFonts w:eastAsia="Verdana"/>
                <w:sz w:val="18"/>
                <w:szCs w:val="18"/>
              </w:rPr>
              <w:t>Roles and responsibilities of rural and remote health care provision</w:t>
            </w:r>
          </w:p>
        </w:tc>
        <w:tc>
          <w:tcPr>
            <w:tcW w:w="3449" w:type="pct"/>
            <w:tcBorders>
              <w:top w:val="single" w:sz="8" w:space="0" w:color="D9D9D9"/>
              <w:left w:val="nil"/>
              <w:bottom w:val="single" w:sz="8" w:space="0" w:color="D9D9D9"/>
              <w:right w:val="nil"/>
            </w:tcBorders>
            <w:shd w:val="clear" w:color="auto" w:fill="auto"/>
          </w:tcPr>
          <w:p w14:paraId="0F2920C8" w14:textId="77777777" w:rsidR="00EB257A" w:rsidRPr="001B7507" w:rsidRDefault="00EB257A" w:rsidP="001B7507">
            <w:pPr>
              <w:pStyle w:val="Summarytable"/>
              <w:numPr>
                <w:ilvl w:val="0"/>
                <w:numId w:val="95"/>
              </w:numPr>
              <w:spacing w:before="60" w:after="60"/>
              <w:rPr>
                <w:b w:val="0"/>
                <w:bCs w:val="0"/>
                <w:sz w:val="18"/>
                <w:szCs w:val="18"/>
              </w:rPr>
            </w:pPr>
            <w:r w:rsidRPr="001B7507">
              <w:rPr>
                <w:b w:val="0"/>
                <w:bCs w:val="0"/>
                <w:sz w:val="18"/>
                <w:szCs w:val="18"/>
              </w:rPr>
              <w:t xml:space="preserve">The NHRA should set out the </w:t>
            </w:r>
            <w:r w:rsidRPr="001B7507">
              <w:rPr>
                <w:sz w:val="18"/>
                <w:szCs w:val="18"/>
              </w:rPr>
              <w:t>roles and responsibilities in the governance of rural and remote health care provision</w:t>
            </w:r>
            <w:r w:rsidRPr="001B7507">
              <w:rPr>
                <w:b w:val="0"/>
                <w:bCs w:val="0"/>
                <w:sz w:val="18"/>
                <w:szCs w:val="18"/>
              </w:rPr>
              <w:t xml:space="preserve"> and include provisions that:</w:t>
            </w:r>
          </w:p>
          <w:p w14:paraId="37DB4910" w14:textId="77777777" w:rsidR="00EB257A" w:rsidRPr="001B7507" w:rsidRDefault="00EB257A" w:rsidP="002849CB">
            <w:pPr>
              <w:numPr>
                <w:ilvl w:val="0"/>
                <w:numId w:val="156"/>
              </w:numPr>
              <w:spacing w:before="60" w:after="60"/>
              <w:ind w:left="856"/>
              <w:rPr>
                <w:color w:val="000000" w:themeColor="text1"/>
                <w:sz w:val="18"/>
                <w:szCs w:val="18"/>
              </w:rPr>
            </w:pPr>
            <w:r w:rsidRPr="001B7507">
              <w:rPr>
                <w:color w:val="000000" w:themeColor="text1"/>
                <w:sz w:val="18"/>
                <w:szCs w:val="18"/>
              </w:rPr>
              <w:t xml:space="preserve">Outline the </w:t>
            </w:r>
            <w:r w:rsidRPr="00154FCA">
              <w:rPr>
                <w:b/>
                <w:bCs/>
                <w:color w:val="000000" w:themeColor="text1"/>
                <w:sz w:val="18"/>
                <w:szCs w:val="18"/>
              </w:rPr>
              <w:t>Commonwealth’s stewardship role</w:t>
            </w:r>
            <w:r w:rsidRPr="001B7507">
              <w:rPr>
                <w:color w:val="000000" w:themeColor="text1"/>
                <w:sz w:val="18"/>
                <w:szCs w:val="18"/>
              </w:rPr>
              <w:t xml:space="preserve"> in ensuring the accessibility and sustainability of primary, aged and disability care in thin rural and remote markets.</w:t>
            </w:r>
          </w:p>
          <w:p w14:paraId="728EAB53" w14:textId="77777777" w:rsidR="00EB257A" w:rsidRPr="001B7507" w:rsidRDefault="00EB257A" w:rsidP="002849CB">
            <w:pPr>
              <w:numPr>
                <w:ilvl w:val="0"/>
                <w:numId w:val="156"/>
              </w:numPr>
              <w:spacing w:before="60" w:after="60"/>
              <w:ind w:left="856"/>
              <w:rPr>
                <w:color w:val="000000" w:themeColor="text1"/>
                <w:sz w:val="18"/>
                <w:szCs w:val="18"/>
              </w:rPr>
            </w:pPr>
            <w:r w:rsidRPr="001B7507">
              <w:rPr>
                <w:color w:val="000000" w:themeColor="text1"/>
                <w:sz w:val="18"/>
                <w:szCs w:val="18"/>
              </w:rPr>
              <w:t xml:space="preserve">Establish </w:t>
            </w:r>
            <w:r w:rsidRPr="00154FCA">
              <w:rPr>
                <w:b/>
                <w:bCs/>
                <w:color w:val="000000" w:themeColor="text1"/>
                <w:sz w:val="18"/>
                <w:szCs w:val="18"/>
              </w:rPr>
              <w:t>clear accountability and escalation</w:t>
            </w:r>
            <w:r w:rsidRPr="001B7507">
              <w:rPr>
                <w:color w:val="000000" w:themeColor="text1"/>
                <w:sz w:val="18"/>
                <w:szCs w:val="18"/>
              </w:rPr>
              <w:t xml:space="preserve"> mechanisms to address market failures in rural and remote primary, aged and disability care.</w:t>
            </w:r>
          </w:p>
          <w:p w14:paraId="664F780D" w14:textId="77777777" w:rsidR="00EB257A" w:rsidRPr="001B7507" w:rsidRDefault="00EB257A" w:rsidP="002849CB">
            <w:pPr>
              <w:numPr>
                <w:ilvl w:val="0"/>
                <w:numId w:val="156"/>
              </w:numPr>
              <w:spacing w:before="60" w:after="60"/>
              <w:ind w:left="856"/>
              <w:rPr>
                <w:rFonts w:eastAsia="Verdana"/>
                <w:sz w:val="18"/>
                <w:szCs w:val="18"/>
              </w:rPr>
            </w:pPr>
            <w:r w:rsidRPr="001B7507">
              <w:rPr>
                <w:color w:val="000000" w:themeColor="text1"/>
                <w:sz w:val="18"/>
                <w:szCs w:val="18"/>
              </w:rPr>
              <w:t xml:space="preserve">Establish governance and pathways to support the development of </w:t>
            </w:r>
            <w:r w:rsidRPr="00154FCA">
              <w:rPr>
                <w:b/>
                <w:bCs/>
                <w:color w:val="000000" w:themeColor="text1"/>
                <w:sz w:val="18"/>
                <w:szCs w:val="18"/>
              </w:rPr>
              <w:t>flexible models</w:t>
            </w:r>
            <w:r w:rsidRPr="001B7507">
              <w:rPr>
                <w:color w:val="000000" w:themeColor="text1"/>
                <w:sz w:val="18"/>
                <w:szCs w:val="18"/>
              </w:rPr>
              <w:t xml:space="preserve"> to improve access to primary care, aged care and disability care in rural and remote areas.</w:t>
            </w:r>
          </w:p>
        </w:tc>
        <w:tc>
          <w:tcPr>
            <w:tcW w:w="661" w:type="pct"/>
            <w:tcBorders>
              <w:top w:val="single" w:sz="8" w:space="0" w:color="D9D9D9"/>
              <w:left w:val="nil"/>
              <w:bottom w:val="single" w:sz="8" w:space="0" w:color="D9D9D9"/>
              <w:right w:val="nil"/>
            </w:tcBorders>
          </w:tcPr>
          <w:p w14:paraId="06C81642" w14:textId="7F396A0A" w:rsidR="00EB257A" w:rsidRPr="001B7507" w:rsidRDefault="00137844" w:rsidP="001B7507">
            <w:pPr>
              <w:pStyle w:val="Summarytable"/>
              <w:spacing w:before="60" w:after="60"/>
              <w:ind w:left="0"/>
              <w:rPr>
                <w:b w:val="0"/>
                <w:bCs w:val="0"/>
                <w:sz w:val="18"/>
                <w:szCs w:val="18"/>
              </w:rPr>
            </w:pPr>
            <w:r w:rsidRPr="001B7507">
              <w:rPr>
                <w:b w:val="0"/>
                <w:bCs w:val="0"/>
                <w:sz w:val="18"/>
                <w:szCs w:val="18"/>
              </w:rPr>
              <w:fldChar w:fldCharType="begin" w:fldLock="1"/>
            </w:r>
            <w:r w:rsidRPr="001B7507">
              <w:rPr>
                <w:b w:val="0"/>
                <w:bCs w:val="0"/>
                <w:sz w:val="18"/>
                <w:szCs w:val="18"/>
              </w:rPr>
              <w:instrText xml:space="preserve"> REF _Ref148445130 \w \h </w:instrText>
            </w:r>
            <w:r w:rsidR="00C66478" w:rsidRPr="001B7507">
              <w:rPr>
                <w:b w:val="0"/>
                <w:bCs w:val="0"/>
                <w:sz w:val="18"/>
                <w:szCs w:val="18"/>
              </w:rPr>
              <w:instrText xml:space="preserve"> \* MERGEFORMAT </w:instrText>
            </w:r>
            <w:r w:rsidRPr="001B7507">
              <w:rPr>
                <w:b w:val="0"/>
                <w:bCs w:val="0"/>
                <w:sz w:val="18"/>
                <w:szCs w:val="18"/>
              </w:rPr>
            </w:r>
            <w:r w:rsidRPr="001B7507">
              <w:rPr>
                <w:b w:val="0"/>
                <w:bCs w:val="0"/>
                <w:sz w:val="18"/>
                <w:szCs w:val="18"/>
              </w:rPr>
              <w:fldChar w:fldCharType="separate"/>
            </w:r>
            <w:r w:rsidR="00FA10A4">
              <w:rPr>
                <w:b w:val="0"/>
                <w:bCs w:val="0"/>
                <w:sz w:val="18"/>
                <w:szCs w:val="18"/>
              </w:rPr>
              <w:t>5.6.1.1</w:t>
            </w:r>
            <w:r w:rsidRPr="001B7507">
              <w:rPr>
                <w:b w:val="0"/>
                <w:bCs w:val="0"/>
                <w:sz w:val="18"/>
                <w:szCs w:val="18"/>
              </w:rPr>
              <w:fldChar w:fldCharType="end"/>
            </w:r>
            <w:r w:rsidRPr="001B7507">
              <w:rPr>
                <w:b w:val="0"/>
                <w:bCs w:val="0"/>
                <w:sz w:val="18"/>
                <w:szCs w:val="18"/>
              </w:rPr>
              <w:t xml:space="preserve"> -</w:t>
            </w:r>
            <w:r w:rsidRPr="001B7507">
              <w:rPr>
                <w:b w:val="0"/>
                <w:bCs w:val="0"/>
                <w:sz w:val="18"/>
                <w:szCs w:val="18"/>
              </w:rPr>
              <w:fldChar w:fldCharType="begin" w:fldLock="1"/>
            </w:r>
            <w:r w:rsidRPr="001B7507">
              <w:rPr>
                <w:b w:val="0"/>
                <w:bCs w:val="0"/>
                <w:sz w:val="18"/>
                <w:szCs w:val="18"/>
              </w:rPr>
              <w:instrText xml:space="preserve"> REF _Ref148445130 \h </w:instrText>
            </w:r>
            <w:r w:rsidR="00C66478" w:rsidRPr="001B7507">
              <w:rPr>
                <w:b w:val="0"/>
                <w:bCs w:val="0"/>
                <w:sz w:val="18"/>
                <w:szCs w:val="18"/>
              </w:rPr>
              <w:instrText xml:space="preserve"> \* MERGEFORMAT </w:instrText>
            </w:r>
            <w:r w:rsidRPr="001B7507">
              <w:rPr>
                <w:b w:val="0"/>
                <w:bCs w:val="0"/>
                <w:sz w:val="18"/>
                <w:szCs w:val="18"/>
              </w:rPr>
            </w:r>
            <w:r w:rsidRPr="001B7507">
              <w:rPr>
                <w:b w:val="0"/>
                <w:bCs w:val="0"/>
                <w:sz w:val="18"/>
                <w:szCs w:val="18"/>
              </w:rPr>
              <w:fldChar w:fldCharType="separate"/>
            </w:r>
            <w:r w:rsidR="00FA10A4" w:rsidRPr="00FA10A4">
              <w:rPr>
                <w:b w:val="0"/>
                <w:bCs w:val="0"/>
                <w:sz w:val="18"/>
                <w:szCs w:val="18"/>
              </w:rPr>
              <w:t>Strengthen the governance model for rural and remote service provision</w:t>
            </w:r>
            <w:r w:rsidRPr="001B7507">
              <w:rPr>
                <w:b w:val="0"/>
                <w:bCs w:val="0"/>
                <w:sz w:val="18"/>
                <w:szCs w:val="18"/>
              </w:rPr>
              <w:fldChar w:fldCharType="end"/>
            </w:r>
          </w:p>
        </w:tc>
      </w:tr>
      <w:tr w:rsidR="00ED6A10" w:rsidRPr="001B7507" w14:paraId="63FF5740" w14:textId="31177536" w:rsidTr="00025B1E">
        <w:tc>
          <w:tcPr>
            <w:tcW w:w="436" w:type="pct"/>
            <w:vMerge/>
            <w:tcBorders>
              <w:left w:val="nil"/>
              <w:right w:val="nil"/>
            </w:tcBorders>
            <w:shd w:val="clear" w:color="auto" w:fill="auto"/>
          </w:tcPr>
          <w:p w14:paraId="2B7CA654" w14:textId="77777777" w:rsidR="00EB257A" w:rsidRPr="001B7507" w:rsidRDefault="00EB257A" w:rsidP="001B7507">
            <w:pPr>
              <w:spacing w:before="60" w:after="60"/>
              <w:rPr>
                <w:rFonts w:eastAsia="Verdana"/>
                <w:sz w:val="18"/>
                <w:szCs w:val="18"/>
              </w:rPr>
            </w:pPr>
          </w:p>
        </w:tc>
        <w:tc>
          <w:tcPr>
            <w:tcW w:w="454" w:type="pct"/>
            <w:tcBorders>
              <w:top w:val="single" w:sz="8" w:space="0" w:color="D9D9D9"/>
              <w:left w:val="nil"/>
              <w:bottom w:val="single" w:sz="8" w:space="0" w:color="D9D9D9"/>
              <w:right w:val="nil"/>
            </w:tcBorders>
          </w:tcPr>
          <w:p w14:paraId="6805B151" w14:textId="77777777" w:rsidR="00EB257A" w:rsidRPr="001B7507" w:rsidRDefault="00EB257A" w:rsidP="001B7507">
            <w:pPr>
              <w:spacing w:before="60" w:after="60"/>
              <w:rPr>
                <w:rFonts w:eastAsia="Verdana"/>
                <w:sz w:val="18"/>
                <w:szCs w:val="18"/>
              </w:rPr>
            </w:pPr>
            <w:r w:rsidRPr="001B7507">
              <w:rPr>
                <w:rFonts w:eastAsia="Verdana"/>
                <w:sz w:val="18"/>
                <w:szCs w:val="18"/>
              </w:rPr>
              <w:t>Rural and remote reflected in new Schedule</w:t>
            </w:r>
          </w:p>
        </w:tc>
        <w:tc>
          <w:tcPr>
            <w:tcW w:w="3449" w:type="pct"/>
            <w:tcBorders>
              <w:top w:val="single" w:sz="8" w:space="0" w:color="D9D9D9"/>
              <w:left w:val="nil"/>
              <w:bottom w:val="single" w:sz="8" w:space="0" w:color="D9D9D9"/>
              <w:right w:val="nil"/>
            </w:tcBorders>
            <w:shd w:val="clear" w:color="auto" w:fill="auto"/>
          </w:tcPr>
          <w:p w14:paraId="3D70513C" w14:textId="4C38ED9C" w:rsidR="00EB257A" w:rsidRPr="001B7507" w:rsidRDefault="00EB257A" w:rsidP="001B7507">
            <w:pPr>
              <w:pStyle w:val="Summarytable"/>
              <w:numPr>
                <w:ilvl w:val="0"/>
                <w:numId w:val="95"/>
              </w:numPr>
              <w:spacing w:before="60" w:after="60"/>
              <w:rPr>
                <w:b w:val="0"/>
                <w:bCs w:val="0"/>
                <w:sz w:val="18"/>
                <w:szCs w:val="18"/>
              </w:rPr>
            </w:pPr>
            <w:r w:rsidRPr="001B7507">
              <w:rPr>
                <w:b w:val="0"/>
                <w:bCs w:val="0"/>
                <w:sz w:val="18"/>
                <w:szCs w:val="18"/>
              </w:rPr>
              <w:t xml:space="preserve">The importance of improving equitable access to health care services in </w:t>
            </w:r>
            <w:r w:rsidRPr="001B7507">
              <w:rPr>
                <w:sz w:val="18"/>
                <w:szCs w:val="18"/>
              </w:rPr>
              <w:t>rural and remote areas should be reflected in a new and dedicated Schedule in a future Agreement</w:t>
            </w:r>
            <w:r w:rsidRPr="001B7507">
              <w:rPr>
                <w:b w:val="0"/>
                <w:bCs w:val="0"/>
                <w:sz w:val="18"/>
                <w:szCs w:val="18"/>
              </w:rPr>
              <w:t>, with priority actions and milestones incorporated. The Schedule should include:</w:t>
            </w:r>
          </w:p>
          <w:p w14:paraId="18E9385A" w14:textId="77777777" w:rsidR="00EB257A" w:rsidRPr="001B7507" w:rsidRDefault="00EB257A" w:rsidP="001B7507">
            <w:pPr>
              <w:numPr>
                <w:ilvl w:val="0"/>
                <w:numId w:val="101"/>
              </w:numPr>
              <w:spacing w:before="60" w:after="60"/>
              <w:ind w:left="856"/>
              <w:rPr>
                <w:color w:val="000000" w:themeColor="text1"/>
                <w:sz w:val="18"/>
                <w:szCs w:val="18"/>
              </w:rPr>
            </w:pPr>
            <w:r w:rsidRPr="001B7507">
              <w:rPr>
                <w:color w:val="000000" w:themeColor="text1"/>
                <w:sz w:val="18"/>
                <w:szCs w:val="18"/>
              </w:rPr>
              <w:t xml:space="preserve">Establishing </w:t>
            </w:r>
            <w:r w:rsidRPr="001A5953">
              <w:rPr>
                <w:b/>
                <w:bCs/>
                <w:color w:val="000000" w:themeColor="text1"/>
                <w:sz w:val="18"/>
                <w:szCs w:val="18"/>
              </w:rPr>
              <w:t>consistent national datasets and minimum standards of access</w:t>
            </w:r>
            <w:r w:rsidRPr="001B7507">
              <w:rPr>
                <w:color w:val="000000" w:themeColor="text1"/>
                <w:sz w:val="18"/>
                <w:szCs w:val="18"/>
              </w:rPr>
              <w:t xml:space="preserve"> to primary, disability, aged, and hospital services to ensure maintenance of services across rural and remote areas.</w:t>
            </w:r>
          </w:p>
          <w:p w14:paraId="46238819" w14:textId="77777777" w:rsidR="00EB257A" w:rsidRPr="001B7507" w:rsidRDefault="00EB257A" w:rsidP="001B7507">
            <w:pPr>
              <w:numPr>
                <w:ilvl w:val="0"/>
                <w:numId w:val="101"/>
              </w:numPr>
              <w:spacing w:before="60" w:after="60"/>
              <w:ind w:left="856"/>
              <w:rPr>
                <w:color w:val="000000" w:themeColor="text1"/>
                <w:sz w:val="18"/>
                <w:szCs w:val="18"/>
              </w:rPr>
            </w:pPr>
            <w:r w:rsidRPr="001B7507">
              <w:rPr>
                <w:color w:val="000000" w:themeColor="text1"/>
                <w:sz w:val="18"/>
                <w:szCs w:val="18"/>
              </w:rPr>
              <w:t xml:space="preserve">Implementing </w:t>
            </w:r>
            <w:r w:rsidRPr="001A5953">
              <w:rPr>
                <w:b/>
                <w:bCs/>
                <w:color w:val="000000" w:themeColor="text1"/>
                <w:sz w:val="18"/>
                <w:szCs w:val="18"/>
              </w:rPr>
              <w:t>models of care</w:t>
            </w:r>
            <w:r w:rsidRPr="001B7507">
              <w:rPr>
                <w:color w:val="000000" w:themeColor="text1"/>
                <w:sz w:val="18"/>
                <w:szCs w:val="18"/>
              </w:rPr>
              <w:t xml:space="preserve"> within the infrastructure and workforce limitations in rural and remote areas.</w:t>
            </w:r>
          </w:p>
          <w:p w14:paraId="5C28F1C9" w14:textId="77777777" w:rsidR="00EB257A" w:rsidRPr="001B7507" w:rsidRDefault="00EB257A" w:rsidP="001B7507">
            <w:pPr>
              <w:numPr>
                <w:ilvl w:val="0"/>
                <w:numId w:val="101"/>
              </w:numPr>
              <w:spacing w:before="60" w:after="60"/>
              <w:ind w:left="856"/>
              <w:rPr>
                <w:color w:val="000000" w:themeColor="text1"/>
                <w:sz w:val="18"/>
                <w:szCs w:val="18"/>
              </w:rPr>
            </w:pPr>
            <w:r w:rsidRPr="001B7507">
              <w:rPr>
                <w:color w:val="000000" w:themeColor="text1"/>
                <w:sz w:val="18"/>
                <w:szCs w:val="18"/>
              </w:rPr>
              <w:t xml:space="preserve">Developing a </w:t>
            </w:r>
            <w:r w:rsidRPr="001A5953">
              <w:rPr>
                <w:b/>
                <w:bCs/>
                <w:color w:val="000000" w:themeColor="text1"/>
                <w:sz w:val="18"/>
                <w:szCs w:val="18"/>
              </w:rPr>
              <w:t>sustainable health workforce</w:t>
            </w:r>
            <w:r w:rsidRPr="001B7507">
              <w:rPr>
                <w:color w:val="000000" w:themeColor="text1"/>
                <w:sz w:val="18"/>
                <w:szCs w:val="18"/>
              </w:rPr>
              <w:t xml:space="preserve"> in rural and remote areas. </w:t>
            </w:r>
          </w:p>
          <w:p w14:paraId="29D08988" w14:textId="77777777" w:rsidR="00EB257A" w:rsidRPr="001B7507" w:rsidRDefault="00EB257A" w:rsidP="001B7507">
            <w:pPr>
              <w:numPr>
                <w:ilvl w:val="0"/>
                <w:numId w:val="101"/>
              </w:numPr>
              <w:spacing w:before="60" w:after="60"/>
              <w:ind w:left="856"/>
              <w:rPr>
                <w:color w:val="000000" w:themeColor="text1"/>
                <w:sz w:val="18"/>
                <w:szCs w:val="18"/>
              </w:rPr>
            </w:pPr>
            <w:r w:rsidRPr="001B7507">
              <w:rPr>
                <w:color w:val="000000" w:themeColor="text1"/>
                <w:sz w:val="18"/>
                <w:szCs w:val="18"/>
              </w:rPr>
              <w:t xml:space="preserve">Reviewing </w:t>
            </w:r>
            <w:r w:rsidRPr="001A5953">
              <w:rPr>
                <w:b/>
                <w:bCs/>
                <w:color w:val="000000" w:themeColor="text1"/>
                <w:sz w:val="18"/>
                <w:szCs w:val="18"/>
              </w:rPr>
              <w:t>regionality weighting</w:t>
            </w:r>
            <w:r w:rsidRPr="001B7507">
              <w:rPr>
                <w:color w:val="000000" w:themeColor="text1"/>
                <w:sz w:val="18"/>
                <w:szCs w:val="18"/>
              </w:rPr>
              <w:t xml:space="preserve"> to ensure rural and remote hospitals are funded fairly.</w:t>
            </w:r>
          </w:p>
          <w:p w14:paraId="4038F442" w14:textId="77777777" w:rsidR="00EB257A" w:rsidRPr="001B7507" w:rsidRDefault="00EB257A" w:rsidP="001B7507">
            <w:pPr>
              <w:numPr>
                <w:ilvl w:val="0"/>
                <w:numId w:val="101"/>
              </w:numPr>
              <w:spacing w:before="60" w:after="60"/>
              <w:ind w:left="856"/>
              <w:rPr>
                <w:rFonts w:eastAsia="Verdana"/>
                <w:sz w:val="18"/>
                <w:szCs w:val="18"/>
              </w:rPr>
            </w:pPr>
            <w:r w:rsidRPr="001B7507">
              <w:rPr>
                <w:color w:val="000000" w:themeColor="text1"/>
                <w:sz w:val="18"/>
                <w:szCs w:val="18"/>
              </w:rPr>
              <w:t xml:space="preserve">Ensuring an </w:t>
            </w:r>
            <w:r w:rsidRPr="001A5953">
              <w:rPr>
                <w:b/>
                <w:bCs/>
                <w:color w:val="000000" w:themeColor="text1"/>
                <w:sz w:val="18"/>
                <w:szCs w:val="18"/>
              </w:rPr>
              <w:t>accountable and equitable distribution of the TTR funding pool</w:t>
            </w:r>
            <w:r w:rsidRPr="001B7507">
              <w:rPr>
                <w:color w:val="000000" w:themeColor="text1"/>
                <w:sz w:val="18"/>
                <w:szCs w:val="18"/>
              </w:rPr>
              <w:t xml:space="preserve"> to regional and rural hospitals to underpin sustainable health workforce training.</w:t>
            </w:r>
          </w:p>
        </w:tc>
        <w:tc>
          <w:tcPr>
            <w:tcW w:w="661" w:type="pct"/>
            <w:tcBorders>
              <w:top w:val="single" w:sz="8" w:space="0" w:color="D9D9D9"/>
              <w:left w:val="nil"/>
              <w:bottom w:val="single" w:sz="8" w:space="0" w:color="D9D9D9"/>
              <w:right w:val="nil"/>
            </w:tcBorders>
          </w:tcPr>
          <w:p w14:paraId="6BF87500" w14:textId="4786647D" w:rsidR="00EB257A" w:rsidRPr="001B7507" w:rsidRDefault="0047075C" w:rsidP="001B7507">
            <w:pPr>
              <w:pStyle w:val="Summarytable"/>
              <w:spacing w:before="60" w:after="60"/>
              <w:ind w:left="0"/>
              <w:rPr>
                <w:b w:val="0"/>
                <w:bCs w:val="0"/>
                <w:sz w:val="18"/>
                <w:szCs w:val="18"/>
              </w:rPr>
            </w:pPr>
            <w:r w:rsidRPr="001B7507">
              <w:rPr>
                <w:b w:val="0"/>
                <w:bCs w:val="0"/>
                <w:sz w:val="18"/>
                <w:szCs w:val="18"/>
              </w:rPr>
              <w:fldChar w:fldCharType="begin" w:fldLock="1"/>
            </w:r>
            <w:r w:rsidRPr="001B7507">
              <w:rPr>
                <w:b w:val="0"/>
                <w:bCs w:val="0"/>
                <w:sz w:val="18"/>
                <w:szCs w:val="18"/>
              </w:rPr>
              <w:instrText xml:space="preserve"> REF _Ref148445186 \w \h </w:instrText>
            </w:r>
            <w:r w:rsidR="00C66478" w:rsidRPr="001B7507">
              <w:rPr>
                <w:b w:val="0"/>
                <w:bCs w:val="0"/>
                <w:sz w:val="18"/>
                <w:szCs w:val="18"/>
              </w:rPr>
              <w:instrText xml:space="preserve"> \* MERGEFORMAT </w:instrText>
            </w:r>
            <w:r w:rsidRPr="001B7507">
              <w:rPr>
                <w:b w:val="0"/>
                <w:bCs w:val="0"/>
                <w:sz w:val="18"/>
                <w:szCs w:val="18"/>
              </w:rPr>
            </w:r>
            <w:r w:rsidRPr="001B7507">
              <w:rPr>
                <w:b w:val="0"/>
                <w:bCs w:val="0"/>
                <w:sz w:val="18"/>
                <w:szCs w:val="18"/>
              </w:rPr>
              <w:fldChar w:fldCharType="separate"/>
            </w:r>
            <w:r w:rsidR="00FA10A4">
              <w:rPr>
                <w:b w:val="0"/>
                <w:bCs w:val="0"/>
                <w:sz w:val="18"/>
                <w:szCs w:val="18"/>
              </w:rPr>
              <w:t>5.6.1.6</w:t>
            </w:r>
            <w:r w:rsidRPr="001B7507">
              <w:rPr>
                <w:b w:val="0"/>
                <w:bCs w:val="0"/>
                <w:sz w:val="18"/>
                <w:szCs w:val="18"/>
              </w:rPr>
              <w:fldChar w:fldCharType="end"/>
            </w:r>
            <w:r w:rsidRPr="001B7507">
              <w:rPr>
                <w:b w:val="0"/>
                <w:bCs w:val="0"/>
                <w:sz w:val="18"/>
                <w:szCs w:val="18"/>
              </w:rPr>
              <w:t xml:space="preserve"> - </w:t>
            </w:r>
            <w:r w:rsidRPr="001B7507">
              <w:rPr>
                <w:b w:val="0"/>
                <w:bCs w:val="0"/>
                <w:sz w:val="18"/>
                <w:szCs w:val="18"/>
              </w:rPr>
              <w:fldChar w:fldCharType="begin" w:fldLock="1"/>
            </w:r>
            <w:r w:rsidRPr="001B7507">
              <w:rPr>
                <w:b w:val="0"/>
                <w:bCs w:val="0"/>
                <w:sz w:val="18"/>
                <w:szCs w:val="18"/>
              </w:rPr>
              <w:instrText xml:space="preserve"> REF _Ref148445186 \h </w:instrText>
            </w:r>
            <w:r w:rsidR="00C66478" w:rsidRPr="001B7507">
              <w:rPr>
                <w:b w:val="0"/>
                <w:bCs w:val="0"/>
                <w:sz w:val="18"/>
                <w:szCs w:val="18"/>
              </w:rPr>
              <w:instrText xml:space="preserve"> \* MERGEFORMAT </w:instrText>
            </w:r>
            <w:r w:rsidRPr="001B7507">
              <w:rPr>
                <w:b w:val="0"/>
                <w:bCs w:val="0"/>
                <w:sz w:val="18"/>
                <w:szCs w:val="18"/>
              </w:rPr>
            </w:r>
            <w:r w:rsidRPr="001B7507">
              <w:rPr>
                <w:b w:val="0"/>
                <w:bCs w:val="0"/>
                <w:sz w:val="18"/>
                <w:szCs w:val="18"/>
              </w:rPr>
              <w:fldChar w:fldCharType="separate"/>
            </w:r>
            <w:r w:rsidR="00FA10A4" w:rsidRPr="00FA10A4">
              <w:rPr>
                <w:b w:val="0"/>
                <w:bCs w:val="0"/>
                <w:sz w:val="18"/>
                <w:szCs w:val="18"/>
              </w:rPr>
              <w:t>Ensure accountable and equitable TTR funding to rural hospitals</w:t>
            </w:r>
            <w:r w:rsidRPr="001B7507">
              <w:rPr>
                <w:b w:val="0"/>
                <w:bCs w:val="0"/>
                <w:sz w:val="18"/>
                <w:szCs w:val="18"/>
              </w:rPr>
              <w:fldChar w:fldCharType="end"/>
            </w:r>
          </w:p>
        </w:tc>
      </w:tr>
      <w:tr w:rsidR="00ED6A10" w:rsidRPr="001B7507" w14:paraId="66F07464" w14:textId="4E0486C7" w:rsidTr="00025B1E">
        <w:tc>
          <w:tcPr>
            <w:tcW w:w="436" w:type="pct"/>
            <w:vMerge/>
            <w:tcBorders>
              <w:left w:val="nil"/>
              <w:bottom w:val="single" w:sz="8" w:space="0" w:color="D9D9D9"/>
              <w:right w:val="nil"/>
            </w:tcBorders>
            <w:shd w:val="clear" w:color="auto" w:fill="auto"/>
          </w:tcPr>
          <w:p w14:paraId="55C312D5" w14:textId="77777777" w:rsidR="00EB257A" w:rsidRPr="001B7507" w:rsidRDefault="00EB257A" w:rsidP="001B7507">
            <w:pPr>
              <w:spacing w:before="60" w:after="60"/>
              <w:rPr>
                <w:rFonts w:eastAsia="Verdana"/>
                <w:sz w:val="18"/>
                <w:szCs w:val="18"/>
              </w:rPr>
            </w:pPr>
          </w:p>
        </w:tc>
        <w:tc>
          <w:tcPr>
            <w:tcW w:w="454" w:type="pct"/>
            <w:tcBorders>
              <w:top w:val="single" w:sz="8" w:space="0" w:color="D9D9D9"/>
              <w:left w:val="nil"/>
              <w:bottom w:val="single" w:sz="8" w:space="0" w:color="D9D9D9"/>
              <w:right w:val="nil"/>
            </w:tcBorders>
          </w:tcPr>
          <w:p w14:paraId="37B65464" w14:textId="77777777" w:rsidR="00EB257A" w:rsidRPr="001B7507" w:rsidRDefault="00EB257A" w:rsidP="001B7507">
            <w:pPr>
              <w:spacing w:before="60" w:after="60"/>
              <w:rPr>
                <w:rFonts w:eastAsia="Verdana"/>
                <w:sz w:val="18"/>
                <w:szCs w:val="18"/>
              </w:rPr>
            </w:pPr>
            <w:r w:rsidRPr="001B7507">
              <w:rPr>
                <w:rFonts w:eastAsia="Verdana"/>
                <w:sz w:val="18"/>
                <w:szCs w:val="18"/>
              </w:rPr>
              <w:t>Section 19(2) Exemptions simplified and expanded</w:t>
            </w:r>
          </w:p>
        </w:tc>
        <w:tc>
          <w:tcPr>
            <w:tcW w:w="3449" w:type="pct"/>
            <w:tcBorders>
              <w:top w:val="single" w:sz="8" w:space="0" w:color="D9D9D9"/>
              <w:left w:val="nil"/>
              <w:bottom w:val="single" w:sz="8" w:space="0" w:color="D9D9D9"/>
              <w:right w:val="nil"/>
            </w:tcBorders>
            <w:shd w:val="clear" w:color="auto" w:fill="auto"/>
          </w:tcPr>
          <w:p w14:paraId="68D04017" w14:textId="7BA8D6A8" w:rsidR="00EB257A" w:rsidRPr="001B7507" w:rsidRDefault="00EB257A" w:rsidP="001B7507">
            <w:pPr>
              <w:pStyle w:val="Summarytable"/>
              <w:numPr>
                <w:ilvl w:val="0"/>
                <w:numId w:val="95"/>
              </w:numPr>
              <w:spacing w:before="60" w:after="60"/>
              <w:rPr>
                <w:b w:val="0"/>
                <w:bCs w:val="0"/>
                <w:sz w:val="18"/>
                <w:szCs w:val="18"/>
              </w:rPr>
            </w:pPr>
            <w:r w:rsidRPr="001B7507">
              <w:rPr>
                <w:b w:val="0"/>
                <w:bCs w:val="0"/>
                <w:sz w:val="18"/>
                <w:szCs w:val="18"/>
              </w:rPr>
              <w:t xml:space="preserve">The process for the </w:t>
            </w:r>
            <w:r w:rsidRPr="001B7507">
              <w:rPr>
                <w:sz w:val="18"/>
                <w:szCs w:val="18"/>
              </w:rPr>
              <w:t xml:space="preserve">application and approval of exemptions from Section 19(2) </w:t>
            </w:r>
            <w:r w:rsidRPr="00CE2533">
              <w:rPr>
                <w:b w:val="0"/>
                <w:bCs w:val="0"/>
                <w:i/>
                <w:sz w:val="18"/>
                <w:szCs w:val="18"/>
              </w:rPr>
              <w:t>Health Insurance Act 1973</w:t>
            </w:r>
            <w:r w:rsidRPr="00CE2533">
              <w:rPr>
                <w:b w:val="0"/>
                <w:bCs w:val="0"/>
                <w:sz w:val="18"/>
                <w:szCs w:val="18"/>
              </w:rPr>
              <w:t xml:space="preserve"> should be</w:t>
            </w:r>
            <w:r w:rsidRPr="001B7507">
              <w:rPr>
                <w:sz w:val="18"/>
                <w:szCs w:val="18"/>
              </w:rPr>
              <w:t xml:space="preserve"> reviewed, simplified and expanded</w:t>
            </w:r>
            <w:r w:rsidRPr="001B7507">
              <w:rPr>
                <w:b w:val="0"/>
                <w:bCs w:val="0"/>
                <w:sz w:val="18"/>
                <w:szCs w:val="18"/>
              </w:rPr>
              <w:t xml:space="preserve"> </w:t>
            </w:r>
            <w:r w:rsidRPr="00CE2533">
              <w:rPr>
                <w:b w:val="0"/>
                <w:bCs w:val="0"/>
                <w:sz w:val="18"/>
                <w:szCs w:val="18"/>
              </w:rPr>
              <w:t>to improve access to bulk-billed primary health care (MBS-eligible GP, nursing and allied health services) in rural and remote areas and where there are thin and failing markets.</w:t>
            </w:r>
            <w:r w:rsidRPr="001B7507">
              <w:rPr>
                <w:b w:val="0"/>
                <w:bCs w:val="0"/>
                <w:sz w:val="18"/>
                <w:szCs w:val="18"/>
              </w:rPr>
              <w:t xml:space="preserve"> </w:t>
            </w:r>
            <w:r w:rsidR="00045463" w:rsidRPr="001B7507">
              <w:rPr>
                <w:b w:val="0"/>
                <w:bCs w:val="0"/>
                <w:sz w:val="18"/>
                <w:szCs w:val="18"/>
              </w:rPr>
              <w:t xml:space="preserve">This work </w:t>
            </w:r>
            <w:r w:rsidRPr="001B7507">
              <w:rPr>
                <w:b w:val="0"/>
                <w:bCs w:val="0"/>
                <w:sz w:val="18"/>
                <w:szCs w:val="18"/>
              </w:rPr>
              <w:t>should:</w:t>
            </w:r>
          </w:p>
          <w:p w14:paraId="1837A24D" w14:textId="78B033A1" w:rsidR="00EB257A" w:rsidRPr="001B7507" w:rsidRDefault="00EB257A" w:rsidP="001B7507">
            <w:pPr>
              <w:numPr>
                <w:ilvl w:val="0"/>
                <w:numId w:val="102"/>
              </w:numPr>
              <w:spacing w:before="60" w:after="60"/>
              <w:ind w:left="856"/>
              <w:rPr>
                <w:color w:val="000000" w:themeColor="text1"/>
                <w:sz w:val="18"/>
                <w:szCs w:val="18"/>
              </w:rPr>
            </w:pPr>
            <w:r w:rsidRPr="001B7507">
              <w:rPr>
                <w:color w:val="000000" w:themeColor="text1"/>
                <w:sz w:val="18"/>
                <w:szCs w:val="18"/>
              </w:rPr>
              <w:t xml:space="preserve">Explore opportunities to </w:t>
            </w:r>
            <w:r w:rsidRPr="00CE2533">
              <w:rPr>
                <w:b/>
                <w:bCs/>
                <w:color w:val="000000" w:themeColor="text1"/>
                <w:sz w:val="18"/>
                <w:szCs w:val="18"/>
              </w:rPr>
              <w:t>include further sites and increase the number of exemptions</w:t>
            </w:r>
            <w:r w:rsidRPr="001B7507">
              <w:rPr>
                <w:color w:val="000000" w:themeColor="text1"/>
                <w:sz w:val="18"/>
                <w:szCs w:val="18"/>
              </w:rPr>
              <w:t xml:space="preserve"> for areas without access to primary health services (including thin and failing markets) within a reasonable distance.</w:t>
            </w:r>
          </w:p>
          <w:p w14:paraId="295A25B0" w14:textId="77777777" w:rsidR="00EB257A" w:rsidRPr="001B7507" w:rsidRDefault="00EB257A" w:rsidP="001B7507">
            <w:pPr>
              <w:numPr>
                <w:ilvl w:val="0"/>
                <w:numId w:val="102"/>
              </w:numPr>
              <w:spacing w:before="60" w:after="60"/>
              <w:ind w:left="856"/>
              <w:rPr>
                <w:color w:val="000000" w:themeColor="text1"/>
                <w:sz w:val="18"/>
                <w:szCs w:val="18"/>
              </w:rPr>
            </w:pPr>
            <w:r w:rsidRPr="00CE2533">
              <w:rPr>
                <w:b/>
                <w:bCs/>
                <w:color w:val="000000" w:themeColor="text1"/>
                <w:sz w:val="18"/>
                <w:szCs w:val="18"/>
              </w:rPr>
              <w:t>Simplify and streamline approval</w:t>
            </w:r>
            <w:r w:rsidRPr="001B7507">
              <w:rPr>
                <w:color w:val="000000" w:themeColor="text1"/>
                <w:sz w:val="18"/>
                <w:szCs w:val="18"/>
              </w:rPr>
              <w:t xml:space="preserve"> processes to enable timely establishment of services in areas where there is limited access to primary care.</w:t>
            </w:r>
          </w:p>
          <w:p w14:paraId="02648FE2" w14:textId="77777777" w:rsidR="00EB257A" w:rsidRPr="001B7507" w:rsidRDefault="00EB257A" w:rsidP="001B7507">
            <w:pPr>
              <w:numPr>
                <w:ilvl w:val="0"/>
                <w:numId w:val="102"/>
              </w:numPr>
              <w:spacing w:before="60" w:after="60"/>
              <w:ind w:left="856"/>
              <w:rPr>
                <w:rFonts w:eastAsia="Verdana"/>
                <w:sz w:val="18"/>
                <w:szCs w:val="18"/>
              </w:rPr>
            </w:pPr>
            <w:r w:rsidRPr="001B7507">
              <w:rPr>
                <w:color w:val="000000" w:themeColor="text1"/>
                <w:sz w:val="18"/>
                <w:szCs w:val="18"/>
              </w:rPr>
              <w:t xml:space="preserve">Ensure that doctors providing rural hospital emergency services are appropriately remunerated and patients who attend the ED are </w:t>
            </w:r>
            <w:r w:rsidRPr="00854EAE">
              <w:rPr>
                <w:b/>
                <w:bCs/>
                <w:color w:val="000000" w:themeColor="text1"/>
                <w:sz w:val="18"/>
                <w:szCs w:val="18"/>
              </w:rPr>
              <w:t>not charged out-of-pocket fees</w:t>
            </w:r>
            <w:r w:rsidRPr="001B7507">
              <w:rPr>
                <w:color w:val="000000" w:themeColor="text1"/>
                <w:sz w:val="18"/>
                <w:szCs w:val="18"/>
              </w:rPr>
              <w:t>.</w:t>
            </w:r>
          </w:p>
        </w:tc>
        <w:tc>
          <w:tcPr>
            <w:tcW w:w="661" w:type="pct"/>
            <w:tcBorders>
              <w:top w:val="single" w:sz="8" w:space="0" w:color="D9D9D9"/>
              <w:left w:val="nil"/>
              <w:bottom w:val="single" w:sz="8" w:space="0" w:color="D9D9D9"/>
              <w:right w:val="nil"/>
            </w:tcBorders>
          </w:tcPr>
          <w:p w14:paraId="1EB36DC4" w14:textId="64F74B81" w:rsidR="00EB257A" w:rsidRPr="001B7507" w:rsidRDefault="00A61571" w:rsidP="001B7507">
            <w:pPr>
              <w:pStyle w:val="Summarytable"/>
              <w:spacing w:before="60" w:after="60"/>
              <w:ind w:left="0"/>
              <w:rPr>
                <w:b w:val="0"/>
                <w:bCs w:val="0"/>
                <w:sz w:val="18"/>
                <w:szCs w:val="18"/>
              </w:rPr>
            </w:pPr>
            <w:r w:rsidRPr="001B7507">
              <w:rPr>
                <w:b w:val="0"/>
                <w:bCs w:val="0"/>
                <w:sz w:val="18"/>
                <w:szCs w:val="18"/>
              </w:rPr>
              <w:fldChar w:fldCharType="begin" w:fldLock="1"/>
            </w:r>
            <w:r w:rsidRPr="001B7507">
              <w:rPr>
                <w:b w:val="0"/>
                <w:bCs w:val="0"/>
                <w:sz w:val="18"/>
                <w:szCs w:val="18"/>
              </w:rPr>
              <w:instrText xml:space="preserve"> REF _Ref146101350 \w \h </w:instrText>
            </w:r>
            <w:r w:rsidR="00C66478" w:rsidRPr="001B7507">
              <w:rPr>
                <w:b w:val="0"/>
                <w:bCs w:val="0"/>
                <w:sz w:val="18"/>
                <w:szCs w:val="18"/>
              </w:rPr>
              <w:instrText xml:space="preserve"> \* MERGEFORMAT </w:instrText>
            </w:r>
            <w:r w:rsidRPr="001B7507">
              <w:rPr>
                <w:b w:val="0"/>
                <w:bCs w:val="0"/>
                <w:sz w:val="18"/>
                <w:szCs w:val="18"/>
              </w:rPr>
            </w:r>
            <w:r w:rsidRPr="001B7507">
              <w:rPr>
                <w:b w:val="0"/>
                <w:bCs w:val="0"/>
                <w:sz w:val="18"/>
                <w:szCs w:val="18"/>
              </w:rPr>
              <w:fldChar w:fldCharType="separate"/>
            </w:r>
            <w:r w:rsidR="00FA10A4">
              <w:rPr>
                <w:b w:val="0"/>
                <w:bCs w:val="0"/>
                <w:sz w:val="18"/>
                <w:szCs w:val="18"/>
              </w:rPr>
              <w:t>5.6.2</w:t>
            </w:r>
            <w:r w:rsidRPr="001B7507">
              <w:rPr>
                <w:b w:val="0"/>
                <w:bCs w:val="0"/>
                <w:sz w:val="18"/>
                <w:szCs w:val="18"/>
              </w:rPr>
              <w:fldChar w:fldCharType="end"/>
            </w:r>
            <w:r w:rsidRPr="001B7507">
              <w:rPr>
                <w:b w:val="0"/>
                <w:bCs w:val="0"/>
                <w:sz w:val="18"/>
                <w:szCs w:val="18"/>
              </w:rPr>
              <w:t xml:space="preserve"> - </w:t>
            </w:r>
            <w:r w:rsidRPr="001B7507">
              <w:rPr>
                <w:b w:val="0"/>
                <w:bCs w:val="0"/>
                <w:sz w:val="18"/>
                <w:szCs w:val="18"/>
              </w:rPr>
              <w:fldChar w:fldCharType="begin" w:fldLock="1"/>
            </w:r>
            <w:r w:rsidRPr="001B7507">
              <w:rPr>
                <w:b w:val="0"/>
                <w:bCs w:val="0"/>
                <w:sz w:val="18"/>
                <w:szCs w:val="18"/>
              </w:rPr>
              <w:instrText xml:space="preserve"> REF _Ref146101350 \h </w:instrText>
            </w:r>
            <w:r w:rsidR="00C66478" w:rsidRPr="001B7507">
              <w:rPr>
                <w:b w:val="0"/>
                <w:bCs w:val="0"/>
                <w:sz w:val="18"/>
                <w:szCs w:val="18"/>
              </w:rPr>
              <w:instrText xml:space="preserve"> \* MERGEFORMAT </w:instrText>
            </w:r>
            <w:r w:rsidRPr="001B7507">
              <w:rPr>
                <w:b w:val="0"/>
                <w:bCs w:val="0"/>
                <w:sz w:val="18"/>
                <w:szCs w:val="18"/>
              </w:rPr>
            </w:r>
            <w:r w:rsidRPr="001B7507">
              <w:rPr>
                <w:b w:val="0"/>
                <w:bCs w:val="0"/>
                <w:sz w:val="18"/>
                <w:szCs w:val="18"/>
              </w:rPr>
              <w:fldChar w:fldCharType="separate"/>
            </w:r>
            <w:r w:rsidR="00FA10A4" w:rsidRPr="00FA10A4">
              <w:rPr>
                <w:b w:val="0"/>
                <w:bCs w:val="0"/>
                <w:sz w:val="18"/>
                <w:szCs w:val="18"/>
              </w:rPr>
              <w:t>Expand 19(2) exemption arrangements to improve access to bulk-billed primary health care</w:t>
            </w:r>
            <w:r w:rsidRPr="001B7507">
              <w:rPr>
                <w:b w:val="0"/>
                <w:bCs w:val="0"/>
                <w:sz w:val="18"/>
                <w:szCs w:val="18"/>
              </w:rPr>
              <w:fldChar w:fldCharType="end"/>
            </w:r>
          </w:p>
        </w:tc>
      </w:tr>
      <w:tr w:rsidR="00ED6A10" w:rsidRPr="001B7507" w14:paraId="30C067F6" w14:textId="5038A363" w:rsidTr="00025B1E">
        <w:tc>
          <w:tcPr>
            <w:tcW w:w="436" w:type="pct"/>
            <w:tcBorders>
              <w:top w:val="single" w:sz="8" w:space="0" w:color="D9D9D9"/>
              <w:left w:val="nil"/>
              <w:bottom w:val="single" w:sz="8" w:space="0" w:color="D9D9D9"/>
              <w:right w:val="nil"/>
            </w:tcBorders>
            <w:shd w:val="clear" w:color="auto" w:fill="auto"/>
          </w:tcPr>
          <w:p w14:paraId="31AE0F60" w14:textId="79A939C5" w:rsidR="00EB257A" w:rsidRPr="001B7507" w:rsidRDefault="00EB257A" w:rsidP="001B7507">
            <w:pPr>
              <w:spacing w:before="60" w:after="60"/>
              <w:rPr>
                <w:rFonts w:eastAsia="Verdana"/>
                <w:sz w:val="18"/>
                <w:szCs w:val="18"/>
              </w:rPr>
            </w:pPr>
            <w:r w:rsidRPr="001B7507">
              <w:rPr>
                <w:rFonts w:eastAsia="Verdana"/>
                <w:sz w:val="18"/>
                <w:szCs w:val="18"/>
              </w:rPr>
              <w:t>Clear commitment to closing the gap for First Nations’ people</w:t>
            </w:r>
          </w:p>
        </w:tc>
        <w:tc>
          <w:tcPr>
            <w:tcW w:w="454" w:type="pct"/>
            <w:tcBorders>
              <w:top w:val="single" w:sz="8" w:space="0" w:color="D9D9D9"/>
              <w:left w:val="nil"/>
              <w:bottom w:val="single" w:sz="8" w:space="0" w:color="D9D9D9"/>
              <w:right w:val="nil"/>
            </w:tcBorders>
          </w:tcPr>
          <w:p w14:paraId="7D90A7B1" w14:textId="7CF5B838" w:rsidR="00EB257A" w:rsidRPr="001B7507" w:rsidRDefault="00EB257A" w:rsidP="001B7507">
            <w:pPr>
              <w:spacing w:before="60" w:after="60"/>
              <w:rPr>
                <w:rFonts w:eastAsia="Verdana"/>
                <w:sz w:val="18"/>
                <w:szCs w:val="18"/>
              </w:rPr>
            </w:pPr>
            <w:r w:rsidRPr="001B7507">
              <w:rPr>
                <w:rFonts w:eastAsia="Verdana"/>
                <w:sz w:val="18"/>
                <w:szCs w:val="18"/>
              </w:rPr>
              <w:t>First Nations’ people through Closing the Gap reflected in new Schedule</w:t>
            </w:r>
          </w:p>
        </w:tc>
        <w:tc>
          <w:tcPr>
            <w:tcW w:w="3449" w:type="pct"/>
            <w:tcBorders>
              <w:top w:val="single" w:sz="8" w:space="0" w:color="D9D9D9"/>
              <w:left w:val="nil"/>
              <w:bottom w:val="single" w:sz="8" w:space="0" w:color="D9D9D9"/>
              <w:right w:val="nil"/>
            </w:tcBorders>
            <w:shd w:val="clear" w:color="auto" w:fill="auto"/>
          </w:tcPr>
          <w:p w14:paraId="317E3EFE" w14:textId="2B0C9849" w:rsidR="00EB257A" w:rsidRPr="001B7507" w:rsidRDefault="00EB257A" w:rsidP="001B7507">
            <w:pPr>
              <w:pStyle w:val="Summarytable"/>
              <w:numPr>
                <w:ilvl w:val="0"/>
                <w:numId w:val="95"/>
              </w:numPr>
              <w:spacing w:before="60" w:after="60"/>
              <w:rPr>
                <w:b w:val="0"/>
                <w:bCs w:val="0"/>
                <w:sz w:val="18"/>
                <w:szCs w:val="18"/>
              </w:rPr>
            </w:pPr>
            <w:r w:rsidRPr="001B7507">
              <w:rPr>
                <w:b w:val="0"/>
                <w:bCs w:val="0"/>
                <w:sz w:val="18"/>
                <w:szCs w:val="18"/>
              </w:rPr>
              <w:t xml:space="preserve">The critical importance of improving the health of First Nations’ people through </w:t>
            </w:r>
            <w:r w:rsidR="005A7831">
              <w:rPr>
                <w:b w:val="0"/>
                <w:bCs w:val="0"/>
                <w:sz w:val="18"/>
                <w:szCs w:val="18"/>
              </w:rPr>
              <w:t xml:space="preserve">the </w:t>
            </w:r>
            <w:r w:rsidR="005A7831" w:rsidRPr="005A7831">
              <w:rPr>
                <w:i/>
                <w:iCs/>
                <w:sz w:val="18"/>
                <w:szCs w:val="18"/>
              </w:rPr>
              <w:t xml:space="preserve">National Agreement on </w:t>
            </w:r>
            <w:r w:rsidRPr="005A7831">
              <w:rPr>
                <w:i/>
                <w:iCs/>
                <w:sz w:val="18"/>
                <w:szCs w:val="18"/>
              </w:rPr>
              <w:t>Closing</w:t>
            </w:r>
            <w:r w:rsidRPr="001B7507">
              <w:rPr>
                <w:i/>
                <w:iCs/>
                <w:sz w:val="18"/>
                <w:szCs w:val="18"/>
              </w:rPr>
              <w:t xml:space="preserve"> the Gap</w:t>
            </w:r>
            <w:r w:rsidRPr="001B7507">
              <w:rPr>
                <w:sz w:val="18"/>
                <w:szCs w:val="18"/>
              </w:rPr>
              <w:t xml:space="preserve"> should be reflected in a future Agreement as an additional Schedule</w:t>
            </w:r>
            <w:r w:rsidRPr="001B7507">
              <w:rPr>
                <w:b w:val="0"/>
                <w:bCs w:val="0"/>
                <w:sz w:val="18"/>
                <w:szCs w:val="18"/>
              </w:rPr>
              <w:t>. The Schedule should reflect at least the following:</w:t>
            </w:r>
          </w:p>
          <w:p w14:paraId="27795615" w14:textId="77777777" w:rsidR="00EB257A" w:rsidRPr="001B7507" w:rsidRDefault="00EB257A" w:rsidP="001B7507">
            <w:pPr>
              <w:numPr>
                <w:ilvl w:val="0"/>
                <w:numId w:val="103"/>
              </w:numPr>
              <w:spacing w:before="60" w:after="60"/>
              <w:ind w:left="855"/>
              <w:rPr>
                <w:color w:val="000000" w:themeColor="text1"/>
                <w:sz w:val="18"/>
                <w:szCs w:val="18"/>
              </w:rPr>
            </w:pPr>
            <w:r w:rsidRPr="001B7507">
              <w:rPr>
                <w:color w:val="000000" w:themeColor="text1"/>
                <w:sz w:val="18"/>
                <w:szCs w:val="18"/>
              </w:rPr>
              <w:t xml:space="preserve">A </w:t>
            </w:r>
            <w:r w:rsidRPr="00C51853">
              <w:rPr>
                <w:b/>
                <w:bCs/>
                <w:color w:val="000000" w:themeColor="text1"/>
                <w:sz w:val="18"/>
                <w:szCs w:val="18"/>
              </w:rPr>
              <w:t xml:space="preserve">shared commitment to </w:t>
            </w:r>
            <w:r w:rsidRPr="00C51853">
              <w:rPr>
                <w:b/>
                <w:bCs/>
                <w:i/>
                <w:iCs/>
                <w:color w:val="000000" w:themeColor="text1"/>
                <w:sz w:val="18"/>
                <w:szCs w:val="18"/>
              </w:rPr>
              <w:t>Closing the Gap</w:t>
            </w:r>
            <w:r w:rsidRPr="001B7507">
              <w:rPr>
                <w:color w:val="000000" w:themeColor="text1"/>
                <w:sz w:val="18"/>
                <w:szCs w:val="18"/>
              </w:rPr>
              <w:t>, working in partnership with First Nations’ people.</w:t>
            </w:r>
          </w:p>
          <w:p w14:paraId="74E834A0" w14:textId="760ABCE5" w:rsidR="00EB257A" w:rsidRPr="001B7507" w:rsidRDefault="00EB257A" w:rsidP="001B7507">
            <w:pPr>
              <w:numPr>
                <w:ilvl w:val="0"/>
                <w:numId w:val="103"/>
              </w:numPr>
              <w:spacing w:before="60" w:after="60"/>
              <w:ind w:left="855"/>
              <w:rPr>
                <w:color w:val="000000" w:themeColor="text1"/>
                <w:sz w:val="18"/>
                <w:szCs w:val="18"/>
              </w:rPr>
            </w:pPr>
            <w:r w:rsidRPr="00C51853">
              <w:rPr>
                <w:b/>
                <w:bCs/>
                <w:color w:val="000000" w:themeColor="text1"/>
                <w:sz w:val="18"/>
                <w:szCs w:val="18"/>
              </w:rPr>
              <w:t xml:space="preserve">Specific actions to </w:t>
            </w:r>
            <w:r w:rsidR="00802890" w:rsidRPr="00C51853">
              <w:rPr>
                <w:b/>
                <w:bCs/>
                <w:color w:val="000000" w:themeColor="text1"/>
                <w:sz w:val="18"/>
                <w:szCs w:val="18"/>
              </w:rPr>
              <w:t>c</w:t>
            </w:r>
            <w:r w:rsidRPr="00C51853">
              <w:rPr>
                <w:b/>
                <w:bCs/>
                <w:color w:val="000000" w:themeColor="text1"/>
                <w:sz w:val="18"/>
                <w:szCs w:val="18"/>
              </w:rPr>
              <w:t xml:space="preserve">lose the </w:t>
            </w:r>
            <w:r w:rsidR="003178BB" w:rsidRPr="00C51853">
              <w:rPr>
                <w:b/>
                <w:bCs/>
                <w:color w:val="000000" w:themeColor="text1"/>
                <w:sz w:val="18"/>
                <w:szCs w:val="18"/>
              </w:rPr>
              <w:t>health</w:t>
            </w:r>
            <w:r w:rsidRPr="00C51853">
              <w:rPr>
                <w:b/>
                <w:bCs/>
                <w:color w:val="000000" w:themeColor="text1"/>
                <w:sz w:val="18"/>
                <w:szCs w:val="18"/>
              </w:rPr>
              <w:t xml:space="preserve"> </w:t>
            </w:r>
            <w:r w:rsidR="00802890" w:rsidRPr="00C51853">
              <w:rPr>
                <w:b/>
                <w:bCs/>
                <w:color w:val="000000" w:themeColor="text1"/>
                <w:sz w:val="18"/>
                <w:szCs w:val="18"/>
              </w:rPr>
              <w:t>g</w:t>
            </w:r>
            <w:r w:rsidRPr="00C51853">
              <w:rPr>
                <w:b/>
                <w:bCs/>
                <w:color w:val="000000" w:themeColor="text1"/>
                <w:sz w:val="18"/>
                <w:szCs w:val="18"/>
              </w:rPr>
              <w:t>ap</w:t>
            </w:r>
            <w:r w:rsidRPr="001B7507">
              <w:rPr>
                <w:color w:val="000000" w:themeColor="text1"/>
                <w:sz w:val="18"/>
                <w:szCs w:val="18"/>
              </w:rPr>
              <w:t xml:space="preserve"> with accountabilities assigned and performance assessed against agreed milestones, including cross-cutting targets.</w:t>
            </w:r>
          </w:p>
          <w:p w14:paraId="0B37C588" w14:textId="77777777" w:rsidR="00EB257A" w:rsidRPr="001B7507" w:rsidRDefault="00EB257A" w:rsidP="001B7507">
            <w:pPr>
              <w:numPr>
                <w:ilvl w:val="0"/>
                <w:numId w:val="103"/>
              </w:numPr>
              <w:spacing w:before="60" w:after="60"/>
              <w:ind w:left="855"/>
              <w:rPr>
                <w:color w:val="000000" w:themeColor="text1"/>
                <w:sz w:val="18"/>
                <w:szCs w:val="18"/>
              </w:rPr>
            </w:pPr>
            <w:r w:rsidRPr="001B7507">
              <w:rPr>
                <w:color w:val="000000" w:themeColor="text1"/>
                <w:sz w:val="18"/>
                <w:szCs w:val="18"/>
              </w:rPr>
              <w:t xml:space="preserve">A shared commitment and requirement to </w:t>
            </w:r>
            <w:r w:rsidRPr="00C51853">
              <w:rPr>
                <w:b/>
                <w:bCs/>
                <w:color w:val="000000" w:themeColor="text1"/>
                <w:sz w:val="18"/>
                <w:szCs w:val="18"/>
              </w:rPr>
              <w:t>work with ACCHOs</w:t>
            </w:r>
            <w:r w:rsidRPr="001B7507">
              <w:rPr>
                <w:color w:val="000000" w:themeColor="text1"/>
                <w:sz w:val="18"/>
                <w:szCs w:val="18"/>
              </w:rPr>
              <w:t xml:space="preserve"> and local communities in the design and commissioning of services and transitioning of services to community-control.</w:t>
            </w:r>
          </w:p>
          <w:p w14:paraId="75A198FE" w14:textId="77777777" w:rsidR="00EB257A" w:rsidRPr="001B7507" w:rsidRDefault="00EB257A" w:rsidP="001B7507">
            <w:pPr>
              <w:numPr>
                <w:ilvl w:val="0"/>
                <w:numId w:val="103"/>
              </w:numPr>
              <w:spacing w:before="60" w:after="60"/>
              <w:ind w:left="855"/>
              <w:rPr>
                <w:color w:val="000000" w:themeColor="text1"/>
                <w:sz w:val="18"/>
                <w:szCs w:val="18"/>
              </w:rPr>
            </w:pPr>
            <w:r w:rsidRPr="001B7507">
              <w:rPr>
                <w:color w:val="000000" w:themeColor="text1"/>
                <w:sz w:val="18"/>
                <w:szCs w:val="18"/>
              </w:rPr>
              <w:t xml:space="preserve">A shared commitment to </w:t>
            </w:r>
            <w:r w:rsidRPr="00C51853">
              <w:rPr>
                <w:b/>
                <w:bCs/>
                <w:color w:val="000000" w:themeColor="text1"/>
                <w:sz w:val="18"/>
                <w:szCs w:val="18"/>
              </w:rPr>
              <w:t>Cultural Safety</w:t>
            </w:r>
            <w:r w:rsidRPr="001B7507">
              <w:rPr>
                <w:color w:val="000000" w:themeColor="text1"/>
                <w:sz w:val="18"/>
                <w:szCs w:val="18"/>
              </w:rPr>
              <w:t xml:space="preserve"> in health service delivery with agreed measurement and reporting, including patient experience indicators.</w:t>
            </w:r>
          </w:p>
          <w:p w14:paraId="03495EA4" w14:textId="498DDCAA" w:rsidR="00EB257A" w:rsidRPr="001B7507" w:rsidRDefault="00EB257A" w:rsidP="001B7507">
            <w:pPr>
              <w:numPr>
                <w:ilvl w:val="0"/>
                <w:numId w:val="103"/>
              </w:numPr>
              <w:spacing w:before="60" w:after="60"/>
              <w:ind w:left="855"/>
              <w:rPr>
                <w:rFonts w:eastAsia="Verdana"/>
                <w:sz w:val="18"/>
                <w:szCs w:val="18"/>
              </w:rPr>
            </w:pPr>
            <w:r w:rsidRPr="001B7507">
              <w:rPr>
                <w:color w:val="000000" w:themeColor="text1"/>
                <w:sz w:val="18"/>
                <w:szCs w:val="18"/>
              </w:rPr>
              <w:t xml:space="preserve">A shared commitment to embed appropriate </w:t>
            </w:r>
            <w:r w:rsidRPr="00C51853">
              <w:rPr>
                <w:b/>
                <w:bCs/>
                <w:color w:val="000000" w:themeColor="text1"/>
                <w:sz w:val="18"/>
                <w:szCs w:val="18"/>
              </w:rPr>
              <w:t>governance of Indigenous data holdings</w:t>
            </w:r>
            <w:r w:rsidRPr="001B7507">
              <w:rPr>
                <w:color w:val="000000" w:themeColor="text1"/>
                <w:sz w:val="18"/>
                <w:szCs w:val="18"/>
              </w:rPr>
              <w:t xml:space="preserve"> held by all levels of government.</w:t>
            </w:r>
          </w:p>
        </w:tc>
        <w:tc>
          <w:tcPr>
            <w:tcW w:w="661" w:type="pct"/>
            <w:tcBorders>
              <w:top w:val="single" w:sz="8" w:space="0" w:color="D9D9D9"/>
              <w:left w:val="nil"/>
              <w:bottom w:val="single" w:sz="8" w:space="0" w:color="D9D9D9"/>
              <w:right w:val="nil"/>
            </w:tcBorders>
          </w:tcPr>
          <w:p w14:paraId="27E0FD22" w14:textId="581E1316" w:rsidR="00EB257A" w:rsidRPr="001B7507" w:rsidRDefault="00A61571" w:rsidP="001B7507">
            <w:pPr>
              <w:pStyle w:val="Summarytable"/>
              <w:spacing w:before="60" w:after="60"/>
              <w:ind w:left="0"/>
              <w:rPr>
                <w:b w:val="0"/>
                <w:bCs w:val="0"/>
                <w:sz w:val="18"/>
                <w:szCs w:val="18"/>
              </w:rPr>
            </w:pPr>
            <w:r w:rsidRPr="001B7507">
              <w:rPr>
                <w:b w:val="0"/>
                <w:bCs w:val="0"/>
                <w:sz w:val="18"/>
                <w:szCs w:val="18"/>
              </w:rPr>
              <w:fldChar w:fldCharType="begin" w:fldLock="1"/>
            </w:r>
            <w:r w:rsidRPr="001B7507">
              <w:rPr>
                <w:b w:val="0"/>
                <w:bCs w:val="0"/>
                <w:sz w:val="18"/>
                <w:szCs w:val="18"/>
              </w:rPr>
              <w:instrText xml:space="preserve"> REF _Ref148445238 \w \h </w:instrText>
            </w:r>
            <w:r w:rsidR="00C66478" w:rsidRPr="001B7507">
              <w:rPr>
                <w:b w:val="0"/>
                <w:bCs w:val="0"/>
                <w:sz w:val="18"/>
                <w:szCs w:val="18"/>
              </w:rPr>
              <w:instrText xml:space="preserve"> \* MERGEFORMAT </w:instrText>
            </w:r>
            <w:r w:rsidRPr="001B7507">
              <w:rPr>
                <w:b w:val="0"/>
                <w:bCs w:val="0"/>
                <w:sz w:val="18"/>
                <w:szCs w:val="18"/>
              </w:rPr>
            </w:r>
            <w:r w:rsidRPr="001B7507">
              <w:rPr>
                <w:b w:val="0"/>
                <w:bCs w:val="0"/>
                <w:sz w:val="18"/>
                <w:szCs w:val="18"/>
              </w:rPr>
              <w:fldChar w:fldCharType="separate"/>
            </w:r>
            <w:r w:rsidR="00FA10A4">
              <w:rPr>
                <w:b w:val="0"/>
                <w:bCs w:val="0"/>
                <w:sz w:val="18"/>
                <w:szCs w:val="18"/>
              </w:rPr>
              <w:t>5.7.3</w:t>
            </w:r>
            <w:r w:rsidRPr="001B7507">
              <w:rPr>
                <w:b w:val="0"/>
                <w:bCs w:val="0"/>
                <w:sz w:val="18"/>
                <w:szCs w:val="18"/>
              </w:rPr>
              <w:fldChar w:fldCharType="end"/>
            </w:r>
            <w:r w:rsidRPr="001B7507">
              <w:rPr>
                <w:b w:val="0"/>
                <w:bCs w:val="0"/>
                <w:sz w:val="18"/>
                <w:szCs w:val="18"/>
              </w:rPr>
              <w:t xml:space="preserve"> - </w:t>
            </w:r>
            <w:r w:rsidRPr="001B7507">
              <w:rPr>
                <w:b w:val="0"/>
                <w:bCs w:val="0"/>
                <w:sz w:val="18"/>
                <w:szCs w:val="18"/>
              </w:rPr>
              <w:fldChar w:fldCharType="begin" w:fldLock="1"/>
            </w:r>
            <w:r w:rsidRPr="001B7507">
              <w:rPr>
                <w:b w:val="0"/>
                <w:bCs w:val="0"/>
                <w:sz w:val="18"/>
                <w:szCs w:val="18"/>
              </w:rPr>
              <w:instrText xml:space="preserve"> REF _Ref148445238 \h </w:instrText>
            </w:r>
            <w:r w:rsidR="00C66478" w:rsidRPr="001B7507">
              <w:rPr>
                <w:b w:val="0"/>
                <w:bCs w:val="0"/>
                <w:sz w:val="18"/>
                <w:szCs w:val="18"/>
              </w:rPr>
              <w:instrText xml:space="preserve"> \* MERGEFORMAT </w:instrText>
            </w:r>
            <w:r w:rsidRPr="001B7507">
              <w:rPr>
                <w:b w:val="0"/>
                <w:bCs w:val="0"/>
                <w:sz w:val="18"/>
                <w:szCs w:val="18"/>
              </w:rPr>
            </w:r>
            <w:r w:rsidRPr="001B7507">
              <w:rPr>
                <w:b w:val="0"/>
                <w:bCs w:val="0"/>
                <w:sz w:val="18"/>
                <w:szCs w:val="18"/>
              </w:rPr>
              <w:fldChar w:fldCharType="separate"/>
            </w:r>
            <w:r w:rsidR="00FA10A4" w:rsidRPr="00FA10A4">
              <w:rPr>
                <w:b w:val="0"/>
                <w:bCs w:val="0"/>
                <w:sz w:val="18"/>
                <w:szCs w:val="18"/>
              </w:rPr>
              <w:t>Focus of a future Agreement</w:t>
            </w:r>
            <w:r w:rsidRPr="001B7507">
              <w:rPr>
                <w:b w:val="0"/>
                <w:bCs w:val="0"/>
                <w:sz w:val="18"/>
                <w:szCs w:val="18"/>
              </w:rPr>
              <w:fldChar w:fldCharType="end"/>
            </w:r>
          </w:p>
        </w:tc>
      </w:tr>
      <w:tr w:rsidR="00ED6A10" w:rsidRPr="001B7507" w14:paraId="30268F65" w14:textId="0C820A20" w:rsidTr="00025B1E">
        <w:tc>
          <w:tcPr>
            <w:tcW w:w="436" w:type="pct"/>
            <w:vMerge w:val="restart"/>
            <w:tcBorders>
              <w:top w:val="single" w:sz="8" w:space="0" w:color="D9D9D9"/>
              <w:left w:val="nil"/>
              <w:right w:val="nil"/>
            </w:tcBorders>
            <w:shd w:val="clear" w:color="auto" w:fill="auto"/>
          </w:tcPr>
          <w:p w14:paraId="60610C8D" w14:textId="77777777" w:rsidR="00EB257A" w:rsidRPr="001B7507" w:rsidRDefault="00EB257A" w:rsidP="001B7507">
            <w:pPr>
              <w:spacing w:before="60" w:after="60"/>
              <w:rPr>
                <w:rFonts w:eastAsia="Verdana"/>
                <w:sz w:val="18"/>
                <w:szCs w:val="18"/>
              </w:rPr>
            </w:pPr>
            <w:r w:rsidRPr="001B7507">
              <w:rPr>
                <w:rFonts w:eastAsia="Verdana"/>
                <w:sz w:val="18"/>
                <w:szCs w:val="18"/>
              </w:rPr>
              <w:t>Embedding workforce and digital health as key enablers of the health system</w:t>
            </w:r>
          </w:p>
        </w:tc>
        <w:tc>
          <w:tcPr>
            <w:tcW w:w="454" w:type="pct"/>
            <w:tcBorders>
              <w:top w:val="single" w:sz="8" w:space="0" w:color="D9D9D9"/>
              <w:left w:val="nil"/>
              <w:bottom w:val="single" w:sz="8" w:space="0" w:color="D9D9D9"/>
              <w:right w:val="nil"/>
            </w:tcBorders>
          </w:tcPr>
          <w:p w14:paraId="062B794F" w14:textId="77777777" w:rsidR="00EB257A" w:rsidRPr="001B7507" w:rsidRDefault="00EB257A" w:rsidP="001B7507">
            <w:pPr>
              <w:spacing w:before="60" w:after="60"/>
              <w:rPr>
                <w:rFonts w:eastAsia="Verdana"/>
                <w:sz w:val="18"/>
                <w:szCs w:val="18"/>
              </w:rPr>
            </w:pPr>
            <w:r w:rsidRPr="001B7507">
              <w:rPr>
                <w:rFonts w:eastAsia="Verdana"/>
                <w:sz w:val="18"/>
                <w:szCs w:val="18"/>
              </w:rPr>
              <w:t>Role of the health workforce reflected in new Schedule</w:t>
            </w:r>
          </w:p>
        </w:tc>
        <w:tc>
          <w:tcPr>
            <w:tcW w:w="3449" w:type="pct"/>
            <w:tcBorders>
              <w:top w:val="single" w:sz="8" w:space="0" w:color="D9D9D9"/>
              <w:left w:val="nil"/>
              <w:bottom w:val="single" w:sz="8" w:space="0" w:color="D9D9D9"/>
              <w:right w:val="nil"/>
            </w:tcBorders>
            <w:shd w:val="clear" w:color="auto" w:fill="auto"/>
          </w:tcPr>
          <w:p w14:paraId="4CD97762" w14:textId="77777777" w:rsidR="00EB257A" w:rsidRPr="001B7507" w:rsidRDefault="00EB257A" w:rsidP="001B7507">
            <w:pPr>
              <w:pStyle w:val="Summarytable"/>
              <w:numPr>
                <w:ilvl w:val="0"/>
                <w:numId w:val="95"/>
              </w:numPr>
              <w:spacing w:before="60" w:after="60"/>
              <w:rPr>
                <w:b w:val="0"/>
                <w:bCs w:val="0"/>
                <w:sz w:val="18"/>
                <w:szCs w:val="18"/>
              </w:rPr>
            </w:pPr>
            <w:r w:rsidRPr="001B7507">
              <w:rPr>
                <w:b w:val="0"/>
                <w:bCs w:val="0"/>
                <w:sz w:val="18"/>
                <w:szCs w:val="18"/>
                <w:lang w:val="en-GB"/>
              </w:rPr>
              <w:t>A future Agreement should</w:t>
            </w:r>
            <w:r w:rsidRPr="001B7507">
              <w:rPr>
                <w:sz w:val="18"/>
                <w:szCs w:val="18"/>
                <w:lang w:val="en-GB"/>
              </w:rPr>
              <w:t xml:space="preserve"> explicitly recognise the role of the health workforce</w:t>
            </w:r>
            <w:r w:rsidRPr="001B7507">
              <w:rPr>
                <w:b w:val="0"/>
                <w:bCs w:val="0"/>
                <w:sz w:val="18"/>
                <w:szCs w:val="18"/>
                <w:lang w:val="en-GB"/>
              </w:rPr>
              <w:t xml:space="preserve"> in the delivery of quality health services as an additional Schedule. The Schedule should:</w:t>
            </w:r>
          </w:p>
          <w:p w14:paraId="4DC5C078" w14:textId="1D00E15D" w:rsidR="00EB257A" w:rsidRPr="001B7507" w:rsidRDefault="00EB257A" w:rsidP="001B7507">
            <w:pPr>
              <w:numPr>
                <w:ilvl w:val="0"/>
                <w:numId w:val="104"/>
              </w:numPr>
              <w:spacing w:before="60" w:after="60"/>
              <w:ind w:left="856"/>
              <w:rPr>
                <w:color w:val="000000" w:themeColor="text1"/>
                <w:sz w:val="18"/>
                <w:szCs w:val="18"/>
              </w:rPr>
            </w:pPr>
            <w:r w:rsidRPr="001B7507">
              <w:rPr>
                <w:color w:val="000000" w:themeColor="text1"/>
                <w:sz w:val="18"/>
                <w:szCs w:val="18"/>
              </w:rPr>
              <w:t xml:space="preserve">Align to relevant national workforce strategies by reflecting the current work being progressed to support, grow, shape, and </w:t>
            </w:r>
            <w:r w:rsidR="002903CA">
              <w:rPr>
                <w:color w:val="000000" w:themeColor="text1"/>
                <w:sz w:val="18"/>
                <w:szCs w:val="18"/>
              </w:rPr>
              <w:t>deliver</w:t>
            </w:r>
            <w:r w:rsidRPr="001B7507">
              <w:rPr>
                <w:color w:val="000000" w:themeColor="text1"/>
                <w:sz w:val="18"/>
                <w:szCs w:val="18"/>
              </w:rPr>
              <w:t xml:space="preserve"> a health workforce to achieve the goals </w:t>
            </w:r>
            <w:r w:rsidR="00E3049F">
              <w:rPr>
                <w:color w:val="000000" w:themeColor="text1"/>
                <w:sz w:val="18"/>
                <w:szCs w:val="18"/>
              </w:rPr>
              <w:t xml:space="preserve">of </w:t>
            </w:r>
            <w:r w:rsidRPr="001B7507">
              <w:rPr>
                <w:color w:val="000000" w:themeColor="text1"/>
                <w:sz w:val="18"/>
                <w:szCs w:val="18"/>
              </w:rPr>
              <w:t>the Agreement.</w:t>
            </w:r>
          </w:p>
          <w:p w14:paraId="36759B94" w14:textId="63F3B9DE" w:rsidR="00EB257A" w:rsidRPr="001B7507" w:rsidRDefault="00EB257A" w:rsidP="001B7507">
            <w:pPr>
              <w:numPr>
                <w:ilvl w:val="0"/>
                <w:numId w:val="104"/>
              </w:numPr>
              <w:spacing w:before="60" w:after="60"/>
              <w:ind w:left="856"/>
              <w:rPr>
                <w:color w:val="000000" w:themeColor="text1"/>
                <w:sz w:val="18"/>
                <w:szCs w:val="18"/>
              </w:rPr>
            </w:pPr>
            <w:r w:rsidRPr="001B7507">
              <w:rPr>
                <w:color w:val="000000" w:themeColor="text1"/>
                <w:sz w:val="18"/>
                <w:szCs w:val="18"/>
              </w:rPr>
              <w:t>Ensure a collaborative Commonwealth and State</w:t>
            </w:r>
            <w:r w:rsidR="00986017">
              <w:rPr>
                <w:color w:val="000000" w:themeColor="text1"/>
                <w:sz w:val="18"/>
                <w:szCs w:val="18"/>
              </w:rPr>
              <w:t xml:space="preserve"> and </w:t>
            </w:r>
            <w:r w:rsidRPr="001B7507">
              <w:rPr>
                <w:color w:val="000000" w:themeColor="text1"/>
                <w:sz w:val="18"/>
                <w:szCs w:val="18"/>
              </w:rPr>
              <w:t xml:space="preserve">Territory focus encompassing a concise set of strategic priorities and actions, including those related to operating at full scope of practice, to be delivered through the Agreement. </w:t>
            </w:r>
          </w:p>
          <w:p w14:paraId="58DE4A64" w14:textId="0676B5F1" w:rsidR="00EB257A" w:rsidRPr="001B7507" w:rsidRDefault="00EB257A" w:rsidP="001B7507">
            <w:pPr>
              <w:numPr>
                <w:ilvl w:val="0"/>
                <w:numId w:val="104"/>
              </w:numPr>
              <w:spacing w:before="60" w:after="60"/>
              <w:ind w:left="856"/>
              <w:rPr>
                <w:color w:val="000000" w:themeColor="text1"/>
                <w:sz w:val="18"/>
                <w:szCs w:val="18"/>
              </w:rPr>
            </w:pPr>
            <w:r w:rsidRPr="001B7507">
              <w:rPr>
                <w:color w:val="000000" w:themeColor="text1"/>
                <w:sz w:val="18"/>
                <w:szCs w:val="18"/>
              </w:rPr>
              <w:t xml:space="preserve">Consider </w:t>
            </w:r>
            <w:r w:rsidRPr="00917349">
              <w:rPr>
                <w:b/>
                <w:bCs/>
                <w:color w:val="000000" w:themeColor="text1"/>
                <w:sz w:val="18"/>
                <w:szCs w:val="18"/>
              </w:rPr>
              <w:t>dedicated national health workforce planning governance oversight</w:t>
            </w:r>
            <w:r w:rsidRPr="001B7507">
              <w:rPr>
                <w:color w:val="000000" w:themeColor="text1"/>
                <w:sz w:val="18"/>
                <w:szCs w:val="18"/>
              </w:rPr>
              <w:t xml:space="preserve"> (either within the Agreement or as an adjunct to it) along the lines of the previous Health Workforce Australia. This</w:t>
            </w:r>
            <w:r w:rsidR="005F5391">
              <w:rPr>
                <w:color w:val="000000" w:themeColor="text1"/>
                <w:sz w:val="18"/>
                <w:szCs w:val="18"/>
              </w:rPr>
              <w:t>,</w:t>
            </w:r>
            <w:r w:rsidRPr="001B7507">
              <w:rPr>
                <w:color w:val="000000" w:themeColor="text1"/>
                <w:sz w:val="18"/>
                <w:szCs w:val="18"/>
              </w:rPr>
              <w:t xml:space="preserve"> together with a shared Commonwealth and State</w:t>
            </w:r>
            <w:r w:rsidR="00986017">
              <w:rPr>
                <w:color w:val="000000" w:themeColor="text1"/>
                <w:sz w:val="18"/>
                <w:szCs w:val="18"/>
              </w:rPr>
              <w:t xml:space="preserve"> and </w:t>
            </w:r>
            <w:r w:rsidRPr="001B7507">
              <w:rPr>
                <w:color w:val="000000" w:themeColor="text1"/>
                <w:sz w:val="18"/>
                <w:szCs w:val="18"/>
              </w:rPr>
              <w:t>Territory commitment</w:t>
            </w:r>
            <w:r w:rsidR="005F5391">
              <w:rPr>
                <w:color w:val="000000" w:themeColor="text1"/>
                <w:sz w:val="18"/>
                <w:szCs w:val="18"/>
              </w:rPr>
              <w:t>,</w:t>
            </w:r>
            <w:r w:rsidRPr="001B7507">
              <w:rPr>
                <w:color w:val="000000" w:themeColor="text1"/>
                <w:sz w:val="18"/>
                <w:szCs w:val="18"/>
              </w:rPr>
              <w:t xml:space="preserve"> would provide a vehicle to drive collaborative reform on workforce priorities.</w:t>
            </w:r>
          </w:p>
          <w:p w14:paraId="62D8BF0F" w14:textId="77777777" w:rsidR="00EB257A" w:rsidRPr="001B7507" w:rsidRDefault="00EB257A" w:rsidP="001B7507">
            <w:pPr>
              <w:numPr>
                <w:ilvl w:val="0"/>
                <w:numId w:val="104"/>
              </w:numPr>
              <w:spacing w:before="60" w:after="60"/>
              <w:ind w:left="856"/>
              <w:rPr>
                <w:rFonts w:eastAsia="Verdana"/>
                <w:sz w:val="18"/>
                <w:szCs w:val="18"/>
              </w:rPr>
            </w:pPr>
            <w:r w:rsidRPr="001B7507">
              <w:rPr>
                <w:color w:val="000000" w:themeColor="text1"/>
                <w:sz w:val="18"/>
                <w:szCs w:val="18"/>
              </w:rPr>
              <w:t>Include a commitment to the continued development of the national regulation scheme through the Australian Health Practitioner Regulation Authority (AHPRA).</w:t>
            </w:r>
          </w:p>
        </w:tc>
        <w:tc>
          <w:tcPr>
            <w:tcW w:w="661" w:type="pct"/>
            <w:tcBorders>
              <w:top w:val="single" w:sz="8" w:space="0" w:color="D9D9D9"/>
              <w:left w:val="nil"/>
              <w:bottom w:val="single" w:sz="8" w:space="0" w:color="D9D9D9"/>
              <w:right w:val="nil"/>
            </w:tcBorders>
          </w:tcPr>
          <w:p w14:paraId="73CB32B5" w14:textId="54B7C1CF" w:rsidR="00EB257A" w:rsidRPr="001B7507" w:rsidRDefault="00E01683" w:rsidP="001B7507">
            <w:pPr>
              <w:pStyle w:val="Summarytable"/>
              <w:spacing w:before="60" w:after="60"/>
              <w:ind w:left="0"/>
              <w:rPr>
                <w:b w:val="0"/>
                <w:bCs w:val="0"/>
                <w:sz w:val="18"/>
                <w:szCs w:val="18"/>
                <w:lang w:val="en-GB"/>
              </w:rPr>
            </w:pPr>
            <w:r>
              <w:rPr>
                <w:b w:val="0"/>
                <w:bCs w:val="0"/>
                <w:sz w:val="18"/>
                <w:szCs w:val="18"/>
                <w:lang w:val="en-GB"/>
              </w:rPr>
              <w:t xml:space="preserve">5.8.1 </w:t>
            </w:r>
            <w:r w:rsidR="008D182C" w:rsidRPr="001B7507">
              <w:rPr>
                <w:b w:val="0"/>
                <w:bCs w:val="0"/>
                <w:sz w:val="18"/>
                <w:szCs w:val="18"/>
                <w:lang w:val="en-GB"/>
              </w:rPr>
              <w:t xml:space="preserve">- </w:t>
            </w:r>
            <w:r w:rsidR="002D6A7F">
              <w:rPr>
                <w:b w:val="0"/>
                <w:bCs w:val="0"/>
                <w:sz w:val="18"/>
                <w:szCs w:val="18"/>
                <w:lang w:val="en-GB"/>
              </w:rPr>
              <w:t>Workforce</w:t>
            </w:r>
          </w:p>
        </w:tc>
      </w:tr>
      <w:tr w:rsidR="00ED6A10" w:rsidRPr="001B7507" w14:paraId="1F604569" w14:textId="527FB0A1" w:rsidTr="00025B1E">
        <w:tc>
          <w:tcPr>
            <w:tcW w:w="436" w:type="pct"/>
            <w:vMerge/>
            <w:tcBorders>
              <w:left w:val="nil"/>
              <w:bottom w:val="single" w:sz="8" w:space="0" w:color="D9D9D9"/>
              <w:right w:val="nil"/>
            </w:tcBorders>
            <w:shd w:val="clear" w:color="auto" w:fill="auto"/>
          </w:tcPr>
          <w:p w14:paraId="5257F393" w14:textId="77777777" w:rsidR="00EB257A" w:rsidRPr="001B7507" w:rsidRDefault="00EB257A" w:rsidP="001B7507">
            <w:pPr>
              <w:spacing w:before="60" w:after="60"/>
              <w:rPr>
                <w:rFonts w:eastAsia="Verdana"/>
                <w:sz w:val="18"/>
                <w:szCs w:val="18"/>
              </w:rPr>
            </w:pPr>
          </w:p>
        </w:tc>
        <w:tc>
          <w:tcPr>
            <w:tcW w:w="454" w:type="pct"/>
            <w:tcBorders>
              <w:top w:val="single" w:sz="8" w:space="0" w:color="D9D9D9"/>
              <w:left w:val="nil"/>
              <w:bottom w:val="single" w:sz="8" w:space="0" w:color="D9D9D9"/>
              <w:right w:val="nil"/>
            </w:tcBorders>
          </w:tcPr>
          <w:p w14:paraId="13283F19" w14:textId="77777777" w:rsidR="00EB257A" w:rsidRPr="001B7507" w:rsidRDefault="00EB257A" w:rsidP="001B7507">
            <w:pPr>
              <w:spacing w:before="60" w:after="60"/>
              <w:rPr>
                <w:rFonts w:eastAsia="Verdana"/>
                <w:sz w:val="18"/>
                <w:szCs w:val="18"/>
              </w:rPr>
            </w:pPr>
            <w:r w:rsidRPr="001B7507">
              <w:rPr>
                <w:rFonts w:eastAsia="Verdana"/>
                <w:sz w:val="18"/>
                <w:szCs w:val="18"/>
              </w:rPr>
              <w:t>Digital Health reflected in new Schedule</w:t>
            </w:r>
          </w:p>
        </w:tc>
        <w:tc>
          <w:tcPr>
            <w:tcW w:w="3449" w:type="pct"/>
            <w:tcBorders>
              <w:top w:val="single" w:sz="8" w:space="0" w:color="D9D9D9"/>
              <w:left w:val="nil"/>
              <w:bottom w:val="single" w:sz="8" w:space="0" w:color="D9D9D9"/>
              <w:right w:val="nil"/>
            </w:tcBorders>
            <w:shd w:val="clear" w:color="auto" w:fill="auto"/>
          </w:tcPr>
          <w:p w14:paraId="0A095CC1" w14:textId="77777777" w:rsidR="00EB257A" w:rsidRPr="001B7507" w:rsidRDefault="00EB257A" w:rsidP="001B7507">
            <w:pPr>
              <w:pStyle w:val="Summarytable"/>
              <w:numPr>
                <w:ilvl w:val="0"/>
                <w:numId w:val="95"/>
              </w:numPr>
              <w:spacing w:before="60" w:after="60"/>
              <w:rPr>
                <w:b w:val="0"/>
                <w:bCs w:val="0"/>
                <w:sz w:val="18"/>
                <w:szCs w:val="18"/>
              </w:rPr>
            </w:pPr>
            <w:r w:rsidRPr="001B7507">
              <w:rPr>
                <w:b w:val="0"/>
                <w:bCs w:val="0"/>
                <w:sz w:val="18"/>
                <w:szCs w:val="18"/>
                <w:lang w:val="en-GB"/>
              </w:rPr>
              <w:t xml:space="preserve">A future Agreement should include an explicit </w:t>
            </w:r>
            <w:r w:rsidRPr="001B7507">
              <w:rPr>
                <w:sz w:val="18"/>
                <w:szCs w:val="18"/>
                <w:lang w:val="en-GB"/>
              </w:rPr>
              <w:t xml:space="preserve">commitment to progress digital health as a key enabler to improving the health system, </w:t>
            </w:r>
            <w:r w:rsidRPr="001B7507">
              <w:rPr>
                <w:b w:val="0"/>
                <w:bCs w:val="0"/>
                <w:sz w:val="18"/>
                <w:szCs w:val="18"/>
                <w:lang w:val="en-GB"/>
              </w:rPr>
              <w:t>as an additional Schedule. The Schedule should reflect:</w:t>
            </w:r>
          </w:p>
          <w:p w14:paraId="46B316B6" w14:textId="77777777" w:rsidR="00EB257A" w:rsidRPr="001B7507" w:rsidRDefault="00EB257A" w:rsidP="001B7507">
            <w:pPr>
              <w:numPr>
                <w:ilvl w:val="0"/>
                <w:numId w:val="105"/>
              </w:numPr>
              <w:spacing w:before="60" w:after="60"/>
              <w:ind w:left="855"/>
              <w:rPr>
                <w:color w:val="000000" w:themeColor="text1"/>
                <w:sz w:val="18"/>
                <w:szCs w:val="18"/>
              </w:rPr>
            </w:pPr>
            <w:r w:rsidRPr="001B7507">
              <w:rPr>
                <w:color w:val="000000" w:themeColor="text1"/>
                <w:sz w:val="18"/>
                <w:szCs w:val="18"/>
              </w:rPr>
              <w:t>Support and incentivisation for a digitally enabled healthcare system, including integrated funding for evolving models of care.</w:t>
            </w:r>
          </w:p>
          <w:p w14:paraId="5F7B3063" w14:textId="77777777" w:rsidR="00EB257A" w:rsidRPr="001B7507" w:rsidRDefault="00EB257A" w:rsidP="001B7507">
            <w:pPr>
              <w:numPr>
                <w:ilvl w:val="0"/>
                <w:numId w:val="105"/>
              </w:numPr>
              <w:spacing w:before="60" w:after="60"/>
              <w:ind w:left="855"/>
              <w:rPr>
                <w:color w:val="000000" w:themeColor="text1"/>
                <w:sz w:val="18"/>
                <w:szCs w:val="18"/>
              </w:rPr>
            </w:pPr>
            <w:r w:rsidRPr="001B7507">
              <w:rPr>
                <w:color w:val="000000" w:themeColor="text1"/>
                <w:sz w:val="18"/>
                <w:szCs w:val="18"/>
              </w:rPr>
              <w:t>The role of the Australian Digital Health Agency (ADHA) in progressing digital health.</w:t>
            </w:r>
          </w:p>
          <w:p w14:paraId="13FC31DD" w14:textId="77777777" w:rsidR="00EB257A" w:rsidRPr="001B7507" w:rsidRDefault="00EB257A" w:rsidP="001B7507">
            <w:pPr>
              <w:numPr>
                <w:ilvl w:val="0"/>
                <w:numId w:val="105"/>
              </w:numPr>
              <w:spacing w:before="60" w:after="60"/>
              <w:ind w:left="855"/>
              <w:rPr>
                <w:color w:val="000000" w:themeColor="text1"/>
                <w:sz w:val="18"/>
                <w:szCs w:val="18"/>
              </w:rPr>
            </w:pPr>
            <w:r w:rsidRPr="001B7507">
              <w:rPr>
                <w:color w:val="000000" w:themeColor="text1"/>
                <w:sz w:val="18"/>
                <w:szCs w:val="18"/>
              </w:rPr>
              <w:t xml:space="preserve">The </w:t>
            </w:r>
            <w:r w:rsidRPr="001B7507">
              <w:rPr>
                <w:i/>
                <w:iCs/>
                <w:color w:val="000000" w:themeColor="text1"/>
                <w:sz w:val="18"/>
                <w:szCs w:val="18"/>
              </w:rPr>
              <w:t>Intergovernmental Agreement (IGA) on National Digital Health 2023-27</w:t>
            </w:r>
            <w:r w:rsidRPr="001B7507">
              <w:rPr>
                <w:color w:val="000000" w:themeColor="text1"/>
                <w:sz w:val="18"/>
                <w:szCs w:val="18"/>
              </w:rPr>
              <w:t xml:space="preserve"> and </w:t>
            </w:r>
            <w:r w:rsidRPr="001B7507">
              <w:rPr>
                <w:i/>
                <w:iCs/>
                <w:color w:val="000000" w:themeColor="text1"/>
                <w:sz w:val="18"/>
                <w:szCs w:val="18"/>
              </w:rPr>
              <w:t>Connecting Australian Healthcare - National Healthcare Interoperability Plan 2023-28.</w:t>
            </w:r>
          </w:p>
          <w:p w14:paraId="711074DD" w14:textId="371FD463" w:rsidR="00EB257A" w:rsidRPr="001B7507" w:rsidRDefault="00EB257A" w:rsidP="001B7507">
            <w:pPr>
              <w:numPr>
                <w:ilvl w:val="0"/>
                <w:numId w:val="105"/>
              </w:numPr>
              <w:spacing w:before="60" w:after="60"/>
              <w:ind w:left="855"/>
              <w:rPr>
                <w:rFonts w:eastAsia="Verdana"/>
                <w:sz w:val="18"/>
                <w:szCs w:val="18"/>
              </w:rPr>
            </w:pPr>
            <w:r w:rsidRPr="001B7507">
              <w:rPr>
                <w:color w:val="000000" w:themeColor="text1"/>
                <w:sz w:val="18"/>
                <w:szCs w:val="18"/>
              </w:rPr>
              <w:t xml:space="preserve">Agreed priorities, roles and responsibilities, and actions to progress digital </w:t>
            </w:r>
            <w:r w:rsidR="00FC69BE" w:rsidRPr="001B7507">
              <w:rPr>
                <w:color w:val="000000" w:themeColor="text1"/>
                <w:sz w:val="18"/>
                <w:szCs w:val="18"/>
              </w:rPr>
              <w:t>health, data</w:t>
            </w:r>
            <w:r w:rsidRPr="001B7507">
              <w:rPr>
                <w:color w:val="000000" w:themeColor="text1"/>
                <w:sz w:val="18"/>
                <w:szCs w:val="18"/>
              </w:rPr>
              <w:t xml:space="preserve"> sharing and data linkage as a foundation to advance effective co-commissioning and optimal models of care.</w:t>
            </w:r>
          </w:p>
        </w:tc>
        <w:tc>
          <w:tcPr>
            <w:tcW w:w="661" w:type="pct"/>
            <w:tcBorders>
              <w:top w:val="single" w:sz="8" w:space="0" w:color="D9D9D9"/>
              <w:left w:val="nil"/>
              <w:bottom w:val="single" w:sz="8" w:space="0" w:color="D9D9D9"/>
              <w:right w:val="nil"/>
            </w:tcBorders>
          </w:tcPr>
          <w:p w14:paraId="07A7E888" w14:textId="5CD7DE53" w:rsidR="00EB257A" w:rsidRPr="001B7507" w:rsidRDefault="008D182C" w:rsidP="001B7507">
            <w:pPr>
              <w:pStyle w:val="Summarytable"/>
              <w:spacing w:before="60" w:after="60"/>
              <w:ind w:left="0"/>
              <w:rPr>
                <w:b w:val="0"/>
                <w:bCs w:val="0"/>
                <w:sz w:val="18"/>
                <w:szCs w:val="18"/>
                <w:lang w:val="en-GB"/>
              </w:rPr>
            </w:pPr>
            <w:r w:rsidRPr="001B7507">
              <w:rPr>
                <w:b w:val="0"/>
                <w:bCs w:val="0"/>
                <w:sz w:val="18"/>
                <w:szCs w:val="18"/>
                <w:lang w:val="en-GB"/>
              </w:rPr>
              <w:fldChar w:fldCharType="begin" w:fldLock="1"/>
            </w:r>
            <w:r w:rsidRPr="001B7507">
              <w:rPr>
                <w:b w:val="0"/>
                <w:bCs w:val="0"/>
                <w:sz w:val="18"/>
                <w:szCs w:val="18"/>
                <w:lang w:val="en-GB"/>
              </w:rPr>
              <w:instrText xml:space="preserve"> REF _Ref148445281 \w \h </w:instrText>
            </w:r>
            <w:r w:rsidR="00C66478" w:rsidRPr="001B7507">
              <w:rPr>
                <w:b w:val="0"/>
                <w:bCs w:val="0"/>
                <w:sz w:val="18"/>
                <w:szCs w:val="18"/>
                <w:lang w:val="en-GB"/>
              </w:rPr>
              <w:instrText xml:space="preserve"> \* MERGEFORMAT </w:instrText>
            </w:r>
            <w:r w:rsidRPr="001B7507">
              <w:rPr>
                <w:b w:val="0"/>
                <w:bCs w:val="0"/>
                <w:sz w:val="18"/>
                <w:szCs w:val="18"/>
                <w:lang w:val="en-GB"/>
              </w:rPr>
            </w:r>
            <w:r w:rsidRPr="001B7507">
              <w:rPr>
                <w:b w:val="0"/>
                <w:bCs w:val="0"/>
                <w:sz w:val="18"/>
                <w:szCs w:val="18"/>
                <w:lang w:val="en-GB"/>
              </w:rPr>
              <w:fldChar w:fldCharType="separate"/>
            </w:r>
            <w:r w:rsidR="00FA10A4">
              <w:rPr>
                <w:b w:val="0"/>
                <w:bCs w:val="0"/>
                <w:sz w:val="18"/>
                <w:szCs w:val="18"/>
                <w:lang w:val="en-GB"/>
              </w:rPr>
              <w:t>5.8.2.3</w:t>
            </w:r>
            <w:r w:rsidRPr="001B7507">
              <w:rPr>
                <w:b w:val="0"/>
                <w:bCs w:val="0"/>
                <w:sz w:val="18"/>
                <w:szCs w:val="18"/>
                <w:lang w:val="en-GB"/>
              </w:rPr>
              <w:fldChar w:fldCharType="end"/>
            </w:r>
            <w:r w:rsidRPr="001B7507">
              <w:rPr>
                <w:b w:val="0"/>
                <w:bCs w:val="0"/>
                <w:sz w:val="18"/>
                <w:szCs w:val="18"/>
                <w:lang w:val="en-GB"/>
              </w:rPr>
              <w:t xml:space="preserve"> - </w:t>
            </w:r>
            <w:r w:rsidRPr="001B7507">
              <w:rPr>
                <w:b w:val="0"/>
                <w:bCs w:val="0"/>
                <w:sz w:val="18"/>
                <w:szCs w:val="18"/>
                <w:lang w:val="en-GB"/>
              </w:rPr>
              <w:fldChar w:fldCharType="begin" w:fldLock="1"/>
            </w:r>
            <w:r w:rsidRPr="001B7507">
              <w:rPr>
                <w:b w:val="0"/>
                <w:bCs w:val="0"/>
                <w:sz w:val="18"/>
                <w:szCs w:val="18"/>
                <w:lang w:val="en-GB"/>
              </w:rPr>
              <w:instrText xml:space="preserve"> REF _Ref148445281 \h </w:instrText>
            </w:r>
            <w:r w:rsidR="00C66478" w:rsidRPr="001B7507">
              <w:rPr>
                <w:b w:val="0"/>
                <w:bCs w:val="0"/>
                <w:sz w:val="18"/>
                <w:szCs w:val="18"/>
                <w:lang w:val="en-GB"/>
              </w:rPr>
              <w:instrText xml:space="preserve"> \* MERGEFORMAT </w:instrText>
            </w:r>
            <w:r w:rsidRPr="001B7507">
              <w:rPr>
                <w:b w:val="0"/>
                <w:bCs w:val="0"/>
                <w:sz w:val="18"/>
                <w:szCs w:val="18"/>
                <w:lang w:val="en-GB"/>
              </w:rPr>
            </w:r>
            <w:r w:rsidRPr="001B7507">
              <w:rPr>
                <w:b w:val="0"/>
                <w:bCs w:val="0"/>
                <w:sz w:val="18"/>
                <w:szCs w:val="18"/>
                <w:lang w:val="en-GB"/>
              </w:rPr>
              <w:fldChar w:fldCharType="separate"/>
            </w:r>
            <w:r w:rsidR="00FA10A4" w:rsidRPr="00FA10A4">
              <w:rPr>
                <w:b w:val="0"/>
                <w:bCs w:val="0"/>
                <w:sz w:val="18"/>
                <w:szCs w:val="18"/>
              </w:rPr>
              <w:t>Shared commitment to progressing digital health and data sharing</w:t>
            </w:r>
            <w:r w:rsidRPr="001B7507">
              <w:rPr>
                <w:b w:val="0"/>
                <w:bCs w:val="0"/>
                <w:sz w:val="18"/>
                <w:szCs w:val="18"/>
                <w:lang w:val="en-GB"/>
              </w:rPr>
              <w:fldChar w:fldCharType="end"/>
            </w:r>
          </w:p>
        </w:tc>
      </w:tr>
      <w:tr w:rsidR="00ED6A10" w:rsidRPr="001B7507" w14:paraId="47E4518B" w14:textId="6F9AEA5F" w:rsidTr="00025B1E">
        <w:tc>
          <w:tcPr>
            <w:tcW w:w="436" w:type="pct"/>
            <w:vMerge w:val="restart"/>
            <w:tcBorders>
              <w:top w:val="single" w:sz="8" w:space="0" w:color="D9D9D9"/>
              <w:left w:val="nil"/>
              <w:right w:val="nil"/>
            </w:tcBorders>
            <w:shd w:val="clear" w:color="auto" w:fill="auto"/>
          </w:tcPr>
          <w:p w14:paraId="4B53A230" w14:textId="77777777" w:rsidR="00EB257A" w:rsidRPr="001B7507" w:rsidRDefault="00EB257A" w:rsidP="001B7507">
            <w:pPr>
              <w:spacing w:before="60" w:after="60"/>
              <w:rPr>
                <w:rFonts w:eastAsia="Verdana"/>
                <w:sz w:val="18"/>
                <w:szCs w:val="18"/>
              </w:rPr>
            </w:pPr>
            <w:r w:rsidRPr="001B7507">
              <w:rPr>
                <w:rFonts w:eastAsia="Verdana"/>
                <w:sz w:val="18"/>
                <w:szCs w:val="18"/>
              </w:rPr>
              <w:t>Measuring the success of the Agreement</w:t>
            </w:r>
          </w:p>
        </w:tc>
        <w:tc>
          <w:tcPr>
            <w:tcW w:w="454" w:type="pct"/>
            <w:tcBorders>
              <w:top w:val="single" w:sz="8" w:space="0" w:color="D9D9D9"/>
              <w:left w:val="nil"/>
              <w:bottom w:val="single" w:sz="8" w:space="0" w:color="D9D9D9"/>
              <w:right w:val="nil"/>
            </w:tcBorders>
          </w:tcPr>
          <w:p w14:paraId="6281EB7E" w14:textId="77777777" w:rsidR="00EB257A" w:rsidRPr="001B7507" w:rsidRDefault="00EB257A" w:rsidP="001B7507">
            <w:pPr>
              <w:spacing w:before="60" w:after="60"/>
              <w:rPr>
                <w:rFonts w:eastAsia="Verdana"/>
                <w:sz w:val="18"/>
                <w:szCs w:val="18"/>
              </w:rPr>
            </w:pPr>
            <w:r w:rsidRPr="001B7507">
              <w:rPr>
                <w:rFonts w:eastAsia="Verdana"/>
                <w:sz w:val="18"/>
                <w:szCs w:val="18"/>
              </w:rPr>
              <w:t>Health System Performance Framework</w:t>
            </w:r>
          </w:p>
        </w:tc>
        <w:tc>
          <w:tcPr>
            <w:tcW w:w="3449" w:type="pct"/>
            <w:tcBorders>
              <w:top w:val="single" w:sz="8" w:space="0" w:color="D9D9D9"/>
              <w:left w:val="nil"/>
              <w:bottom w:val="single" w:sz="8" w:space="0" w:color="D9D9D9"/>
              <w:right w:val="nil"/>
            </w:tcBorders>
            <w:shd w:val="clear" w:color="auto" w:fill="auto"/>
          </w:tcPr>
          <w:p w14:paraId="2D343BBB" w14:textId="288E39A8" w:rsidR="00EB257A" w:rsidRPr="001B7507" w:rsidRDefault="00EB257A" w:rsidP="001B7507">
            <w:pPr>
              <w:numPr>
                <w:ilvl w:val="0"/>
                <w:numId w:val="95"/>
              </w:numPr>
              <w:spacing w:before="60" w:after="60"/>
              <w:ind w:left="332" w:hanging="283"/>
              <w:rPr>
                <w:rFonts w:eastAsia="Verdana"/>
                <w:sz w:val="18"/>
                <w:szCs w:val="18"/>
              </w:rPr>
            </w:pPr>
            <w:r w:rsidRPr="001B7507">
              <w:rPr>
                <w:sz w:val="18"/>
                <w:szCs w:val="18"/>
              </w:rPr>
              <w:t xml:space="preserve">A broadly based </w:t>
            </w:r>
            <w:r w:rsidRPr="001B7507">
              <w:rPr>
                <w:b/>
                <w:bCs/>
                <w:sz w:val="18"/>
                <w:szCs w:val="18"/>
              </w:rPr>
              <w:t>health system performance framework</w:t>
            </w:r>
            <w:r w:rsidRPr="001B7507">
              <w:rPr>
                <w:sz w:val="18"/>
                <w:szCs w:val="18"/>
              </w:rPr>
              <w:t xml:space="preserve"> </w:t>
            </w:r>
            <w:r w:rsidRPr="00917349">
              <w:rPr>
                <w:b/>
                <w:bCs/>
                <w:sz w:val="18"/>
                <w:szCs w:val="18"/>
              </w:rPr>
              <w:t>incorporating quantitative and qualitative indicators and outcome measures</w:t>
            </w:r>
            <w:r w:rsidRPr="001B7507">
              <w:rPr>
                <w:sz w:val="18"/>
                <w:szCs w:val="18"/>
              </w:rPr>
              <w:t xml:space="preserve"> that accurately report against the objectives of the Agreement should be developed as a priority, with clear governance drawing on the expertise of the NHRA national bodies, and with at least annual reporting to Health Ministers on system performance and improvement strategies.</w:t>
            </w:r>
          </w:p>
        </w:tc>
        <w:tc>
          <w:tcPr>
            <w:tcW w:w="661" w:type="pct"/>
            <w:tcBorders>
              <w:top w:val="single" w:sz="8" w:space="0" w:color="D9D9D9"/>
              <w:left w:val="nil"/>
              <w:bottom w:val="single" w:sz="8" w:space="0" w:color="D9D9D9"/>
              <w:right w:val="nil"/>
            </w:tcBorders>
          </w:tcPr>
          <w:p w14:paraId="251E386C" w14:textId="09F7A9FE" w:rsidR="00EB257A" w:rsidRPr="001B7507" w:rsidRDefault="00CC3B99" w:rsidP="001B7507">
            <w:pPr>
              <w:spacing w:before="60" w:after="60"/>
              <w:ind w:left="49"/>
              <w:rPr>
                <w:sz w:val="18"/>
                <w:szCs w:val="18"/>
              </w:rPr>
            </w:pPr>
            <w:r w:rsidRPr="001B7507">
              <w:rPr>
                <w:sz w:val="18"/>
                <w:szCs w:val="18"/>
              </w:rPr>
              <w:fldChar w:fldCharType="begin" w:fldLock="1"/>
            </w:r>
            <w:r w:rsidRPr="001B7507">
              <w:rPr>
                <w:sz w:val="18"/>
                <w:szCs w:val="18"/>
              </w:rPr>
              <w:instrText xml:space="preserve"> REF _Ref148445344 \w \h </w:instrText>
            </w:r>
            <w:r w:rsidR="00C66478" w:rsidRPr="001B7507">
              <w:rPr>
                <w:sz w:val="18"/>
                <w:szCs w:val="18"/>
              </w:rPr>
              <w:instrText xml:space="preserve"> \* MERGEFORMAT </w:instrText>
            </w:r>
            <w:r w:rsidRPr="001B7507">
              <w:rPr>
                <w:sz w:val="18"/>
                <w:szCs w:val="18"/>
              </w:rPr>
            </w:r>
            <w:r w:rsidRPr="001B7507">
              <w:rPr>
                <w:sz w:val="18"/>
                <w:szCs w:val="18"/>
              </w:rPr>
              <w:fldChar w:fldCharType="separate"/>
            </w:r>
            <w:r w:rsidR="00FA10A4">
              <w:rPr>
                <w:sz w:val="18"/>
                <w:szCs w:val="18"/>
              </w:rPr>
              <w:t>5.9.1</w:t>
            </w:r>
            <w:r w:rsidRPr="001B7507">
              <w:rPr>
                <w:sz w:val="18"/>
                <w:szCs w:val="18"/>
              </w:rPr>
              <w:fldChar w:fldCharType="end"/>
            </w:r>
            <w:r w:rsidRPr="001B7507">
              <w:rPr>
                <w:sz w:val="18"/>
                <w:szCs w:val="18"/>
              </w:rPr>
              <w:t xml:space="preserve"> - </w:t>
            </w:r>
            <w:r w:rsidRPr="001B7507">
              <w:rPr>
                <w:sz w:val="18"/>
                <w:szCs w:val="18"/>
              </w:rPr>
              <w:fldChar w:fldCharType="begin" w:fldLock="1"/>
            </w:r>
            <w:r w:rsidRPr="001B7507">
              <w:rPr>
                <w:sz w:val="18"/>
                <w:szCs w:val="18"/>
              </w:rPr>
              <w:instrText xml:space="preserve"> REF _Ref148445344 \h </w:instrText>
            </w:r>
            <w:r w:rsidR="00C66478" w:rsidRPr="001B7507">
              <w:rPr>
                <w:sz w:val="18"/>
                <w:szCs w:val="18"/>
              </w:rPr>
              <w:instrText xml:space="preserve"> \* MERGEFORMAT </w:instrText>
            </w:r>
            <w:r w:rsidRPr="001B7507">
              <w:rPr>
                <w:sz w:val="18"/>
                <w:szCs w:val="18"/>
              </w:rPr>
            </w:r>
            <w:r w:rsidRPr="001B7507">
              <w:rPr>
                <w:sz w:val="18"/>
                <w:szCs w:val="18"/>
              </w:rPr>
              <w:fldChar w:fldCharType="separate"/>
            </w:r>
            <w:r w:rsidR="00FA10A4" w:rsidRPr="00FA10A4">
              <w:rPr>
                <w:sz w:val="18"/>
                <w:szCs w:val="18"/>
              </w:rPr>
              <w:t>The need for a health system performance framework</w:t>
            </w:r>
            <w:r w:rsidRPr="001B7507">
              <w:rPr>
                <w:sz w:val="18"/>
                <w:szCs w:val="18"/>
              </w:rPr>
              <w:fldChar w:fldCharType="end"/>
            </w:r>
          </w:p>
        </w:tc>
      </w:tr>
      <w:tr w:rsidR="00ED6A10" w:rsidRPr="001B7507" w14:paraId="6E6968FF" w14:textId="4ED48608" w:rsidTr="00025B1E">
        <w:tc>
          <w:tcPr>
            <w:tcW w:w="436" w:type="pct"/>
            <w:vMerge/>
            <w:tcBorders>
              <w:left w:val="nil"/>
              <w:right w:val="nil"/>
            </w:tcBorders>
            <w:shd w:val="clear" w:color="auto" w:fill="auto"/>
          </w:tcPr>
          <w:p w14:paraId="1D192ED2" w14:textId="77777777" w:rsidR="00EB257A" w:rsidRPr="001B7507" w:rsidRDefault="00EB257A" w:rsidP="001B7507">
            <w:pPr>
              <w:spacing w:before="60" w:after="60"/>
              <w:rPr>
                <w:rFonts w:eastAsia="Verdana"/>
                <w:sz w:val="18"/>
                <w:szCs w:val="18"/>
              </w:rPr>
            </w:pPr>
          </w:p>
        </w:tc>
        <w:tc>
          <w:tcPr>
            <w:tcW w:w="454" w:type="pct"/>
            <w:tcBorders>
              <w:top w:val="single" w:sz="8" w:space="0" w:color="D9D9D9"/>
              <w:left w:val="nil"/>
              <w:bottom w:val="single" w:sz="8" w:space="0" w:color="D9D9D9"/>
              <w:right w:val="nil"/>
            </w:tcBorders>
          </w:tcPr>
          <w:p w14:paraId="6A25E249" w14:textId="71DDE2DF" w:rsidR="00EB257A" w:rsidRPr="001B7507" w:rsidRDefault="00EB257A" w:rsidP="001B7507">
            <w:pPr>
              <w:spacing w:before="60" w:after="60"/>
              <w:rPr>
                <w:rFonts w:eastAsia="Verdana"/>
                <w:sz w:val="18"/>
                <w:szCs w:val="18"/>
              </w:rPr>
            </w:pPr>
            <w:r w:rsidRPr="001B7507">
              <w:rPr>
                <w:rFonts w:eastAsia="Verdana"/>
                <w:sz w:val="18"/>
                <w:szCs w:val="18"/>
              </w:rPr>
              <w:t xml:space="preserve">Framework responsibility with AIHW and new Innovation and Reform Agency  </w:t>
            </w:r>
          </w:p>
        </w:tc>
        <w:tc>
          <w:tcPr>
            <w:tcW w:w="3449" w:type="pct"/>
            <w:tcBorders>
              <w:top w:val="single" w:sz="8" w:space="0" w:color="D9D9D9"/>
              <w:left w:val="nil"/>
              <w:bottom w:val="single" w:sz="8" w:space="0" w:color="D9D9D9"/>
              <w:right w:val="nil"/>
            </w:tcBorders>
            <w:shd w:val="clear" w:color="auto" w:fill="auto"/>
          </w:tcPr>
          <w:p w14:paraId="4A670CF8" w14:textId="1F9296FA" w:rsidR="00EB257A" w:rsidRPr="001B7507" w:rsidRDefault="00EB257A" w:rsidP="001B7507">
            <w:pPr>
              <w:numPr>
                <w:ilvl w:val="0"/>
                <w:numId w:val="95"/>
              </w:numPr>
              <w:spacing w:before="60" w:after="60"/>
              <w:ind w:left="332" w:hanging="283"/>
              <w:rPr>
                <w:rFonts w:eastAsia="Verdana"/>
                <w:sz w:val="18"/>
                <w:szCs w:val="18"/>
              </w:rPr>
            </w:pPr>
            <w:r w:rsidRPr="001B7507">
              <w:rPr>
                <w:sz w:val="18"/>
                <w:szCs w:val="18"/>
              </w:rPr>
              <w:t xml:space="preserve">The </w:t>
            </w:r>
            <w:r w:rsidRPr="001B7507">
              <w:rPr>
                <w:b/>
                <w:bCs/>
                <w:sz w:val="18"/>
                <w:szCs w:val="18"/>
              </w:rPr>
              <w:t>AIHW should be primarily responsible for the development of nationally consistent data standards, data collection and reporting</w:t>
            </w:r>
            <w:r w:rsidRPr="001B7507">
              <w:rPr>
                <w:sz w:val="18"/>
                <w:szCs w:val="18"/>
              </w:rPr>
              <w:t xml:space="preserve"> for the health system performance framework, working with jurisdictions and the national bodies, with the new</w:t>
            </w:r>
            <w:r w:rsidRPr="001B7507">
              <w:rPr>
                <w:b/>
                <w:bCs/>
                <w:sz w:val="18"/>
                <w:szCs w:val="18"/>
              </w:rPr>
              <w:t xml:space="preserve"> Innovation and Reform </w:t>
            </w:r>
            <w:r w:rsidR="00E850C0">
              <w:rPr>
                <w:b/>
                <w:bCs/>
                <w:sz w:val="18"/>
                <w:szCs w:val="18"/>
              </w:rPr>
              <w:t>Agency</w:t>
            </w:r>
            <w:r w:rsidR="00945BF2">
              <w:rPr>
                <w:b/>
                <w:bCs/>
                <w:sz w:val="18"/>
                <w:szCs w:val="18"/>
              </w:rPr>
              <w:t xml:space="preserve"> </w:t>
            </w:r>
            <w:r w:rsidRPr="001B7507">
              <w:rPr>
                <w:b/>
                <w:bCs/>
                <w:sz w:val="18"/>
                <w:szCs w:val="18"/>
              </w:rPr>
              <w:t>to advise Ministers on potential innovation and reform responses</w:t>
            </w:r>
            <w:r w:rsidRPr="001B7507">
              <w:rPr>
                <w:sz w:val="18"/>
                <w:szCs w:val="18"/>
              </w:rPr>
              <w:t xml:space="preserve"> to the system implications of reported data. </w:t>
            </w:r>
          </w:p>
        </w:tc>
        <w:tc>
          <w:tcPr>
            <w:tcW w:w="661" w:type="pct"/>
            <w:tcBorders>
              <w:top w:val="single" w:sz="8" w:space="0" w:color="D9D9D9"/>
              <w:left w:val="nil"/>
              <w:bottom w:val="single" w:sz="8" w:space="0" w:color="D9D9D9"/>
              <w:right w:val="nil"/>
            </w:tcBorders>
          </w:tcPr>
          <w:p w14:paraId="4A26C862" w14:textId="0B3340AA" w:rsidR="00EB257A" w:rsidRPr="001B7507" w:rsidRDefault="00CC3B99" w:rsidP="001B7507">
            <w:pPr>
              <w:spacing w:before="60" w:after="60"/>
              <w:ind w:left="49"/>
              <w:rPr>
                <w:sz w:val="18"/>
                <w:szCs w:val="18"/>
              </w:rPr>
            </w:pPr>
            <w:r w:rsidRPr="001B7507">
              <w:rPr>
                <w:sz w:val="18"/>
                <w:szCs w:val="18"/>
              </w:rPr>
              <w:fldChar w:fldCharType="begin" w:fldLock="1"/>
            </w:r>
            <w:r w:rsidRPr="001B7507">
              <w:rPr>
                <w:sz w:val="18"/>
                <w:szCs w:val="18"/>
              </w:rPr>
              <w:instrText xml:space="preserve"> REF _Ref148445344 \w \h </w:instrText>
            </w:r>
            <w:r w:rsidR="00C66478" w:rsidRPr="001B7507">
              <w:rPr>
                <w:sz w:val="18"/>
                <w:szCs w:val="18"/>
              </w:rPr>
              <w:instrText xml:space="preserve"> \* MERGEFORMAT </w:instrText>
            </w:r>
            <w:r w:rsidRPr="001B7507">
              <w:rPr>
                <w:sz w:val="18"/>
                <w:szCs w:val="18"/>
              </w:rPr>
            </w:r>
            <w:r w:rsidRPr="001B7507">
              <w:rPr>
                <w:sz w:val="18"/>
                <w:szCs w:val="18"/>
              </w:rPr>
              <w:fldChar w:fldCharType="separate"/>
            </w:r>
            <w:r w:rsidR="00FA10A4">
              <w:rPr>
                <w:sz w:val="18"/>
                <w:szCs w:val="18"/>
              </w:rPr>
              <w:t>5.9.1</w:t>
            </w:r>
            <w:r w:rsidRPr="001B7507">
              <w:rPr>
                <w:sz w:val="18"/>
                <w:szCs w:val="18"/>
              </w:rPr>
              <w:fldChar w:fldCharType="end"/>
            </w:r>
            <w:r w:rsidRPr="001B7507">
              <w:rPr>
                <w:sz w:val="18"/>
                <w:szCs w:val="18"/>
              </w:rPr>
              <w:t xml:space="preserve"> - </w:t>
            </w:r>
            <w:r w:rsidRPr="001B7507">
              <w:rPr>
                <w:sz w:val="18"/>
                <w:szCs w:val="18"/>
              </w:rPr>
              <w:fldChar w:fldCharType="begin" w:fldLock="1"/>
            </w:r>
            <w:r w:rsidRPr="001B7507">
              <w:rPr>
                <w:sz w:val="18"/>
                <w:szCs w:val="18"/>
              </w:rPr>
              <w:instrText xml:space="preserve"> REF _Ref148445344 \h </w:instrText>
            </w:r>
            <w:r w:rsidR="00C66478" w:rsidRPr="001B7507">
              <w:rPr>
                <w:sz w:val="18"/>
                <w:szCs w:val="18"/>
              </w:rPr>
              <w:instrText xml:space="preserve"> \* MERGEFORMAT </w:instrText>
            </w:r>
            <w:r w:rsidRPr="001B7507">
              <w:rPr>
                <w:sz w:val="18"/>
                <w:szCs w:val="18"/>
              </w:rPr>
            </w:r>
            <w:r w:rsidRPr="001B7507">
              <w:rPr>
                <w:sz w:val="18"/>
                <w:szCs w:val="18"/>
              </w:rPr>
              <w:fldChar w:fldCharType="separate"/>
            </w:r>
            <w:r w:rsidR="00FA10A4" w:rsidRPr="00FA10A4">
              <w:rPr>
                <w:sz w:val="18"/>
                <w:szCs w:val="18"/>
              </w:rPr>
              <w:t>The need for a health system performance framework</w:t>
            </w:r>
            <w:r w:rsidRPr="001B7507">
              <w:rPr>
                <w:sz w:val="18"/>
                <w:szCs w:val="18"/>
              </w:rPr>
              <w:fldChar w:fldCharType="end"/>
            </w:r>
          </w:p>
        </w:tc>
      </w:tr>
      <w:tr w:rsidR="00ED6A10" w:rsidRPr="001B7507" w14:paraId="10AA40A6" w14:textId="42821E3C" w:rsidTr="00025B1E">
        <w:tc>
          <w:tcPr>
            <w:tcW w:w="436" w:type="pct"/>
            <w:vMerge/>
            <w:tcBorders>
              <w:left w:val="nil"/>
              <w:bottom w:val="single" w:sz="8" w:space="0" w:color="D9D9D9"/>
              <w:right w:val="nil"/>
            </w:tcBorders>
            <w:shd w:val="clear" w:color="auto" w:fill="auto"/>
          </w:tcPr>
          <w:p w14:paraId="5CEDF5D9" w14:textId="77777777" w:rsidR="00EB257A" w:rsidRPr="001B7507" w:rsidRDefault="00EB257A" w:rsidP="001B7507">
            <w:pPr>
              <w:spacing w:before="60" w:after="60"/>
              <w:rPr>
                <w:rFonts w:eastAsia="Verdana"/>
                <w:sz w:val="18"/>
                <w:szCs w:val="18"/>
              </w:rPr>
            </w:pPr>
          </w:p>
        </w:tc>
        <w:tc>
          <w:tcPr>
            <w:tcW w:w="454" w:type="pct"/>
            <w:tcBorders>
              <w:top w:val="single" w:sz="8" w:space="0" w:color="D9D9D9"/>
              <w:left w:val="nil"/>
              <w:bottom w:val="single" w:sz="8" w:space="0" w:color="D9D9D9"/>
              <w:right w:val="nil"/>
            </w:tcBorders>
          </w:tcPr>
          <w:p w14:paraId="2FFD5F5F" w14:textId="43B9D624" w:rsidR="00EB257A" w:rsidRPr="001B7507" w:rsidRDefault="00EB257A" w:rsidP="001B7507">
            <w:pPr>
              <w:spacing w:before="60" w:after="60"/>
              <w:rPr>
                <w:rFonts w:eastAsia="Verdana"/>
                <w:sz w:val="18"/>
                <w:szCs w:val="18"/>
              </w:rPr>
            </w:pPr>
            <w:r w:rsidRPr="001B7507">
              <w:rPr>
                <w:rFonts w:eastAsia="Verdana"/>
                <w:sz w:val="18"/>
                <w:szCs w:val="18"/>
              </w:rPr>
              <w:t>Framework accompanied with shared commitment for development and indicators</w:t>
            </w:r>
          </w:p>
        </w:tc>
        <w:tc>
          <w:tcPr>
            <w:tcW w:w="3449" w:type="pct"/>
            <w:tcBorders>
              <w:top w:val="single" w:sz="8" w:space="0" w:color="D9D9D9"/>
              <w:left w:val="nil"/>
              <w:bottom w:val="single" w:sz="8" w:space="0" w:color="D9D9D9"/>
              <w:right w:val="nil"/>
            </w:tcBorders>
            <w:shd w:val="clear" w:color="auto" w:fill="auto"/>
          </w:tcPr>
          <w:p w14:paraId="26409BAD" w14:textId="77777777" w:rsidR="00EB257A" w:rsidRPr="001B7507" w:rsidRDefault="00EB257A" w:rsidP="001B7507">
            <w:pPr>
              <w:pStyle w:val="Summarytable"/>
              <w:numPr>
                <w:ilvl w:val="0"/>
                <w:numId w:val="95"/>
              </w:numPr>
              <w:spacing w:before="60" w:after="60"/>
              <w:rPr>
                <w:b w:val="0"/>
                <w:bCs w:val="0"/>
                <w:sz w:val="18"/>
                <w:szCs w:val="18"/>
              </w:rPr>
            </w:pPr>
            <w:r w:rsidRPr="001B7507">
              <w:rPr>
                <w:b w:val="0"/>
                <w:bCs w:val="0"/>
                <w:sz w:val="18"/>
                <w:szCs w:val="18"/>
              </w:rPr>
              <w:t xml:space="preserve">The </w:t>
            </w:r>
            <w:r w:rsidRPr="001B7507">
              <w:rPr>
                <w:sz w:val="18"/>
                <w:szCs w:val="18"/>
              </w:rPr>
              <w:t>health system</w:t>
            </w:r>
            <w:r w:rsidRPr="001B7507">
              <w:rPr>
                <w:b w:val="0"/>
                <w:bCs w:val="0"/>
                <w:sz w:val="18"/>
                <w:szCs w:val="18"/>
              </w:rPr>
              <w:t xml:space="preserve"> </w:t>
            </w:r>
            <w:r w:rsidRPr="001B7507">
              <w:rPr>
                <w:sz w:val="18"/>
                <w:szCs w:val="18"/>
              </w:rPr>
              <w:t>performance framework should be accompanied with a</w:t>
            </w:r>
            <w:r w:rsidRPr="001B7507">
              <w:rPr>
                <w:b w:val="0"/>
                <w:bCs w:val="0"/>
                <w:sz w:val="18"/>
                <w:szCs w:val="18"/>
              </w:rPr>
              <w:t xml:space="preserve"> </w:t>
            </w:r>
            <w:r w:rsidRPr="001B7507">
              <w:rPr>
                <w:sz w:val="18"/>
                <w:szCs w:val="18"/>
              </w:rPr>
              <w:t>shared commitment</w:t>
            </w:r>
            <w:r w:rsidRPr="001B7507">
              <w:rPr>
                <w:b w:val="0"/>
                <w:bCs w:val="0"/>
                <w:sz w:val="18"/>
                <w:szCs w:val="18"/>
              </w:rPr>
              <w:t xml:space="preserve"> to:</w:t>
            </w:r>
          </w:p>
          <w:p w14:paraId="19400F9A" w14:textId="29EA52AE" w:rsidR="00EB257A" w:rsidRPr="001B7507" w:rsidRDefault="00EB257A" w:rsidP="001B7507">
            <w:pPr>
              <w:numPr>
                <w:ilvl w:val="0"/>
                <w:numId w:val="106"/>
              </w:numPr>
              <w:spacing w:before="60" w:after="60"/>
              <w:ind w:left="855"/>
              <w:rPr>
                <w:color w:val="000000" w:themeColor="text1"/>
                <w:sz w:val="18"/>
                <w:szCs w:val="18"/>
              </w:rPr>
            </w:pPr>
            <w:r w:rsidRPr="001B7507">
              <w:rPr>
                <w:color w:val="000000" w:themeColor="text1"/>
                <w:sz w:val="18"/>
                <w:szCs w:val="18"/>
              </w:rPr>
              <w:t xml:space="preserve">Being developed as an </w:t>
            </w:r>
            <w:r w:rsidRPr="00917349">
              <w:rPr>
                <w:b/>
                <w:bCs/>
                <w:color w:val="000000" w:themeColor="text1"/>
                <w:sz w:val="18"/>
                <w:szCs w:val="18"/>
              </w:rPr>
              <w:t>immediate priority</w:t>
            </w:r>
            <w:r w:rsidRPr="001B7507">
              <w:rPr>
                <w:color w:val="000000" w:themeColor="text1"/>
                <w:sz w:val="18"/>
                <w:szCs w:val="18"/>
              </w:rPr>
              <w:t>, in order to take effect from the start of a new Agreement, with an agreed timeframe to move to nationally consistent measurement and reporting as soon as possible.</w:t>
            </w:r>
          </w:p>
          <w:p w14:paraId="16713927" w14:textId="0DC025D1" w:rsidR="00EB257A" w:rsidRPr="001B7507" w:rsidRDefault="00EB257A" w:rsidP="001B7507">
            <w:pPr>
              <w:numPr>
                <w:ilvl w:val="0"/>
                <w:numId w:val="106"/>
              </w:numPr>
              <w:spacing w:before="60" w:after="60"/>
              <w:ind w:left="855"/>
              <w:rPr>
                <w:rFonts w:eastAsia="Verdana"/>
                <w:sz w:val="18"/>
                <w:szCs w:val="18"/>
              </w:rPr>
            </w:pPr>
            <w:r w:rsidRPr="001B7507">
              <w:rPr>
                <w:color w:val="000000" w:themeColor="text1"/>
                <w:sz w:val="18"/>
                <w:szCs w:val="18"/>
              </w:rPr>
              <w:t>Include indicators that focus not only on quantitative and qualitative performance of public hospitals, but also on the outcomes that are achieved, the interface with the broader health system such as prevention/health promotion, primary care access, aged care transition, disability support transition, Closing the Gap indicators, rural and remote access, and adequacy and distribution of the health workforce as well as patient experience and reported outcome measures.</w:t>
            </w:r>
          </w:p>
        </w:tc>
        <w:tc>
          <w:tcPr>
            <w:tcW w:w="661" w:type="pct"/>
            <w:tcBorders>
              <w:top w:val="single" w:sz="8" w:space="0" w:color="D9D9D9"/>
              <w:left w:val="nil"/>
              <w:bottom w:val="single" w:sz="8" w:space="0" w:color="D9D9D9"/>
              <w:right w:val="nil"/>
            </w:tcBorders>
          </w:tcPr>
          <w:p w14:paraId="14CEBACB" w14:textId="07BD772B" w:rsidR="00EB257A" w:rsidRPr="001B7507" w:rsidRDefault="00CC3B99" w:rsidP="001B7507">
            <w:pPr>
              <w:pStyle w:val="Summarytable"/>
              <w:spacing w:before="60" w:after="60"/>
              <w:ind w:left="0"/>
              <w:rPr>
                <w:b w:val="0"/>
                <w:bCs w:val="0"/>
                <w:sz w:val="18"/>
                <w:szCs w:val="18"/>
              </w:rPr>
            </w:pPr>
            <w:r w:rsidRPr="001B7507">
              <w:rPr>
                <w:b w:val="0"/>
                <w:bCs w:val="0"/>
                <w:sz w:val="18"/>
                <w:szCs w:val="18"/>
              </w:rPr>
              <w:fldChar w:fldCharType="begin" w:fldLock="1"/>
            </w:r>
            <w:r w:rsidRPr="001B7507">
              <w:rPr>
                <w:b w:val="0"/>
                <w:bCs w:val="0"/>
                <w:sz w:val="18"/>
                <w:szCs w:val="18"/>
              </w:rPr>
              <w:instrText xml:space="preserve"> REF _Ref148445369 \w \h </w:instrText>
            </w:r>
            <w:r w:rsidR="00C66478" w:rsidRPr="001B7507">
              <w:rPr>
                <w:b w:val="0"/>
                <w:bCs w:val="0"/>
                <w:sz w:val="18"/>
                <w:szCs w:val="18"/>
              </w:rPr>
              <w:instrText xml:space="preserve"> \* MERGEFORMAT </w:instrText>
            </w:r>
            <w:r w:rsidRPr="001B7507">
              <w:rPr>
                <w:b w:val="0"/>
                <w:bCs w:val="0"/>
                <w:sz w:val="18"/>
                <w:szCs w:val="18"/>
              </w:rPr>
            </w:r>
            <w:r w:rsidRPr="001B7507">
              <w:rPr>
                <w:b w:val="0"/>
                <w:bCs w:val="0"/>
                <w:sz w:val="18"/>
                <w:szCs w:val="18"/>
              </w:rPr>
              <w:fldChar w:fldCharType="separate"/>
            </w:r>
            <w:r w:rsidR="00FA10A4">
              <w:rPr>
                <w:b w:val="0"/>
                <w:bCs w:val="0"/>
                <w:sz w:val="18"/>
                <w:szCs w:val="18"/>
              </w:rPr>
              <w:t>5.9.2</w:t>
            </w:r>
            <w:r w:rsidRPr="001B7507">
              <w:rPr>
                <w:b w:val="0"/>
                <w:bCs w:val="0"/>
                <w:sz w:val="18"/>
                <w:szCs w:val="18"/>
              </w:rPr>
              <w:fldChar w:fldCharType="end"/>
            </w:r>
            <w:r w:rsidRPr="001B7507">
              <w:rPr>
                <w:b w:val="0"/>
                <w:bCs w:val="0"/>
                <w:sz w:val="18"/>
                <w:szCs w:val="18"/>
              </w:rPr>
              <w:t xml:space="preserve"> - </w:t>
            </w:r>
            <w:r w:rsidRPr="001B7507">
              <w:rPr>
                <w:b w:val="0"/>
                <w:bCs w:val="0"/>
                <w:sz w:val="18"/>
                <w:szCs w:val="18"/>
              </w:rPr>
              <w:fldChar w:fldCharType="begin" w:fldLock="1"/>
            </w:r>
            <w:r w:rsidRPr="001B7507">
              <w:rPr>
                <w:b w:val="0"/>
                <w:bCs w:val="0"/>
                <w:sz w:val="18"/>
                <w:szCs w:val="18"/>
              </w:rPr>
              <w:instrText xml:space="preserve"> REF _Ref148445369 \h </w:instrText>
            </w:r>
            <w:r w:rsidR="00C66478" w:rsidRPr="001B7507">
              <w:rPr>
                <w:b w:val="0"/>
                <w:bCs w:val="0"/>
                <w:sz w:val="18"/>
                <w:szCs w:val="18"/>
              </w:rPr>
              <w:instrText xml:space="preserve"> \* MERGEFORMAT </w:instrText>
            </w:r>
            <w:r w:rsidRPr="001B7507">
              <w:rPr>
                <w:b w:val="0"/>
                <w:bCs w:val="0"/>
                <w:sz w:val="18"/>
                <w:szCs w:val="18"/>
              </w:rPr>
            </w:r>
            <w:r w:rsidRPr="001B7507">
              <w:rPr>
                <w:b w:val="0"/>
                <w:bCs w:val="0"/>
                <w:sz w:val="18"/>
                <w:szCs w:val="18"/>
              </w:rPr>
              <w:fldChar w:fldCharType="separate"/>
            </w:r>
            <w:r w:rsidR="00FA10A4" w:rsidRPr="00FA10A4">
              <w:rPr>
                <w:b w:val="0"/>
                <w:bCs w:val="0"/>
                <w:sz w:val="18"/>
                <w:szCs w:val="18"/>
              </w:rPr>
              <w:t>Elements of a Performance Framework</w:t>
            </w:r>
            <w:r w:rsidRPr="001B7507">
              <w:rPr>
                <w:b w:val="0"/>
                <w:bCs w:val="0"/>
                <w:sz w:val="18"/>
                <w:szCs w:val="18"/>
              </w:rPr>
              <w:fldChar w:fldCharType="end"/>
            </w:r>
          </w:p>
        </w:tc>
      </w:tr>
      <w:tr w:rsidR="00ED6A10" w:rsidRPr="001B7507" w14:paraId="35FEB890" w14:textId="36636014" w:rsidTr="00025B1E">
        <w:tc>
          <w:tcPr>
            <w:tcW w:w="436" w:type="pct"/>
            <w:vMerge w:val="restart"/>
            <w:tcBorders>
              <w:top w:val="single" w:sz="8" w:space="0" w:color="D9D9D9"/>
              <w:left w:val="nil"/>
              <w:bottom w:val="single" w:sz="8" w:space="0" w:color="D9D9D9"/>
              <w:right w:val="nil"/>
            </w:tcBorders>
            <w:shd w:val="clear" w:color="auto" w:fill="auto"/>
          </w:tcPr>
          <w:p w14:paraId="6E7ECB9C" w14:textId="77777777" w:rsidR="00EB257A" w:rsidRPr="001B7507" w:rsidRDefault="00EB257A" w:rsidP="001B7507">
            <w:pPr>
              <w:spacing w:before="60" w:after="60"/>
              <w:rPr>
                <w:rFonts w:eastAsia="Verdana"/>
                <w:sz w:val="18"/>
                <w:szCs w:val="18"/>
              </w:rPr>
            </w:pPr>
            <w:r w:rsidRPr="001B7507">
              <w:rPr>
                <w:rFonts w:eastAsia="Verdana"/>
                <w:sz w:val="18"/>
                <w:szCs w:val="18"/>
              </w:rPr>
              <w:t>Learning from COVID-19 and preparing for future events</w:t>
            </w:r>
          </w:p>
        </w:tc>
        <w:tc>
          <w:tcPr>
            <w:tcW w:w="454" w:type="pct"/>
            <w:tcBorders>
              <w:top w:val="single" w:sz="8" w:space="0" w:color="D9D9D9"/>
              <w:left w:val="nil"/>
              <w:bottom w:val="single" w:sz="8" w:space="0" w:color="D9D9D9"/>
              <w:right w:val="nil"/>
            </w:tcBorders>
          </w:tcPr>
          <w:p w14:paraId="11561F6E" w14:textId="77777777" w:rsidR="00EB257A" w:rsidRPr="001B7507" w:rsidRDefault="00EB257A" w:rsidP="001B7507">
            <w:pPr>
              <w:spacing w:before="60" w:after="60"/>
              <w:rPr>
                <w:rFonts w:eastAsia="Verdana"/>
                <w:sz w:val="18"/>
                <w:szCs w:val="18"/>
              </w:rPr>
            </w:pPr>
            <w:r w:rsidRPr="001B7507">
              <w:rPr>
                <w:rFonts w:eastAsia="Verdana"/>
                <w:sz w:val="18"/>
                <w:szCs w:val="18"/>
              </w:rPr>
              <w:t>Future system disruption planning</w:t>
            </w:r>
          </w:p>
        </w:tc>
        <w:tc>
          <w:tcPr>
            <w:tcW w:w="3449" w:type="pct"/>
            <w:tcBorders>
              <w:top w:val="single" w:sz="8" w:space="0" w:color="D9D9D9"/>
              <w:left w:val="nil"/>
              <w:bottom w:val="single" w:sz="8" w:space="0" w:color="D9D9D9"/>
              <w:right w:val="nil"/>
            </w:tcBorders>
            <w:shd w:val="clear" w:color="auto" w:fill="auto"/>
          </w:tcPr>
          <w:p w14:paraId="300066E6" w14:textId="77777777" w:rsidR="00EB257A" w:rsidRPr="001B7507" w:rsidRDefault="00EB257A" w:rsidP="001B7507">
            <w:pPr>
              <w:pStyle w:val="Summarytable"/>
              <w:numPr>
                <w:ilvl w:val="0"/>
                <w:numId w:val="95"/>
              </w:numPr>
              <w:spacing w:before="60" w:after="60"/>
              <w:rPr>
                <w:b w:val="0"/>
                <w:bCs w:val="0"/>
                <w:sz w:val="18"/>
                <w:szCs w:val="18"/>
              </w:rPr>
            </w:pPr>
            <w:r w:rsidRPr="001B7507">
              <w:rPr>
                <w:b w:val="0"/>
                <w:bCs w:val="0"/>
                <w:sz w:val="18"/>
                <w:szCs w:val="18"/>
              </w:rPr>
              <w:t xml:space="preserve">In relation to </w:t>
            </w:r>
            <w:r w:rsidRPr="001B7507">
              <w:rPr>
                <w:sz w:val="18"/>
                <w:szCs w:val="18"/>
              </w:rPr>
              <w:t>future system disruptions,</w:t>
            </w:r>
            <w:r w:rsidRPr="001B7507">
              <w:rPr>
                <w:b w:val="0"/>
                <w:bCs w:val="0"/>
                <w:sz w:val="18"/>
                <w:szCs w:val="18"/>
              </w:rPr>
              <w:t xml:space="preserve"> a future NHRA should:</w:t>
            </w:r>
          </w:p>
          <w:p w14:paraId="1A785847" w14:textId="5224DC3F" w:rsidR="00EB257A" w:rsidRPr="001B7507" w:rsidRDefault="00EB257A" w:rsidP="001B7507">
            <w:pPr>
              <w:numPr>
                <w:ilvl w:val="0"/>
                <w:numId w:val="107"/>
              </w:numPr>
              <w:spacing w:before="60" w:after="60"/>
              <w:ind w:left="856"/>
              <w:rPr>
                <w:color w:val="000000" w:themeColor="text1"/>
                <w:sz w:val="18"/>
                <w:szCs w:val="18"/>
              </w:rPr>
            </w:pPr>
            <w:r w:rsidRPr="001B7507">
              <w:rPr>
                <w:color w:val="000000" w:themeColor="text1"/>
                <w:sz w:val="18"/>
                <w:szCs w:val="18"/>
              </w:rPr>
              <w:t xml:space="preserve">Set out the principles and processes to establish </w:t>
            </w:r>
            <w:r w:rsidRPr="00917349">
              <w:rPr>
                <w:b/>
                <w:bCs/>
                <w:color w:val="000000" w:themeColor="text1"/>
                <w:sz w:val="18"/>
                <w:szCs w:val="18"/>
              </w:rPr>
              <w:t>time-limited funding arrangements to respond to short-term national emergencies</w:t>
            </w:r>
            <w:r w:rsidRPr="001B7507">
              <w:rPr>
                <w:color w:val="000000" w:themeColor="text1"/>
                <w:sz w:val="18"/>
                <w:szCs w:val="18"/>
              </w:rPr>
              <w:t>, the circumstances in which these would be triggered and map the transition back to usual arrangements. These principles, processes and transitions should be informed by coordinated Commonwealth</w:t>
            </w:r>
            <w:r w:rsidR="00ED1AC5">
              <w:rPr>
                <w:color w:val="000000" w:themeColor="text1"/>
                <w:sz w:val="18"/>
                <w:szCs w:val="18"/>
              </w:rPr>
              <w:t xml:space="preserve">, </w:t>
            </w:r>
            <w:r w:rsidRPr="001B7507">
              <w:rPr>
                <w:color w:val="000000" w:themeColor="text1"/>
                <w:sz w:val="18"/>
                <w:szCs w:val="18"/>
              </w:rPr>
              <w:t>State</w:t>
            </w:r>
            <w:r w:rsidR="00ED1AC5">
              <w:rPr>
                <w:color w:val="000000" w:themeColor="text1"/>
                <w:sz w:val="18"/>
                <w:szCs w:val="18"/>
              </w:rPr>
              <w:t xml:space="preserve"> and </w:t>
            </w:r>
            <w:r w:rsidRPr="001B7507">
              <w:rPr>
                <w:color w:val="000000" w:themeColor="text1"/>
                <w:sz w:val="18"/>
                <w:szCs w:val="18"/>
              </w:rPr>
              <w:t xml:space="preserve">Territory consideration of the experience and lessons of the COVID-19 pandemic </w:t>
            </w:r>
            <w:r w:rsidR="001C10CF">
              <w:rPr>
                <w:color w:val="000000" w:themeColor="text1"/>
                <w:sz w:val="18"/>
                <w:szCs w:val="18"/>
              </w:rPr>
              <w:t>including</w:t>
            </w:r>
            <w:r w:rsidRPr="001B7507">
              <w:rPr>
                <w:color w:val="000000" w:themeColor="text1"/>
                <w:sz w:val="18"/>
                <w:szCs w:val="18"/>
              </w:rPr>
              <w:t xml:space="preserve"> the </w:t>
            </w:r>
            <w:r w:rsidR="001C10CF">
              <w:rPr>
                <w:color w:val="000000" w:themeColor="text1"/>
                <w:sz w:val="18"/>
                <w:szCs w:val="18"/>
              </w:rPr>
              <w:t>I</w:t>
            </w:r>
            <w:r w:rsidRPr="001B7507">
              <w:rPr>
                <w:color w:val="000000" w:themeColor="text1"/>
                <w:sz w:val="18"/>
                <w:szCs w:val="18"/>
              </w:rPr>
              <w:t xml:space="preserve">ndependent Inquiry into Australia’s </w:t>
            </w:r>
            <w:r w:rsidR="001C10CF">
              <w:rPr>
                <w:color w:val="000000" w:themeColor="text1"/>
                <w:sz w:val="18"/>
                <w:szCs w:val="18"/>
              </w:rPr>
              <w:t>R</w:t>
            </w:r>
            <w:r w:rsidRPr="001B7507">
              <w:rPr>
                <w:color w:val="000000" w:themeColor="text1"/>
                <w:sz w:val="18"/>
                <w:szCs w:val="18"/>
              </w:rPr>
              <w:t xml:space="preserve">esponse to the </w:t>
            </w:r>
            <w:r w:rsidR="00F503FA">
              <w:rPr>
                <w:color w:val="000000" w:themeColor="text1"/>
                <w:sz w:val="18"/>
                <w:szCs w:val="18"/>
              </w:rPr>
              <w:br/>
              <w:t>COVID-19</w:t>
            </w:r>
            <w:r w:rsidRPr="001B7507">
              <w:rPr>
                <w:color w:val="000000" w:themeColor="text1"/>
                <w:sz w:val="18"/>
                <w:szCs w:val="18"/>
              </w:rPr>
              <w:t xml:space="preserve"> </w:t>
            </w:r>
            <w:r w:rsidR="001C10CF">
              <w:rPr>
                <w:color w:val="000000" w:themeColor="text1"/>
                <w:sz w:val="18"/>
                <w:szCs w:val="18"/>
              </w:rPr>
              <w:t>P</w:t>
            </w:r>
            <w:r w:rsidRPr="001B7507">
              <w:rPr>
                <w:color w:val="000000" w:themeColor="text1"/>
                <w:sz w:val="18"/>
                <w:szCs w:val="18"/>
              </w:rPr>
              <w:t>andemic.</w:t>
            </w:r>
          </w:p>
          <w:p w14:paraId="15DF63A7" w14:textId="327EAC29" w:rsidR="00EB257A" w:rsidRPr="001B7507" w:rsidRDefault="00EB257A" w:rsidP="001B7507">
            <w:pPr>
              <w:numPr>
                <w:ilvl w:val="0"/>
                <w:numId w:val="107"/>
              </w:numPr>
              <w:spacing w:before="60" w:after="60"/>
              <w:ind w:left="856"/>
              <w:rPr>
                <w:rFonts w:eastAsia="Verdana"/>
                <w:sz w:val="18"/>
                <w:szCs w:val="18"/>
              </w:rPr>
            </w:pPr>
            <w:r w:rsidRPr="001B7507">
              <w:rPr>
                <w:color w:val="000000" w:themeColor="text1"/>
                <w:sz w:val="18"/>
                <w:szCs w:val="18"/>
              </w:rPr>
              <w:t>Be informed by the Australian Centre for Disease Control and other related national bodies’ advice and guidance regarding public health actions aimed at addressing disruptions to the health care system.</w:t>
            </w:r>
          </w:p>
        </w:tc>
        <w:tc>
          <w:tcPr>
            <w:tcW w:w="661" w:type="pct"/>
            <w:tcBorders>
              <w:top w:val="single" w:sz="8" w:space="0" w:color="D9D9D9"/>
              <w:left w:val="nil"/>
              <w:bottom w:val="single" w:sz="8" w:space="0" w:color="D9D9D9"/>
              <w:right w:val="nil"/>
            </w:tcBorders>
          </w:tcPr>
          <w:p w14:paraId="1D69BDC1" w14:textId="673CDECD" w:rsidR="00EB257A" w:rsidRPr="001B7507" w:rsidRDefault="00AF1E89" w:rsidP="001B7507">
            <w:pPr>
              <w:pStyle w:val="Summarytable"/>
              <w:spacing w:before="60" w:after="60"/>
              <w:ind w:left="0"/>
              <w:rPr>
                <w:b w:val="0"/>
                <w:bCs w:val="0"/>
                <w:sz w:val="18"/>
                <w:szCs w:val="18"/>
              </w:rPr>
            </w:pPr>
            <w:r w:rsidRPr="001B7507">
              <w:rPr>
                <w:b w:val="0"/>
                <w:bCs w:val="0"/>
                <w:sz w:val="18"/>
                <w:szCs w:val="18"/>
              </w:rPr>
              <w:fldChar w:fldCharType="begin" w:fldLock="1"/>
            </w:r>
            <w:r w:rsidRPr="001B7507">
              <w:rPr>
                <w:b w:val="0"/>
                <w:bCs w:val="0"/>
                <w:sz w:val="18"/>
                <w:szCs w:val="18"/>
              </w:rPr>
              <w:instrText xml:space="preserve"> REF _Ref146631397 \w \h </w:instrText>
            </w:r>
            <w:r w:rsidR="00C66478" w:rsidRPr="001B7507">
              <w:rPr>
                <w:b w:val="0"/>
                <w:bCs w:val="0"/>
                <w:sz w:val="18"/>
                <w:szCs w:val="18"/>
              </w:rPr>
              <w:instrText xml:space="preserve"> \* MERGEFORMAT </w:instrText>
            </w:r>
            <w:r w:rsidRPr="001B7507">
              <w:rPr>
                <w:b w:val="0"/>
                <w:bCs w:val="0"/>
                <w:sz w:val="18"/>
                <w:szCs w:val="18"/>
              </w:rPr>
            </w:r>
            <w:r w:rsidRPr="001B7507">
              <w:rPr>
                <w:b w:val="0"/>
                <w:bCs w:val="0"/>
                <w:sz w:val="18"/>
                <w:szCs w:val="18"/>
              </w:rPr>
              <w:fldChar w:fldCharType="separate"/>
            </w:r>
            <w:r w:rsidR="00FA10A4">
              <w:rPr>
                <w:b w:val="0"/>
                <w:bCs w:val="0"/>
                <w:sz w:val="18"/>
                <w:szCs w:val="18"/>
              </w:rPr>
              <w:t>5.10.1</w:t>
            </w:r>
            <w:r w:rsidRPr="001B7507">
              <w:rPr>
                <w:b w:val="0"/>
                <w:bCs w:val="0"/>
                <w:sz w:val="18"/>
                <w:szCs w:val="18"/>
              </w:rPr>
              <w:fldChar w:fldCharType="end"/>
            </w:r>
            <w:r w:rsidRPr="001B7507">
              <w:rPr>
                <w:b w:val="0"/>
                <w:bCs w:val="0"/>
                <w:sz w:val="18"/>
                <w:szCs w:val="18"/>
              </w:rPr>
              <w:t xml:space="preserve"> - </w:t>
            </w:r>
            <w:r w:rsidRPr="001B7507">
              <w:rPr>
                <w:b w:val="0"/>
                <w:bCs w:val="0"/>
                <w:sz w:val="18"/>
                <w:szCs w:val="18"/>
              </w:rPr>
              <w:fldChar w:fldCharType="begin" w:fldLock="1"/>
            </w:r>
            <w:r w:rsidRPr="001B7507">
              <w:rPr>
                <w:b w:val="0"/>
                <w:bCs w:val="0"/>
                <w:sz w:val="18"/>
                <w:szCs w:val="18"/>
              </w:rPr>
              <w:instrText xml:space="preserve"> REF _Ref146631397 \h </w:instrText>
            </w:r>
            <w:r w:rsidR="00C66478" w:rsidRPr="001B7507">
              <w:rPr>
                <w:b w:val="0"/>
                <w:bCs w:val="0"/>
                <w:sz w:val="18"/>
                <w:szCs w:val="18"/>
              </w:rPr>
              <w:instrText xml:space="preserve"> \* MERGEFORMAT </w:instrText>
            </w:r>
            <w:r w:rsidRPr="001B7507">
              <w:rPr>
                <w:b w:val="0"/>
                <w:bCs w:val="0"/>
                <w:sz w:val="18"/>
                <w:szCs w:val="18"/>
              </w:rPr>
            </w:r>
            <w:r w:rsidRPr="001B7507">
              <w:rPr>
                <w:b w:val="0"/>
                <w:bCs w:val="0"/>
                <w:sz w:val="18"/>
                <w:szCs w:val="18"/>
              </w:rPr>
              <w:fldChar w:fldCharType="separate"/>
            </w:r>
            <w:r w:rsidR="00FA10A4" w:rsidRPr="00FA10A4">
              <w:rPr>
                <w:b w:val="0"/>
                <w:bCs w:val="0"/>
                <w:sz w:val="18"/>
                <w:szCs w:val="18"/>
              </w:rPr>
              <w:t>Increase flexibility in funding arrangements to enable rapid response to future system disruptions</w:t>
            </w:r>
            <w:r w:rsidRPr="001B7507">
              <w:rPr>
                <w:b w:val="0"/>
                <w:bCs w:val="0"/>
                <w:sz w:val="18"/>
                <w:szCs w:val="18"/>
              </w:rPr>
              <w:fldChar w:fldCharType="end"/>
            </w:r>
          </w:p>
        </w:tc>
      </w:tr>
      <w:tr w:rsidR="00ED6A10" w:rsidRPr="001B7507" w14:paraId="6DDC1A6F" w14:textId="23975DC7" w:rsidTr="00025B1E">
        <w:tc>
          <w:tcPr>
            <w:tcW w:w="436" w:type="pct"/>
            <w:vMerge/>
            <w:tcBorders>
              <w:top w:val="single" w:sz="8" w:space="0" w:color="D9D9D9"/>
              <w:left w:val="nil"/>
              <w:bottom w:val="single" w:sz="8" w:space="0" w:color="D9D9D9"/>
              <w:right w:val="nil"/>
            </w:tcBorders>
            <w:shd w:val="clear" w:color="auto" w:fill="auto"/>
          </w:tcPr>
          <w:p w14:paraId="07FB3D50" w14:textId="77777777" w:rsidR="00EB257A" w:rsidRPr="001B7507" w:rsidRDefault="00EB257A" w:rsidP="001B7507">
            <w:pPr>
              <w:spacing w:before="60" w:after="60"/>
              <w:rPr>
                <w:rFonts w:eastAsia="Verdana"/>
                <w:sz w:val="18"/>
                <w:szCs w:val="18"/>
              </w:rPr>
            </w:pPr>
          </w:p>
        </w:tc>
        <w:tc>
          <w:tcPr>
            <w:tcW w:w="454" w:type="pct"/>
            <w:tcBorders>
              <w:top w:val="single" w:sz="8" w:space="0" w:color="D9D9D9"/>
              <w:left w:val="nil"/>
              <w:bottom w:val="single" w:sz="8" w:space="0" w:color="D9D9D9"/>
              <w:right w:val="nil"/>
            </w:tcBorders>
          </w:tcPr>
          <w:p w14:paraId="4C6BE71A" w14:textId="77777777" w:rsidR="00EB257A" w:rsidRPr="001B7507" w:rsidRDefault="00EB257A" w:rsidP="001B7507">
            <w:pPr>
              <w:spacing w:before="60" w:after="60"/>
              <w:rPr>
                <w:rFonts w:eastAsia="Verdana"/>
                <w:sz w:val="18"/>
                <w:szCs w:val="18"/>
              </w:rPr>
            </w:pPr>
            <w:r w:rsidRPr="001B7507">
              <w:rPr>
                <w:rFonts w:eastAsia="Verdana"/>
                <w:sz w:val="18"/>
                <w:szCs w:val="18"/>
              </w:rPr>
              <w:t>Recovery plan for ongoing impacts of COVID-19</w:t>
            </w:r>
          </w:p>
        </w:tc>
        <w:tc>
          <w:tcPr>
            <w:tcW w:w="3449" w:type="pct"/>
            <w:tcBorders>
              <w:top w:val="single" w:sz="8" w:space="0" w:color="D9D9D9"/>
              <w:left w:val="nil"/>
              <w:bottom w:val="single" w:sz="8" w:space="0" w:color="D9D9D9"/>
              <w:right w:val="nil"/>
            </w:tcBorders>
            <w:shd w:val="clear" w:color="auto" w:fill="auto"/>
          </w:tcPr>
          <w:p w14:paraId="628D9D65" w14:textId="5096A410" w:rsidR="00EB257A" w:rsidRPr="001B7507" w:rsidRDefault="00EB257A" w:rsidP="001B7507">
            <w:pPr>
              <w:numPr>
                <w:ilvl w:val="0"/>
                <w:numId w:val="95"/>
              </w:numPr>
              <w:spacing w:before="60" w:after="60"/>
              <w:ind w:left="332" w:hanging="283"/>
              <w:rPr>
                <w:rFonts w:eastAsia="Verdana"/>
                <w:sz w:val="18"/>
                <w:szCs w:val="18"/>
              </w:rPr>
            </w:pPr>
            <w:r w:rsidRPr="001B7507">
              <w:rPr>
                <w:sz w:val="18"/>
                <w:szCs w:val="18"/>
              </w:rPr>
              <w:t xml:space="preserve">A recovery </w:t>
            </w:r>
            <w:r w:rsidRPr="001B7507">
              <w:rPr>
                <w:b/>
                <w:bCs/>
                <w:sz w:val="18"/>
                <w:szCs w:val="18"/>
              </w:rPr>
              <w:t>plan should be agreed for the remainder of the 2020-25 Addendum to address the ongoing impacts of COVID-19</w:t>
            </w:r>
            <w:r w:rsidRPr="001B7507">
              <w:rPr>
                <w:sz w:val="18"/>
                <w:szCs w:val="18"/>
              </w:rPr>
              <w:t xml:space="preserve"> on workforce availability, cost escalation, increased disease burden and the backlog of delayed care. An option that should be considered is to exempt elective surgery activity (all or part) from the growth cap for the period to the end of the current Agreement, to reduce elective surgery backlogs.</w:t>
            </w:r>
          </w:p>
        </w:tc>
        <w:tc>
          <w:tcPr>
            <w:tcW w:w="661" w:type="pct"/>
            <w:tcBorders>
              <w:top w:val="single" w:sz="8" w:space="0" w:color="D9D9D9"/>
              <w:left w:val="nil"/>
              <w:bottom w:val="single" w:sz="8" w:space="0" w:color="D9D9D9"/>
              <w:right w:val="nil"/>
            </w:tcBorders>
          </w:tcPr>
          <w:p w14:paraId="00F5537E" w14:textId="7E215F42" w:rsidR="00EB257A" w:rsidRPr="001B7507" w:rsidRDefault="00C66478" w:rsidP="001B7507">
            <w:pPr>
              <w:spacing w:before="60" w:after="60"/>
              <w:ind w:left="49"/>
              <w:rPr>
                <w:sz w:val="18"/>
                <w:szCs w:val="18"/>
              </w:rPr>
            </w:pPr>
            <w:r w:rsidRPr="001B7507">
              <w:rPr>
                <w:sz w:val="18"/>
                <w:szCs w:val="18"/>
              </w:rPr>
              <w:fldChar w:fldCharType="begin" w:fldLock="1"/>
            </w:r>
            <w:r w:rsidRPr="001B7507">
              <w:rPr>
                <w:sz w:val="18"/>
                <w:szCs w:val="18"/>
              </w:rPr>
              <w:instrText xml:space="preserve"> REF _Ref148445435 \w \h  \* MERGEFORMAT </w:instrText>
            </w:r>
            <w:r w:rsidRPr="001B7507">
              <w:rPr>
                <w:sz w:val="18"/>
                <w:szCs w:val="18"/>
              </w:rPr>
            </w:r>
            <w:r w:rsidRPr="001B7507">
              <w:rPr>
                <w:sz w:val="18"/>
                <w:szCs w:val="18"/>
              </w:rPr>
              <w:fldChar w:fldCharType="separate"/>
            </w:r>
            <w:r w:rsidR="00FA10A4">
              <w:rPr>
                <w:sz w:val="18"/>
                <w:szCs w:val="18"/>
              </w:rPr>
              <w:t>5.10.2</w:t>
            </w:r>
            <w:r w:rsidRPr="001B7507">
              <w:rPr>
                <w:sz w:val="18"/>
                <w:szCs w:val="18"/>
              </w:rPr>
              <w:fldChar w:fldCharType="end"/>
            </w:r>
            <w:r w:rsidRPr="001B7507">
              <w:rPr>
                <w:sz w:val="18"/>
                <w:szCs w:val="18"/>
              </w:rPr>
              <w:t xml:space="preserve"> - </w:t>
            </w:r>
            <w:r w:rsidRPr="001B7507">
              <w:rPr>
                <w:sz w:val="18"/>
                <w:szCs w:val="18"/>
              </w:rPr>
              <w:fldChar w:fldCharType="begin" w:fldLock="1"/>
            </w:r>
            <w:r w:rsidRPr="001B7507">
              <w:rPr>
                <w:sz w:val="18"/>
                <w:szCs w:val="18"/>
              </w:rPr>
              <w:instrText xml:space="preserve"> REF _Ref148445435 \h  \* MERGEFORMAT </w:instrText>
            </w:r>
            <w:r w:rsidRPr="001B7507">
              <w:rPr>
                <w:sz w:val="18"/>
                <w:szCs w:val="18"/>
              </w:rPr>
            </w:r>
            <w:r w:rsidRPr="001B7507">
              <w:rPr>
                <w:sz w:val="18"/>
                <w:szCs w:val="18"/>
              </w:rPr>
              <w:fldChar w:fldCharType="separate"/>
            </w:r>
            <w:r w:rsidR="00FA10A4" w:rsidRPr="00FA10A4">
              <w:rPr>
                <w:sz w:val="18"/>
                <w:szCs w:val="18"/>
              </w:rPr>
              <w:t>Support health system recovery from the ongoing impacts of COVID-19</w:t>
            </w:r>
            <w:r w:rsidRPr="001B7507">
              <w:rPr>
                <w:sz w:val="18"/>
                <w:szCs w:val="18"/>
              </w:rPr>
              <w:fldChar w:fldCharType="end"/>
            </w:r>
          </w:p>
        </w:tc>
      </w:tr>
    </w:tbl>
    <w:p w14:paraId="70606A2E" w14:textId="77777777" w:rsidR="00CD3B2C" w:rsidRPr="00CD3B2C" w:rsidRDefault="00CD3B2C" w:rsidP="00CD3B2C"/>
    <w:p w14:paraId="74906E76" w14:textId="77777777" w:rsidR="00FF34E4" w:rsidRDefault="00FF34E4" w:rsidP="00BF3260">
      <w:pPr>
        <w:sectPr w:rsidR="00FF34E4" w:rsidSect="00AA42DA">
          <w:pgSz w:w="16838" w:h="11906" w:orient="landscape" w:code="9"/>
          <w:pgMar w:top="1134" w:right="1418" w:bottom="720" w:left="720" w:header="561" w:footer="425" w:gutter="0"/>
          <w:cols w:space="284"/>
          <w:noEndnote/>
          <w:docGrid w:linePitch="360"/>
        </w:sectPr>
      </w:pPr>
    </w:p>
    <w:p w14:paraId="3EE3CC8B" w14:textId="1E2FF9B8" w:rsidR="00BF3260" w:rsidRPr="00C0090D" w:rsidRDefault="00790036" w:rsidP="00EC6D8D">
      <w:pPr>
        <w:pStyle w:val="Heading1"/>
      </w:pPr>
      <w:bookmarkStart w:id="43" w:name="_Toc143291628"/>
      <w:bookmarkStart w:id="44" w:name="_Toc148968349"/>
      <w:r>
        <w:t>About the Mid-Term Review</w:t>
      </w:r>
      <w:bookmarkEnd w:id="43"/>
      <w:bookmarkEnd w:id="44"/>
    </w:p>
    <w:p w14:paraId="33699F5B" w14:textId="4EE70117" w:rsidR="004F6333" w:rsidRPr="004F6333" w:rsidRDefault="004F6333" w:rsidP="00B25BA3">
      <w:pPr>
        <w:pStyle w:val="Sectionintro"/>
      </w:pPr>
      <w:r w:rsidRPr="00132CCA">
        <w:t xml:space="preserve">This chapter </w:t>
      </w:r>
      <w:r w:rsidR="009B4D68">
        <w:t>details</w:t>
      </w:r>
      <w:r w:rsidR="00F025E6" w:rsidRPr="00132CCA">
        <w:t xml:space="preserve"> the scope of the </w:t>
      </w:r>
      <w:r w:rsidR="002C508D" w:rsidRPr="00132CCA">
        <w:t>Mid-Term Review (R</w:t>
      </w:r>
      <w:r w:rsidR="00F025E6" w:rsidRPr="00132CCA">
        <w:t>eview</w:t>
      </w:r>
      <w:r w:rsidR="002C508D" w:rsidRPr="00132CCA">
        <w:t>)</w:t>
      </w:r>
      <w:r w:rsidR="00D852ED" w:rsidRPr="00132CCA">
        <w:t xml:space="preserve"> based on the </w:t>
      </w:r>
      <w:r w:rsidR="003E476B">
        <w:t>T</w:t>
      </w:r>
      <w:r w:rsidR="00D852ED" w:rsidRPr="00132CCA">
        <w:t xml:space="preserve">erms of </w:t>
      </w:r>
      <w:r w:rsidR="003E476B">
        <w:t>R</w:t>
      </w:r>
      <w:r w:rsidR="00D852ED" w:rsidRPr="00132CCA">
        <w:t>eference</w:t>
      </w:r>
      <w:r w:rsidR="002C508D" w:rsidRPr="00132CCA">
        <w:t xml:space="preserve"> and </w:t>
      </w:r>
      <w:r w:rsidR="009B4D68">
        <w:t xml:space="preserve">the </w:t>
      </w:r>
      <w:r w:rsidR="002C508D" w:rsidRPr="00132CCA">
        <w:t>methodology for conducting the Review</w:t>
      </w:r>
      <w:r w:rsidR="00E47949" w:rsidRPr="00132CCA">
        <w:t>.</w:t>
      </w:r>
    </w:p>
    <w:p w14:paraId="285192AB" w14:textId="32B2EF01" w:rsidR="00EC4437" w:rsidRDefault="00EC4437" w:rsidP="00D50025">
      <w:pPr>
        <w:pStyle w:val="Heading2"/>
      </w:pPr>
      <w:bookmarkStart w:id="45" w:name="_Toc143291629"/>
      <w:r>
        <w:t>Commissioning of the Review</w:t>
      </w:r>
      <w:bookmarkEnd w:id="45"/>
      <w:r>
        <w:t xml:space="preserve"> </w:t>
      </w:r>
    </w:p>
    <w:p w14:paraId="76EBD5DC" w14:textId="0F024136" w:rsidR="00C7115A" w:rsidRDefault="00C7115A" w:rsidP="00B104D0">
      <w:r>
        <w:t xml:space="preserve">A Mid-Term Review </w:t>
      </w:r>
      <w:r w:rsidR="00C1402A">
        <w:t xml:space="preserve">(Review) </w:t>
      </w:r>
      <w:r>
        <w:t xml:space="preserve">of the </w:t>
      </w:r>
      <w:r w:rsidRPr="00BE17E9">
        <w:rPr>
          <w:i/>
          <w:iCs/>
        </w:rPr>
        <w:t>Addendum to the National Health Reform Agreement 2020-2025</w:t>
      </w:r>
      <w:r>
        <w:t xml:space="preserve"> </w:t>
      </w:r>
      <w:r w:rsidR="00F732FA">
        <w:t xml:space="preserve">(the Addendum) </w:t>
      </w:r>
      <w:r>
        <w:t xml:space="preserve">was commissioned by </w:t>
      </w:r>
      <w:r w:rsidR="00F732FA">
        <w:t xml:space="preserve">Commonwealth, State and Territory </w:t>
      </w:r>
      <w:r>
        <w:t xml:space="preserve">Health Ministers </w:t>
      </w:r>
      <w:r w:rsidR="00F732FA">
        <w:t>to report by December 2023</w:t>
      </w:r>
      <w:r>
        <w:t xml:space="preserve">. </w:t>
      </w:r>
      <w:r w:rsidR="00F732FA">
        <w:t>T</w:t>
      </w:r>
      <w:r>
        <w:t xml:space="preserve">he Review was required to </w:t>
      </w:r>
      <w:r w:rsidRPr="00E60F8A">
        <w:t xml:space="preserve">consider the extent to which the objectives of the </w:t>
      </w:r>
      <w:r w:rsidRPr="00905308">
        <w:t xml:space="preserve">Addendum </w:t>
      </w:r>
      <w:r w:rsidRPr="00E60F8A">
        <w:t>are being met, and whether the Addendum’s health funding, planning and governance architecture remains fit-for-purpose</w:t>
      </w:r>
      <w:r w:rsidR="00F732FA">
        <w:t>,</w:t>
      </w:r>
      <w:r w:rsidRPr="00E60F8A">
        <w:t xml:space="preserve"> given the shared priorities for better integrated care and more seamless interfaces between the health, disability and aged care sectors.</w:t>
      </w:r>
    </w:p>
    <w:p w14:paraId="5C84D641" w14:textId="02290EA4" w:rsidR="00B104D0" w:rsidRDefault="00B104D0" w:rsidP="00B104D0">
      <w:r w:rsidRPr="00C640F8">
        <w:t xml:space="preserve">The Review was asked to consider potential options for future reforms and Agreements, as well as </w:t>
      </w:r>
      <w:r w:rsidR="00F56E67">
        <w:t>to consider</w:t>
      </w:r>
      <w:r w:rsidR="00F56E67" w:rsidRPr="00C640F8">
        <w:t xml:space="preserve"> </w:t>
      </w:r>
      <w:r w:rsidRPr="00C640F8">
        <w:t xml:space="preserve">and complement other work between </w:t>
      </w:r>
      <w:r w:rsidR="00F732FA">
        <w:t>H</w:t>
      </w:r>
      <w:r w:rsidR="00F732FA" w:rsidRPr="00C640F8">
        <w:t xml:space="preserve">ealth </w:t>
      </w:r>
      <w:r w:rsidRPr="00C640F8">
        <w:t>Ministers t</w:t>
      </w:r>
      <w:r w:rsidR="007403F0">
        <w:t>hat</w:t>
      </w:r>
      <w:r w:rsidRPr="00C640F8">
        <w:t xml:space="preserve"> make it easier for Australians to access healthcare and relieve pressure on public hospitals.</w:t>
      </w:r>
      <w:r w:rsidR="00EC4D00">
        <w:t xml:space="preserve"> This </w:t>
      </w:r>
      <w:r w:rsidR="00F56E67">
        <w:t xml:space="preserve">included </w:t>
      </w:r>
      <w:r w:rsidR="00EC4D00" w:rsidRPr="00EC4D00">
        <w:t xml:space="preserve">the unanticipated and ongoing context of </w:t>
      </w:r>
      <w:r w:rsidR="007403F0">
        <w:t xml:space="preserve">the </w:t>
      </w:r>
      <w:r w:rsidR="00EC4D00" w:rsidRPr="00EC4D00">
        <w:t>COVID-19</w:t>
      </w:r>
      <w:r w:rsidR="007403F0">
        <w:t xml:space="preserve"> pandemic</w:t>
      </w:r>
      <w:r w:rsidR="00EC4D00">
        <w:t>.</w:t>
      </w:r>
      <w:r w:rsidR="00187CDA">
        <w:t xml:space="preserve"> </w:t>
      </w:r>
      <w:r w:rsidR="00187CDA" w:rsidRPr="00187CDA">
        <w:t xml:space="preserve">The Review </w:t>
      </w:r>
      <w:r w:rsidR="00773AFA">
        <w:t xml:space="preserve">has </w:t>
      </w:r>
      <w:r w:rsidR="00741399">
        <w:t>also</w:t>
      </w:r>
      <w:r w:rsidR="00187CDA" w:rsidRPr="00187CDA">
        <w:t xml:space="preserve"> consider</w:t>
      </w:r>
      <w:r w:rsidR="00741399">
        <w:t>ed</w:t>
      </w:r>
      <w:r w:rsidR="00187CDA" w:rsidRPr="00187CDA">
        <w:t xml:space="preserve"> the national governance arrangements referenced in the Addendum that have changed since the </w:t>
      </w:r>
      <w:r w:rsidR="00E13542">
        <w:t>A</w:t>
      </w:r>
      <w:r w:rsidR="00187CDA" w:rsidRPr="00187CDA">
        <w:t>greement was signed.</w:t>
      </w:r>
    </w:p>
    <w:p w14:paraId="75B8567E" w14:textId="0B6475D7" w:rsidR="008B0E05" w:rsidRDefault="00F025E6" w:rsidP="008B0E05">
      <w:pPr>
        <w:pStyle w:val="Heading2"/>
      </w:pPr>
      <w:bookmarkStart w:id="46" w:name="_Toc143291630"/>
      <w:r w:rsidRPr="00EB3935">
        <w:t xml:space="preserve">Scope of the </w:t>
      </w:r>
      <w:r w:rsidR="00743D89">
        <w:t>R</w:t>
      </w:r>
      <w:r w:rsidRPr="00EB3935">
        <w:t>eview</w:t>
      </w:r>
      <w:bookmarkEnd w:id="46"/>
    </w:p>
    <w:p w14:paraId="7C309526" w14:textId="2A72B8D2" w:rsidR="00143449" w:rsidRDefault="00AA0E74" w:rsidP="00AE047D">
      <w:pPr>
        <w:spacing w:after="60"/>
      </w:pPr>
      <w:r w:rsidRPr="00AA0E74">
        <w:t xml:space="preserve">The Review </w:t>
      </w:r>
      <w:r w:rsidR="00F732FA">
        <w:t>is</w:t>
      </w:r>
      <w:r w:rsidR="00F732FA" w:rsidRPr="00AA0E74">
        <w:t xml:space="preserve"> </w:t>
      </w:r>
      <w:r w:rsidRPr="00AA0E74">
        <w:t xml:space="preserve">a requirement of </w:t>
      </w:r>
      <w:r w:rsidR="00F55F12">
        <w:t>C</w:t>
      </w:r>
      <w:r w:rsidRPr="00AA0E74">
        <w:t xml:space="preserve">lause 21 of the Preliminaries to the Addendum, which sets out the </w:t>
      </w:r>
      <w:r w:rsidR="00143449">
        <w:t xml:space="preserve">following </w:t>
      </w:r>
      <w:r w:rsidRPr="00AA0E74">
        <w:t xml:space="preserve">seven </w:t>
      </w:r>
      <w:r w:rsidR="00F732FA">
        <w:t xml:space="preserve">matters </w:t>
      </w:r>
      <w:r w:rsidR="00C172A5">
        <w:t>to be considered at the midpoint of the Addendum</w:t>
      </w:r>
      <w:r w:rsidR="00143449">
        <w:t>:</w:t>
      </w:r>
    </w:p>
    <w:p w14:paraId="5636551A" w14:textId="148CBEB7" w:rsidR="00D860BE" w:rsidRPr="00D860BE" w:rsidRDefault="00D860BE" w:rsidP="00AE047D">
      <w:pPr>
        <w:pStyle w:val="Letterdotpoints"/>
        <w:spacing w:after="60"/>
      </w:pPr>
      <w:r w:rsidRPr="00D860BE">
        <w:t xml:space="preserve">Implementation of the long-term reforms and other governance and funding arrangements, and whether practice and policy in place delivers on the objectives of the </w:t>
      </w:r>
      <w:r w:rsidR="00BF09A5" w:rsidRPr="00C5794A">
        <w:rPr>
          <w:i/>
          <w:iCs/>
        </w:rPr>
        <w:t>N</w:t>
      </w:r>
      <w:r w:rsidR="00150011" w:rsidRPr="00C5794A">
        <w:rPr>
          <w:i/>
          <w:iCs/>
        </w:rPr>
        <w:t>ational Health Reform Agreement</w:t>
      </w:r>
      <w:r w:rsidR="00150011">
        <w:t xml:space="preserve"> </w:t>
      </w:r>
      <w:r w:rsidRPr="00D860BE">
        <w:t>and the Addendum </w:t>
      </w:r>
    </w:p>
    <w:p w14:paraId="7D6B9D5C" w14:textId="7CB3B33D" w:rsidR="00D860BE" w:rsidRPr="00D860BE" w:rsidRDefault="00D860BE" w:rsidP="00AE047D">
      <w:pPr>
        <w:pStyle w:val="Letterdotpoints"/>
        <w:spacing w:after="60"/>
      </w:pPr>
      <w:r w:rsidRPr="00D860BE">
        <w:t>The impact of external factors on the demand for hospital services and the flow-on effects on Addendum parameters </w:t>
      </w:r>
    </w:p>
    <w:p w14:paraId="2480C73D" w14:textId="27DD3723" w:rsidR="00D860BE" w:rsidRPr="00D860BE" w:rsidRDefault="00D860BE" w:rsidP="00AE047D">
      <w:pPr>
        <w:pStyle w:val="Letterdotpoints"/>
        <w:spacing w:after="60"/>
      </w:pPr>
      <w:r w:rsidRPr="00D860BE">
        <w:t xml:space="preserve">For small rural and small regional hospitals, whether they continue to meet the block funding criteria determined by </w:t>
      </w:r>
      <w:r w:rsidR="005966C0">
        <w:t>the Independent Hospital and Aged Care Pricing Authority (</w:t>
      </w:r>
      <w:r w:rsidRPr="00D860BE">
        <w:t>IHACPA</w:t>
      </w:r>
      <w:r w:rsidR="005966C0">
        <w:t>)</w:t>
      </w:r>
      <w:r w:rsidRPr="00D860BE">
        <w:t> </w:t>
      </w:r>
    </w:p>
    <w:p w14:paraId="7B682987" w14:textId="487297C3" w:rsidR="00D860BE" w:rsidRPr="00D860BE" w:rsidRDefault="00D860BE" w:rsidP="00AE047D">
      <w:pPr>
        <w:pStyle w:val="Letterdotpoints"/>
        <w:spacing w:after="60"/>
      </w:pPr>
      <w:r w:rsidRPr="00D860BE">
        <w:t>Whether any unintended consequences such as cost-shifting, perverse incentives or other inefficiencies that impact on patient outcomes have arisen, and the capacity of Parties to adopt and deliver innovative models, as a result of financial or other arrangements in the Addendum </w:t>
      </w:r>
    </w:p>
    <w:p w14:paraId="660E0CFD" w14:textId="35651F4D" w:rsidR="00D860BE" w:rsidRPr="00D860BE" w:rsidRDefault="00D860BE" w:rsidP="00AE047D">
      <w:pPr>
        <w:pStyle w:val="Letterdotpoints"/>
        <w:spacing w:after="60"/>
      </w:pPr>
      <w:r w:rsidRPr="00D860BE">
        <w:t>The performance of the national bodies against their functions, roles and responsibilities</w:t>
      </w:r>
    </w:p>
    <w:p w14:paraId="441523F2" w14:textId="174DD12D" w:rsidR="00D860BE" w:rsidRPr="00D860BE" w:rsidRDefault="00D860BE" w:rsidP="00AE047D">
      <w:pPr>
        <w:pStyle w:val="Letterdotpoints"/>
        <w:spacing w:after="60"/>
      </w:pPr>
      <w:r w:rsidRPr="00D860BE">
        <w:t>Arrangements for approval and funding of high-cost therapies offered in public hospitals, as outlined in the Addendum Schedule C (</w:t>
      </w:r>
      <w:r w:rsidR="008E2917">
        <w:t>C</w:t>
      </w:r>
      <w:r w:rsidRPr="00D860BE">
        <w:t>lauses C11 and C12) and Appendix B</w:t>
      </w:r>
    </w:p>
    <w:p w14:paraId="6F6BFD3D" w14:textId="37ABB6A2" w:rsidR="00143449" w:rsidRDefault="00D860BE" w:rsidP="00437F1D">
      <w:pPr>
        <w:pStyle w:val="Letterdotpoints"/>
      </w:pPr>
      <w:r w:rsidRPr="00D860BE">
        <w:t xml:space="preserve">Any additional matters as agreed by </w:t>
      </w:r>
      <w:r w:rsidR="002A7E69">
        <w:t>the Health Ministers</w:t>
      </w:r>
      <w:r w:rsidR="00EE40CE">
        <w:t>’</w:t>
      </w:r>
      <w:r w:rsidR="002A7E69">
        <w:t xml:space="preserve"> Meeting (</w:t>
      </w:r>
      <w:r w:rsidRPr="00D860BE">
        <w:t>HMM</w:t>
      </w:r>
      <w:r w:rsidR="002A7E69">
        <w:t>)</w:t>
      </w:r>
      <w:r w:rsidRPr="00D860BE">
        <w:t xml:space="preserve"> or </w:t>
      </w:r>
      <w:r w:rsidR="00977269">
        <w:t xml:space="preserve">National </w:t>
      </w:r>
      <w:r w:rsidRPr="00D860BE">
        <w:t>Cabinet</w:t>
      </w:r>
      <w:r>
        <w:t>.</w:t>
      </w:r>
      <w:r w:rsidR="00AA0E74" w:rsidRPr="00AA0E74">
        <w:t xml:space="preserve"> </w:t>
      </w:r>
    </w:p>
    <w:p w14:paraId="409A95F5" w14:textId="1804F2E0" w:rsidR="00B72DA8" w:rsidRDefault="0002532F" w:rsidP="00B72DA8">
      <w:r>
        <w:t>HMM</w:t>
      </w:r>
      <w:r w:rsidR="002F4D56">
        <w:t xml:space="preserve"> also asked the Review </w:t>
      </w:r>
      <w:r w:rsidR="00654822">
        <w:t>to</w:t>
      </w:r>
      <w:r w:rsidR="00D107F3">
        <w:t xml:space="preserve"> </w:t>
      </w:r>
      <w:r w:rsidR="00654822">
        <w:t xml:space="preserve">consider </w:t>
      </w:r>
      <w:r w:rsidR="009C62FF">
        <w:t>any</w:t>
      </w:r>
      <w:r w:rsidR="00B72DA8">
        <w:t xml:space="preserve"> impacts on the above matters from factors arising since the Addendum came into effect, including:</w:t>
      </w:r>
    </w:p>
    <w:p w14:paraId="05779D04" w14:textId="0ACE0E85" w:rsidR="00B72DA8" w:rsidRPr="00D47B06" w:rsidRDefault="00B72DA8" w:rsidP="00D47B06">
      <w:pPr>
        <w:pStyle w:val="ListBullet"/>
        <w:ind w:left="567"/>
      </w:pPr>
      <w:r w:rsidRPr="00D47B06">
        <w:t>Policy changes and adjustments to the mechanics of the national funding model</w:t>
      </w:r>
    </w:p>
    <w:p w14:paraId="58CF6118" w14:textId="5CF9592F" w:rsidR="00B72DA8" w:rsidRPr="00D47B06" w:rsidRDefault="00B72DA8" w:rsidP="00D47B06">
      <w:pPr>
        <w:pStyle w:val="ListBullet"/>
        <w:ind w:left="567"/>
      </w:pPr>
      <w:r w:rsidRPr="00D47B06">
        <w:t>The COVID-19 pandemic including both the response to the pandemic and its ongoing implications for health services</w:t>
      </w:r>
    </w:p>
    <w:p w14:paraId="26CCA9DD" w14:textId="6559E992" w:rsidR="00B72DA8" w:rsidRPr="00D47B06" w:rsidRDefault="00B72DA8" w:rsidP="00D47B06">
      <w:pPr>
        <w:pStyle w:val="ListBullet"/>
        <w:ind w:left="567"/>
      </w:pPr>
      <w:r w:rsidRPr="00D47B06">
        <w:t>The restructure of national governance arrangements as they apply to the operation and oversight of the Addendum</w:t>
      </w:r>
    </w:p>
    <w:p w14:paraId="149D5C74" w14:textId="6F51CF5E" w:rsidR="00B72DA8" w:rsidRPr="00D47B06" w:rsidRDefault="00B72DA8" w:rsidP="00D47B06">
      <w:pPr>
        <w:pStyle w:val="ListBullet"/>
        <w:ind w:left="567"/>
      </w:pPr>
      <w:r w:rsidRPr="00D47B06">
        <w:t>Reform in the primary care, aged care, disability and mental health systems as they relate to the operation of the Addendum</w:t>
      </w:r>
    </w:p>
    <w:p w14:paraId="4FF46DCC" w14:textId="3327C2C7" w:rsidR="00B72DA8" w:rsidRPr="00D47B06" w:rsidRDefault="00B72DA8" w:rsidP="00D47B06">
      <w:pPr>
        <w:pStyle w:val="ListBullet"/>
        <w:spacing w:after="120"/>
        <w:ind w:left="567"/>
        <w:contextualSpacing w:val="0"/>
      </w:pPr>
      <w:r w:rsidRPr="00D47B06">
        <w:t>Function/role changes of national bodies.</w:t>
      </w:r>
    </w:p>
    <w:p w14:paraId="0A76E645" w14:textId="3743CD95" w:rsidR="00E543C6" w:rsidRDefault="00FF082A" w:rsidP="00E543C6">
      <w:r w:rsidRPr="00FF082A">
        <w:t xml:space="preserve">Based on the evidence gathered, the Review </w:t>
      </w:r>
      <w:r w:rsidR="001F27AA">
        <w:t xml:space="preserve">was </w:t>
      </w:r>
      <w:r w:rsidR="00DD2AF7">
        <w:t>asked</w:t>
      </w:r>
      <w:r w:rsidR="001F27AA">
        <w:t xml:space="preserve"> to </w:t>
      </w:r>
      <w:r w:rsidR="00C915E0">
        <w:t>propose</w:t>
      </w:r>
      <w:r w:rsidRPr="00FF082A">
        <w:t xml:space="preserve"> options for future reforms and agreements that may better meet the objectives of the Addendum and address emerging issues in the health system, including changes that may be recommended for the national funding model, the roles and responsibilities of national bodies, or for priorities for healthcare reforms.</w:t>
      </w:r>
    </w:p>
    <w:p w14:paraId="6A7D9576" w14:textId="649041A9" w:rsidR="00E543C6" w:rsidRPr="003C1375" w:rsidRDefault="00E543C6" w:rsidP="00E543C6">
      <w:r w:rsidRPr="00AA0E74">
        <w:t>Further</w:t>
      </w:r>
      <w:r>
        <w:t xml:space="preserve"> detail on the</w:t>
      </w:r>
      <w:r w:rsidR="002F6EEB">
        <w:t xml:space="preserve"> Review’s</w:t>
      </w:r>
      <w:r w:rsidR="0056444B">
        <w:t xml:space="preserve"> Terms of Reference (</w:t>
      </w:r>
      <w:r>
        <w:t>T</w:t>
      </w:r>
      <w:r w:rsidR="0027395F">
        <w:t>o</w:t>
      </w:r>
      <w:r>
        <w:t>R</w:t>
      </w:r>
      <w:r w:rsidR="0056444B">
        <w:t>)</w:t>
      </w:r>
      <w:r w:rsidRPr="00AA0E74">
        <w:t xml:space="preserve"> </w:t>
      </w:r>
      <w:r>
        <w:t>is</w:t>
      </w:r>
      <w:r w:rsidRPr="00AA0E74">
        <w:t xml:space="preserve"> </w:t>
      </w:r>
      <w:r>
        <w:t>at</w:t>
      </w:r>
      <w:r w:rsidR="0003082E">
        <w:t xml:space="preserve"> </w:t>
      </w:r>
      <w:r w:rsidR="0003082E">
        <w:fldChar w:fldCharType="begin" w:fldLock="1"/>
      </w:r>
      <w:r w:rsidR="0003082E">
        <w:instrText xml:space="preserve"> REF _Ref148605799 \w \h </w:instrText>
      </w:r>
      <w:r w:rsidR="0003082E">
        <w:fldChar w:fldCharType="separate"/>
      </w:r>
      <w:r w:rsidR="00FA10A4">
        <w:t>Appendix B</w:t>
      </w:r>
      <w:r w:rsidR="0003082E">
        <w:fldChar w:fldCharType="end"/>
      </w:r>
      <w:r w:rsidRPr="00AA0E74">
        <w:t>.</w:t>
      </w:r>
    </w:p>
    <w:p w14:paraId="44008785" w14:textId="372DD943" w:rsidR="00A44D76" w:rsidRDefault="00A44D76" w:rsidP="00A44D76">
      <w:pPr>
        <w:pStyle w:val="Heading2"/>
      </w:pPr>
      <w:bookmarkStart w:id="47" w:name="_Toc143291631"/>
      <w:r>
        <w:t>Independent Reviewers</w:t>
      </w:r>
      <w:bookmarkEnd w:id="47"/>
    </w:p>
    <w:p w14:paraId="703E55A9" w14:textId="0876EA84" w:rsidR="00A44D76" w:rsidRDefault="001E27F8" w:rsidP="00A44D76">
      <w:r w:rsidRPr="001E27F8">
        <w:t xml:space="preserve">The Review </w:t>
      </w:r>
      <w:r w:rsidR="00872BC3">
        <w:t xml:space="preserve">was </w:t>
      </w:r>
      <w:r w:rsidR="00313622">
        <w:t>commissioned</w:t>
      </w:r>
      <w:r w:rsidR="00612E9E">
        <w:t xml:space="preserve"> </w:t>
      </w:r>
      <w:r w:rsidR="00F84BA8">
        <w:t xml:space="preserve">through the Commonwealth Department of Health and Aged Care, on behalf of </w:t>
      </w:r>
      <w:r w:rsidR="00F732FA">
        <w:t xml:space="preserve">the Commonwealth and </w:t>
      </w:r>
      <w:r w:rsidR="00F84BA8">
        <w:t>all State and Territory</w:t>
      </w:r>
      <w:r w:rsidR="00150D72">
        <w:t xml:space="preserve"> Health Ministers. The Review was initially </w:t>
      </w:r>
      <w:r w:rsidRPr="001E27F8">
        <w:t>co-led</w:t>
      </w:r>
      <w:r w:rsidR="00150D72">
        <w:t xml:space="preserve"> by two </w:t>
      </w:r>
      <w:r w:rsidR="00612E9E">
        <w:t xml:space="preserve">independent </w:t>
      </w:r>
      <w:r w:rsidR="00A36BD1">
        <w:t>R</w:t>
      </w:r>
      <w:r w:rsidRPr="001E27F8">
        <w:t xml:space="preserve">eviewers </w:t>
      </w:r>
      <w:r w:rsidR="00DA41C8">
        <w:t>(</w:t>
      </w:r>
      <w:r w:rsidR="004C337D" w:rsidRPr="004C337D">
        <w:t xml:space="preserve">Ms Rosemary Huxtable </w:t>
      </w:r>
      <w:r w:rsidR="00F732FA">
        <w:t xml:space="preserve">AO </w:t>
      </w:r>
      <w:r w:rsidR="004C337D" w:rsidRPr="004C337D">
        <w:t>PSM and Mr Michael Walsh PSM</w:t>
      </w:r>
      <w:r w:rsidR="004C337D">
        <w:t xml:space="preserve">) </w:t>
      </w:r>
      <w:r w:rsidR="00150D72">
        <w:t xml:space="preserve">with </w:t>
      </w:r>
      <w:r w:rsidRPr="001E27F8">
        <w:t>responsibility for convening</w:t>
      </w:r>
      <w:r w:rsidR="00150D72">
        <w:t xml:space="preserve"> </w:t>
      </w:r>
      <w:r w:rsidRPr="001E27F8">
        <w:t xml:space="preserve">the </w:t>
      </w:r>
      <w:r w:rsidR="00A36BD1">
        <w:t>R</w:t>
      </w:r>
      <w:r w:rsidRPr="001E27F8">
        <w:t>eview process</w:t>
      </w:r>
      <w:r w:rsidR="00150D72">
        <w:t xml:space="preserve">, </w:t>
      </w:r>
      <w:r w:rsidRPr="001E27F8">
        <w:t>making final decisions on review approach</w:t>
      </w:r>
      <w:r w:rsidR="00CE6220">
        <w:t>, conducting</w:t>
      </w:r>
      <w:r w:rsidRPr="001E27F8">
        <w:t xml:space="preserve"> </w:t>
      </w:r>
      <w:r w:rsidR="00CE6220">
        <w:t xml:space="preserve">the Review and making </w:t>
      </w:r>
      <w:r w:rsidRPr="001E27F8">
        <w:t>recommendations</w:t>
      </w:r>
      <w:r w:rsidR="00CE6220">
        <w:t>.</w:t>
      </w:r>
      <w:r w:rsidR="00BB0BDB">
        <w:t xml:space="preserve"> </w:t>
      </w:r>
      <w:r w:rsidRPr="001E27F8">
        <w:t xml:space="preserve">The </w:t>
      </w:r>
      <w:r w:rsidR="00A36BD1">
        <w:t>R</w:t>
      </w:r>
      <w:r w:rsidRPr="001E27F8">
        <w:t xml:space="preserve">eviewers </w:t>
      </w:r>
      <w:r w:rsidR="002B65E5">
        <w:t>were</w:t>
      </w:r>
      <w:r w:rsidRPr="001E27F8">
        <w:t xml:space="preserve"> supported </w:t>
      </w:r>
      <w:r w:rsidR="002B65E5">
        <w:t xml:space="preserve">by Deloitte </w:t>
      </w:r>
      <w:r w:rsidRPr="001E27F8">
        <w:t xml:space="preserve">to maintain transparency and independence in </w:t>
      </w:r>
      <w:r w:rsidR="00472C22">
        <w:t xml:space="preserve">conducting </w:t>
      </w:r>
      <w:r w:rsidR="00F732FA">
        <w:t xml:space="preserve">consultations, analysing inputs and developing recommendations. </w:t>
      </w:r>
    </w:p>
    <w:p w14:paraId="3BE070E6" w14:textId="6AB32E34" w:rsidR="006A4861" w:rsidRDefault="00385A8A" w:rsidP="00A44D76">
      <w:r>
        <w:t xml:space="preserve">From </w:t>
      </w:r>
      <w:r w:rsidR="004A615C">
        <w:t xml:space="preserve">24 July 2023, </w:t>
      </w:r>
      <w:r w:rsidR="007A1922">
        <w:t>Ms Huxtable</w:t>
      </w:r>
      <w:r w:rsidR="00DA41C8" w:rsidRPr="00DA41C8">
        <w:t xml:space="preserve"> </w:t>
      </w:r>
      <w:r w:rsidR="00F629DA">
        <w:t xml:space="preserve">became </w:t>
      </w:r>
      <w:r w:rsidR="00DA41C8" w:rsidRPr="00DA41C8">
        <w:t xml:space="preserve">the sole </w:t>
      </w:r>
      <w:r w:rsidR="00F629DA">
        <w:t>R</w:t>
      </w:r>
      <w:r w:rsidR="00DA41C8" w:rsidRPr="00DA41C8">
        <w:t>eviewer</w:t>
      </w:r>
      <w:r w:rsidR="001A742D">
        <w:t xml:space="preserve"> </w:t>
      </w:r>
      <w:r w:rsidR="00F732FA">
        <w:t>as</w:t>
      </w:r>
      <w:r w:rsidR="001A742D">
        <w:t xml:space="preserve"> </w:t>
      </w:r>
      <w:r w:rsidR="007A1922">
        <w:t>Mr Walsh</w:t>
      </w:r>
      <w:r w:rsidR="0007235B">
        <w:t xml:space="preserve"> </w:t>
      </w:r>
      <w:r w:rsidR="00F732FA">
        <w:t xml:space="preserve">took </w:t>
      </w:r>
      <w:r w:rsidR="0007235B">
        <w:t xml:space="preserve">up the role of </w:t>
      </w:r>
      <w:r w:rsidR="00EA07CF">
        <w:t>Acting Director-General of Queensland Health</w:t>
      </w:r>
      <w:r w:rsidR="00EA305E">
        <w:t>.</w:t>
      </w:r>
      <w:r w:rsidR="00030C81">
        <w:t xml:space="preserve"> </w:t>
      </w:r>
      <w:r w:rsidR="005B5081">
        <w:t>Mr Walsh</w:t>
      </w:r>
      <w:r w:rsidR="00030C81">
        <w:t xml:space="preserve"> continued as</w:t>
      </w:r>
      <w:r w:rsidR="00DA41C8" w:rsidRPr="00DA41C8">
        <w:t xml:space="preserve"> an advisor to </w:t>
      </w:r>
      <w:r w:rsidR="00AC57E0">
        <w:t>Ms Huxtable</w:t>
      </w:r>
      <w:r w:rsidR="00DA41C8" w:rsidRPr="00DA41C8">
        <w:t xml:space="preserve"> on the </w:t>
      </w:r>
      <w:r w:rsidR="00030C81">
        <w:t>R</w:t>
      </w:r>
      <w:r w:rsidR="00DA41C8" w:rsidRPr="00DA41C8">
        <w:t>eview</w:t>
      </w:r>
      <w:r w:rsidR="00030C81">
        <w:t xml:space="preserve"> </w:t>
      </w:r>
      <w:r w:rsidR="00D47929">
        <w:t xml:space="preserve">after </w:t>
      </w:r>
      <w:r w:rsidR="00EA305E">
        <w:t xml:space="preserve">that </w:t>
      </w:r>
      <w:r w:rsidR="00030C81">
        <w:t>date</w:t>
      </w:r>
      <w:r w:rsidR="00AC57E0">
        <w:t xml:space="preserve">, </w:t>
      </w:r>
      <w:r w:rsidR="008A0FEA">
        <w:t>together with the Chair and Deputy Chairs of the Health Chief Executives Forum</w:t>
      </w:r>
      <w:r w:rsidR="00573249">
        <w:t xml:space="preserve"> (</w:t>
      </w:r>
      <w:r w:rsidR="002F785E">
        <w:t>HCEF</w:t>
      </w:r>
      <w:r w:rsidR="00573249">
        <w:t>)</w:t>
      </w:r>
      <w:r w:rsidR="008A0FEA">
        <w:t xml:space="preserve">, </w:t>
      </w:r>
      <w:r w:rsidR="009B5D64">
        <w:t>Dr</w:t>
      </w:r>
      <w:r w:rsidR="008A0FEA">
        <w:t xml:space="preserve"> David Russell-Weisz</w:t>
      </w:r>
      <w:r w:rsidR="009B5D64">
        <w:t xml:space="preserve"> PSM</w:t>
      </w:r>
      <w:r w:rsidR="008A0FEA">
        <w:t>, Ms Kathrine Morgan</w:t>
      </w:r>
      <w:r w:rsidR="00EA678A">
        <w:t>-</w:t>
      </w:r>
      <w:r w:rsidR="008A0FEA">
        <w:t>Wicks and Professor Euan Wallace</w:t>
      </w:r>
      <w:r w:rsidR="00B11260">
        <w:t xml:space="preserve"> AM</w:t>
      </w:r>
      <w:r w:rsidR="00613C06">
        <w:t>,</w:t>
      </w:r>
      <w:r w:rsidR="0044659F">
        <w:t xml:space="preserve"> and the Commonwealth </w:t>
      </w:r>
      <w:r w:rsidR="00B62375">
        <w:t>Department of Health and Age</w:t>
      </w:r>
      <w:r w:rsidR="00FA3BA3">
        <w:t>d Care</w:t>
      </w:r>
      <w:r w:rsidR="00857F2D" w:rsidRPr="00857F2D">
        <w:t xml:space="preserve"> </w:t>
      </w:r>
      <w:r w:rsidR="00857F2D">
        <w:t>Secretary</w:t>
      </w:r>
      <w:r w:rsidR="00B62375">
        <w:t>, Mr Blair Comley PSM</w:t>
      </w:r>
      <w:r w:rsidR="008A0FEA">
        <w:t>.</w:t>
      </w:r>
    </w:p>
    <w:p w14:paraId="6947F41A" w14:textId="21012410" w:rsidR="00004047" w:rsidRPr="0022304E" w:rsidRDefault="00F025E6" w:rsidP="0022304E">
      <w:pPr>
        <w:pStyle w:val="Heading2"/>
      </w:pPr>
      <w:bookmarkStart w:id="48" w:name="_Toc143291632"/>
      <w:r>
        <w:t>Review methodology</w:t>
      </w:r>
      <w:bookmarkEnd w:id="48"/>
    </w:p>
    <w:p w14:paraId="108E5759" w14:textId="6628B1A5" w:rsidR="00410CDF" w:rsidRDefault="00BF029F" w:rsidP="00D50025">
      <w:r w:rsidRPr="00BF029F">
        <w:t xml:space="preserve">The Review was conducted over </w:t>
      </w:r>
      <w:r w:rsidR="008A0FEA">
        <w:t>an eight</w:t>
      </w:r>
      <w:r w:rsidR="00514E81">
        <w:t>-</w:t>
      </w:r>
      <w:r w:rsidRPr="00BF029F">
        <w:t>month</w:t>
      </w:r>
      <w:r w:rsidR="008A0FEA">
        <w:t xml:space="preserve"> period</w:t>
      </w:r>
      <w:r w:rsidRPr="00BF029F">
        <w:t xml:space="preserve"> and across 11 key tranches of activities, </w:t>
      </w:r>
      <w:r w:rsidRPr="007A27C2">
        <w:t xml:space="preserve">beginning in February 2023 and </w:t>
      </w:r>
      <w:r w:rsidR="008A0FEA">
        <w:t xml:space="preserve">concluding at </w:t>
      </w:r>
      <w:r w:rsidR="007A4C75">
        <w:t xml:space="preserve">the </w:t>
      </w:r>
      <w:r w:rsidR="008A0FEA">
        <w:t xml:space="preserve">end </w:t>
      </w:r>
      <w:r w:rsidR="007A4C75">
        <w:t xml:space="preserve">of </w:t>
      </w:r>
      <w:r w:rsidR="008A0FEA">
        <w:t>October 2023</w:t>
      </w:r>
      <w:r w:rsidRPr="007A27C2">
        <w:t>.</w:t>
      </w:r>
    </w:p>
    <w:p w14:paraId="5D4829CE" w14:textId="04D467B3" w:rsidR="00F26CF2" w:rsidRDefault="004D1395" w:rsidP="00F26CF2">
      <w:r>
        <w:t xml:space="preserve">These activities are illustrated in </w:t>
      </w:r>
      <w:r w:rsidR="00AC0771">
        <w:fldChar w:fldCharType="begin" w:fldLock="1"/>
      </w:r>
      <w:r w:rsidR="00AC0771">
        <w:instrText xml:space="preserve"> REF _Ref143720523 \h </w:instrText>
      </w:r>
      <w:r w:rsidR="00AC0771">
        <w:fldChar w:fldCharType="separate"/>
      </w:r>
      <w:r w:rsidR="00FA10A4">
        <w:t xml:space="preserve">Figure </w:t>
      </w:r>
      <w:r w:rsidR="00FA10A4">
        <w:rPr>
          <w:noProof/>
        </w:rPr>
        <w:t>1</w:t>
      </w:r>
      <w:r w:rsidR="00AC0771">
        <w:fldChar w:fldCharType="end"/>
      </w:r>
      <w:r w:rsidR="006D2B02">
        <w:t xml:space="preserve"> </w:t>
      </w:r>
      <w:r w:rsidR="00294AC8">
        <w:t>and described further in the</w:t>
      </w:r>
      <w:r w:rsidR="00DE04EE">
        <w:t xml:space="preserve"> </w:t>
      </w:r>
      <w:r w:rsidR="00294AC8">
        <w:t>sections</w:t>
      </w:r>
      <w:r w:rsidR="00CE33B3">
        <w:t xml:space="preserve"> that follow</w:t>
      </w:r>
      <w:r w:rsidR="00294AC8">
        <w:t>.</w:t>
      </w:r>
    </w:p>
    <w:p w14:paraId="00FA4B48" w14:textId="0165A4DA" w:rsidR="00080A26" w:rsidRDefault="004C7CC4" w:rsidP="00F26CF2">
      <w:r>
        <w:rPr>
          <w:noProof/>
        </w:rPr>
        <w:drawing>
          <wp:inline distT="0" distB="0" distL="0" distR="0" wp14:anchorId="4C762232" wp14:editId="4174055F">
            <wp:extent cx="6597566" cy="3751902"/>
            <wp:effectExtent l="0" t="0" r="0" b="1270"/>
            <wp:docPr id="54" name="Picture 54" descr="P5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510#yIS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608" b="-1"/>
                    <a:stretch/>
                  </pic:blipFill>
                  <pic:spPr bwMode="auto">
                    <a:xfrm>
                      <a:off x="0" y="0"/>
                      <a:ext cx="6618528" cy="3763823"/>
                    </a:xfrm>
                    <a:prstGeom prst="rect">
                      <a:avLst/>
                    </a:prstGeom>
                    <a:noFill/>
                    <a:ln>
                      <a:noFill/>
                    </a:ln>
                    <a:extLst>
                      <a:ext uri="{53640926-AAD7-44D8-BBD7-CCE9431645EC}">
                        <a14:shadowObscured xmlns:a14="http://schemas.microsoft.com/office/drawing/2010/main"/>
                      </a:ext>
                    </a:extLst>
                  </pic:spPr>
                </pic:pic>
              </a:graphicData>
            </a:graphic>
          </wp:inline>
        </w:drawing>
      </w:r>
    </w:p>
    <w:p w14:paraId="0DE4D00A" w14:textId="2C0E6140" w:rsidR="00080A26" w:rsidRDefault="00080A26" w:rsidP="00C2024B">
      <w:pPr>
        <w:pStyle w:val="Caption"/>
      </w:pPr>
      <w:bookmarkStart w:id="49" w:name="_Ref142842547"/>
      <w:bookmarkStart w:id="50" w:name="_Ref143720523"/>
      <w:bookmarkStart w:id="51" w:name="_Toc148968379"/>
      <w:r>
        <w:t xml:space="preserve">Figure </w:t>
      </w:r>
      <w:bookmarkEnd w:id="49"/>
      <w:r w:rsidR="00452E10">
        <w:fldChar w:fldCharType="begin"/>
      </w:r>
      <w:r w:rsidR="00452E10">
        <w:instrText xml:space="preserve"> SEQ Figure \* ARABIC </w:instrText>
      </w:r>
      <w:r w:rsidR="00452E10">
        <w:fldChar w:fldCharType="separate"/>
      </w:r>
      <w:r w:rsidR="003F5D51">
        <w:rPr>
          <w:noProof/>
        </w:rPr>
        <w:t>1</w:t>
      </w:r>
      <w:r w:rsidR="00452E10">
        <w:fldChar w:fldCharType="end"/>
      </w:r>
      <w:bookmarkEnd w:id="50"/>
      <w:r>
        <w:t xml:space="preserve">: </w:t>
      </w:r>
      <w:r w:rsidRPr="00080A26">
        <w:t>Review timeline</w:t>
      </w:r>
      <w:bookmarkEnd w:id="51"/>
    </w:p>
    <w:p w14:paraId="59DA2FF1" w14:textId="77777777" w:rsidR="00AE047D" w:rsidRPr="00AE047D" w:rsidRDefault="00AE047D" w:rsidP="00AE047D"/>
    <w:p w14:paraId="251D560A" w14:textId="1F619FAB" w:rsidR="00294AC8" w:rsidRDefault="00D50025" w:rsidP="00D50025">
      <w:pPr>
        <w:pStyle w:val="Heading3"/>
      </w:pPr>
      <w:bookmarkStart w:id="52" w:name="_Toc143291633"/>
      <w:r>
        <w:t>Document review</w:t>
      </w:r>
      <w:bookmarkEnd w:id="52"/>
      <w:r>
        <w:t xml:space="preserve"> </w:t>
      </w:r>
    </w:p>
    <w:p w14:paraId="4BCFFAAA" w14:textId="4D2F190E" w:rsidR="00D50025" w:rsidRDefault="00D50025" w:rsidP="00D50025">
      <w:r w:rsidRPr="00D50025">
        <w:t xml:space="preserve">Relevant documents </w:t>
      </w:r>
      <w:r w:rsidR="00D45170">
        <w:t>including</w:t>
      </w:r>
      <w:r w:rsidRPr="00D50025">
        <w:t xml:space="preserve"> the </w:t>
      </w:r>
      <w:r w:rsidR="008A0FEA" w:rsidRPr="00E134D9">
        <w:rPr>
          <w:i/>
          <w:iCs/>
        </w:rPr>
        <w:t>National Health Reform Agreement</w:t>
      </w:r>
      <w:r w:rsidR="008A0FEA">
        <w:t xml:space="preserve"> and related Addenda (2017 and 2020)</w:t>
      </w:r>
      <w:r w:rsidRPr="00D50025">
        <w:t xml:space="preserve">, the </w:t>
      </w:r>
      <w:r w:rsidR="008A0FEA" w:rsidRPr="009634F6">
        <w:rPr>
          <w:i/>
        </w:rPr>
        <w:t xml:space="preserve">National Health Reform </w:t>
      </w:r>
      <w:r w:rsidRPr="009634F6">
        <w:rPr>
          <w:i/>
        </w:rPr>
        <w:t>Act</w:t>
      </w:r>
      <w:r w:rsidR="008A0FEA" w:rsidRPr="009634F6">
        <w:rPr>
          <w:i/>
        </w:rPr>
        <w:t xml:space="preserve"> 2011</w:t>
      </w:r>
      <w:r w:rsidRPr="00D50025">
        <w:t xml:space="preserve">, </w:t>
      </w:r>
      <w:r w:rsidR="008A0FEA" w:rsidRPr="00D72ED0">
        <w:rPr>
          <w:i/>
          <w:iCs/>
        </w:rPr>
        <w:t>National Healthcare Agreement 2012</w:t>
      </w:r>
      <w:r w:rsidR="008A0FEA">
        <w:t xml:space="preserve">, </w:t>
      </w:r>
      <w:r w:rsidR="00D22C7F">
        <w:t xml:space="preserve">the </w:t>
      </w:r>
      <w:r w:rsidR="008A0FEA" w:rsidRPr="00D72ED0">
        <w:rPr>
          <w:i/>
          <w:iCs/>
        </w:rPr>
        <w:t xml:space="preserve">National Partnership </w:t>
      </w:r>
      <w:r w:rsidR="00796CAE" w:rsidRPr="00D72ED0">
        <w:rPr>
          <w:i/>
          <w:iCs/>
        </w:rPr>
        <w:t>Agreement</w:t>
      </w:r>
      <w:r w:rsidR="008A0FEA" w:rsidRPr="00D72ED0">
        <w:rPr>
          <w:i/>
          <w:iCs/>
        </w:rPr>
        <w:t xml:space="preserve"> on COVID</w:t>
      </w:r>
      <w:r w:rsidR="00F77DB2" w:rsidRPr="00D72ED0">
        <w:rPr>
          <w:i/>
          <w:iCs/>
        </w:rPr>
        <w:t>-19</w:t>
      </w:r>
      <w:r w:rsidR="008A0FEA" w:rsidRPr="00D72ED0">
        <w:rPr>
          <w:i/>
          <w:iCs/>
        </w:rPr>
        <w:t xml:space="preserve"> Response</w:t>
      </w:r>
      <w:r w:rsidR="004642F5">
        <w:t xml:space="preserve"> (COVID-19</w:t>
      </w:r>
      <w:r w:rsidR="001E62A4">
        <w:t xml:space="preserve"> NPA</w:t>
      </w:r>
      <w:r w:rsidR="004642F5">
        <w:t>)</w:t>
      </w:r>
      <w:r w:rsidR="00D22C7F">
        <w:t xml:space="preserve">, the </w:t>
      </w:r>
      <w:r w:rsidR="00D22C7F" w:rsidRPr="00D72ED0">
        <w:rPr>
          <w:i/>
          <w:iCs/>
        </w:rPr>
        <w:t>National Agreement on Closing the Gap</w:t>
      </w:r>
      <w:r w:rsidR="008A0FEA">
        <w:t xml:space="preserve"> </w:t>
      </w:r>
      <w:r w:rsidR="00D72ED0">
        <w:t>(Closing the Gap)</w:t>
      </w:r>
      <w:r w:rsidR="00E139FE" w:rsidRPr="00D50025">
        <w:t xml:space="preserve"> </w:t>
      </w:r>
      <w:r w:rsidRPr="00D50025">
        <w:t>and other relevant documents, were reviewed to establish an understanding of relevant issues</w:t>
      </w:r>
      <w:r w:rsidR="00674CD7">
        <w:t xml:space="preserve"> and inform findings</w:t>
      </w:r>
      <w:r w:rsidR="008A0FEA">
        <w:t>.</w:t>
      </w:r>
      <w:r w:rsidR="009A70AA">
        <w:t xml:space="preserve"> A full list of reference </w:t>
      </w:r>
      <w:r w:rsidR="009444E1">
        <w:t xml:space="preserve">documents </w:t>
      </w:r>
      <w:r w:rsidR="00504D96">
        <w:t>is</w:t>
      </w:r>
      <w:r w:rsidR="009444E1">
        <w:t xml:space="preserve"> </w:t>
      </w:r>
      <w:r w:rsidR="00514E81">
        <w:t>at</w:t>
      </w:r>
      <w:r w:rsidR="009444E1">
        <w:t xml:space="preserve"> </w:t>
      </w:r>
      <w:r w:rsidR="009444E1">
        <w:fldChar w:fldCharType="begin" w:fldLock="1"/>
      </w:r>
      <w:r w:rsidR="009444E1">
        <w:instrText xml:space="preserve"> REF _Ref143697278 \w \h </w:instrText>
      </w:r>
      <w:r w:rsidR="009444E1">
        <w:fldChar w:fldCharType="separate"/>
      </w:r>
      <w:r w:rsidR="00FA10A4">
        <w:t>Appendix C</w:t>
      </w:r>
      <w:r w:rsidR="009444E1">
        <w:fldChar w:fldCharType="end"/>
      </w:r>
      <w:r w:rsidR="009444E1">
        <w:t>.</w:t>
      </w:r>
    </w:p>
    <w:p w14:paraId="4C0F04DE" w14:textId="6F273247" w:rsidR="00D50025" w:rsidRDefault="00B372C0" w:rsidP="00B372C0">
      <w:pPr>
        <w:pStyle w:val="Heading3"/>
      </w:pPr>
      <w:bookmarkStart w:id="53" w:name="_Toc143291634"/>
      <w:r>
        <w:t>Jurisdictional workshops</w:t>
      </w:r>
      <w:bookmarkEnd w:id="53"/>
      <w:r>
        <w:t xml:space="preserve"> </w:t>
      </w:r>
    </w:p>
    <w:p w14:paraId="54E396C3" w14:textId="03A9C89F" w:rsidR="00B372C0" w:rsidRPr="00B372C0" w:rsidRDefault="00674CD7" w:rsidP="00B372C0">
      <w:r>
        <w:t>Two days of workshops</w:t>
      </w:r>
      <w:r w:rsidR="00B372C0" w:rsidRPr="00B372C0">
        <w:t xml:space="preserve"> with each of the nine jurisdictions </w:t>
      </w:r>
      <w:r w:rsidR="00AE4BAD">
        <w:t>were</w:t>
      </w:r>
      <w:r w:rsidR="00AE4BAD" w:rsidRPr="00B372C0">
        <w:t xml:space="preserve"> </w:t>
      </w:r>
      <w:r w:rsidR="00B372C0" w:rsidRPr="00B372C0">
        <w:t xml:space="preserve">conducted to discuss their perspectives </w:t>
      </w:r>
      <w:r w:rsidR="001D153F">
        <w:t>on</w:t>
      </w:r>
      <w:r w:rsidR="00B372C0" w:rsidRPr="00B372C0">
        <w:t xml:space="preserve"> whether the objectives of the Addendum are being met, any identified improvements</w:t>
      </w:r>
      <w:r w:rsidR="001D153F">
        <w:t>,</w:t>
      </w:r>
      <w:r w:rsidR="00B372C0" w:rsidRPr="00B372C0">
        <w:t xml:space="preserve"> </w:t>
      </w:r>
      <w:r w:rsidR="008A139E">
        <w:t xml:space="preserve">presentation of case studies and relevant data on system challenges and performance, </w:t>
      </w:r>
      <w:r w:rsidR="00B372C0" w:rsidRPr="00B372C0">
        <w:t>and to help inform future direction</w:t>
      </w:r>
      <w:r w:rsidR="0056444B">
        <w:t>s</w:t>
      </w:r>
      <w:r w:rsidR="00B372C0" w:rsidRPr="00B372C0">
        <w:t>.</w:t>
      </w:r>
    </w:p>
    <w:p w14:paraId="3A1B9B78" w14:textId="10B030A1" w:rsidR="00B372C0" w:rsidRPr="00B372C0" w:rsidRDefault="008A139E" w:rsidP="00B372C0">
      <w:r>
        <w:t>The structure of the workshops</w:t>
      </w:r>
      <w:r w:rsidR="00B372C0" w:rsidRPr="00B372C0">
        <w:t xml:space="preserve">, </w:t>
      </w:r>
      <w:r w:rsidR="00B11260">
        <w:t xml:space="preserve">including the individual workshop </w:t>
      </w:r>
      <w:r w:rsidR="00B372C0" w:rsidRPr="00B372C0">
        <w:t xml:space="preserve">sessions and </w:t>
      </w:r>
      <w:r w:rsidR="00B11260">
        <w:t xml:space="preserve">workshop </w:t>
      </w:r>
      <w:r w:rsidR="00B372C0" w:rsidRPr="00B372C0">
        <w:t xml:space="preserve">attendees were </w:t>
      </w:r>
      <w:r w:rsidR="00723D3F">
        <w:t>defined by</w:t>
      </w:r>
      <w:r w:rsidR="00B372C0" w:rsidRPr="00B372C0">
        <w:t xml:space="preserve"> each jurisdiction to best reflect their </w:t>
      </w:r>
      <w:r w:rsidR="00C57601">
        <w:t>areas of interest</w:t>
      </w:r>
      <w:r w:rsidR="00B372C0" w:rsidRPr="00B372C0">
        <w:t xml:space="preserve">. </w:t>
      </w:r>
    </w:p>
    <w:p w14:paraId="50282242" w14:textId="621B5261" w:rsidR="00B372C0" w:rsidRPr="00B372C0" w:rsidRDefault="00B372C0" w:rsidP="00B372C0">
      <w:r w:rsidRPr="00B372C0">
        <w:t xml:space="preserve">Attendees in these sessions spanned the following: </w:t>
      </w:r>
    </w:p>
    <w:p w14:paraId="2EB72BBF" w14:textId="2EFC9FFB" w:rsidR="00B372C0" w:rsidRPr="00B372C0" w:rsidRDefault="00D4013F" w:rsidP="00D47B06">
      <w:pPr>
        <w:pStyle w:val="ListBullet"/>
        <w:ind w:left="567"/>
      </w:pPr>
      <w:r>
        <w:t xml:space="preserve">Health </w:t>
      </w:r>
      <w:r w:rsidR="00B372C0" w:rsidRPr="00B372C0">
        <w:t>Ministers</w:t>
      </w:r>
    </w:p>
    <w:p w14:paraId="7A72BD8C" w14:textId="41D5868A" w:rsidR="00D4013F" w:rsidRDefault="00D4013F" w:rsidP="00D47B06">
      <w:pPr>
        <w:pStyle w:val="ListBullet"/>
        <w:ind w:left="567"/>
      </w:pPr>
      <w:r>
        <w:t xml:space="preserve">Health Department </w:t>
      </w:r>
      <w:r w:rsidR="00E139FE">
        <w:t>Chief Executive Officers (</w:t>
      </w:r>
      <w:r>
        <w:t>CEOs</w:t>
      </w:r>
      <w:r w:rsidR="00E139FE">
        <w:t>)</w:t>
      </w:r>
    </w:p>
    <w:p w14:paraId="44161C32" w14:textId="655D0E22" w:rsidR="00B372C0" w:rsidRPr="00B372C0" w:rsidRDefault="00D4013F" w:rsidP="00D47B06">
      <w:pPr>
        <w:pStyle w:val="ListBullet"/>
        <w:ind w:left="567"/>
      </w:pPr>
      <w:r>
        <w:t>Health Department</w:t>
      </w:r>
      <w:r w:rsidR="00B372C0" w:rsidRPr="00B372C0">
        <w:t xml:space="preserve"> senior executive and key staff</w:t>
      </w:r>
    </w:p>
    <w:p w14:paraId="1F4493E4" w14:textId="27E953C6" w:rsidR="00B372C0" w:rsidRPr="00B372C0" w:rsidRDefault="00D4013F" w:rsidP="00D47B06">
      <w:pPr>
        <w:pStyle w:val="ListBullet"/>
        <w:ind w:left="567"/>
      </w:pPr>
      <w:r>
        <w:t>Senior representatives of First Minister, Treasury and Finance Departments</w:t>
      </w:r>
    </w:p>
    <w:p w14:paraId="24EA509F" w14:textId="4C054232" w:rsidR="00B372C0" w:rsidRPr="00B372C0" w:rsidRDefault="00B372C0" w:rsidP="00D47B06">
      <w:pPr>
        <w:pStyle w:val="ListBullet"/>
        <w:ind w:left="567"/>
      </w:pPr>
      <w:r w:rsidRPr="00B372C0">
        <w:t>Health service CEOs</w:t>
      </w:r>
    </w:p>
    <w:p w14:paraId="4C239F7B" w14:textId="2FD15F3E" w:rsidR="00B372C0" w:rsidRPr="00B372C0" w:rsidRDefault="00B372C0" w:rsidP="00D47B06">
      <w:pPr>
        <w:pStyle w:val="ListBullet"/>
        <w:ind w:left="567"/>
      </w:pPr>
      <w:r w:rsidRPr="00B372C0">
        <w:t>Peak body and community health organisation CEOs</w:t>
      </w:r>
    </w:p>
    <w:p w14:paraId="0DAA029C" w14:textId="77B6762F" w:rsidR="00B372C0" w:rsidRPr="00B372C0" w:rsidRDefault="00B372C0" w:rsidP="00D47B06">
      <w:pPr>
        <w:pStyle w:val="ListBullet"/>
        <w:ind w:left="567"/>
      </w:pPr>
      <w:r w:rsidRPr="00B372C0">
        <w:t xml:space="preserve">CEOs, </w:t>
      </w:r>
      <w:r w:rsidR="0056444B">
        <w:t>P</w:t>
      </w:r>
      <w:r w:rsidR="0056444B" w:rsidRPr="00B372C0">
        <w:t>residents</w:t>
      </w:r>
      <w:r w:rsidRPr="00B372C0">
        <w:t>, Board chairs</w:t>
      </w:r>
      <w:r w:rsidR="00BB534A">
        <w:t xml:space="preserve"> and</w:t>
      </w:r>
      <w:r w:rsidRPr="00B372C0">
        <w:t xml:space="preserve"> clinical staff from various jurisdictional health organisations  </w:t>
      </w:r>
    </w:p>
    <w:p w14:paraId="636FD715" w14:textId="77777777" w:rsidR="008C1E60" w:rsidRDefault="009A0A7C" w:rsidP="00D47B06">
      <w:pPr>
        <w:pStyle w:val="ListBullet"/>
        <w:ind w:left="567"/>
      </w:pPr>
      <w:r>
        <w:t>Primary Health Network (</w:t>
      </w:r>
      <w:r w:rsidR="00B372C0" w:rsidRPr="00B372C0">
        <w:t>PHN</w:t>
      </w:r>
      <w:r>
        <w:t>)</w:t>
      </w:r>
      <w:r w:rsidR="00B372C0" w:rsidRPr="00B372C0">
        <w:t xml:space="preserve"> </w:t>
      </w:r>
      <w:r w:rsidR="00BB534A">
        <w:t>representative</w:t>
      </w:r>
      <w:r w:rsidR="008C1E60">
        <w:t>s</w:t>
      </w:r>
    </w:p>
    <w:p w14:paraId="5C041AF1" w14:textId="0BD41D2C" w:rsidR="00BB534A" w:rsidRDefault="00BB534A" w:rsidP="00D47B06">
      <w:pPr>
        <w:pStyle w:val="ListBullet"/>
        <w:ind w:left="567"/>
      </w:pPr>
      <w:r>
        <w:t>Consumer representatives</w:t>
      </w:r>
    </w:p>
    <w:p w14:paraId="4E32D4BE" w14:textId="375322CF" w:rsidR="00B372C0" w:rsidRPr="00B372C0" w:rsidRDefault="00C57601" w:rsidP="00D47B06">
      <w:pPr>
        <w:pStyle w:val="ListBullet"/>
        <w:spacing w:after="120"/>
        <w:ind w:left="567"/>
        <w:contextualSpacing w:val="0"/>
      </w:pPr>
      <w:r>
        <w:t>Aboriginal and Torres Strait Islander health</w:t>
      </w:r>
      <w:r w:rsidR="00B372C0" w:rsidRPr="00B372C0">
        <w:t xml:space="preserve"> organisations. </w:t>
      </w:r>
    </w:p>
    <w:p w14:paraId="074B6CF5" w14:textId="30EDDEC2" w:rsidR="00B372C0" w:rsidRDefault="00B372C0" w:rsidP="00B372C0">
      <w:r w:rsidRPr="00B372C0">
        <w:t xml:space="preserve">In total, there were 62 </w:t>
      </w:r>
      <w:r w:rsidR="00B11260">
        <w:t xml:space="preserve">individual jurisdictional </w:t>
      </w:r>
      <w:r w:rsidRPr="00B372C0">
        <w:t xml:space="preserve">workshop sessions </w:t>
      </w:r>
      <w:r w:rsidR="00AD7E42">
        <w:t xml:space="preserve">conducted </w:t>
      </w:r>
      <w:r w:rsidRPr="00B372C0">
        <w:t>across Australia</w:t>
      </w:r>
      <w:r w:rsidR="00AD7E42">
        <w:t xml:space="preserve"> over a </w:t>
      </w:r>
      <w:r w:rsidR="00875D60">
        <w:t>three-month</w:t>
      </w:r>
      <w:r w:rsidR="00AD7E42">
        <w:t xml:space="preserve"> period</w:t>
      </w:r>
      <w:r w:rsidR="00875D60">
        <w:t xml:space="preserve"> (May to June 2023)</w:t>
      </w:r>
      <w:r w:rsidRPr="00B372C0">
        <w:t xml:space="preserve">. </w:t>
      </w:r>
      <w:r w:rsidR="00875D60">
        <w:t>Jurisdictional workshop dates are at</w:t>
      </w:r>
      <w:r w:rsidR="006E2218">
        <w:t xml:space="preserve"> </w:t>
      </w:r>
      <w:r w:rsidR="006E2218">
        <w:fldChar w:fldCharType="begin" w:fldLock="1"/>
      </w:r>
      <w:r w:rsidR="006E2218">
        <w:instrText xml:space="preserve"> REF _Ref143788586 \w \h </w:instrText>
      </w:r>
      <w:r w:rsidR="006E2218">
        <w:fldChar w:fldCharType="separate"/>
      </w:r>
      <w:r w:rsidR="00FA10A4">
        <w:t>Appendix D</w:t>
      </w:r>
      <w:r w:rsidR="006E2218">
        <w:fldChar w:fldCharType="end"/>
      </w:r>
      <w:r w:rsidRPr="00B372C0">
        <w:t>.</w:t>
      </w:r>
    </w:p>
    <w:p w14:paraId="7B421813" w14:textId="0A832B5D" w:rsidR="00A912F0" w:rsidRDefault="00A912F0" w:rsidP="00A912F0">
      <w:pPr>
        <w:pStyle w:val="Heading3"/>
      </w:pPr>
      <w:bookmarkStart w:id="54" w:name="_Toc143291635"/>
      <w:r>
        <w:t>Targeted interviews</w:t>
      </w:r>
      <w:bookmarkEnd w:id="54"/>
      <w:r>
        <w:t xml:space="preserve"> </w:t>
      </w:r>
    </w:p>
    <w:p w14:paraId="6C486B68" w14:textId="5AA713CF" w:rsidR="00A912F0" w:rsidRDefault="00CD3945" w:rsidP="00A912F0">
      <w:bookmarkStart w:id="55" w:name="_Hlk143161571"/>
      <w:r w:rsidRPr="00CD3945">
        <w:t xml:space="preserve">A targeted process </w:t>
      </w:r>
      <w:r w:rsidR="00875D60">
        <w:t xml:space="preserve">of stakeholder interviews </w:t>
      </w:r>
      <w:r w:rsidRPr="00CD3945">
        <w:t xml:space="preserve">was conducted to obtain perspectives on current challenges and opportunities for the NHRA. 31 organisations </w:t>
      </w:r>
      <w:r w:rsidR="00C57601">
        <w:t>participated</w:t>
      </w:r>
      <w:r w:rsidRPr="00CD3945">
        <w:t xml:space="preserve"> in virtual or face-to-face </w:t>
      </w:r>
      <w:r w:rsidR="004455FE">
        <w:t xml:space="preserve">interviews with one or both </w:t>
      </w:r>
      <w:r w:rsidR="006518EB">
        <w:t>R</w:t>
      </w:r>
      <w:r w:rsidR="004455FE">
        <w:t xml:space="preserve">eviewers </w:t>
      </w:r>
      <w:r w:rsidR="00E62297">
        <w:t xml:space="preserve">and </w:t>
      </w:r>
      <w:r w:rsidR="00DD6898">
        <w:t xml:space="preserve">there were </w:t>
      </w:r>
      <w:r w:rsidR="00B473DF">
        <w:t xml:space="preserve">multiple </w:t>
      </w:r>
      <w:r w:rsidR="00C57601">
        <w:t xml:space="preserve">engagements </w:t>
      </w:r>
      <w:r w:rsidR="00B473DF">
        <w:t xml:space="preserve">with </w:t>
      </w:r>
      <w:r w:rsidR="00E62297">
        <w:t xml:space="preserve">the </w:t>
      </w:r>
      <w:r w:rsidR="00C57601">
        <w:t xml:space="preserve">five </w:t>
      </w:r>
      <w:r w:rsidR="00B473DF">
        <w:t xml:space="preserve">national </w:t>
      </w:r>
      <w:r w:rsidR="00C57601">
        <w:t xml:space="preserve">bodies that perform key functions in the </w:t>
      </w:r>
      <w:r w:rsidR="00C57601" w:rsidRPr="00EF5B43">
        <w:t xml:space="preserve">NHRA </w:t>
      </w:r>
      <w:bookmarkEnd w:id="55"/>
      <w:r w:rsidR="00E62297" w:rsidRPr="00EF5B43">
        <w:t>(</w:t>
      </w:r>
      <w:r w:rsidR="00EF5B43" w:rsidRPr="00EF5B43">
        <w:t xml:space="preserve">refer to section </w:t>
      </w:r>
      <w:r w:rsidR="009761F2">
        <w:fldChar w:fldCharType="begin" w:fldLock="1"/>
      </w:r>
      <w:r w:rsidR="009761F2">
        <w:instrText xml:space="preserve"> REF _Ref144882650 \w \h </w:instrText>
      </w:r>
      <w:r w:rsidR="009761F2">
        <w:fldChar w:fldCharType="separate"/>
      </w:r>
      <w:r w:rsidR="00FA10A4">
        <w:t>2.4</w:t>
      </w:r>
      <w:r w:rsidR="009761F2">
        <w:fldChar w:fldCharType="end"/>
      </w:r>
      <w:r w:rsidR="00E62297" w:rsidRPr="00EF5B43">
        <w:t>)</w:t>
      </w:r>
      <w:r w:rsidR="00B473DF" w:rsidRPr="00EF5B43">
        <w:t>. T</w:t>
      </w:r>
      <w:r w:rsidRPr="00EF5B43">
        <w:t>hose</w:t>
      </w:r>
      <w:r w:rsidRPr="00CD3945">
        <w:t xml:space="preserve"> who participated</w:t>
      </w:r>
      <w:r w:rsidR="00A40BB8">
        <w:t xml:space="preserve"> in virtual and face</w:t>
      </w:r>
      <w:r w:rsidR="005D3AEF">
        <w:t>-</w:t>
      </w:r>
      <w:r w:rsidR="00A40BB8">
        <w:t>to</w:t>
      </w:r>
      <w:r w:rsidR="005D3AEF">
        <w:t>-</w:t>
      </w:r>
      <w:r w:rsidR="00A40BB8">
        <w:t>face interviews</w:t>
      </w:r>
      <w:r w:rsidRPr="00CD3945">
        <w:t xml:space="preserve"> are </w:t>
      </w:r>
      <w:r w:rsidR="00623238">
        <w:t>listed</w:t>
      </w:r>
      <w:r w:rsidRPr="00CD3945">
        <w:t xml:space="preserve"> </w:t>
      </w:r>
      <w:r w:rsidR="00A40BB8">
        <w:t>at</w:t>
      </w:r>
      <w:r w:rsidR="00A40BB8" w:rsidRPr="00CD3945">
        <w:t xml:space="preserve"> </w:t>
      </w:r>
      <w:r w:rsidR="006E2218">
        <w:fldChar w:fldCharType="begin" w:fldLock="1"/>
      </w:r>
      <w:r w:rsidR="006E2218">
        <w:instrText xml:space="preserve"> REF _Ref143788586 \w \h </w:instrText>
      </w:r>
      <w:r w:rsidR="006E2218">
        <w:fldChar w:fldCharType="separate"/>
      </w:r>
      <w:r w:rsidR="00FA10A4">
        <w:t>Appendix D</w:t>
      </w:r>
      <w:r w:rsidR="006E2218">
        <w:fldChar w:fldCharType="end"/>
      </w:r>
      <w:r w:rsidR="008C29C8">
        <w:t>.</w:t>
      </w:r>
    </w:p>
    <w:p w14:paraId="1384F471" w14:textId="735B745B" w:rsidR="00B473DF" w:rsidRDefault="00B473DF" w:rsidP="00B473DF">
      <w:pPr>
        <w:pStyle w:val="Heading3"/>
      </w:pPr>
      <w:bookmarkStart w:id="56" w:name="_Toc143291636"/>
      <w:r>
        <w:t>Written submissions</w:t>
      </w:r>
      <w:bookmarkEnd w:id="56"/>
    </w:p>
    <w:p w14:paraId="4B84B604" w14:textId="58F019B9" w:rsidR="00576099" w:rsidRPr="00576099" w:rsidRDefault="00576099" w:rsidP="00576099">
      <w:r w:rsidRPr="00576099">
        <w:t xml:space="preserve">Over 70 organisations were invited to make a written submission to the Review. </w:t>
      </w:r>
    </w:p>
    <w:p w14:paraId="54E64D73" w14:textId="30729DA0" w:rsidR="00A817A2" w:rsidRDefault="00576099" w:rsidP="00576099">
      <w:bookmarkStart w:id="57" w:name="_Hlk143161588"/>
      <w:r w:rsidRPr="00576099">
        <w:t>6</w:t>
      </w:r>
      <w:r w:rsidR="00D56E3B">
        <w:t>5</w:t>
      </w:r>
      <w:r w:rsidRPr="00576099">
        <w:t xml:space="preserve"> written submissions were received, </w:t>
      </w:r>
      <w:r w:rsidR="00C57601">
        <w:t xml:space="preserve">both </w:t>
      </w:r>
      <w:r w:rsidRPr="00576099">
        <w:t>solicited and unsolicited</w:t>
      </w:r>
      <w:r w:rsidR="00C57601">
        <w:t>,</w:t>
      </w:r>
      <w:r w:rsidRPr="00576099">
        <w:t xml:space="preserve"> from </w:t>
      </w:r>
      <w:r w:rsidR="00C57601">
        <w:t>a wide range of stakeholders including</w:t>
      </w:r>
      <w:r w:rsidRPr="00576099">
        <w:t xml:space="preserve"> </w:t>
      </w:r>
      <w:r w:rsidR="00C57601">
        <w:t>Commonwealth</w:t>
      </w:r>
      <w:r w:rsidR="00ED1AC5">
        <w:t>,</w:t>
      </w:r>
      <w:r w:rsidR="00C57601">
        <w:t xml:space="preserve"> State</w:t>
      </w:r>
      <w:r w:rsidR="00ED1AC5">
        <w:t xml:space="preserve"> and </w:t>
      </w:r>
      <w:r w:rsidR="00C5291F">
        <w:t>Territory</w:t>
      </w:r>
      <w:r w:rsidR="00C57601">
        <w:t xml:space="preserve"> health departments</w:t>
      </w:r>
      <w:r w:rsidRPr="00576099">
        <w:t xml:space="preserve">, </w:t>
      </w:r>
      <w:r w:rsidR="00C57601">
        <w:t>government related entities</w:t>
      </w:r>
      <w:r w:rsidRPr="00576099">
        <w:t xml:space="preserve">, </w:t>
      </w:r>
      <w:r w:rsidR="00C57601">
        <w:t xml:space="preserve">NHRA </w:t>
      </w:r>
      <w:r w:rsidRPr="00576099">
        <w:t xml:space="preserve">national </w:t>
      </w:r>
      <w:r w:rsidR="00C57601" w:rsidRPr="00576099">
        <w:t>bod</w:t>
      </w:r>
      <w:r w:rsidR="00C57601">
        <w:t>ies</w:t>
      </w:r>
      <w:r w:rsidRPr="00576099">
        <w:t xml:space="preserve">, </w:t>
      </w:r>
      <w:r w:rsidR="008D773A">
        <w:t>PHN</w:t>
      </w:r>
      <w:r w:rsidR="00C57601">
        <w:t xml:space="preserve">s, representative stakeholder organisations, </w:t>
      </w:r>
      <w:r w:rsidR="00A40BB8">
        <w:t xml:space="preserve">consumer </w:t>
      </w:r>
      <w:r w:rsidR="00AB7E42">
        <w:t>organisations,</w:t>
      </w:r>
      <w:r w:rsidR="00C57601" w:rsidRPr="00576099">
        <w:t xml:space="preserve"> </w:t>
      </w:r>
      <w:r w:rsidR="00C57601">
        <w:t>academics and think tanks</w:t>
      </w:r>
      <w:r w:rsidRPr="00576099">
        <w:t xml:space="preserve">. </w:t>
      </w:r>
      <w:bookmarkEnd w:id="57"/>
      <w:r w:rsidR="00AB7E42">
        <w:t>A list of organisations that provided submissions is at</w:t>
      </w:r>
      <w:r w:rsidR="0003082E">
        <w:t xml:space="preserve"> </w:t>
      </w:r>
      <w:r w:rsidR="0003082E">
        <w:fldChar w:fldCharType="begin" w:fldLock="1"/>
      </w:r>
      <w:r w:rsidR="0003082E">
        <w:instrText xml:space="preserve"> REF _Ref148605836 \w \h </w:instrText>
      </w:r>
      <w:r w:rsidR="0003082E">
        <w:fldChar w:fldCharType="separate"/>
      </w:r>
      <w:r w:rsidR="00FA10A4">
        <w:t>Appendix E</w:t>
      </w:r>
      <w:r w:rsidR="0003082E">
        <w:fldChar w:fldCharType="end"/>
      </w:r>
      <w:r w:rsidR="00A43A58">
        <w:t>.</w:t>
      </w:r>
    </w:p>
    <w:tbl>
      <w:tblPr>
        <w:tblStyle w:val="TableGrid"/>
        <w:tblW w:w="0" w:type="auto"/>
        <w:tblLook w:val="04A0" w:firstRow="1" w:lastRow="0" w:firstColumn="1" w:lastColumn="0" w:noHBand="0" w:noVBand="1"/>
      </w:tblPr>
      <w:tblGrid>
        <w:gridCol w:w="3984"/>
        <w:gridCol w:w="6482"/>
      </w:tblGrid>
      <w:tr w:rsidR="00ED595D" w14:paraId="431A9EB6" w14:textId="77777777" w:rsidTr="00D00BEA">
        <w:trPr>
          <w:cnfStyle w:val="100000000000" w:firstRow="1" w:lastRow="0" w:firstColumn="0" w:lastColumn="0" w:oddVBand="0" w:evenVBand="0" w:oddHBand="0" w:evenHBand="0" w:firstRowFirstColumn="0" w:firstRowLastColumn="0" w:lastRowFirstColumn="0" w:lastRowLastColumn="0"/>
        </w:trPr>
        <w:tc>
          <w:tcPr>
            <w:tcW w:w="5233" w:type="dxa"/>
          </w:tcPr>
          <w:p w14:paraId="71AB2B21" w14:textId="79409E91" w:rsidR="00D00BEA" w:rsidRDefault="003F5D51" w:rsidP="00D00BEA">
            <w:pPr>
              <w:pStyle w:val="Heading3"/>
            </w:pPr>
            <w:bookmarkStart w:id="58" w:name="_Toc143291637"/>
            <w:r>
              <w:rPr>
                <w:rFonts w:ascii="ZWAdobeF" w:hAnsi="ZWAdobeF" w:cs="ZWAdobeF"/>
                <w:b w:val="0"/>
                <w:sz w:val="2"/>
                <w:szCs w:val="2"/>
              </w:rPr>
              <w:t>0B</w:t>
            </w:r>
            <w:r w:rsidR="00D00BEA" w:rsidRPr="00861DB1">
              <w:t>Data analysis</w:t>
            </w:r>
            <w:bookmarkEnd w:id="58"/>
          </w:p>
          <w:p w14:paraId="4EA2917D" w14:textId="77777777" w:rsidR="00D00BEA" w:rsidRDefault="00D00BEA" w:rsidP="00D00BEA">
            <w:r>
              <w:t xml:space="preserve">An extensive data analysis exercise was undertaken comprising </w:t>
            </w:r>
            <w:r w:rsidRPr="00861DB1">
              <w:t xml:space="preserve">87 data downloads and 31 data series sourced from </w:t>
            </w:r>
            <w:r>
              <w:t>seven</w:t>
            </w:r>
            <w:r w:rsidRPr="00861DB1">
              <w:t xml:space="preserve"> different data custodians</w:t>
            </w:r>
            <w:r>
              <w:t xml:space="preserve">, covering data since the commencement of the NHRA, focused on population health indicators, system performance and NHRA objectives. This established part of the evidence base to </w:t>
            </w:r>
            <w:r w:rsidRPr="00861DB1">
              <w:t xml:space="preserve">support </w:t>
            </w:r>
            <w:r>
              <w:t xml:space="preserve">the Review findings and recommendations. </w:t>
            </w:r>
          </w:p>
          <w:p w14:paraId="4DB45608" w14:textId="3771FC6F" w:rsidR="00D00BEA" w:rsidRDefault="00D00BEA" w:rsidP="00D00BEA">
            <w:r>
              <w:t xml:space="preserve">This data analysis was also used to identify key measures in support of the proposed </w:t>
            </w:r>
            <w:r w:rsidRPr="00861DB1">
              <w:t xml:space="preserve">NHRA Interim </w:t>
            </w:r>
            <w:r>
              <w:t xml:space="preserve">Quantitative </w:t>
            </w:r>
            <w:r w:rsidRPr="00861DB1">
              <w:t>Performance Framework</w:t>
            </w:r>
            <w:r>
              <w:t xml:space="preserve"> </w:t>
            </w:r>
            <w:r w:rsidRPr="00861DB1">
              <w:t>(</w:t>
            </w:r>
            <w:r w:rsidRPr="00E41C55">
              <w:t xml:space="preserve">refer to section </w:t>
            </w:r>
            <w:r>
              <w:fldChar w:fldCharType="begin" w:fldLock="1"/>
            </w:r>
            <w:r>
              <w:instrText xml:space="preserve"> REF _Ref146629266 \w \h </w:instrText>
            </w:r>
            <w:r>
              <w:fldChar w:fldCharType="separate"/>
            </w:r>
            <w:r w:rsidR="00FA10A4">
              <w:t>5.9</w:t>
            </w:r>
            <w:r>
              <w:fldChar w:fldCharType="end"/>
            </w:r>
            <w:r w:rsidRPr="00E41C55">
              <w:t xml:space="preserve"> for further information</w:t>
            </w:r>
            <w:r w:rsidRPr="00861DB1">
              <w:t>)</w:t>
            </w:r>
            <w:r>
              <w:t xml:space="preserve">. The NHRA Interim Quantitative Performance Framework provides a reference point against which to measure whether the </w:t>
            </w:r>
            <w:r w:rsidRPr="00861DB1">
              <w:t>intent and principles</w:t>
            </w:r>
            <w:r>
              <w:t xml:space="preserve"> of the NHRA are being met.</w:t>
            </w:r>
          </w:p>
          <w:p w14:paraId="1A5540C8" w14:textId="31D2A63F" w:rsidR="00D00BEA" w:rsidRDefault="003F5D51" w:rsidP="00D00BEA">
            <w:pPr>
              <w:pStyle w:val="Heading3"/>
            </w:pPr>
            <w:bookmarkStart w:id="59" w:name="_Toc143291638"/>
            <w:r>
              <w:rPr>
                <w:rFonts w:ascii="ZWAdobeF" w:hAnsi="ZWAdobeF" w:cs="ZWAdobeF"/>
                <w:b w:val="0"/>
                <w:sz w:val="2"/>
                <w:szCs w:val="2"/>
              </w:rPr>
              <w:t>1B</w:t>
            </w:r>
            <w:r w:rsidR="00D00BEA">
              <w:t>Global input</w:t>
            </w:r>
            <w:bookmarkEnd w:id="59"/>
          </w:p>
          <w:p w14:paraId="53A30442" w14:textId="77777777" w:rsidR="00D00BEA" w:rsidRDefault="00D00BEA" w:rsidP="00D00BEA">
            <w:r w:rsidRPr="00991AC5">
              <w:t>Deloitte’s global network of international experts in public hospital and health system governance, funding models and operations was accessed</w:t>
            </w:r>
            <w:r>
              <w:t xml:space="preserve"> to provide</w:t>
            </w:r>
            <w:r w:rsidRPr="00991AC5">
              <w:t xml:space="preserve"> perspectives on the current state </w:t>
            </w:r>
            <w:r>
              <w:t>of health systems in international jurisdictions (</w:t>
            </w:r>
            <w:r w:rsidRPr="00991AC5">
              <w:t>United Kingdom, Canada, Denmark and United States</w:t>
            </w:r>
            <w:r>
              <w:t>).</w:t>
            </w:r>
          </w:p>
          <w:p w14:paraId="2FE73C62" w14:textId="77777777" w:rsidR="00D00BEA" w:rsidRPr="00991AC5" w:rsidRDefault="00D00BEA" w:rsidP="00D00BEA">
            <w:r>
              <w:t xml:space="preserve">Specific insights were sought on the </w:t>
            </w:r>
            <w:r w:rsidRPr="00991AC5">
              <w:t xml:space="preserve">different approaches </w:t>
            </w:r>
            <w:r>
              <w:t xml:space="preserve">being taken in other countries, relevant to the </w:t>
            </w:r>
            <w:r w:rsidRPr="00991AC5">
              <w:t>Review areas</w:t>
            </w:r>
            <w:r>
              <w:t>,</w:t>
            </w:r>
            <w:r w:rsidRPr="00991AC5">
              <w:t xml:space="preserve"> to assess their potential application in the Australian context. </w:t>
            </w:r>
          </w:p>
          <w:p w14:paraId="55043E5D" w14:textId="1BCD661A" w:rsidR="00D00BEA" w:rsidRDefault="003F5D51" w:rsidP="00D00BEA">
            <w:pPr>
              <w:pStyle w:val="Heading3"/>
            </w:pPr>
            <w:bookmarkStart w:id="60" w:name="_Toc143291639"/>
            <w:r>
              <w:rPr>
                <w:rFonts w:ascii="ZWAdobeF" w:hAnsi="ZWAdobeF" w:cs="ZWAdobeF"/>
                <w:b w:val="0"/>
                <w:sz w:val="2"/>
                <w:szCs w:val="2"/>
              </w:rPr>
              <w:t>2B</w:t>
            </w:r>
            <w:r w:rsidR="00D00BEA">
              <w:t>Governance body updates</w:t>
            </w:r>
            <w:bookmarkEnd w:id="60"/>
          </w:p>
          <w:p w14:paraId="1ED9498F" w14:textId="3F101F28" w:rsidR="00D00BEA" w:rsidRDefault="00D00BEA" w:rsidP="00D00BEA">
            <w:r>
              <w:t>P</w:t>
            </w:r>
            <w:r w:rsidRPr="001112D8">
              <w:t>rogress reports and Review update presentations were provided to relevant governance bodies throughout the course of the Review, including the Reform Implementation Group (RIG)</w:t>
            </w:r>
            <w:r w:rsidR="003F5D51">
              <w:rPr>
                <w:rFonts w:ascii="ZWAdobeF" w:hAnsi="ZWAdobeF" w:cs="ZWAdobeF"/>
                <w:sz w:val="2"/>
                <w:szCs w:val="2"/>
              </w:rPr>
              <w:t>0F</w:t>
            </w:r>
            <w:r w:rsidR="002333C7">
              <w:rPr>
                <w:rStyle w:val="FootnoteReference"/>
              </w:rPr>
              <w:footnoteReference w:id="2"/>
            </w:r>
            <w:r w:rsidRPr="001112D8">
              <w:t>, HCEF and HMM.</w:t>
            </w:r>
            <w:r>
              <w:t xml:space="preserve"> </w:t>
            </w:r>
          </w:p>
          <w:p w14:paraId="4A2F2165" w14:textId="69E38B6F" w:rsidR="00D00BEA" w:rsidRDefault="00D00BEA" w:rsidP="00576099">
            <w:r>
              <w:t>Review o</w:t>
            </w:r>
            <w:r w:rsidRPr="00BD5BCC">
              <w:t xml:space="preserve">versight </w:t>
            </w:r>
            <w:r>
              <w:t>was</w:t>
            </w:r>
            <w:r w:rsidRPr="00BD5BCC">
              <w:t xml:space="preserve"> provided by a sub-group of the </w:t>
            </w:r>
            <w:r>
              <w:t>RIG</w:t>
            </w:r>
            <w:r w:rsidRPr="00BD5BCC">
              <w:t xml:space="preserve"> as the cross-jurisdictional Review Steering Committee.</w:t>
            </w:r>
          </w:p>
        </w:tc>
        <w:tc>
          <w:tcPr>
            <w:tcW w:w="5233" w:type="dxa"/>
          </w:tcPr>
          <w:p w14:paraId="29AD9081" w14:textId="333DA680" w:rsidR="00D00BEA" w:rsidRDefault="00D00BEA" w:rsidP="00576099">
            <w:pPr>
              <w:rPr>
                <w:noProof/>
              </w:rPr>
            </w:pPr>
            <w:r>
              <w:rPr>
                <w:noProof/>
              </w:rPr>
              <w:drawing>
                <wp:inline distT="0" distB="0" distL="0" distR="0" wp14:anchorId="5F294ED6" wp14:editId="454BDCA4">
                  <wp:extent cx="4116660" cy="5280025"/>
                  <wp:effectExtent l="0" t="0" r="0" b="0"/>
                  <wp:docPr id="481345096" name="Picture 481345096" descr="P544C2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45096" name="Picture 481345096" descr="P544C2T2#yIS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7771" cy="5358406"/>
                          </a:xfrm>
                          <a:prstGeom prst="rect">
                            <a:avLst/>
                          </a:prstGeom>
                          <a:noFill/>
                        </pic:spPr>
                      </pic:pic>
                    </a:graphicData>
                  </a:graphic>
                </wp:inline>
              </w:drawing>
            </w:r>
          </w:p>
          <w:p w14:paraId="0D20EC6C" w14:textId="48CB1DC8" w:rsidR="00D00BEA" w:rsidRDefault="00D00BEA" w:rsidP="00C2024B">
            <w:pPr>
              <w:pStyle w:val="Caption"/>
            </w:pPr>
            <w:bookmarkStart w:id="61" w:name="_Toc148968380"/>
            <w:r w:rsidRPr="00AD4A35">
              <w:t xml:space="preserve">Figure </w:t>
            </w:r>
            <w:r w:rsidRPr="00AD4A35">
              <w:fldChar w:fldCharType="begin"/>
            </w:r>
            <w:r w:rsidRPr="00AD4A35">
              <w:instrText xml:space="preserve"> SEQ Figure \* ARABIC </w:instrText>
            </w:r>
            <w:r w:rsidRPr="00AD4A35">
              <w:fldChar w:fldCharType="separate"/>
            </w:r>
            <w:r w:rsidR="003F5D51">
              <w:rPr>
                <w:noProof/>
              </w:rPr>
              <w:t>2</w:t>
            </w:r>
            <w:r w:rsidRPr="00AD4A35">
              <w:fldChar w:fldCharType="end"/>
            </w:r>
            <w:r w:rsidRPr="00AD4A35">
              <w:t>: Review methodology infographic</w:t>
            </w:r>
            <w:bookmarkEnd w:id="61"/>
          </w:p>
        </w:tc>
      </w:tr>
    </w:tbl>
    <w:p w14:paraId="1E11D8DE" w14:textId="0EC6BC44" w:rsidR="00E87609" w:rsidRDefault="00E87609" w:rsidP="00991AC5">
      <w:pPr>
        <w:sectPr w:rsidR="00E87609" w:rsidSect="005167A6">
          <w:headerReference w:type="even" r:id="rId29"/>
          <w:headerReference w:type="default" r:id="rId30"/>
          <w:footerReference w:type="default" r:id="rId31"/>
          <w:headerReference w:type="first" r:id="rId32"/>
          <w:pgSz w:w="11906" w:h="16838" w:code="9"/>
          <w:pgMar w:top="1276" w:right="720" w:bottom="720" w:left="720" w:header="568" w:footer="425" w:gutter="0"/>
          <w:cols w:space="284"/>
          <w:docGrid w:linePitch="360"/>
        </w:sectPr>
      </w:pPr>
      <w:bookmarkStart w:id="62" w:name="_Toc447626781"/>
    </w:p>
    <w:p w14:paraId="49593A66" w14:textId="25E68441" w:rsidR="00AD2B0F" w:rsidRPr="00C0090D" w:rsidRDefault="00851245" w:rsidP="00452F12">
      <w:pPr>
        <w:pStyle w:val="Heading1"/>
      </w:pPr>
      <w:bookmarkStart w:id="63" w:name="_Toc143291640"/>
      <w:bookmarkStart w:id="64" w:name="_Toc148968350"/>
      <w:r>
        <w:t>NHRA Addendum c</w:t>
      </w:r>
      <w:r w:rsidR="0024473A">
        <w:t>ontext</w:t>
      </w:r>
      <w:bookmarkEnd w:id="63"/>
      <w:bookmarkEnd w:id="64"/>
    </w:p>
    <w:p w14:paraId="3741797D" w14:textId="6E9B0E38" w:rsidR="00C416DF" w:rsidRDefault="00BA7C60" w:rsidP="00B4306D">
      <w:pPr>
        <w:pStyle w:val="Sectionintro"/>
      </w:pPr>
      <w:r>
        <w:t xml:space="preserve">This chapter provides </w:t>
      </w:r>
      <w:r w:rsidR="006F10B4">
        <w:t xml:space="preserve">information about the Addendum and the overarching hospital and healthcare environment in which the Addendum operates. </w:t>
      </w:r>
    </w:p>
    <w:p w14:paraId="41241BA9" w14:textId="20BA56C1" w:rsidR="006F10B4" w:rsidRDefault="007117D0" w:rsidP="001A298B">
      <w:pPr>
        <w:pStyle w:val="Heading2"/>
      </w:pPr>
      <w:bookmarkStart w:id="65" w:name="_Toc143291641"/>
      <w:bookmarkStart w:id="66" w:name="_Ref144113173"/>
      <w:bookmarkStart w:id="67" w:name="_Ref144391990"/>
      <w:r>
        <w:t xml:space="preserve">About the NHRA </w:t>
      </w:r>
      <w:r w:rsidR="00C550C5">
        <w:t xml:space="preserve">and the 2020-2025 </w:t>
      </w:r>
      <w:r>
        <w:t>Addendum</w:t>
      </w:r>
      <w:bookmarkEnd w:id="65"/>
      <w:bookmarkEnd w:id="66"/>
      <w:bookmarkEnd w:id="67"/>
      <w:r>
        <w:t xml:space="preserve"> </w:t>
      </w:r>
    </w:p>
    <w:p w14:paraId="38FF23BF" w14:textId="3505E0E5" w:rsidR="000B36F1" w:rsidRDefault="000B36F1" w:rsidP="000B36F1">
      <w:r w:rsidRPr="004149F5">
        <w:t xml:space="preserve">The NHRA came into effect </w:t>
      </w:r>
      <w:r>
        <w:t xml:space="preserve">on </w:t>
      </w:r>
      <w:r w:rsidRPr="004149F5">
        <w:t xml:space="preserve">2 August 2011. It is an enduring </w:t>
      </w:r>
      <w:r w:rsidR="00810DC7">
        <w:t>A</w:t>
      </w:r>
      <w:r w:rsidR="00810DC7" w:rsidRPr="004149F5">
        <w:t>greement</w:t>
      </w:r>
      <w:r w:rsidRPr="004149F5">
        <w:t>, amended from time to time</w:t>
      </w:r>
      <w:r>
        <w:t xml:space="preserve">, which </w:t>
      </w:r>
      <w:r w:rsidRPr="00A20887">
        <w:t>aim</w:t>
      </w:r>
      <w:r>
        <w:t>s</w:t>
      </w:r>
      <w:r w:rsidRPr="00A20887">
        <w:t xml:space="preserve"> to establish a unified framework for healthcare</w:t>
      </w:r>
      <w:r w:rsidRPr="004149F5">
        <w:t>. The NHRA builds on</w:t>
      </w:r>
      <w:r>
        <w:t>,</w:t>
      </w:r>
      <w:r w:rsidRPr="004149F5">
        <w:t xml:space="preserve"> and complements</w:t>
      </w:r>
      <w:r>
        <w:t>,</w:t>
      </w:r>
      <w:r w:rsidRPr="004149F5">
        <w:t xml:space="preserve"> the policy and reform directions and outcomes, </w:t>
      </w:r>
      <w:r>
        <w:t>performance</w:t>
      </w:r>
      <w:r w:rsidRPr="004149F5">
        <w:t xml:space="preserve"> measures and outputs outlined in the </w:t>
      </w:r>
      <w:r w:rsidRPr="00650E28">
        <w:rPr>
          <w:i/>
          <w:iCs/>
        </w:rPr>
        <w:t>National Healthcare Agreement 2012</w:t>
      </w:r>
      <w:r w:rsidRPr="004149F5">
        <w:t>.</w:t>
      </w:r>
      <w:r w:rsidRPr="008A3B80">
        <w:t xml:space="preserve"> </w:t>
      </w:r>
    </w:p>
    <w:p w14:paraId="2F0B29C9" w14:textId="0D918161" w:rsidR="000B36F1" w:rsidRDefault="000B36F1" w:rsidP="000B36F1">
      <w:r w:rsidRPr="00E46896">
        <w:t xml:space="preserve">The primary purpose of the NHRA is for the Commonwealth, States and Territories to describe </w:t>
      </w:r>
      <w:r>
        <w:t>how they will fund public hospitals</w:t>
      </w:r>
      <w:r w:rsidRPr="00E46896">
        <w:t xml:space="preserve"> and cooperate to achieve a sustainable, connected and equitable health system that delivers the best outcomes for Australians. </w:t>
      </w:r>
      <w:r w:rsidRPr="00783096">
        <w:t xml:space="preserve"> </w:t>
      </w:r>
    </w:p>
    <w:p w14:paraId="5A4EBDDD" w14:textId="464FF70C" w:rsidR="000B36F1" w:rsidRDefault="000B36F1" w:rsidP="000B36F1">
      <w:r>
        <w:t>During 2021-22, $59.2 billion of Commonwealth, State and Territory funding was administered under the NHRA</w:t>
      </w:r>
      <w:r w:rsidR="003F5D51">
        <w:rPr>
          <w:rFonts w:ascii="ZWAdobeF" w:hAnsi="ZWAdobeF" w:cs="ZWAdobeF"/>
          <w:sz w:val="2"/>
          <w:szCs w:val="2"/>
        </w:rPr>
        <w:t>1F</w:t>
      </w:r>
      <w:r>
        <w:rPr>
          <w:rStyle w:val="FootnoteReference"/>
        </w:rPr>
        <w:footnoteReference w:id="3"/>
      </w:r>
      <w:r>
        <w:t xml:space="preserve">, </w:t>
      </w:r>
      <w:r w:rsidR="006F1E56">
        <w:t xml:space="preserve">with a further $14.7 billion </w:t>
      </w:r>
      <w:r w:rsidR="0056444B">
        <w:t xml:space="preserve">in </w:t>
      </w:r>
      <w:r w:rsidR="006F1E56">
        <w:t xml:space="preserve">Commonwealth funding provided to States and Territories </w:t>
      </w:r>
      <w:r w:rsidR="004D0D8B">
        <w:t xml:space="preserve">since March 2020 </w:t>
      </w:r>
      <w:r w:rsidR="00AB06BA">
        <w:t xml:space="preserve">(and generally matched by them on a 50:50 basis) </w:t>
      </w:r>
      <w:r w:rsidR="006F1E56">
        <w:t>related to the COVID-19 NPA</w:t>
      </w:r>
      <w:r w:rsidR="003F5D51">
        <w:rPr>
          <w:rFonts w:ascii="ZWAdobeF" w:hAnsi="ZWAdobeF" w:cs="ZWAdobeF"/>
          <w:sz w:val="2"/>
          <w:szCs w:val="2"/>
        </w:rPr>
        <w:t>2F</w:t>
      </w:r>
      <w:r w:rsidR="006F1E56">
        <w:rPr>
          <w:rStyle w:val="FootnoteReference"/>
        </w:rPr>
        <w:footnoteReference w:id="4"/>
      </w:r>
      <w:r>
        <w:t>.</w:t>
      </w:r>
    </w:p>
    <w:p w14:paraId="19D6A9D2" w14:textId="3D917BAC" w:rsidR="000B36F1" w:rsidRDefault="000B36F1" w:rsidP="000B36F1">
      <w:r w:rsidRPr="00FF289A">
        <w:t xml:space="preserve">The </w:t>
      </w:r>
      <w:r w:rsidRPr="00650E28">
        <w:rPr>
          <w:i/>
          <w:iCs/>
        </w:rPr>
        <w:t>NHRA Addendum 2020-2025</w:t>
      </w:r>
      <w:r w:rsidRPr="00FF289A">
        <w:t xml:space="preserve"> makes amendments to the NHRA 2011</w:t>
      </w:r>
      <w:r>
        <w:t xml:space="preserve"> </w:t>
      </w:r>
      <w:r w:rsidRPr="002115A2">
        <w:t>for the period 1 July 2020 to 30 June 2025</w:t>
      </w:r>
      <w:r>
        <w:t xml:space="preserve">. Prior to this, the </w:t>
      </w:r>
      <w:r w:rsidRPr="00650E28">
        <w:rPr>
          <w:i/>
          <w:iCs/>
        </w:rPr>
        <w:t xml:space="preserve">NHRA Addendum 2017 </w:t>
      </w:r>
      <w:r>
        <w:t xml:space="preserve">varied the NHRA for the period </w:t>
      </w:r>
      <w:r w:rsidRPr="00747F6C">
        <w:t>1 July 2017 to 30 June 2020</w:t>
      </w:r>
      <w:r>
        <w:t>.</w:t>
      </w:r>
    </w:p>
    <w:p w14:paraId="730509B0" w14:textId="1BC4CAEE" w:rsidR="00FF289A" w:rsidRDefault="00E46896" w:rsidP="00E4040F">
      <w:pPr>
        <w:spacing w:after="200"/>
      </w:pPr>
      <w:r w:rsidRPr="00E46896">
        <w:t xml:space="preserve">Key </w:t>
      </w:r>
      <w:r w:rsidR="00DA4ADA">
        <w:t>objectives</w:t>
      </w:r>
      <w:r w:rsidR="00A6227E">
        <w:t xml:space="preserve"> of the </w:t>
      </w:r>
      <w:r w:rsidR="008C636D">
        <w:t xml:space="preserve">2020-2025 </w:t>
      </w:r>
      <w:r w:rsidR="00A6227E">
        <w:t>Addendum</w:t>
      </w:r>
      <w:r w:rsidRPr="00E46896">
        <w:t xml:space="preserve"> are </w:t>
      </w:r>
      <w:r w:rsidR="00261701">
        <w:t>described below</w:t>
      </w:r>
      <w:r w:rsidRPr="00E46896">
        <w:t>.</w:t>
      </w:r>
    </w:p>
    <w:tbl>
      <w:tblPr>
        <w:tblStyle w:val="TableGrid"/>
        <w:tblW w:w="0" w:type="auto"/>
        <w:tblLayout w:type="fixed"/>
        <w:tblLook w:val="04A0" w:firstRow="1" w:lastRow="0" w:firstColumn="1" w:lastColumn="0" w:noHBand="0" w:noVBand="1"/>
      </w:tblPr>
      <w:tblGrid>
        <w:gridCol w:w="3861"/>
        <w:gridCol w:w="6605"/>
      </w:tblGrid>
      <w:tr w:rsidR="007124B8" w14:paraId="10C4398C" w14:textId="77777777" w:rsidTr="007124B8">
        <w:trPr>
          <w:cnfStyle w:val="100000000000" w:firstRow="1" w:lastRow="0" w:firstColumn="0" w:lastColumn="0" w:oddVBand="0" w:evenVBand="0" w:oddHBand="0" w:evenHBand="0" w:firstRowFirstColumn="0" w:firstRowLastColumn="0" w:lastRowFirstColumn="0" w:lastRowLastColumn="0"/>
        </w:trPr>
        <w:tc>
          <w:tcPr>
            <w:tcW w:w="3861" w:type="dxa"/>
            <w:tcMar>
              <w:top w:w="14" w:type="dxa"/>
            </w:tcMar>
          </w:tcPr>
          <w:p w14:paraId="643ADC08" w14:textId="77777777" w:rsidR="00E4040F" w:rsidRPr="00161E72" w:rsidRDefault="00E4040F" w:rsidP="00E4040F">
            <w:pPr>
              <w:rPr>
                <w:b/>
                <w:bCs/>
              </w:rPr>
            </w:pPr>
            <w:r w:rsidRPr="00161E72">
              <w:rPr>
                <w:b/>
                <w:bCs/>
              </w:rPr>
              <w:t>Improve health outcomes and equity of access</w:t>
            </w:r>
          </w:p>
          <w:p w14:paraId="41180C74" w14:textId="77777777" w:rsidR="00E4040F" w:rsidRPr="00E21D79" w:rsidRDefault="00E4040F" w:rsidP="00E4040F">
            <w:pPr>
              <w:pStyle w:val="Longdotpoints"/>
            </w:pPr>
            <w:r w:rsidRPr="00161E72">
              <w:t>Deliver</w:t>
            </w:r>
            <w:r>
              <w:t>s</w:t>
            </w:r>
            <w:r w:rsidRPr="00161E72">
              <w:t xml:space="preserve"> safe, high-quality care in the right place at the right time</w:t>
            </w:r>
            <w:r>
              <w:t xml:space="preserve">, and in turn </w:t>
            </w:r>
            <w:r w:rsidRPr="00C31FA6">
              <w:t>improv</w:t>
            </w:r>
            <w:r>
              <w:t>es</w:t>
            </w:r>
            <w:r w:rsidRPr="00C31FA6">
              <w:t xml:space="preserve"> patient outcomes, patient experience and access to services</w:t>
            </w:r>
            <w:r>
              <w:t>.</w:t>
            </w:r>
          </w:p>
          <w:p w14:paraId="52A2870C" w14:textId="4B1D5E31" w:rsidR="00E4040F" w:rsidRPr="00161E72" w:rsidRDefault="00E4040F" w:rsidP="00E4040F">
            <w:pPr>
              <w:pStyle w:val="Longdotpoints"/>
            </w:pPr>
            <w:r w:rsidRPr="00C83D1B">
              <w:t xml:space="preserve">Affirms the Medicare </w:t>
            </w:r>
            <w:r w:rsidR="00E45E1A">
              <w:t>P</w:t>
            </w:r>
            <w:r w:rsidR="00E45E1A" w:rsidRPr="00C83D1B">
              <w:t xml:space="preserve">rinciples </w:t>
            </w:r>
            <w:r w:rsidRPr="00C83D1B">
              <w:t>of access to public hospital services free of charge, based on clinical need</w:t>
            </w:r>
            <w:r>
              <w:t xml:space="preserve">, </w:t>
            </w:r>
            <w:r w:rsidRPr="00D401DE">
              <w:t>within a clinically appropriate period, regardless of geographic location</w:t>
            </w:r>
            <w:r w:rsidRPr="00C83D1B">
              <w:t>.</w:t>
            </w:r>
          </w:p>
          <w:p w14:paraId="4023A715" w14:textId="77777777" w:rsidR="00E4040F" w:rsidRPr="00D73151" w:rsidRDefault="00E4040F" w:rsidP="00E4040F">
            <w:pPr>
              <w:rPr>
                <w:b/>
                <w:bCs/>
              </w:rPr>
            </w:pPr>
            <w:r w:rsidRPr="00D73151">
              <w:rPr>
                <w:b/>
                <w:bCs/>
              </w:rPr>
              <w:t>Improve efficiency and ensure financial sustainability</w:t>
            </w:r>
          </w:p>
          <w:p w14:paraId="32CDB4A9" w14:textId="77777777" w:rsidR="00E4040F" w:rsidRPr="00161E72" w:rsidRDefault="00E4040F" w:rsidP="00E4040F">
            <w:pPr>
              <w:pStyle w:val="Longdotpoints"/>
            </w:pPr>
            <w:r w:rsidRPr="00161E72">
              <w:t>Adjust</w:t>
            </w:r>
            <w:r>
              <w:t>s</w:t>
            </w:r>
            <w:r w:rsidRPr="00161E72">
              <w:t xml:space="preserve"> the way public hospitals are funded, through a combination of activity-based funding</w:t>
            </w:r>
            <w:r>
              <w:t xml:space="preserve"> (ABF)</w:t>
            </w:r>
            <w:r w:rsidRPr="00161E72">
              <w:t xml:space="preserve"> and block funding.  </w:t>
            </w:r>
          </w:p>
          <w:p w14:paraId="18987DAE" w14:textId="77777777" w:rsidR="00E4040F" w:rsidRPr="00161E72" w:rsidRDefault="00E4040F" w:rsidP="00E4040F">
            <w:pPr>
              <w:pStyle w:val="Longdotpoints"/>
            </w:pPr>
            <w:r w:rsidRPr="00161E72">
              <w:t>Establish</w:t>
            </w:r>
            <w:r>
              <w:t>es</w:t>
            </w:r>
            <w:r w:rsidRPr="00161E72">
              <w:t xml:space="preserve"> </w:t>
            </w:r>
            <w:r w:rsidRPr="00E21D79">
              <w:t>cost and activity classification systems,</w:t>
            </w:r>
            <w:r>
              <w:t xml:space="preserve"> and</w:t>
            </w:r>
            <w:r w:rsidRPr="00E21D79">
              <w:t xml:space="preserve"> independent annual setting of the </w:t>
            </w:r>
            <w:r>
              <w:t>N</w:t>
            </w:r>
            <w:r w:rsidRPr="00E21D79">
              <w:t xml:space="preserve">ational </w:t>
            </w:r>
            <w:r>
              <w:t>E</w:t>
            </w:r>
            <w:r w:rsidRPr="00E21D79">
              <w:t xml:space="preserve">fficient </w:t>
            </w:r>
            <w:r>
              <w:t>P</w:t>
            </w:r>
            <w:r w:rsidRPr="00E21D79">
              <w:t xml:space="preserve">rice </w:t>
            </w:r>
            <w:r>
              <w:t xml:space="preserve">(NEP) and National Efficient Cost (NEC) </w:t>
            </w:r>
            <w:r w:rsidRPr="00E21D79">
              <w:t>for hospital activity and transparent funding flows.</w:t>
            </w:r>
          </w:p>
          <w:p w14:paraId="278CB191" w14:textId="0BAE71EE" w:rsidR="00E4040F" w:rsidRDefault="00E4040F" w:rsidP="00E4040F">
            <w:pPr>
              <w:pStyle w:val="Longdotpoints"/>
            </w:pPr>
            <w:r>
              <w:t>Retains</w:t>
            </w:r>
            <w:r w:rsidRPr="00161E72">
              <w:t xml:space="preserve"> a funding cap to constrain the growth in the Commonwealth’s contribution </w:t>
            </w:r>
            <w:r>
              <w:t>at</w:t>
            </w:r>
            <w:r w:rsidRPr="00161E72">
              <w:t xml:space="preserve"> </w:t>
            </w:r>
            <w:r>
              <w:t>an aggregate</w:t>
            </w:r>
            <w:r w:rsidRPr="00161E72">
              <w:t xml:space="preserve"> national </w:t>
            </w:r>
            <w:r>
              <w:t>level.</w:t>
            </w:r>
            <w:r w:rsidRPr="00161E72">
              <w:t xml:space="preserve"> </w:t>
            </w:r>
          </w:p>
        </w:tc>
        <w:tc>
          <w:tcPr>
            <w:tcW w:w="6605" w:type="dxa"/>
            <w:tcMar>
              <w:top w:w="14" w:type="dxa"/>
            </w:tcMar>
          </w:tcPr>
          <w:p w14:paraId="63034470" w14:textId="77777777" w:rsidR="00E4040F" w:rsidRDefault="00E4040F" w:rsidP="00E4040F">
            <w:pPr>
              <w:spacing w:after="0" w:line="240" w:lineRule="auto"/>
            </w:pPr>
            <w:r>
              <w:rPr>
                <w:noProof/>
              </w:rPr>
              <w:drawing>
                <wp:inline distT="0" distB="0" distL="0" distR="0" wp14:anchorId="6C572408" wp14:editId="68262E04">
                  <wp:extent cx="4191709" cy="3580765"/>
                  <wp:effectExtent l="0" t="0" r="0" b="0"/>
                  <wp:docPr id="1489793649" name="Diagram 1489793649" descr="P563C2T3#yIS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5B84CD48" w14:textId="54F87045" w:rsidR="00E4040F" w:rsidRPr="00E4040F" w:rsidRDefault="00E4040F" w:rsidP="00C2024B">
            <w:pPr>
              <w:pStyle w:val="Caption"/>
              <w:rPr>
                <w:noProof/>
                <w:sz w:val="20"/>
                <w:szCs w:val="20"/>
              </w:rPr>
            </w:pPr>
            <w:bookmarkStart w:id="68" w:name="_Toc148968381"/>
            <w:r>
              <w:t xml:space="preserve">Figure </w:t>
            </w:r>
            <w:r>
              <w:fldChar w:fldCharType="begin"/>
            </w:r>
            <w:r>
              <w:instrText xml:space="preserve"> SEQ Figure \* ARABIC </w:instrText>
            </w:r>
            <w:r>
              <w:fldChar w:fldCharType="separate"/>
            </w:r>
            <w:r w:rsidR="003F5D51">
              <w:rPr>
                <w:noProof/>
              </w:rPr>
              <w:t>3</w:t>
            </w:r>
            <w:r>
              <w:fldChar w:fldCharType="end"/>
            </w:r>
            <w:r>
              <w:t xml:space="preserve">: </w:t>
            </w:r>
            <w:r w:rsidRPr="00452E10">
              <w:t>Key objectives of the Addendum</w:t>
            </w:r>
            <w:bookmarkEnd w:id="68"/>
          </w:p>
        </w:tc>
      </w:tr>
    </w:tbl>
    <w:p w14:paraId="65DA247A" w14:textId="05C6E1B6" w:rsidR="007B2A43" w:rsidRPr="007E5540" w:rsidRDefault="007B2A43" w:rsidP="007B2A43">
      <w:pPr>
        <w:rPr>
          <w:b/>
          <w:bCs/>
        </w:rPr>
      </w:pPr>
      <w:r w:rsidRPr="007E5540">
        <w:rPr>
          <w:b/>
          <w:bCs/>
        </w:rPr>
        <w:t>Focus on transparency and accountability</w:t>
      </w:r>
    </w:p>
    <w:p w14:paraId="4DC34081" w14:textId="77777777" w:rsidR="00830E77" w:rsidRPr="00161E72" w:rsidRDefault="00830E77" w:rsidP="00CC7F3C">
      <w:pPr>
        <w:pStyle w:val="Longdotpoints"/>
      </w:pPr>
      <w:r>
        <w:t>U</w:t>
      </w:r>
      <w:r w:rsidRPr="00161E72">
        <w:t>tilises</w:t>
      </w:r>
      <w:r>
        <w:t xml:space="preserve"> </w:t>
      </w:r>
      <w:r w:rsidRPr="00161E72">
        <w:t>five independent national bodies to support the funding, performance reporting and safe operation of public hospitals.</w:t>
      </w:r>
    </w:p>
    <w:p w14:paraId="78567163" w14:textId="6C64A7CA" w:rsidR="007B2A43" w:rsidRPr="00161E72" w:rsidRDefault="00830E77" w:rsidP="00CC7F3C">
      <w:pPr>
        <w:pStyle w:val="Longdotpoints"/>
      </w:pPr>
      <w:r>
        <w:t>E</w:t>
      </w:r>
      <w:r w:rsidRPr="00161E72">
        <w:t xml:space="preserve">nables transparency </w:t>
      </w:r>
      <w:r>
        <w:t>through p</w:t>
      </w:r>
      <w:r w:rsidRPr="00161E72">
        <w:t>erformance reporting, utilising data sources, benchmarks and performance indicators</w:t>
      </w:r>
      <w:r w:rsidR="007B2A43" w:rsidRPr="00161E72">
        <w:t>.</w:t>
      </w:r>
    </w:p>
    <w:p w14:paraId="7A84DFF8" w14:textId="0FEA366F" w:rsidR="00B94840" w:rsidRPr="00161E72" w:rsidRDefault="00B94840" w:rsidP="00D00BEA">
      <w:pPr>
        <w:keepNext/>
        <w:keepLines/>
        <w:rPr>
          <w:b/>
          <w:bCs/>
        </w:rPr>
      </w:pPr>
      <w:r w:rsidRPr="007E5540">
        <w:rPr>
          <w:b/>
          <w:bCs/>
        </w:rPr>
        <w:t xml:space="preserve">National agreement of </w:t>
      </w:r>
      <w:r w:rsidR="008532D7" w:rsidRPr="00161E72">
        <w:rPr>
          <w:b/>
          <w:bCs/>
        </w:rPr>
        <w:t xml:space="preserve">individual and </w:t>
      </w:r>
      <w:r w:rsidRPr="00161E72">
        <w:rPr>
          <w:b/>
          <w:bCs/>
        </w:rPr>
        <w:t xml:space="preserve">shared </w:t>
      </w:r>
      <w:r w:rsidR="005C1ADD" w:rsidRPr="00161E72">
        <w:rPr>
          <w:b/>
          <w:bCs/>
        </w:rPr>
        <w:t>responsibilities</w:t>
      </w:r>
    </w:p>
    <w:p w14:paraId="56911C49" w14:textId="32D8EB21" w:rsidR="00B94840" w:rsidRPr="00E21D79" w:rsidRDefault="00DB5E4E" w:rsidP="00CC7F3C">
      <w:pPr>
        <w:pStyle w:val="Longdotpoints"/>
      </w:pPr>
      <w:r>
        <w:t>O</w:t>
      </w:r>
      <w:r w:rsidR="00B94840" w:rsidRPr="00161E72">
        <w:t>utlines both primary and joint responsibilities for the Commonwealth</w:t>
      </w:r>
      <w:r w:rsidR="00B8643A">
        <w:t>,</w:t>
      </w:r>
      <w:r w:rsidR="00B94840" w:rsidRPr="00161E72">
        <w:t xml:space="preserve"> States</w:t>
      </w:r>
      <w:r w:rsidR="00B8643A">
        <w:t xml:space="preserve"> and </w:t>
      </w:r>
      <w:r w:rsidR="00B94840" w:rsidRPr="00161E72">
        <w:t>Territories</w:t>
      </w:r>
      <w:r w:rsidR="00154DDC" w:rsidRPr="00E21D79">
        <w:t xml:space="preserve"> (refer to section </w:t>
      </w:r>
      <w:r w:rsidR="00154DDC" w:rsidRPr="00E21D79">
        <w:fldChar w:fldCharType="begin" w:fldLock="1"/>
      </w:r>
      <w:r w:rsidR="00154DDC" w:rsidRPr="00E21D79">
        <w:instrText xml:space="preserve"> REF _Ref142997034 \w \h </w:instrText>
      </w:r>
      <w:r w:rsidR="00E21D79">
        <w:instrText xml:space="preserve"> \* MERGEFORMAT </w:instrText>
      </w:r>
      <w:r w:rsidR="00154DDC" w:rsidRPr="00E21D79">
        <w:fldChar w:fldCharType="separate"/>
      </w:r>
      <w:r w:rsidR="00FA10A4">
        <w:t>2.4.1</w:t>
      </w:r>
      <w:r w:rsidR="00154DDC" w:rsidRPr="00E21D79">
        <w:fldChar w:fldCharType="end"/>
      </w:r>
      <w:r w:rsidR="00F66506" w:rsidRPr="00E21D79">
        <w:t xml:space="preserve"> for detailed stakeholder responsibilities)</w:t>
      </w:r>
      <w:r w:rsidR="00B94840" w:rsidRPr="00161E72">
        <w:t xml:space="preserve">. </w:t>
      </w:r>
    </w:p>
    <w:p w14:paraId="4EFD61FB" w14:textId="12166D57" w:rsidR="006625B7" w:rsidRPr="008D0994" w:rsidRDefault="006625B7" w:rsidP="00F5161B">
      <w:pPr>
        <w:pStyle w:val="Longdotpoints"/>
        <w:keepNext/>
        <w:numPr>
          <w:ilvl w:val="0"/>
          <w:numId w:val="0"/>
        </w:numPr>
        <w:rPr>
          <w:b/>
          <w:bCs/>
        </w:rPr>
      </w:pPr>
      <w:r w:rsidRPr="008D0994">
        <w:rPr>
          <w:b/>
          <w:bCs/>
        </w:rPr>
        <w:t>Local accountability and responsiveness</w:t>
      </w:r>
    </w:p>
    <w:p w14:paraId="17F70BA4" w14:textId="3B16D1B3" w:rsidR="00B94840" w:rsidRPr="00161E72" w:rsidRDefault="00B94840" w:rsidP="00CC7F3C">
      <w:pPr>
        <w:pStyle w:val="Longdotpoints"/>
      </w:pPr>
      <w:r w:rsidRPr="00161E72">
        <w:t>Commit</w:t>
      </w:r>
      <w:r w:rsidR="007C5EDE">
        <w:t>s</w:t>
      </w:r>
      <w:r w:rsidRPr="00161E72">
        <w:t xml:space="preserve"> to a decentralised model of delivery for public hospital and health services that supports local accountability and drives improvements in performance through the creation of </w:t>
      </w:r>
      <w:r w:rsidR="00605CE5" w:rsidRPr="00161E72">
        <w:t xml:space="preserve">local </w:t>
      </w:r>
      <w:r w:rsidR="00303DCF" w:rsidRPr="00161E72">
        <w:t xml:space="preserve">hospital </w:t>
      </w:r>
      <w:r w:rsidR="005D35D6">
        <w:t xml:space="preserve">networks (LHNs) </w:t>
      </w:r>
      <w:r w:rsidR="00303DCF" w:rsidRPr="00161E72">
        <w:t xml:space="preserve">and </w:t>
      </w:r>
      <w:r w:rsidR="008D773A">
        <w:t>PHN</w:t>
      </w:r>
      <w:r w:rsidR="000026D2" w:rsidRPr="00161E72">
        <w:t>s</w:t>
      </w:r>
      <w:r w:rsidR="000026D2">
        <w:t xml:space="preserve"> and</w:t>
      </w:r>
      <w:r w:rsidR="000D5893">
        <w:t xml:space="preserve"> supports the provision of </w:t>
      </w:r>
      <w:r w:rsidR="00654886" w:rsidRPr="00014888">
        <w:t xml:space="preserve">General Practice </w:t>
      </w:r>
      <w:r w:rsidR="00D80EEB">
        <w:t>(</w:t>
      </w:r>
      <w:r w:rsidR="000D5893">
        <w:t>GP</w:t>
      </w:r>
      <w:r w:rsidR="00D80EEB">
        <w:t>)</w:t>
      </w:r>
      <w:r w:rsidR="000D5893">
        <w:t xml:space="preserve"> and </w:t>
      </w:r>
      <w:r w:rsidR="00D21A41">
        <w:t xml:space="preserve">primary health care services. </w:t>
      </w:r>
    </w:p>
    <w:p w14:paraId="66B3EDED" w14:textId="498794F4" w:rsidR="009F5C82" w:rsidRPr="00161E72" w:rsidRDefault="009F5C82" w:rsidP="009F5C82">
      <w:pPr>
        <w:rPr>
          <w:b/>
          <w:bCs/>
        </w:rPr>
      </w:pPr>
      <w:r w:rsidRPr="00161E72">
        <w:rPr>
          <w:b/>
          <w:bCs/>
        </w:rPr>
        <w:t xml:space="preserve">Committed to six long-term health reforms </w:t>
      </w:r>
      <w:r w:rsidR="006023CF">
        <w:rPr>
          <w:b/>
          <w:bCs/>
        </w:rPr>
        <w:t>(LTR</w:t>
      </w:r>
      <w:r w:rsidR="00E54F0D">
        <w:rPr>
          <w:b/>
          <w:bCs/>
        </w:rPr>
        <w:t>s</w:t>
      </w:r>
      <w:r w:rsidR="006023CF">
        <w:rPr>
          <w:b/>
          <w:bCs/>
        </w:rPr>
        <w:t>)</w:t>
      </w:r>
    </w:p>
    <w:p w14:paraId="46496974" w14:textId="11F300C3" w:rsidR="006731BE" w:rsidRPr="00161E72" w:rsidRDefault="00CF6FF7" w:rsidP="00D342EF">
      <w:pPr>
        <w:pStyle w:val="ListBullet"/>
      </w:pPr>
      <w:r w:rsidRPr="00E21D79">
        <w:t>P</w:t>
      </w:r>
      <w:r w:rsidR="009F5C82" w:rsidRPr="00161E72">
        <w:t>rioritise</w:t>
      </w:r>
      <w:r w:rsidR="00757E99">
        <w:t>s</w:t>
      </w:r>
      <w:r w:rsidR="009F5C82" w:rsidRPr="00161E72">
        <w:t xml:space="preserve"> the commitment </w:t>
      </w:r>
      <w:r w:rsidR="004C1967">
        <w:t xml:space="preserve">for </w:t>
      </w:r>
      <w:r w:rsidR="004C1967" w:rsidRPr="00E21D79">
        <w:t xml:space="preserve">the Commonwealth, States and Territories to </w:t>
      </w:r>
      <w:r w:rsidR="009F5C82" w:rsidRPr="00161E72">
        <w:t>collaborat</w:t>
      </w:r>
      <w:r w:rsidR="004C1967">
        <w:t>e</w:t>
      </w:r>
      <w:r w:rsidR="009F5C82" w:rsidRPr="00161E72">
        <w:t xml:space="preserve"> on six </w:t>
      </w:r>
      <w:r w:rsidR="006023CF">
        <w:t>LTRs</w:t>
      </w:r>
      <w:r w:rsidR="009F5C82" w:rsidRPr="00161E72">
        <w:t>, framed around four strategic priorities of financial efficiency and sustainability, safe and high</w:t>
      </w:r>
      <w:r w:rsidR="0053790B" w:rsidRPr="00161E72">
        <w:t>-</w:t>
      </w:r>
      <w:r w:rsidR="009F5C82" w:rsidRPr="00161E72">
        <w:t>quality care, prioritising prevention and best practice through data and research. The</w:t>
      </w:r>
      <w:r w:rsidR="00624804">
        <w:t>se</w:t>
      </w:r>
      <w:r w:rsidR="009F5C82" w:rsidRPr="00161E72">
        <w:t xml:space="preserve"> </w:t>
      </w:r>
      <w:r w:rsidR="00E45E1A">
        <w:t>are</w:t>
      </w:r>
      <w:r w:rsidR="009F5C82" w:rsidRPr="00161E72">
        <w:t>:</w:t>
      </w:r>
    </w:p>
    <w:p w14:paraId="2BEFE528" w14:textId="644C7BBC" w:rsidR="006731BE" w:rsidRPr="00161E72" w:rsidRDefault="00883F19" w:rsidP="00D342EF">
      <w:pPr>
        <w:pStyle w:val="Subdotpoint"/>
      </w:pPr>
      <w:r w:rsidRPr="00161E72">
        <w:t>Health technology - a nationally cohesive assessment</w:t>
      </w:r>
    </w:p>
    <w:p w14:paraId="330AB7B6" w14:textId="0A492F7C" w:rsidR="006731BE" w:rsidRPr="00161E72" w:rsidRDefault="00883F19" w:rsidP="00D342EF">
      <w:pPr>
        <w:pStyle w:val="Subdotpoint"/>
      </w:pPr>
      <w:r w:rsidRPr="00161E72">
        <w:t>Paying for value and outcomes</w:t>
      </w:r>
    </w:p>
    <w:p w14:paraId="7170AB5B" w14:textId="6727D47A" w:rsidR="006731BE" w:rsidRPr="00161E72" w:rsidRDefault="00567C29" w:rsidP="00D342EF">
      <w:pPr>
        <w:pStyle w:val="Subdotpoint"/>
      </w:pPr>
      <w:r w:rsidRPr="00161E72">
        <w:t>Joint planning and funding at a local level</w:t>
      </w:r>
    </w:p>
    <w:p w14:paraId="3BC8403B" w14:textId="775E3C08" w:rsidR="006731BE" w:rsidRPr="00161E72" w:rsidRDefault="00567C29" w:rsidP="00D342EF">
      <w:pPr>
        <w:pStyle w:val="Subdotpoint"/>
      </w:pPr>
      <w:r w:rsidRPr="00161E72">
        <w:t>Empowering people through health literacy</w:t>
      </w:r>
    </w:p>
    <w:p w14:paraId="2EB39EE4" w14:textId="6597BBDC" w:rsidR="006731BE" w:rsidRPr="00161E72" w:rsidRDefault="00567C29" w:rsidP="00D342EF">
      <w:pPr>
        <w:pStyle w:val="Subdotpoint"/>
      </w:pPr>
      <w:r w:rsidRPr="00161E72">
        <w:t>Prevention and wellbeing</w:t>
      </w:r>
    </w:p>
    <w:p w14:paraId="1DD65B6D" w14:textId="78A579B0" w:rsidR="006731BE" w:rsidRPr="00161E72" w:rsidRDefault="00567C29" w:rsidP="00D342EF">
      <w:pPr>
        <w:pStyle w:val="Subdotpoint"/>
      </w:pPr>
      <w:r w:rsidRPr="00161E72">
        <w:t>Enhanced health data</w:t>
      </w:r>
      <w:r w:rsidR="00906402" w:rsidRPr="00161E72">
        <w:t>.</w:t>
      </w:r>
    </w:p>
    <w:p w14:paraId="2537D49D" w14:textId="0FF410E9" w:rsidR="00B37695" w:rsidRDefault="00B37695" w:rsidP="00B37695">
      <w:pPr>
        <w:pStyle w:val="Heading2"/>
      </w:pPr>
      <w:bookmarkStart w:id="69" w:name="_Toc143291642"/>
      <w:r>
        <w:t xml:space="preserve">Components of the NHRA Addendum </w:t>
      </w:r>
      <w:bookmarkEnd w:id="69"/>
    </w:p>
    <w:p w14:paraId="1AA22440" w14:textId="1F71F7AB" w:rsidR="003E70A0" w:rsidRDefault="00EB6CC1" w:rsidP="005D3BD0">
      <w:r>
        <w:fldChar w:fldCharType="begin" w:fldLock="1"/>
      </w:r>
      <w:r>
        <w:instrText xml:space="preserve"> REF _Ref143546327 \h </w:instrText>
      </w:r>
      <w:r>
        <w:fldChar w:fldCharType="separate"/>
      </w:r>
      <w:r w:rsidR="00FA10A4" w:rsidRPr="00630FAF">
        <w:t xml:space="preserve">Figure </w:t>
      </w:r>
      <w:r w:rsidR="00FA10A4">
        <w:rPr>
          <w:noProof/>
        </w:rPr>
        <w:t>4</w:t>
      </w:r>
      <w:r>
        <w:fldChar w:fldCharType="end"/>
      </w:r>
      <w:r w:rsidR="0053790B">
        <w:t xml:space="preserve"> </w:t>
      </w:r>
      <w:r w:rsidR="00817098">
        <w:t>depicts</w:t>
      </w:r>
      <w:r w:rsidR="00817098" w:rsidRPr="00532783">
        <w:t xml:space="preserve"> the </w:t>
      </w:r>
      <w:r w:rsidR="00817098">
        <w:t xml:space="preserve">ten </w:t>
      </w:r>
      <w:r w:rsidR="00817098" w:rsidRPr="00532783">
        <w:t xml:space="preserve">areas </w:t>
      </w:r>
      <w:r w:rsidR="00817098">
        <w:t xml:space="preserve">presented in </w:t>
      </w:r>
      <w:r w:rsidR="00817098" w:rsidRPr="00532783">
        <w:t xml:space="preserve">the NHRA. The purpose, principles and processes underpinning each are described in separate </w:t>
      </w:r>
      <w:r w:rsidR="00817098">
        <w:t xml:space="preserve">Addendum </w:t>
      </w:r>
      <w:r w:rsidR="00817098" w:rsidRPr="00532783">
        <w:t>Schedules</w:t>
      </w:r>
      <w:r w:rsidR="004E5C79">
        <w:t xml:space="preserve">. </w:t>
      </w:r>
      <w:r w:rsidR="003E70A0">
        <w:t xml:space="preserve">Further detail on </w:t>
      </w:r>
      <w:r w:rsidR="005F7E6A">
        <w:t xml:space="preserve">Schedule contents </w:t>
      </w:r>
      <w:r w:rsidR="005D3BD0">
        <w:t>is</w:t>
      </w:r>
      <w:r w:rsidR="005F7E6A">
        <w:t xml:space="preserve"> </w:t>
      </w:r>
      <w:r w:rsidR="001F58F2">
        <w:t>at</w:t>
      </w:r>
      <w:r w:rsidR="006E2218">
        <w:t xml:space="preserve"> </w:t>
      </w:r>
      <w:r w:rsidR="006E2218">
        <w:fldChar w:fldCharType="begin" w:fldLock="1"/>
      </w:r>
      <w:r w:rsidR="006E2218">
        <w:instrText xml:space="preserve"> REF _Ref143788622 \w \h </w:instrText>
      </w:r>
      <w:r w:rsidR="006E2218">
        <w:fldChar w:fldCharType="separate"/>
      </w:r>
      <w:r w:rsidR="00FA10A4">
        <w:t>Appendix F</w:t>
      </w:r>
      <w:r w:rsidR="006E2218">
        <w:fldChar w:fldCharType="end"/>
      </w:r>
      <w:r w:rsidR="00447969">
        <w:t>.</w:t>
      </w:r>
    </w:p>
    <w:p w14:paraId="4786E206" w14:textId="072D39D4" w:rsidR="00B9479B" w:rsidRDefault="009377D6" w:rsidP="00CC7F3C">
      <w:pPr>
        <w:pStyle w:val="Longdotpoints"/>
        <w:numPr>
          <w:ilvl w:val="0"/>
          <w:numId w:val="0"/>
        </w:numPr>
      </w:pPr>
      <w:r>
        <w:rPr>
          <w:noProof/>
        </w:rPr>
        <w:drawing>
          <wp:inline distT="0" distB="0" distL="0" distR="0" wp14:anchorId="47E67E9C" wp14:editId="7998E527">
            <wp:extent cx="6659217" cy="3414816"/>
            <wp:effectExtent l="0" t="0" r="0" b="0"/>
            <wp:docPr id="1489793650" name="Picture 1489793650" descr="P5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50" name="Picture 1489793650" descr="P583#yIS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31284" cy="3451772"/>
                    </a:xfrm>
                    <a:prstGeom prst="rect">
                      <a:avLst/>
                    </a:prstGeom>
                    <a:noFill/>
                  </pic:spPr>
                </pic:pic>
              </a:graphicData>
            </a:graphic>
          </wp:inline>
        </w:drawing>
      </w:r>
    </w:p>
    <w:p w14:paraId="23C2FD91" w14:textId="62837E1F" w:rsidR="00B9479B" w:rsidRPr="00630FAF" w:rsidRDefault="00B9479B" w:rsidP="00C2024B">
      <w:pPr>
        <w:pStyle w:val="Caption"/>
      </w:pPr>
      <w:bookmarkStart w:id="70" w:name="_Ref143546327"/>
      <w:bookmarkStart w:id="71" w:name="_Toc148968382"/>
      <w:r w:rsidRPr="00630FAF">
        <w:t xml:space="preserve">Figure </w:t>
      </w:r>
      <w:r>
        <w:fldChar w:fldCharType="begin"/>
      </w:r>
      <w:r>
        <w:instrText xml:space="preserve"> SEQ Figure \* ARABIC </w:instrText>
      </w:r>
      <w:r>
        <w:fldChar w:fldCharType="separate"/>
      </w:r>
      <w:r w:rsidR="003F5D51">
        <w:rPr>
          <w:noProof/>
        </w:rPr>
        <w:t>4</w:t>
      </w:r>
      <w:r>
        <w:rPr>
          <w:noProof/>
        </w:rPr>
        <w:fldChar w:fldCharType="end"/>
      </w:r>
      <w:bookmarkEnd w:id="70"/>
      <w:r w:rsidRPr="00630FAF">
        <w:t>: Components of the NHRA Addendum</w:t>
      </w:r>
      <w:bookmarkEnd w:id="71"/>
    </w:p>
    <w:p w14:paraId="6AF39F3E" w14:textId="713602ED" w:rsidR="00C02371" w:rsidRDefault="00482743" w:rsidP="00482743">
      <w:pPr>
        <w:pStyle w:val="Heading2"/>
      </w:pPr>
      <w:bookmarkStart w:id="72" w:name="_Toc143291643"/>
      <w:bookmarkStart w:id="73" w:name="_Ref143550579"/>
      <w:r>
        <w:t>NHRA road to date</w:t>
      </w:r>
      <w:bookmarkEnd w:id="72"/>
      <w:bookmarkEnd w:id="73"/>
      <w:r>
        <w:t xml:space="preserve"> </w:t>
      </w:r>
    </w:p>
    <w:p w14:paraId="0A6B5987" w14:textId="5972930C" w:rsidR="00216AD5" w:rsidRDefault="00D63512" w:rsidP="001B65F3">
      <w:r>
        <w:t xml:space="preserve">The </w:t>
      </w:r>
      <w:r w:rsidR="003F5A7F">
        <w:t>NHRA r</w:t>
      </w:r>
      <w:r w:rsidR="003F5A7F" w:rsidRPr="003F5A7F">
        <w:t>eflected</w:t>
      </w:r>
      <w:r>
        <w:t xml:space="preserve"> very</w:t>
      </w:r>
      <w:r w:rsidR="003F5A7F" w:rsidRPr="003F5A7F">
        <w:t xml:space="preserve"> significant reform at the time</w:t>
      </w:r>
      <w:r w:rsidR="003F5A7F">
        <w:t xml:space="preserve"> of</w:t>
      </w:r>
      <w:r>
        <w:t xml:space="preserve"> its</w:t>
      </w:r>
      <w:r w:rsidR="003F5A7F">
        <w:t xml:space="preserve"> inception and implementation</w:t>
      </w:r>
      <w:r w:rsidR="00F433ED">
        <w:t xml:space="preserve"> in 2011</w:t>
      </w:r>
      <w:r w:rsidR="0036114B">
        <w:t xml:space="preserve">. </w:t>
      </w:r>
    </w:p>
    <w:p w14:paraId="08098C70" w14:textId="7AEF2FC8" w:rsidR="00D37863" w:rsidRDefault="0036114B" w:rsidP="001B65F3">
      <w:r>
        <w:t>At its essence, the NHRA</w:t>
      </w:r>
      <w:r w:rsidR="00216AD5">
        <w:t>,</w:t>
      </w:r>
      <w:r>
        <w:t xml:space="preserve"> </w:t>
      </w:r>
      <w:r w:rsidR="00222278">
        <w:t xml:space="preserve">together </w:t>
      </w:r>
      <w:r w:rsidR="00D04168">
        <w:t>with</w:t>
      </w:r>
      <w:r w:rsidR="0013306A">
        <w:t xml:space="preserve"> the </w:t>
      </w:r>
      <w:r w:rsidR="00E03019" w:rsidRPr="00650E28">
        <w:rPr>
          <w:i/>
          <w:iCs/>
        </w:rPr>
        <w:t>National Healthcare Agreement</w:t>
      </w:r>
      <w:r w:rsidR="00216AD5">
        <w:t>,</w:t>
      </w:r>
      <w:r w:rsidR="0013306A">
        <w:t xml:space="preserve"> </w:t>
      </w:r>
      <w:r>
        <w:t xml:space="preserve">sought to </w:t>
      </w:r>
      <w:r w:rsidR="00773B9A">
        <w:t xml:space="preserve">establish </w:t>
      </w:r>
      <w:r>
        <w:t>an enduring foundation</w:t>
      </w:r>
      <w:r w:rsidR="00773B9A">
        <w:t xml:space="preserve"> for</w:t>
      </w:r>
      <w:r>
        <w:t xml:space="preserve"> the</w:t>
      </w:r>
      <w:r w:rsidR="00D04168">
        <w:t xml:space="preserve"> shared commitment of the Commonwealth, States and Territories to </w:t>
      </w:r>
      <w:r w:rsidR="00B90152">
        <w:t>improve health</w:t>
      </w:r>
      <w:r w:rsidR="00011E60">
        <w:t xml:space="preserve"> </w:t>
      </w:r>
      <w:r w:rsidR="00B90152">
        <w:t xml:space="preserve">outcomes and the sustainability of the health system </w:t>
      </w:r>
      <w:r w:rsidR="00A96BEB">
        <w:t xml:space="preserve">while </w:t>
      </w:r>
      <w:r w:rsidR="00773B9A">
        <w:t>put</w:t>
      </w:r>
      <w:r w:rsidR="00670930">
        <w:t>ting</w:t>
      </w:r>
      <w:r w:rsidR="00773B9A">
        <w:t xml:space="preserve"> in place </w:t>
      </w:r>
      <w:r w:rsidR="00B90152">
        <w:t>an architecture for health reform</w:t>
      </w:r>
      <w:r w:rsidR="00011E60">
        <w:t xml:space="preserve"> and sustainable funding.</w:t>
      </w:r>
    </w:p>
    <w:p w14:paraId="27A69F6D" w14:textId="140CA429" w:rsidR="00B36909" w:rsidRDefault="001B65F3" w:rsidP="001B65F3">
      <w:r>
        <w:t xml:space="preserve">The Agreement, and </w:t>
      </w:r>
      <w:r w:rsidR="00D37863">
        <w:t xml:space="preserve">the </w:t>
      </w:r>
      <w:r>
        <w:t xml:space="preserve">related </w:t>
      </w:r>
      <w:r w:rsidRPr="00872338">
        <w:rPr>
          <w:i/>
          <w:iCs/>
        </w:rPr>
        <w:t>National Health Reform Act 2011</w:t>
      </w:r>
      <w:r w:rsidR="00B36909">
        <w:t>:</w:t>
      </w:r>
      <w:r w:rsidR="006E4B0C">
        <w:t xml:space="preserve"> </w:t>
      </w:r>
    </w:p>
    <w:p w14:paraId="2342E250" w14:textId="77777777" w:rsidR="00B36909" w:rsidRDefault="001B65F3" w:rsidP="008D0994">
      <w:pPr>
        <w:pStyle w:val="ListBullet"/>
        <w:ind w:left="567"/>
      </w:pPr>
      <w:r>
        <w:t xml:space="preserve">established </w:t>
      </w:r>
      <w:r w:rsidR="003F5A7F" w:rsidRPr="003F5A7F">
        <w:t>Agreement architecture</w:t>
      </w:r>
    </w:p>
    <w:p w14:paraId="0D17273B" w14:textId="245D1400" w:rsidR="00B36909" w:rsidRDefault="003F5A7F" w:rsidP="008D0994">
      <w:pPr>
        <w:pStyle w:val="ListBullet"/>
        <w:ind w:left="567"/>
      </w:pPr>
      <w:r w:rsidRPr="003F5A7F">
        <w:t>set out principles, roles and responsibilities</w:t>
      </w:r>
    </w:p>
    <w:p w14:paraId="5854CA3B" w14:textId="2B7FE3B7" w:rsidR="00017D03" w:rsidRDefault="001B65F3" w:rsidP="008D0994">
      <w:pPr>
        <w:pStyle w:val="ListBullet"/>
        <w:ind w:left="567"/>
      </w:pPr>
      <w:r w:rsidRPr="003F5A7F">
        <w:t>introduc</w:t>
      </w:r>
      <w:r>
        <w:t>ed</w:t>
      </w:r>
      <w:r w:rsidRPr="003F5A7F">
        <w:t xml:space="preserve"> </w:t>
      </w:r>
      <w:r w:rsidR="003F5A7F" w:rsidRPr="003F5A7F">
        <w:t>ABF</w:t>
      </w:r>
      <w:r w:rsidR="0056272B" w:rsidRPr="0056272B">
        <w:t xml:space="preserve"> on a national basis</w:t>
      </w:r>
    </w:p>
    <w:p w14:paraId="4A9085DB" w14:textId="290A15EE" w:rsidR="00017D03" w:rsidRDefault="001B65F3" w:rsidP="008D0994">
      <w:pPr>
        <w:pStyle w:val="ListBullet"/>
        <w:ind w:left="567"/>
      </w:pPr>
      <w:r w:rsidRPr="003F5A7F">
        <w:t>establish</w:t>
      </w:r>
      <w:r>
        <w:t>ed</w:t>
      </w:r>
      <w:r w:rsidR="0056444B">
        <w:t>,</w:t>
      </w:r>
      <w:r w:rsidR="001435D2">
        <w:t xml:space="preserve"> through legislation</w:t>
      </w:r>
      <w:r w:rsidR="0056444B">
        <w:t>,</w:t>
      </w:r>
      <w:r w:rsidRPr="003F5A7F">
        <w:t xml:space="preserve"> </w:t>
      </w:r>
      <w:r w:rsidR="003F5A7F" w:rsidRPr="003F5A7F">
        <w:t>new national bodies and embedded powers in some existing bodies</w:t>
      </w:r>
    </w:p>
    <w:p w14:paraId="158B6EAF" w14:textId="02D7A3DE" w:rsidR="00017D03" w:rsidRDefault="00AB4CA0" w:rsidP="008D0994">
      <w:pPr>
        <w:pStyle w:val="ListBullet"/>
        <w:ind w:left="567"/>
      </w:pPr>
      <w:r>
        <w:t>designated</w:t>
      </w:r>
      <w:r w:rsidR="001435D2" w:rsidRPr="003F5A7F">
        <w:t xml:space="preserve"> </w:t>
      </w:r>
      <w:r w:rsidR="003F5A7F" w:rsidRPr="003F5A7F">
        <w:t>LHNs and PHNs</w:t>
      </w:r>
      <w:r w:rsidR="001435D2">
        <w:t xml:space="preserve"> as </w:t>
      </w:r>
      <w:r w:rsidR="00D37863">
        <w:t xml:space="preserve">local governance </w:t>
      </w:r>
      <w:r w:rsidR="00C80BD4">
        <w:t xml:space="preserve">and delivery </w:t>
      </w:r>
      <w:r w:rsidR="00D37863">
        <w:t>mechanisms</w:t>
      </w:r>
      <w:r w:rsidR="003F5A7F" w:rsidRPr="003F5A7F">
        <w:t xml:space="preserve"> within the Agreement</w:t>
      </w:r>
    </w:p>
    <w:p w14:paraId="38FC56BF" w14:textId="77777777" w:rsidR="007C2321" w:rsidRDefault="00FB3863" w:rsidP="008D0994">
      <w:pPr>
        <w:pStyle w:val="ListBullet"/>
        <w:ind w:left="567"/>
      </w:pPr>
      <w:r>
        <w:t>established a process of performance monitoring and reporting</w:t>
      </w:r>
    </w:p>
    <w:p w14:paraId="7DC08AB8" w14:textId="716A3FEF" w:rsidR="003F5A7F" w:rsidRDefault="00D37863" w:rsidP="008D0994">
      <w:pPr>
        <w:pStyle w:val="ListBullet"/>
        <w:spacing w:after="120"/>
        <w:ind w:left="567"/>
        <w:contextualSpacing w:val="0"/>
      </w:pPr>
      <w:r w:rsidRPr="003F5A7F">
        <w:t>anticipat</w:t>
      </w:r>
      <w:r>
        <w:t xml:space="preserve">ed </w:t>
      </w:r>
      <w:r w:rsidR="004645FB">
        <w:t>the need for</w:t>
      </w:r>
      <w:r w:rsidR="003F5A7F" w:rsidRPr="003F5A7F">
        <w:t xml:space="preserve"> a system view through local commissioning, interface and </w:t>
      </w:r>
      <w:r w:rsidR="00933018">
        <w:t>LTR</w:t>
      </w:r>
      <w:r w:rsidR="00E54F0D">
        <w:t>s</w:t>
      </w:r>
      <w:r w:rsidR="003F5A7F" w:rsidRPr="003F5A7F">
        <w:t>.</w:t>
      </w:r>
    </w:p>
    <w:p w14:paraId="64862204" w14:textId="1E7C123C" w:rsidR="00452C4C" w:rsidRPr="003F5A7F" w:rsidRDefault="00452C4C" w:rsidP="001B65F3">
      <w:r>
        <w:t xml:space="preserve">A fundamental change introduced through the NHRA was </w:t>
      </w:r>
      <w:r w:rsidR="00DC0434">
        <w:t xml:space="preserve">to implement </w:t>
      </w:r>
      <w:r w:rsidR="000A73AF">
        <w:t>ABF</w:t>
      </w:r>
      <w:r w:rsidR="00DC0434">
        <w:t xml:space="preserve"> as </w:t>
      </w:r>
      <w:r w:rsidR="00CB1359">
        <w:t>the</w:t>
      </w:r>
      <w:r w:rsidR="00DC0434">
        <w:t xml:space="preserve"> predominant means of funding public hospital services</w:t>
      </w:r>
      <w:r w:rsidR="0080794A">
        <w:t>. Th</w:t>
      </w:r>
      <w:r w:rsidR="008F7425">
        <w:t>e NHRA</w:t>
      </w:r>
      <w:r w:rsidR="0080794A">
        <w:t xml:space="preserve"> put</w:t>
      </w:r>
      <w:r w:rsidR="00331D64">
        <w:t xml:space="preserve"> in place</w:t>
      </w:r>
      <w:r w:rsidR="00612D8D">
        <w:t xml:space="preserve"> classification systems</w:t>
      </w:r>
      <w:r w:rsidR="00555693">
        <w:t xml:space="preserve">, </w:t>
      </w:r>
      <w:r w:rsidR="00C51C3C">
        <w:t xml:space="preserve">independent </w:t>
      </w:r>
      <w:r w:rsidR="00612D8D">
        <w:t>pricing mechanisms</w:t>
      </w:r>
      <w:r w:rsidR="00555693">
        <w:t xml:space="preserve"> and</w:t>
      </w:r>
      <w:r w:rsidR="00C51C3C">
        <w:t xml:space="preserve"> transparent</w:t>
      </w:r>
      <w:r w:rsidR="00555693">
        <w:t xml:space="preserve"> funding flows through the (then) Independent Hospital Pricing Authority</w:t>
      </w:r>
      <w:r w:rsidR="009446EF">
        <w:t xml:space="preserve"> (IHPA)</w:t>
      </w:r>
      <w:r w:rsidR="008566D2">
        <w:t>,</w:t>
      </w:r>
      <w:r w:rsidR="00555693">
        <w:t xml:space="preserve"> </w:t>
      </w:r>
      <w:r w:rsidR="00BE6E46">
        <w:t xml:space="preserve">the </w:t>
      </w:r>
      <w:r w:rsidR="008566D2">
        <w:t xml:space="preserve">Administrator of the National Health Funding Pool (Administrator) </w:t>
      </w:r>
      <w:r w:rsidR="00555693">
        <w:t xml:space="preserve">and </w:t>
      </w:r>
      <w:r w:rsidR="00BE6E46">
        <w:t xml:space="preserve">the </w:t>
      </w:r>
      <w:r w:rsidR="00555693">
        <w:t xml:space="preserve">National Health Funding Body </w:t>
      </w:r>
      <w:r w:rsidR="008566D2">
        <w:t>(NHFB)</w:t>
      </w:r>
      <w:r w:rsidR="00555693">
        <w:t>.</w:t>
      </w:r>
      <w:r w:rsidR="0097401E">
        <w:t xml:space="preserve"> At its inception the Agreement committed to increase</w:t>
      </w:r>
      <w:r w:rsidR="00834C5B">
        <w:t xml:space="preserve"> </w:t>
      </w:r>
      <w:r w:rsidR="0097401E">
        <w:t xml:space="preserve">the Commonwealth contribution to the funding of public hospital services to </w:t>
      </w:r>
      <w:r w:rsidR="00507F72">
        <w:t xml:space="preserve">45% of efficient growth </w:t>
      </w:r>
      <w:r w:rsidR="00DC554A">
        <w:t xml:space="preserve">from 2014-15 to 2016-17, and to </w:t>
      </w:r>
      <w:r w:rsidR="0097401E">
        <w:t>50%</w:t>
      </w:r>
      <w:r w:rsidR="001D77E5">
        <w:t xml:space="preserve"> </w:t>
      </w:r>
      <w:r w:rsidR="001B23E5">
        <w:t xml:space="preserve">of efficient growth </w:t>
      </w:r>
      <w:r w:rsidR="001D77E5">
        <w:t>from 2017-18 onwards.</w:t>
      </w:r>
    </w:p>
    <w:p w14:paraId="2705FF07" w14:textId="454BF459" w:rsidR="00B76C82" w:rsidRDefault="00B76C82" w:rsidP="00B76C82">
      <w:r w:rsidRPr="003F5A7F">
        <w:t>Since 2012</w:t>
      </w:r>
      <w:r>
        <w:t>,</w:t>
      </w:r>
      <w:r w:rsidRPr="003F5A7F">
        <w:t xml:space="preserve"> </w:t>
      </w:r>
      <w:r w:rsidRPr="00482743">
        <w:t xml:space="preserve">the NHRA has undergone </w:t>
      </w:r>
      <w:r w:rsidR="00356598">
        <w:t>several</w:t>
      </w:r>
      <w:r w:rsidRPr="00482743">
        <w:t xml:space="preserve"> changes </w:t>
      </w:r>
      <w:r>
        <w:t>(including through the two Addenda introduced in 2017 and 2020). Some of these relate to</w:t>
      </w:r>
      <w:r w:rsidRPr="003F5A7F">
        <w:t xml:space="preserve"> funding share</w:t>
      </w:r>
      <w:r>
        <w:t xml:space="preserve">, with the Commonwealth extending its commitment to 45% </w:t>
      </w:r>
      <w:r w:rsidR="00095537">
        <w:t xml:space="preserve">of </w:t>
      </w:r>
      <w:r>
        <w:t>efficient growth for the period beyond 2016-17, rather than increasing it to 50%</w:t>
      </w:r>
      <w:r w:rsidR="001B23E5">
        <w:t xml:space="preserve"> of efficient growth</w:t>
      </w:r>
      <w:r>
        <w:t xml:space="preserve">. In addition, a 6.5% </w:t>
      </w:r>
      <w:r w:rsidR="003052E7">
        <w:t>national funding</w:t>
      </w:r>
      <w:r>
        <w:t xml:space="preserve"> cap was introduced on the Commonwealth contribution to public hospital services from 2017-18 (discussed further in section </w:t>
      </w:r>
      <w:r>
        <w:fldChar w:fldCharType="begin" w:fldLock="1"/>
      </w:r>
      <w:r>
        <w:instrText xml:space="preserve"> REF _Ref141793772 \w \h </w:instrText>
      </w:r>
      <w:r>
        <w:fldChar w:fldCharType="separate"/>
      </w:r>
      <w:r w:rsidR="00FA10A4">
        <w:t>2.5</w:t>
      </w:r>
      <w:r>
        <w:fldChar w:fldCharType="end"/>
      </w:r>
      <w:r>
        <w:t>)</w:t>
      </w:r>
      <w:r w:rsidRPr="003F5A7F">
        <w:t xml:space="preserve">, </w:t>
      </w:r>
      <w:r>
        <w:t xml:space="preserve">and a level of safety and </w:t>
      </w:r>
      <w:r w:rsidRPr="003F5A7F">
        <w:t xml:space="preserve">quality </w:t>
      </w:r>
      <w:r>
        <w:t xml:space="preserve">pricing was introduced.  </w:t>
      </w:r>
    </w:p>
    <w:p w14:paraId="2C158111" w14:textId="77777777" w:rsidR="00B76C82" w:rsidRDefault="00B76C82" w:rsidP="00B76C82">
      <w:r>
        <w:t>While the 2020-2025 Addendum reflects much of the structure and content of the earlier Agreement and Addendum, it also introduced new content, particularly focused on:</w:t>
      </w:r>
    </w:p>
    <w:p w14:paraId="500534A1" w14:textId="294DCFF0" w:rsidR="00B76C82" w:rsidRDefault="00B76C82" w:rsidP="00A850C3">
      <w:pPr>
        <w:pStyle w:val="ListParagraph"/>
        <w:numPr>
          <w:ilvl w:val="0"/>
          <w:numId w:val="28"/>
        </w:numPr>
      </w:pPr>
      <w:r>
        <w:t xml:space="preserve">new arrangements for assessing and funding </w:t>
      </w:r>
      <w:r w:rsidR="00810DC7">
        <w:t xml:space="preserve">high-cost, </w:t>
      </w:r>
      <w:r>
        <w:t>highly</w:t>
      </w:r>
      <w:r w:rsidR="00BE0850">
        <w:t xml:space="preserve"> </w:t>
      </w:r>
      <w:r>
        <w:t>specialised therapies</w:t>
      </w:r>
    </w:p>
    <w:p w14:paraId="72C0DAF4" w14:textId="77777777" w:rsidR="00B76C82" w:rsidRDefault="00B76C82" w:rsidP="00A850C3">
      <w:pPr>
        <w:pStyle w:val="ListParagraph"/>
        <w:numPr>
          <w:ilvl w:val="0"/>
          <w:numId w:val="28"/>
        </w:numPr>
      </w:pPr>
      <w:r>
        <w:t>changes to financial incentives for the treatment of private patients in public hospitals</w:t>
      </w:r>
    </w:p>
    <w:p w14:paraId="6B9CB401" w14:textId="77777777" w:rsidR="00B76C82" w:rsidRDefault="00B76C82" w:rsidP="00A850C3">
      <w:pPr>
        <w:pStyle w:val="ListParagraph"/>
        <w:numPr>
          <w:ilvl w:val="0"/>
          <w:numId w:val="28"/>
        </w:numPr>
      </w:pPr>
      <w:r>
        <w:t>improved collection, sharing and matching of data and performance reporting</w:t>
      </w:r>
    </w:p>
    <w:p w14:paraId="75B283D2" w14:textId="77777777" w:rsidR="00B76C82" w:rsidRDefault="00B76C82" w:rsidP="00A850C3">
      <w:pPr>
        <w:pStyle w:val="ListParagraph"/>
        <w:numPr>
          <w:ilvl w:val="0"/>
          <w:numId w:val="28"/>
        </w:numPr>
      </w:pPr>
      <w:r>
        <w:t>further clarification on the role of the national bodies</w:t>
      </w:r>
    </w:p>
    <w:p w14:paraId="5C77FA0F" w14:textId="07A60B69" w:rsidR="00B76C82" w:rsidRDefault="00B76C82" w:rsidP="00A850C3">
      <w:pPr>
        <w:pStyle w:val="ListParagraph"/>
        <w:numPr>
          <w:ilvl w:val="0"/>
          <w:numId w:val="28"/>
        </w:numPr>
      </w:pPr>
      <w:r>
        <w:t xml:space="preserve">a focus on innovation and </w:t>
      </w:r>
      <w:r w:rsidR="0024745B">
        <w:t>LTRs</w:t>
      </w:r>
    </w:p>
    <w:p w14:paraId="01C10B83" w14:textId="77777777" w:rsidR="00B76C82" w:rsidRDefault="00B76C82" w:rsidP="00A850C3">
      <w:pPr>
        <w:pStyle w:val="ListParagraph"/>
        <w:numPr>
          <w:ilvl w:val="0"/>
          <w:numId w:val="28"/>
        </w:numPr>
      </w:pPr>
      <w:r>
        <w:t>stronger reference to aged care, disability and primary care interface issues and equity of access in rural and remote settings</w:t>
      </w:r>
    </w:p>
    <w:p w14:paraId="65E34FF1" w14:textId="77777777" w:rsidR="00B76C82" w:rsidRDefault="00B76C82" w:rsidP="00A850C3">
      <w:pPr>
        <w:pStyle w:val="ListParagraph"/>
        <w:numPr>
          <w:ilvl w:val="0"/>
          <w:numId w:val="28"/>
        </w:numPr>
      </w:pPr>
      <w:r>
        <w:t>commitments to Closing the Gap and to improving mental health outcomes.</w:t>
      </w:r>
    </w:p>
    <w:p w14:paraId="357E660C" w14:textId="168AE2E6" w:rsidR="00C02371" w:rsidRDefault="0082465A" w:rsidP="00D50025">
      <w:r>
        <w:t>These changes</w:t>
      </w:r>
      <w:r w:rsidR="00C138AB">
        <w:t>, and precursor arrangements,</w:t>
      </w:r>
      <w:r>
        <w:t xml:space="preserve"> are summarised in </w:t>
      </w:r>
      <w:r w:rsidR="00EB6CC1">
        <w:fldChar w:fldCharType="begin" w:fldLock="1"/>
      </w:r>
      <w:r w:rsidR="00EB6CC1">
        <w:instrText xml:space="preserve"> REF _Ref143546340 \h </w:instrText>
      </w:r>
      <w:r w:rsidR="00EB6CC1">
        <w:fldChar w:fldCharType="separate"/>
      </w:r>
      <w:r w:rsidR="00FA10A4">
        <w:t xml:space="preserve">Figure </w:t>
      </w:r>
      <w:r w:rsidR="00FA10A4">
        <w:rPr>
          <w:noProof/>
        </w:rPr>
        <w:t>5</w:t>
      </w:r>
      <w:r w:rsidR="00EB6CC1">
        <w:fldChar w:fldCharType="end"/>
      </w:r>
      <w:r w:rsidR="00C26132">
        <w:t>.</w:t>
      </w:r>
      <w:r w:rsidR="00944BDC">
        <w:t xml:space="preserve"> </w:t>
      </w:r>
      <w:r w:rsidR="000E3F2D">
        <w:t>Further detail regarding the changes introduced as part of the 2020</w:t>
      </w:r>
      <w:r w:rsidR="00454DD6">
        <w:t>-2025</w:t>
      </w:r>
      <w:r w:rsidR="000E3F2D">
        <w:t xml:space="preserve"> Addendum </w:t>
      </w:r>
      <w:r w:rsidR="00A665A0">
        <w:t>is</w:t>
      </w:r>
      <w:r w:rsidR="000E3F2D">
        <w:t xml:space="preserve"> </w:t>
      </w:r>
      <w:r w:rsidR="0029235A">
        <w:t>at</w:t>
      </w:r>
      <w:r w:rsidR="000E3F2D">
        <w:t xml:space="preserve"> </w:t>
      </w:r>
      <w:r w:rsidR="00DF7812">
        <w:fldChar w:fldCharType="begin" w:fldLock="1"/>
      </w:r>
      <w:r w:rsidR="00DF7812">
        <w:instrText xml:space="preserve"> REF _Ref143788622 \w \h </w:instrText>
      </w:r>
      <w:r w:rsidR="00DF7812">
        <w:fldChar w:fldCharType="separate"/>
      </w:r>
      <w:r w:rsidR="00FA10A4">
        <w:t>Appendix F</w:t>
      </w:r>
      <w:r w:rsidR="00DF7812">
        <w:fldChar w:fldCharType="end"/>
      </w:r>
      <w:r w:rsidR="00454DD6">
        <w:t>.</w:t>
      </w:r>
    </w:p>
    <w:p w14:paraId="3E4266A3" w14:textId="02C7B7EA" w:rsidR="008073EC" w:rsidRDefault="00E641C3" w:rsidP="00D50025">
      <w:r>
        <w:rPr>
          <w:noProof/>
        </w:rPr>
        <w:drawing>
          <wp:inline distT="0" distB="0" distL="0" distR="0" wp14:anchorId="382CE203" wp14:editId="1828A7D7">
            <wp:extent cx="6618363" cy="3493939"/>
            <wp:effectExtent l="0" t="0" r="0" b="0"/>
            <wp:docPr id="18" name="Picture 18" descr="P6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607#yIS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39504" cy="3505100"/>
                    </a:xfrm>
                    <a:prstGeom prst="rect">
                      <a:avLst/>
                    </a:prstGeom>
                    <a:noFill/>
                  </pic:spPr>
                </pic:pic>
              </a:graphicData>
            </a:graphic>
          </wp:inline>
        </w:drawing>
      </w:r>
    </w:p>
    <w:p w14:paraId="081274A4" w14:textId="10E6D449" w:rsidR="00C02371" w:rsidRDefault="00D871E1" w:rsidP="00C2024B">
      <w:pPr>
        <w:pStyle w:val="Caption"/>
      </w:pPr>
      <w:bookmarkStart w:id="74" w:name="_Ref143546340"/>
      <w:bookmarkStart w:id="75" w:name="_Toc148968383"/>
      <w:r>
        <w:t xml:space="preserve">Figure </w:t>
      </w:r>
      <w:r>
        <w:fldChar w:fldCharType="begin"/>
      </w:r>
      <w:r>
        <w:instrText xml:space="preserve"> SEQ Figure \* ARABIC </w:instrText>
      </w:r>
      <w:r>
        <w:fldChar w:fldCharType="separate"/>
      </w:r>
      <w:r w:rsidR="003F5D51">
        <w:rPr>
          <w:noProof/>
        </w:rPr>
        <w:t>5</w:t>
      </w:r>
      <w:r>
        <w:rPr>
          <w:noProof/>
        </w:rPr>
        <w:fldChar w:fldCharType="end"/>
      </w:r>
      <w:bookmarkEnd w:id="74"/>
      <w:r w:rsidR="00C26132">
        <w:t>: NHRA timeline</w:t>
      </w:r>
      <w:bookmarkEnd w:id="75"/>
    </w:p>
    <w:p w14:paraId="04641152" w14:textId="257663C9" w:rsidR="00C02371" w:rsidRDefault="002101BE" w:rsidP="002101BE">
      <w:pPr>
        <w:pStyle w:val="Heading2"/>
      </w:pPr>
      <w:bookmarkStart w:id="76" w:name="_Toc143291644"/>
      <w:bookmarkStart w:id="77" w:name="_Ref144882650"/>
      <w:bookmarkStart w:id="78" w:name="_Ref144995157"/>
      <w:r>
        <w:t>NHRA governance</w:t>
      </w:r>
      <w:bookmarkEnd w:id="76"/>
      <w:bookmarkEnd w:id="77"/>
      <w:bookmarkEnd w:id="78"/>
    </w:p>
    <w:p w14:paraId="55FBD421" w14:textId="77777777" w:rsidR="00361EAA" w:rsidRDefault="00361EAA" w:rsidP="00361EAA">
      <w:r w:rsidRPr="0031283C">
        <w:t xml:space="preserve">Improved governance and transparency are at the heart of the NHRA </w:t>
      </w:r>
      <w:r>
        <w:t>through</w:t>
      </w:r>
      <w:r w:rsidRPr="0031283C">
        <w:t xml:space="preserve"> the establishment and evolution of </w:t>
      </w:r>
      <w:r>
        <w:t>national</w:t>
      </w:r>
      <w:r w:rsidRPr="0031283C">
        <w:t xml:space="preserve"> </w:t>
      </w:r>
      <w:r w:rsidRPr="0075563F">
        <w:t>governance bodies</w:t>
      </w:r>
      <w:r>
        <w:t xml:space="preserve"> and local governance arrangements. </w:t>
      </w:r>
    </w:p>
    <w:p w14:paraId="3905DA3E" w14:textId="45E7BBC7" w:rsidR="00361EAA" w:rsidRDefault="00361EAA" w:rsidP="00361EAA">
      <w:r w:rsidRPr="008229A4">
        <w:t>The NHRA</w:t>
      </w:r>
      <w:r>
        <w:t xml:space="preserve">, through the </w:t>
      </w:r>
      <w:r w:rsidRPr="00872338">
        <w:rPr>
          <w:i/>
          <w:iCs/>
        </w:rPr>
        <w:t>National Health Reform</w:t>
      </w:r>
      <w:r w:rsidRPr="00872338">
        <w:rPr>
          <w:i/>
        </w:rPr>
        <w:t xml:space="preserve"> Act 2011</w:t>
      </w:r>
      <w:r>
        <w:t>,</w:t>
      </w:r>
      <w:r w:rsidRPr="008229A4">
        <w:t xml:space="preserve"> </w:t>
      </w:r>
      <w:r>
        <w:t xml:space="preserve">established </w:t>
      </w:r>
      <w:r w:rsidR="008F3B1C">
        <w:t>four</w:t>
      </w:r>
      <w:r w:rsidRPr="008229A4">
        <w:t xml:space="preserve"> </w:t>
      </w:r>
      <w:r>
        <w:t>n</w:t>
      </w:r>
      <w:r w:rsidRPr="008229A4">
        <w:t xml:space="preserve">ational </w:t>
      </w:r>
      <w:r>
        <w:t>b</w:t>
      </w:r>
      <w:r w:rsidRPr="008229A4">
        <w:t xml:space="preserve">odies to facilitate the funding of public hospitals using a combination of </w:t>
      </w:r>
      <w:r>
        <w:t xml:space="preserve">ABF </w:t>
      </w:r>
      <w:r w:rsidRPr="008229A4">
        <w:t xml:space="preserve">and </w:t>
      </w:r>
      <w:r>
        <w:t>b</w:t>
      </w:r>
      <w:r w:rsidRPr="008229A4">
        <w:t xml:space="preserve">lock </w:t>
      </w:r>
      <w:r>
        <w:t>f</w:t>
      </w:r>
      <w:r w:rsidRPr="008229A4">
        <w:t>unding</w:t>
      </w:r>
      <w:r>
        <w:t xml:space="preserve"> to lead and coordinate improvements to safety and quality of health services, and collect and report on health and hospital performance</w:t>
      </w:r>
      <w:r w:rsidRPr="008229A4">
        <w:t xml:space="preserve">. </w:t>
      </w:r>
      <w:r w:rsidR="008F3B1C">
        <w:t>The fifth national body, the Australian Institute of Health and Welfare</w:t>
      </w:r>
      <w:r w:rsidR="00230EF1">
        <w:t xml:space="preserve"> (AIHW)</w:t>
      </w:r>
      <w:r w:rsidR="008F3B1C">
        <w:t xml:space="preserve">, is established and has its functions determined by the </w:t>
      </w:r>
      <w:r w:rsidR="008F3B1C" w:rsidRPr="00C46BD7">
        <w:rPr>
          <w:i/>
          <w:iCs/>
        </w:rPr>
        <w:t>Australian Institute of Health and Welfare Act 1987</w:t>
      </w:r>
      <w:r w:rsidR="008F3B1C">
        <w:t xml:space="preserve">. </w:t>
      </w:r>
      <w:r w:rsidRPr="008229A4">
        <w:t xml:space="preserve">Working together, </w:t>
      </w:r>
      <w:r w:rsidRPr="0083192C">
        <w:t xml:space="preserve">these </w:t>
      </w:r>
      <w:r w:rsidRPr="00C52343">
        <w:t>five</w:t>
      </w:r>
      <w:r w:rsidRPr="008229A4">
        <w:t xml:space="preserve"> bodies support the funding, safe operation and reporting of public hospitals, with each having the responsibilities</w:t>
      </w:r>
      <w:r>
        <w:t xml:space="preserve"> identified in </w:t>
      </w:r>
      <w:r w:rsidR="009652F1">
        <w:fldChar w:fldCharType="begin" w:fldLock="1"/>
      </w:r>
      <w:r w:rsidR="009652F1">
        <w:instrText xml:space="preserve"> REF _Ref144882745 \h </w:instrText>
      </w:r>
      <w:r w:rsidR="009652F1">
        <w:fldChar w:fldCharType="separate"/>
      </w:r>
      <w:r w:rsidR="00FA10A4">
        <w:t xml:space="preserve">Figure </w:t>
      </w:r>
      <w:r w:rsidR="00FA10A4">
        <w:rPr>
          <w:noProof/>
        </w:rPr>
        <w:t>6</w:t>
      </w:r>
      <w:r w:rsidR="009652F1">
        <w:fldChar w:fldCharType="end"/>
      </w:r>
      <w:r>
        <w:t>.</w:t>
      </w:r>
    </w:p>
    <w:p w14:paraId="110FD1C2" w14:textId="385B4363" w:rsidR="00EA78AC" w:rsidRDefault="006618E6" w:rsidP="00EA78AC">
      <w:r>
        <w:rPr>
          <w:noProof/>
        </w:rPr>
        <w:drawing>
          <wp:inline distT="0" distB="0" distL="0" distR="0" wp14:anchorId="64D2F756" wp14:editId="2A4E7E12">
            <wp:extent cx="6663197" cy="2714506"/>
            <wp:effectExtent l="0" t="0" r="4445" b="0"/>
            <wp:docPr id="34" name="Picture 34" descr="P6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612#yIS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90918" cy="2725799"/>
                    </a:xfrm>
                    <a:prstGeom prst="rect">
                      <a:avLst/>
                    </a:prstGeom>
                    <a:noFill/>
                  </pic:spPr>
                </pic:pic>
              </a:graphicData>
            </a:graphic>
          </wp:inline>
        </w:drawing>
      </w:r>
    </w:p>
    <w:p w14:paraId="26EEAA43" w14:textId="4E3AFD84" w:rsidR="00EA78AC" w:rsidRDefault="00EA78AC" w:rsidP="00C2024B">
      <w:pPr>
        <w:pStyle w:val="Caption"/>
      </w:pPr>
      <w:bookmarkStart w:id="79" w:name="_Ref144882745"/>
      <w:bookmarkStart w:id="80" w:name="_Toc148968384"/>
      <w:r>
        <w:t xml:space="preserve">Figure </w:t>
      </w:r>
      <w:r>
        <w:fldChar w:fldCharType="begin"/>
      </w:r>
      <w:r>
        <w:instrText xml:space="preserve"> SEQ Figure \* ARABIC </w:instrText>
      </w:r>
      <w:r>
        <w:fldChar w:fldCharType="separate"/>
      </w:r>
      <w:r w:rsidR="003F5D51">
        <w:rPr>
          <w:noProof/>
        </w:rPr>
        <w:t>6</w:t>
      </w:r>
      <w:r>
        <w:rPr>
          <w:noProof/>
        </w:rPr>
        <w:fldChar w:fldCharType="end"/>
      </w:r>
      <w:bookmarkEnd w:id="79"/>
      <w:r>
        <w:t>: NHRA national bodies</w:t>
      </w:r>
      <w:bookmarkEnd w:id="80"/>
    </w:p>
    <w:p w14:paraId="59F2259A" w14:textId="77777777" w:rsidR="00261EE2" w:rsidRDefault="00261EE2" w:rsidP="00261EE2">
      <w:r>
        <w:t xml:space="preserve">While there have been changes to the national bodies and their overarching governance through the course of the Agreement, the fundamental principle of dedicated national entities with clear roles and responsibilities, together with a network of LHNs and PHNs to improve local accountability and responsiveness is largely unchanged. </w:t>
      </w:r>
    </w:p>
    <w:p w14:paraId="39995857" w14:textId="29D42C7E" w:rsidR="00261EE2" w:rsidRDefault="00261EE2" w:rsidP="00261EE2">
      <w:r>
        <w:t xml:space="preserve">In 2020, the Council of Australian Governments </w:t>
      </w:r>
      <w:r w:rsidR="005309D3">
        <w:t xml:space="preserve">(COAG) </w:t>
      </w:r>
      <w:r>
        <w:t xml:space="preserve">and associated sub-Committees were replaced by National Cabinet. </w:t>
      </w:r>
    </w:p>
    <w:p w14:paraId="4733B847" w14:textId="54A52208" w:rsidR="000D2AA7" w:rsidRDefault="00261EE2" w:rsidP="00CC7F3C">
      <w:pPr>
        <w:pStyle w:val="Longdotpoints"/>
        <w:numPr>
          <w:ilvl w:val="0"/>
          <w:numId w:val="0"/>
        </w:numPr>
      </w:pPr>
      <w:r>
        <w:t xml:space="preserve">The NHRA governance bodies and the major changes that have occurred since the inception of the NHRA are </w:t>
      </w:r>
      <w:r w:rsidR="008A6237">
        <w:t xml:space="preserve">shown </w:t>
      </w:r>
      <w:r>
        <w:t xml:space="preserve">in </w:t>
      </w:r>
      <w:r>
        <w:fldChar w:fldCharType="begin" w:fldLock="1"/>
      </w:r>
      <w:r>
        <w:instrText xml:space="preserve"> REF _Ref143546354 \h </w:instrText>
      </w:r>
      <w:r>
        <w:fldChar w:fldCharType="separate"/>
      </w:r>
      <w:r w:rsidR="00FA10A4">
        <w:t xml:space="preserve">Figure </w:t>
      </w:r>
      <w:r w:rsidR="00FA10A4">
        <w:rPr>
          <w:noProof/>
        </w:rPr>
        <w:t>7</w:t>
      </w:r>
      <w:r>
        <w:fldChar w:fldCharType="end"/>
      </w:r>
      <w:r>
        <w:t>.</w:t>
      </w:r>
    </w:p>
    <w:p w14:paraId="14D42618" w14:textId="5E78AF88" w:rsidR="00A4196C" w:rsidRDefault="00A4196C" w:rsidP="00D50025">
      <w:r>
        <w:rPr>
          <w:noProof/>
        </w:rPr>
        <w:drawing>
          <wp:inline distT="0" distB="0" distL="0" distR="0" wp14:anchorId="6488B17A" wp14:editId="3A5C8F3A">
            <wp:extent cx="6591300" cy="3735755"/>
            <wp:effectExtent l="0" t="0" r="0" b="0"/>
            <wp:docPr id="45" name="Picture 45" descr="P6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617#yIS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13255" cy="3748198"/>
                    </a:xfrm>
                    <a:prstGeom prst="rect">
                      <a:avLst/>
                    </a:prstGeom>
                    <a:noFill/>
                  </pic:spPr>
                </pic:pic>
              </a:graphicData>
            </a:graphic>
          </wp:inline>
        </w:drawing>
      </w:r>
    </w:p>
    <w:p w14:paraId="3DF9F205" w14:textId="6B620987" w:rsidR="00C02371" w:rsidRDefault="00D871E1" w:rsidP="00C2024B">
      <w:pPr>
        <w:pStyle w:val="Figure"/>
      </w:pPr>
      <w:bookmarkStart w:id="81" w:name="_Ref143546354"/>
      <w:bookmarkStart w:id="82" w:name="_Toc148968385"/>
      <w:r>
        <w:t xml:space="preserve">Figure </w:t>
      </w:r>
      <w:r>
        <w:fldChar w:fldCharType="begin"/>
      </w:r>
      <w:r>
        <w:instrText xml:space="preserve"> SEQ Figure \* ARABIC </w:instrText>
      </w:r>
      <w:r>
        <w:fldChar w:fldCharType="separate"/>
      </w:r>
      <w:r w:rsidR="003F5D51">
        <w:rPr>
          <w:noProof/>
        </w:rPr>
        <w:t>7</w:t>
      </w:r>
      <w:r>
        <w:rPr>
          <w:noProof/>
        </w:rPr>
        <w:fldChar w:fldCharType="end"/>
      </w:r>
      <w:bookmarkEnd w:id="81"/>
      <w:r w:rsidR="00567935">
        <w:t>: NHRA governance bod</w:t>
      </w:r>
      <w:r w:rsidR="00FC3077">
        <w:t xml:space="preserve">y changes </w:t>
      </w:r>
      <w:r w:rsidR="00FC3077" w:rsidRPr="00FC3077">
        <w:t>since the inception</w:t>
      </w:r>
      <w:bookmarkEnd w:id="82"/>
    </w:p>
    <w:p w14:paraId="025E9A38" w14:textId="4C4277B7" w:rsidR="006C6E1F" w:rsidRDefault="005526FF" w:rsidP="008A7474">
      <w:pPr>
        <w:pStyle w:val="Heading3"/>
        <w:pageBreakBefore/>
      </w:pPr>
      <w:bookmarkStart w:id="83" w:name="_Ref142997034"/>
      <w:bookmarkStart w:id="84" w:name="_Toc143291646"/>
      <w:r w:rsidRPr="005526FF">
        <w:t>Commonwealth, State and Territory responsibilities</w:t>
      </w:r>
      <w:bookmarkEnd w:id="83"/>
      <w:bookmarkEnd w:id="84"/>
    </w:p>
    <w:p w14:paraId="3F3E2F26" w14:textId="484B2AC5" w:rsidR="00BD4AE8" w:rsidRDefault="002801C1" w:rsidP="00D50025">
      <w:r w:rsidRPr="00014888">
        <w:t>The NHRA describes areas of primary and joint responsibility for the Commonwealth, States and Territories</w:t>
      </w:r>
      <w:r>
        <w:t xml:space="preserve">, </w:t>
      </w:r>
      <w:r w:rsidR="00DD1513" w:rsidRPr="00DD1513">
        <w:t>seeking to clearly delineate respective roles and identify shared commitments</w:t>
      </w:r>
      <w:r>
        <w:t>:</w:t>
      </w:r>
      <w:r w:rsidRPr="00014888">
        <w:t xml:space="preserve"> </w:t>
      </w:r>
    </w:p>
    <w:p w14:paraId="0397D76A" w14:textId="1A2CF0BC" w:rsidR="00014888" w:rsidRPr="00014888" w:rsidRDefault="00014888" w:rsidP="004666EC">
      <w:pPr>
        <w:keepNext/>
        <w:rPr>
          <w:b/>
          <w:bCs/>
        </w:rPr>
      </w:pPr>
      <w:r w:rsidRPr="00014888">
        <w:rPr>
          <w:b/>
          <w:bCs/>
        </w:rPr>
        <w:t>The Commonwealth is responsible for:</w:t>
      </w:r>
    </w:p>
    <w:p w14:paraId="75D2E46B" w14:textId="2C13C3B2" w:rsidR="00014888" w:rsidRPr="00014888" w:rsidRDefault="00014888" w:rsidP="004666EC">
      <w:pPr>
        <w:pStyle w:val="ListBullet"/>
        <w:keepNext/>
        <w:ind w:left="567"/>
      </w:pPr>
      <w:r w:rsidRPr="00014888">
        <w:t>Maintaining the legislation</w:t>
      </w:r>
      <w:r w:rsidR="00825799">
        <w:t xml:space="preserve"> and other arrangements</w:t>
      </w:r>
      <w:r w:rsidRPr="00014888">
        <w:t xml:space="preserve"> to support the operation of the independent National Bodies</w:t>
      </w:r>
    </w:p>
    <w:p w14:paraId="3691D1D6" w14:textId="4128EE93" w:rsidR="00014888" w:rsidRPr="00014888" w:rsidRDefault="00014888" w:rsidP="004666EC">
      <w:pPr>
        <w:pStyle w:val="ListBullet"/>
        <w:keepNext/>
        <w:ind w:left="567"/>
      </w:pPr>
      <w:r w:rsidRPr="00014888">
        <w:t>Policy and funding of GP and primary healthcare services</w:t>
      </w:r>
    </w:p>
    <w:p w14:paraId="132BC70D" w14:textId="5BABD664" w:rsidR="00014888" w:rsidRPr="00014888" w:rsidRDefault="00014888" w:rsidP="004666EC">
      <w:pPr>
        <w:pStyle w:val="ListBullet"/>
        <w:keepNext/>
        <w:ind w:left="567"/>
      </w:pPr>
      <w:r w:rsidRPr="00014888">
        <w:t xml:space="preserve">Policy and funding of </w:t>
      </w:r>
      <w:r>
        <w:t>PHNs</w:t>
      </w:r>
    </w:p>
    <w:p w14:paraId="4C3C7D38" w14:textId="0996E1B5" w:rsidR="00014888" w:rsidRPr="00014888" w:rsidRDefault="00014888" w:rsidP="004666EC">
      <w:pPr>
        <w:pStyle w:val="ListBullet"/>
        <w:keepNext/>
        <w:ind w:left="567"/>
      </w:pPr>
      <w:r w:rsidRPr="00014888">
        <w:t>Policy and funding of the Aged Care sector</w:t>
      </w:r>
    </w:p>
    <w:p w14:paraId="1A3E194E" w14:textId="41DCBC9C" w:rsidR="00014888" w:rsidRDefault="00014888" w:rsidP="001D7DD8">
      <w:pPr>
        <w:pStyle w:val="ListBullet"/>
        <w:spacing w:after="120"/>
        <w:ind w:left="567"/>
        <w:contextualSpacing w:val="0"/>
      </w:pPr>
      <w:r w:rsidRPr="00014888">
        <w:t xml:space="preserve">Operation of the Medicare Benefits Schedule </w:t>
      </w:r>
      <w:r w:rsidR="009F1037">
        <w:t xml:space="preserve">(MBS) </w:t>
      </w:r>
      <w:r w:rsidRPr="00014888">
        <w:t>and Pharmaceutical Benefits Scheme</w:t>
      </w:r>
      <w:r w:rsidR="009F1037">
        <w:t xml:space="preserve"> (PBS)</w:t>
      </w:r>
      <w:r w:rsidR="0062386F">
        <w:t>.</w:t>
      </w:r>
    </w:p>
    <w:p w14:paraId="520CFCFE" w14:textId="7EBCAE31" w:rsidR="00BD4AE8" w:rsidRPr="0062386F" w:rsidRDefault="0062386F" w:rsidP="00D50025">
      <w:pPr>
        <w:rPr>
          <w:b/>
          <w:bCs/>
        </w:rPr>
      </w:pPr>
      <w:r w:rsidRPr="0062386F">
        <w:rPr>
          <w:b/>
          <w:bCs/>
        </w:rPr>
        <w:t>States</w:t>
      </w:r>
      <w:r w:rsidR="00B8643A">
        <w:rPr>
          <w:b/>
          <w:bCs/>
        </w:rPr>
        <w:t xml:space="preserve"> and </w:t>
      </w:r>
      <w:r w:rsidRPr="0062386F">
        <w:rPr>
          <w:b/>
          <w:bCs/>
        </w:rPr>
        <w:t>Territories are responsible for:</w:t>
      </w:r>
    </w:p>
    <w:p w14:paraId="03C2AE6E" w14:textId="77777777" w:rsidR="0062386F" w:rsidRPr="0062386F" w:rsidRDefault="0062386F" w:rsidP="00B13486">
      <w:pPr>
        <w:pStyle w:val="ListBullet"/>
        <w:ind w:left="567"/>
      </w:pPr>
      <w:r w:rsidRPr="0062386F">
        <w:t>Providing health and emergency services through the public hospital system</w:t>
      </w:r>
    </w:p>
    <w:p w14:paraId="5EAA52A1" w14:textId="736BAF0B" w:rsidR="0062386F" w:rsidRPr="0062386F" w:rsidRDefault="0062386F" w:rsidP="00B13486">
      <w:pPr>
        <w:pStyle w:val="ListBullet"/>
        <w:ind w:left="567"/>
      </w:pPr>
      <w:r w:rsidRPr="0062386F">
        <w:t xml:space="preserve">Maintaining the legislation and governance arrangements for </w:t>
      </w:r>
      <w:r w:rsidR="00AD55CE">
        <w:t>LHN</w:t>
      </w:r>
      <w:r w:rsidR="00E902BD">
        <w:t>s</w:t>
      </w:r>
    </w:p>
    <w:p w14:paraId="4730CBD2" w14:textId="77777777" w:rsidR="0062386F" w:rsidRPr="0062386F" w:rsidRDefault="0062386F" w:rsidP="00B13486">
      <w:pPr>
        <w:pStyle w:val="ListBullet"/>
        <w:ind w:left="567"/>
      </w:pPr>
      <w:r w:rsidRPr="0062386F">
        <w:t>System-wide public hospital service planning and performance</w:t>
      </w:r>
    </w:p>
    <w:p w14:paraId="47C51921" w14:textId="77777777" w:rsidR="0062386F" w:rsidRPr="0062386F" w:rsidRDefault="0062386F" w:rsidP="00B13486">
      <w:pPr>
        <w:pStyle w:val="ListBullet"/>
        <w:ind w:left="567"/>
      </w:pPr>
      <w:r w:rsidRPr="0062386F">
        <w:t>Planning, funding and delivering public hospital capital</w:t>
      </w:r>
    </w:p>
    <w:p w14:paraId="1D082A0A" w14:textId="516917DB" w:rsidR="0062386F" w:rsidRDefault="0062386F" w:rsidP="00B13486">
      <w:pPr>
        <w:pStyle w:val="ListBullet"/>
        <w:spacing w:after="120"/>
        <w:ind w:left="567"/>
        <w:contextualSpacing w:val="0"/>
      </w:pPr>
      <w:r w:rsidRPr="0062386F">
        <w:t>Taking a lead role in managing public health activities</w:t>
      </w:r>
    </w:p>
    <w:p w14:paraId="34E89151" w14:textId="484032C7" w:rsidR="0062386F" w:rsidRPr="00C106BD" w:rsidRDefault="00C106BD" w:rsidP="00D50025">
      <w:pPr>
        <w:rPr>
          <w:b/>
          <w:bCs/>
        </w:rPr>
      </w:pPr>
      <w:r w:rsidRPr="00C106BD">
        <w:rPr>
          <w:b/>
          <w:bCs/>
        </w:rPr>
        <w:t>The Commonwealth, States and Territories are jointly responsible for:</w:t>
      </w:r>
    </w:p>
    <w:p w14:paraId="2323110B" w14:textId="095686F3" w:rsidR="00C106BD" w:rsidRPr="00C106BD" w:rsidRDefault="00C106BD" w:rsidP="00B13486">
      <w:pPr>
        <w:pStyle w:val="ListBullet"/>
        <w:ind w:left="567"/>
      </w:pPr>
      <w:r w:rsidRPr="00C106BD">
        <w:t xml:space="preserve">Funding public hospital services using </w:t>
      </w:r>
      <w:r w:rsidR="000A73AF">
        <w:t>ABF</w:t>
      </w:r>
      <w:r w:rsidR="003E3BAE">
        <w:t>,</w:t>
      </w:r>
      <w:r w:rsidRPr="00C106BD">
        <w:t xml:space="preserve"> where appropriate</w:t>
      </w:r>
      <w:r w:rsidR="003E3BAE">
        <w:t>,</w:t>
      </w:r>
      <w:r w:rsidRPr="00C106BD">
        <w:t xml:space="preserve"> and block funding in other cases</w:t>
      </w:r>
    </w:p>
    <w:p w14:paraId="1351A44C" w14:textId="77777777" w:rsidR="00C106BD" w:rsidRPr="00C106BD" w:rsidRDefault="00C106BD" w:rsidP="00B13486">
      <w:pPr>
        <w:pStyle w:val="ListBullet"/>
        <w:ind w:left="567"/>
      </w:pPr>
      <w:r w:rsidRPr="00C106BD">
        <w:t>Funding activity and cost growth in public hospital services</w:t>
      </w:r>
    </w:p>
    <w:p w14:paraId="3E18AE28" w14:textId="292EEB87" w:rsidR="00C106BD" w:rsidRPr="00C106BD" w:rsidRDefault="00C106BD" w:rsidP="00B13486">
      <w:pPr>
        <w:pStyle w:val="ListBullet"/>
        <w:ind w:left="567"/>
      </w:pPr>
      <w:r w:rsidRPr="00C106BD">
        <w:t>Establishing, maintaining and reporting</w:t>
      </w:r>
      <w:r w:rsidR="00341A92">
        <w:t xml:space="preserve"> </w:t>
      </w:r>
      <w:r w:rsidRPr="00C106BD">
        <w:t>on nationally consistent care standards in healthcare</w:t>
      </w:r>
    </w:p>
    <w:p w14:paraId="2C16DB05" w14:textId="77777777" w:rsidR="00C106BD" w:rsidRPr="00C106BD" w:rsidRDefault="00C106BD" w:rsidP="00B13486">
      <w:pPr>
        <w:pStyle w:val="ListBullet"/>
        <w:ind w:left="567"/>
      </w:pPr>
      <w:r w:rsidRPr="00C106BD">
        <w:t>Determining funding policy and exploring innovative models of care in the national funding model</w:t>
      </w:r>
    </w:p>
    <w:p w14:paraId="14D5FFED" w14:textId="44008F5C" w:rsidR="00C106BD" w:rsidRDefault="00C106BD" w:rsidP="00B13486">
      <w:pPr>
        <w:pStyle w:val="ListBullet"/>
        <w:ind w:left="567"/>
      </w:pPr>
      <w:r w:rsidRPr="00C106BD">
        <w:t xml:space="preserve">Working to close the gap in </w:t>
      </w:r>
      <w:r w:rsidR="00D82C20">
        <w:t>First Nations</w:t>
      </w:r>
      <w:r w:rsidR="0089595B">
        <w:t>’</w:t>
      </w:r>
      <w:r w:rsidR="00D82C20">
        <w:t xml:space="preserve"> </w:t>
      </w:r>
      <w:r w:rsidR="0089595B">
        <w:t>p</w:t>
      </w:r>
      <w:r w:rsidR="00D82C20">
        <w:t>eo</w:t>
      </w:r>
      <w:r w:rsidR="005033A2">
        <w:t>ple</w:t>
      </w:r>
      <w:r w:rsidRPr="00C106BD">
        <w:t xml:space="preserve"> disadvantage and life expectancy</w:t>
      </w:r>
      <w:r w:rsidR="002252B1">
        <w:t>.</w:t>
      </w:r>
    </w:p>
    <w:p w14:paraId="3FE7D641" w14:textId="5FE29410" w:rsidR="00C106BD" w:rsidRDefault="00BC2AEC" w:rsidP="00BC2AEC">
      <w:pPr>
        <w:pStyle w:val="Heading2"/>
      </w:pPr>
      <w:bookmarkStart w:id="85" w:name="_Ref141793772"/>
      <w:bookmarkStart w:id="86" w:name="_Toc143291647"/>
      <w:r>
        <w:t>NHRA funding types</w:t>
      </w:r>
      <w:bookmarkEnd w:id="85"/>
      <w:bookmarkEnd w:id="86"/>
      <w:r>
        <w:t xml:space="preserve"> </w:t>
      </w:r>
    </w:p>
    <w:p w14:paraId="6D7072EA" w14:textId="04C57356" w:rsidR="00595C5F" w:rsidRDefault="005571C2" w:rsidP="00E05EAA">
      <w:pPr>
        <w:rPr>
          <w:color w:val="000000" w:themeColor="text1"/>
        </w:rPr>
      </w:pPr>
      <w:r w:rsidRPr="00F03C76">
        <w:rPr>
          <w:color w:val="000000" w:themeColor="text1"/>
        </w:rPr>
        <w:t>In 2021-22, $59.2 billion of Commonwealth, State and Territory funding was administered under the NHRA</w:t>
      </w:r>
      <w:r w:rsidR="00AD6FA4" w:rsidRPr="00F03C76">
        <w:rPr>
          <w:color w:val="000000" w:themeColor="text1"/>
        </w:rPr>
        <w:t>.</w:t>
      </w:r>
      <w:r w:rsidR="003F5D51">
        <w:rPr>
          <w:rFonts w:ascii="ZWAdobeF" w:hAnsi="ZWAdobeF" w:cs="ZWAdobeF"/>
          <w:sz w:val="2"/>
          <w:szCs w:val="2"/>
        </w:rPr>
        <w:t>3F</w:t>
      </w:r>
      <w:r w:rsidR="00AD6FA4" w:rsidRPr="00F03C76">
        <w:rPr>
          <w:rStyle w:val="FootnoteReference"/>
          <w:color w:val="000000" w:themeColor="text1"/>
        </w:rPr>
        <w:footnoteReference w:id="5"/>
      </w:r>
      <w:r w:rsidRPr="00F03C76">
        <w:rPr>
          <w:color w:val="000000" w:themeColor="text1"/>
        </w:rPr>
        <w:t xml:space="preserve"> </w:t>
      </w:r>
    </w:p>
    <w:p w14:paraId="45AF9B37" w14:textId="25E653E7" w:rsidR="00184C89" w:rsidRPr="00614B26" w:rsidRDefault="00E05EAA" w:rsidP="00D50025">
      <w:pPr>
        <w:rPr>
          <w:color w:val="000000" w:themeColor="text1"/>
        </w:rPr>
      </w:pPr>
      <w:r w:rsidRPr="00E05EAA">
        <w:rPr>
          <w:color w:val="000000" w:themeColor="text1"/>
        </w:rPr>
        <w:t xml:space="preserve">Around a sixth of </w:t>
      </w:r>
      <w:r w:rsidR="00A14F5B">
        <w:rPr>
          <w:color w:val="000000" w:themeColor="text1"/>
        </w:rPr>
        <w:t>Commonwealth G</w:t>
      </w:r>
      <w:r w:rsidRPr="00E05EAA">
        <w:rPr>
          <w:color w:val="000000" w:themeColor="text1"/>
        </w:rPr>
        <w:t xml:space="preserve">overnment expenses </w:t>
      </w:r>
      <w:r w:rsidRPr="00535797">
        <w:rPr>
          <w:color w:val="000000" w:themeColor="text1"/>
        </w:rPr>
        <w:t xml:space="preserve">occur in </w:t>
      </w:r>
      <w:r w:rsidR="00A14F5B" w:rsidRPr="00535797">
        <w:rPr>
          <w:color w:val="000000" w:themeColor="text1"/>
        </w:rPr>
        <w:t>H</w:t>
      </w:r>
      <w:r w:rsidRPr="00535797">
        <w:rPr>
          <w:color w:val="000000" w:themeColor="text1"/>
        </w:rPr>
        <w:t xml:space="preserve">ealth, including </w:t>
      </w:r>
      <w:r w:rsidR="00631EF6" w:rsidRPr="00535797">
        <w:rPr>
          <w:color w:val="000000" w:themeColor="text1"/>
        </w:rPr>
        <w:t xml:space="preserve">payments to the </w:t>
      </w:r>
      <w:r w:rsidR="0049276C">
        <w:rPr>
          <w:color w:val="000000" w:themeColor="text1"/>
        </w:rPr>
        <w:t>S</w:t>
      </w:r>
      <w:r w:rsidR="00631EF6" w:rsidRPr="00535797">
        <w:rPr>
          <w:color w:val="000000" w:themeColor="text1"/>
        </w:rPr>
        <w:t xml:space="preserve">tates and </w:t>
      </w:r>
      <w:r w:rsidR="0049276C">
        <w:rPr>
          <w:color w:val="000000" w:themeColor="text1"/>
        </w:rPr>
        <w:t>T</w:t>
      </w:r>
      <w:r w:rsidR="00631EF6" w:rsidRPr="00535797">
        <w:rPr>
          <w:color w:val="000000" w:themeColor="text1"/>
        </w:rPr>
        <w:t>erritories to deliver essential health services (including public hospitals)</w:t>
      </w:r>
      <w:r w:rsidR="00614B26" w:rsidRPr="00535797">
        <w:rPr>
          <w:color w:val="000000" w:themeColor="text1"/>
        </w:rPr>
        <w:t>,</w:t>
      </w:r>
      <w:r w:rsidR="00631EF6" w:rsidRPr="00535797">
        <w:rPr>
          <w:color w:val="000000" w:themeColor="text1"/>
        </w:rPr>
        <w:t xml:space="preserve"> and </w:t>
      </w:r>
      <w:r w:rsidR="00B676FC" w:rsidRPr="00535797">
        <w:rPr>
          <w:color w:val="000000" w:themeColor="text1"/>
        </w:rPr>
        <w:t xml:space="preserve">expenses relating to medical services that are funded through </w:t>
      </w:r>
      <w:r w:rsidR="00614B26" w:rsidRPr="00535797">
        <w:rPr>
          <w:color w:val="000000" w:themeColor="text1"/>
        </w:rPr>
        <w:t xml:space="preserve">the </w:t>
      </w:r>
      <w:r w:rsidR="00430D17">
        <w:rPr>
          <w:color w:val="000000" w:themeColor="text1"/>
        </w:rPr>
        <w:t>MBS</w:t>
      </w:r>
      <w:r w:rsidRPr="00535797">
        <w:rPr>
          <w:color w:val="000000" w:themeColor="text1"/>
        </w:rPr>
        <w:t xml:space="preserve"> and </w:t>
      </w:r>
      <w:r w:rsidR="00840ACD">
        <w:rPr>
          <w:color w:val="000000" w:themeColor="text1"/>
        </w:rPr>
        <w:t>PBS</w:t>
      </w:r>
      <w:r w:rsidR="007F2712" w:rsidRPr="00535797">
        <w:rPr>
          <w:color w:val="000000" w:themeColor="text1"/>
        </w:rPr>
        <w:t xml:space="preserve"> </w:t>
      </w:r>
      <w:r w:rsidR="00555E60" w:rsidRPr="00535797">
        <w:rPr>
          <w:color w:val="000000" w:themeColor="text1"/>
        </w:rPr>
        <w:t>(</w:t>
      </w:r>
      <w:r w:rsidR="005D7ABC" w:rsidRPr="00535797">
        <w:rPr>
          <w:color w:val="000000" w:themeColor="text1"/>
        </w:rPr>
        <w:t>total 2023-24</w:t>
      </w:r>
      <w:r w:rsidR="009A0838" w:rsidRPr="00535797">
        <w:rPr>
          <w:color w:val="000000" w:themeColor="text1"/>
        </w:rPr>
        <w:t xml:space="preserve"> estimate </w:t>
      </w:r>
      <w:r w:rsidR="00076C03">
        <w:rPr>
          <w:color w:val="000000" w:themeColor="text1"/>
        </w:rPr>
        <w:t>of</w:t>
      </w:r>
      <w:r w:rsidR="00076C03" w:rsidRPr="00535797">
        <w:rPr>
          <w:color w:val="000000" w:themeColor="text1"/>
        </w:rPr>
        <w:t xml:space="preserve"> </w:t>
      </w:r>
      <w:r w:rsidR="009A0838" w:rsidRPr="00535797">
        <w:rPr>
          <w:color w:val="000000" w:themeColor="text1"/>
        </w:rPr>
        <w:t>$106</w:t>
      </w:r>
      <w:r w:rsidR="00087939" w:rsidRPr="00535797">
        <w:rPr>
          <w:color w:val="000000" w:themeColor="text1"/>
        </w:rPr>
        <w:t>.5</w:t>
      </w:r>
      <w:r w:rsidR="002C28D5" w:rsidRPr="00535797">
        <w:rPr>
          <w:color w:val="000000" w:themeColor="text1"/>
        </w:rPr>
        <w:t>b</w:t>
      </w:r>
      <w:r w:rsidR="00087939" w:rsidRPr="00535797">
        <w:rPr>
          <w:color w:val="000000" w:themeColor="text1"/>
        </w:rPr>
        <w:t>).</w:t>
      </w:r>
      <w:r w:rsidR="003F5D51">
        <w:rPr>
          <w:rFonts w:ascii="ZWAdobeF" w:hAnsi="ZWAdobeF" w:cs="ZWAdobeF"/>
          <w:sz w:val="2"/>
          <w:szCs w:val="2"/>
        </w:rPr>
        <w:t>4F</w:t>
      </w:r>
      <w:r w:rsidR="002C1240" w:rsidRPr="00535797">
        <w:rPr>
          <w:rStyle w:val="FootnoteReference"/>
          <w:color w:val="000000" w:themeColor="text1"/>
        </w:rPr>
        <w:footnoteReference w:id="6"/>
      </w:r>
    </w:p>
    <w:p w14:paraId="3F59D99B" w14:textId="102D9E76" w:rsidR="00B12190" w:rsidRDefault="00471F77" w:rsidP="00D50025">
      <w:r>
        <w:t xml:space="preserve">The NHRA </w:t>
      </w:r>
      <w:r w:rsidR="004A7D20">
        <w:t>includes the following funding types</w:t>
      </w:r>
      <w:r w:rsidR="003F5D51">
        <w:rPr>
          <w:rFonts w:ascii="ZWAdobeF" w:hAnsi="ZWAdobeF" w:cs="ZWAdobeF"/>
          <w:sz w:val="2"/>
          <w:szCs w:val="2"/>
        </w:rPr>
        <w:t>5F</w:t>
      </w:r>
      <w:r w:rsidR="00576311">
        <w:rPr>
          <w:rStyle w:val="FootnoteReference"/>
        </w:rPr>
        <w:footnoteReference w:id="7"/>
      </w:r>
      <w:r w:rsidR="004A7D20">
        <w:t>:</w:t>
      </w:r>
    </w:p>
    <w:p w14:paraId="3EC32936" w14:textId="0CA76B5F" w:rsidR="004A7D20" w:rsidRPr="004C4D21" w:rsidRDefault="004A7D20" w:rsidP="001D7DD8">
      <w:pPr>
        <w:pStyle w:val="ListBullet"/>
        <w:ind w:left="567"/>
        <w:rPr>
          <w:b/>
          <w:bCs/>
        </w:rPr>
      </w:pPr>
      <w:r w:rsidRPr="004C4D21">
        <w:rPr>
          <w:b/>
          <w:bCs/>
        </w:rPr>
        <w:t>Activity Based Funding</w:t>
      </w:r>
      <w:r w:rsidR="00026DB9">
        <w:rPr>
          <w:b/>
          <w:bCs/>
        </w:rPr>
        <w:t xml:space="preserve"> </w:t>
      </w:r>
      <w:r w:rsidR="00026DB9" w:rsidRPr="00AE0382">
        <w:t>(</w:t>
      </w:r>
      <w:r w:rsidR="009840CA" w:rsidRPr="00AE0382">
        <w:t>$50</w:t>
      </w:r>
      <w:r w:rsidR="00840248">
        <w:t>.0</w:t>
      </w:r>
      <w:r w:rsidR="00D60546" w:rsidRPr="00AE0382">
        <w:t xml:space="preserve">b </w:t>
      </w:r>
      <w:r w:rsidR="000D0013" w:rsidRPr="00AE0382">
        <w:t>funding in 2021-22</w:t>
      </w:r>
      <w:r w:rsidR="00AE0382" w:rsidRPr="00AE0382">
        <w:t>)</w:t>
      </w:r>
      <w:r w:rsidRPr="00AE0382">
        <w:t>:</w:t>
      </w:r>
      <w:r w:rsidRPr="004C4D21">
        <w:rPr>
          <w:b/>
          <w:bCs/>
        </w:rPr>
        <w:t xml:space="preserve"> </w:t>
      </w:r>
      <w:r w:rsidRPr="004A7D20">
        <w:t>Hospitals are paid based on the number and complexity of treated patients, underpinned by the NEP</w:t>
      </w:r>
      <w:r w:rsidR="004C4D21">
        <w:t>, covering</w:t>
      </w:r>
      <w:r w:rsidRPr="004A7D20">
        <w:t>:</w:t>
      </w:r>
    </w:p>
    <w:p w14:paraId="6010C42C" w14:textId="77777777" w:rsidR="004A7D20" w:rsidRPr="004A7D20" w:rsidRDefault="004A7D20" w:rsidP="00DF3C52">
      <w:pPr>
        <w:pStyle w:val="Subdotpoint"/>
      </w:pPr>
      <w:r w:rsidRPr="004A7D20">
        <w:t>Acute admitted</w:t>
      </w:r>
    </w:p>
    <w:p w14:paraId="7E42B7BA" w14:textId="77777777" w:rsidR="004A7D20" w:rsidRPr="004A7D20" w:rsidRDefault="004A7D20" w:rsidP="00DF3C52">
      <w:pPr>
        <w:pStyle w:val="Subdotpoint"/>
      </w:pPr>
      <w:r w:rsidRPr="004A7D20">
        <w:t>Non-admitted</w:t>
      </w:r>
    </w:p>
    <w:p w14:paraId="608F626A" w14:textId="77777777" w:rsidR="004A7D20" w:rsidRPr="004A7D20" w:rsidRDefault="004A7D20" w:rsidP="00DF3C52">
      <w:pPr>
        <w:pStyle w:val="Subdotpoint"/>
      </w:pPr>
      <w:r w:rsidRPr="004A7D20">
        <w:t>Admitted mental health services</w:t>
      </w:r>
    </w:p>
    <w:p w14:paraId="77BF627B" w14:textId="77777777" w:rsidR="004A7D20" w:rsidRPr="004A7D20" w:rsidRDefault="004A7D20" w:rsidP="00DF3C52">
      <w:pPr>
        <w:pStyle w:val="Subdotpoint"/>
      </w:pPr>
      <w:r w:rsidRPr="004A7D20">
        <w:t>Sub-acute and non-acute services</w:t>
      </w:r>
    </w:p>
    <w:p w14:paraId="0432110F" w14:textId="72EF1F07" w:rsidR="004A7D20" w:rsidRPr="004A7D20" w:rsidRDefault="004A7D20" w:rsidP="00DF3C52">
      <w:pPr>
        <w:pStyle w:val="Subdotpoint"/>
      </w:pPr>
      <w:r w:rsidRPr="004A7D20">
        <w:t xml:space="preserve">Emergency department </w:t>
      </w:r>
      <w:r w:rsidR="00670E63">
        <w:t xml:space="preserve">(ED) </w:t>
      </w:r>
      <w:r w:rsidRPr="004A7D20">
        <w:t>services</w:t>
      </w:r>
    </w:p>
    <w:p w14:paraId="60AFE622" w14:textId="6DBE8854" w:rsidR="004A7D20" w:rsidRPr="004A7D20" w:rsidRDefault="004A7D20" w:rsidP="001D7DD8">
      <w:pPr>
        <w:pStyle w:val="ListBullet"/>
        <w:ind w:left="567"/>
      </w:pPr>
      <w:r w:rsidRPr="00DF3C52">
        <w:rPr>
          <w:b/>
          <w:bCs/>
        </w:rPr>
        <w:t>Block Funding</w:t>
      </w:r>
      <w:r w:rsidR="00AE0382">
        <w:rPr>
          <w:b/>
          <w:bCs/>
        </w:rPr>
        <w:t xml:space="preserve"> </w:t>
      </w:r>
      <w:r w:rsidR="00AE0382" w:rsidRPr="00840248">
        <w:t>($</w:t>
      </w:r>
      <w:r w:rsidR="00840248" w:rsidRPr="00840248">
        <w:t>8.7b funding in 2021-22)</w:t>
      </w:r>
      <w:r w:rsidRPr="00840248">
        <w:t>:</w:t>
      </w:r>
      <w:r w:rsidRPr="004A7D20">
        <w:t xml:space="preserve"> For services not suitable for ABF, mainly for smaller hospitals or for services where pricing and funding </w:t>
      </w:r>
      <w:r w:rsidR="00BE5A35" w:rsidRPr="004A7D20">
        <w:t>based on</w:t>
      </w:r>
      <w:r w:rsidRPr="004A7D20">
        <w:t xml:space="preserve"> activity is not yet undertaken, underpinned by the NEC</w:t>
      </w:r>
      <w:r w:rsidR="00DF3C52">
        <w:t>, covering</w:t>
      </w:r>
      <w:r w:rsidRPr="004A7D20">
        <w:t>:</w:t>
      </w:r>
    </w:p>
    <w:p w14:paraId="571C983E" w14:textId="77777777" w:rsidR="004A7D20" w:rsidRPr="004A7D20" w:rsidRDefault="004A7D20" w:rsidP="00DF3C52">
      <w:pPr>
        <w:pStyle w:val="Subdotpoint"/>
      </w:pPr>
      <w:r w:rsidRPr="004A7D20">
        <w:t>Teaching, training and research</w:t>
      </w:r>
    </w:p>
    <w:p w14:paraId="7F095FF5" w14:textId="221D0EC7" w:rsidR="004A7D20" w:rsidRPr="004A7D20" w:rsidRDefault="004A7D20" w:rsidP="00DF3C52">
      <w:pPr>
        <w:pStyle w:val="Subdotpoint"/>
      </w:pPr>
      <w:r w:rsidRPr="004A7D20">
        <w:t>Small rural hospitals</w:t>
      </w:r>
    </w:p>
    <w:p w14:paraId="25B32740" w14:textId="638305BE" w:rsidR="004A7D20" w:rsidRPr="004A7D20" w:rsidRDefault="004A7D20" w:rsidP="00DF3C52">
      <w:pPr>
        <w:pStyle w:val="Subdotpoint"/>
      </w:pPr>
      <w:r w:rsidRPr="004A7D20">
        <w:t>Non-admitted mental health and non-admitted Child and Adolescent Mental Health Services</w:t>
      </w:r>
    </w:p>
    <w:p w14:paraId="64F595CB" w14:textId="54CA0438" w:rsidR="004A7D20" w:rsidRPr="004A7D20" w:rsidRDefault="004A7D20" w:rsidP="00DF3C52">
      <w:pPr>
        <w:pStyle w:val="Subdotpoint"/>
      </w:pPr>
      <w:r w:rsidRPr="004A7D20">
        <w:t>Other non-admitted services (</w:t>
      </w:r>
      <w:r w:rsidR="00343301" w:rsidRPr="004A7D20">
        <w:t>e.g.,</w:t>
      </w:r>
      <w:r w:rsidRPr="004A7D20">
        <w:t xml:space="preserve"> chronic disease management, home ventilation)</w:t>
      </w:r>
    </w:p>
    <w:p w14:paraId="3C807AE4" w14:textId="6EBEE51B" w:rsidR="004A7D20" w:rsidRPr="004A7D20" w:rsidRDefault="004A7D20" w:rsidP="00DF3C52">
      <w:pPr>
        <w:pStyle w:val="Subdotpoint"/>
      </w:pPr>
      <w:r w:rsidRPr="004A7D20">
        <w:t xml:space="preserve">Highly </w:t>
      </w:r>
      <w:r w:rsidR="00D920A4">
        <w:t>s</w:t>
      </w:r>
      <w:r w:rsidRPr="004A7D20">
        <w:t xml:space="preserve">pecialised </w:t>
      </w:r>
      <w:r w:rsidR="00D920A4">
        <w:t>t</w:t>
      </w:r>
      <w:r w:rsidRPr="004A7D20">
        <w:t>herapies</w:t>
      </w:r>
    </w:p>
    <w:p w14:paraId="56D5EF04" w14:textId="2D4C3393" w:rsidR="004A7D20" w:rsidRPr="00DF3C52" w:rsidRDefault="004A7D20" w:rsidP="001D7DD8">
      <w:pPr>
        <w:pStyle w:val="ListBullet"/>
        <w:ind w:left="567"/>
      </w:pPr>
      <w:r w:rsidRPr="00DF3C52">
        <w:rPr>
          <w:b/>
          <w:bCs/>
        </w:rPr>
        <w:t>Other Funding Types</w:t>
      </w:r>
      <w:r w:rsidR="00EC3F99">
        <w:t xml:space="preserve"> </w:t>
      </w:r>
      <w:r w:rsidR="00EC3F99" w:rsidRPr="00EC3F99">
        <w:t>($0.5b in 2021-22)</w:t>
      </w:r>
      <w:r w:rsidRPr="00EC3F99">
        <w:t>:</w:t>
      </w:r>
    </w:p>
    <w:p w14:paraId="683F537A" w14:textId="27AE1816" w:rsidR="004A7D20" w:rsidRPr="004A7D20" w:rsidRDefault="004A7D20" w:rsidP="00DF3C52">
      <w:pPr>
        <w:pStyle w:val="Subdotpoint"/>
      </w:pPr>
      <w:r w:rsidRPr="004A7D20">
        <w:t>Pub</w:t>
      </w:r>
      <w:r w:rsidR="00DF3C52">
        <w:t>l</w:t>
      </w:r>
      <w:r w:rsidRPr="004A7D20">
        <w:t>ic Health Funding</w:t>
      </w:r>
    </w:p>
    <w:p w14:paraId="60726628" w14:textId="77777777" w:rsidR="004A7D20" w:rsidRPr="004A7D20" w:rsidRDefault="004A7D20" w:rsidP="00DF3C52">
      <w:pPr>
        <w:pStyle w:val="Subdotpoint"/>
      </w:pPr>
      <w:r w:rsidRPr="004A7D20">
        <w:t>Cross Border Funding</w:t>
      </w:r>
    </w:p>
    <w:p w14:paraId="1FC5E985" w14:textId="77777777" w:rsidR="004A7D20" w:rsidRPr="004A7D20" w:rsidRDefault="004A7D20" w:rsidP="00DF3C52">
      <w:pPr>
        <w:pStyle w:val="Subdotpoint"/>
      </w:pPr>
      <w:r w:rsidRPr="004A7D20">
        <w:t>Interest</w:t>
      </w:r>
    </w:p>
    <w:p w14:paraId="3927BF1F" w14:textId="16FDB055" w:rsidR="004A7D20" w:rsidRDefault="004A7D20" w:rsidP="00DF3C52">
      <w:pPr>
        <w:pStyle w:val="Subdotpoint"/>
      </w:pPr>
      <w:r w:rsidRPr="004A7D20">
        <w:t>Over Deposit</w:t>
      </w:r>
      <w:r w:rsidR="00DF3C52">
        <w:t>.</w:t>
      </w:r>
    </w:p>
    <w:p w14:paraId="4EF49FD6" w14:textId="19584FC2" w:rsidR="006A138E" w:rsidRDefault="006A138E" w:rsidP="006A138E">
      <w:r w:rsidRPr="00214C15">
        <w:t xml:space="preserve">The NEP and NEC are major </w:t>
      </w:r>
      <w:r w:rsidR="00B95584" w:rsidRPr="00B95584">
        <w:t>determinants</w:t>
      </w:r>
      <w:r w:rsidRPr="00214C15">
        <w:t xml:space="preserve"> of the level of Commonwealth Government funding for public hospital services and provide a price signal or benchmark for the efficient cost of providing public hospital services.</w:t>
      </w:r>
      <w:r>
        <w:t xml:space="preserve"> </w:t>
      </w:r>
      <w:r w:rsidRPr="00214C15">
        <w:t>Commonwealth funding is calculated using the Commonwealth Contribution Model (CCM). The NEP, NEC and public hospital activity estimated from States and Territories are key inputs to this model, which is independently reviewed each year.</w:t>
      </w:r>
    </w:p>
    <w:p w14:paraId="5E2C1767" w14:textId="4124CAAA" w:rsidR="006A138E" w:rsidRPr="00B62C5A" w:rsidRDefault="006A138E" w:rsidP="006A138E">
      <w:r w:rsidRPr="00B62C5A">
        <w:t xml:space="preserve">Under the NHRA, the Commonwealth has committed to provide base funding plus 45% of the annual national efficient growth up to a </w:t>
      </w:r>
      <w:r w:rsidR="00DC1711">
        <w:t xml:space="preserve">national </w:t>
      </w:r>
      <w:r w:rsidR="00911514">
        <w:t xml:space="preserve">funding </w:t>
      </w:r>
      <w:r w:rsidRPr="00B62C5A">
        <w:t>cap of 6.5%</w:t>
      </w:r>
      <w:r w:rsidR="0028556B">
        <w:t xml:space="preserve"> growth</w:t>
      </w:r>
      <w:r w:rsidRPr="00B62C5A">
        <w:t>. National efficient growth includes activity</w:t>
      </w:r>
      <w:r w:rsidR="00E36790">
        <w:t>, price</w:t>
      </w:r>
      <w:r w:rsidRPr="00B62C5A">
        <w:t xml:space="preserve"> and cost increases. The funding cap</w:t>
      </w:r>
      <w:r w:rsidR="002E4C76">
        <w:t>,</w:t>
      </w:r>
      <w:r w:rsidRPr="00B62C5A">
        <w:t xml:space="preserve"> introduced to the funding formula in </w:t>
      </w:r>
      <w:r>
        <w:t xml:space="preserve">the </w:t>
      </w:r>
      <w:r w:rsidRPr="00B62C5A">
        <w:t xml:space="preserve">2017 Addendum, where the growth in annual Commonwealth NHR funding will not exceed 6.5% a year, includes the National Funding Cap </w:t>
      </w:r>
      <w:r>
        <w:t xml:space="preserve">and </w:t>
      </w:r>
      <w:r w:rsidRPr="00B62C5A">
        <w:t xml:space="preserve">a </w:t>
      </w:r>
      <w:r>
        <w:t>S</w:t>
      </w:r>
      <w:r w:rsidRPr="00B62C5A">
        <w:t>tate</w:t>
      </w:r>
      <w:r w:rsidR="00ED1AC5">
        <w:t xml:space="preserve"> and </w:t>
      </w:r>
      <w:r>
        <w:t>T</w:t>
      </w:r>
      <w:r w:rsidRPr="00B62C5A">
        <w:t xml:space="preserve">erritory based soft </w:t>
      </w:r>
      <w:r>
        <w:t>C</w:t>
      </w:r>
      <w:r w:rsidRPr="00B62C5A">
        <w:t>ap.</w:t>
      </w:r>
      <w:r w:rsidR="003F5D51">
        <w:rPr>
          <w:rFonts w:ascii="ZWAdobeF" w:hAnsi="ZWAdobeF" w:cs="ZWAdobeF"/>
          <w:sz w:val="2"/>
          <w:szCs w:val="2"/>
        </w:rPr>
        <w:t>6F</w:t>
      </w:r>
      <w:r>
        <w:rPr>
          <w:rStyle w:val="FootnoteReference"/>
        </w:rPr>
        <w:footnoteReference w:id="8"/>
      </w:r>
      <w:r w:rsidRPr="00B62C5A">
        <w:t xml:space="preserve"> </w:t>
      </w:r>
    </w:p>
    <w:p w14:paraId="36E45225" w14:textId="1656569D" w:rsidR="00AD70AB" w:rsidRDefault="006A138E" w:rsidP="00D50025">
      <w:r w:rsidRPr="00B62C5A">
        <w:t xml:space="preserve">Other factors that underpin the funding formula include </w:t>
      </w:r>
      <w:r>
        <w:t>r</w:t>
      </w:r>
      <w:r w:rsidRPr="00B62C5A">
        <w:t xml:space="preserve">econciliation of actual hospital activity provided by </w:t>
      </w:r>
      <w:r w:rsidR="003E32B5">
        <w:t>S</w:t>
      </w:r>
      <w:r w:rsidRPr="00B62C5A">
        <w:t>tates</w:t>
      </w:r>
      <w:r w:rsidR="00B8643A">
        <w:t xml:space="preserve"> and </w:t>
      </w:r>
      <w:r w:rsidR="003E32B5">
        <w:t>T</w:t>
      </w:r>
      <w:r w:rsidRPr="00B62C5A">
        <w:t>erritories, Funding Integrity (data matching program), Safety and Quality Adjustment</w:t>
      </w:r>
      <w:r>
        <w:t>,</w:t>
      </w:r>
      <w:r w:rsidRPr="00B62C5A">
        <w:t xml:space="preserve"> and Data Conditional Payment.</w:t>
      </w:r>
    </w:p>
    <w:p w14:paraId="2AC613A9" w14:textId="5CD33A98" w:rsidR="00C14660" w:rsidRDefault="00C14660" w:rsidP="00C14660">
      <w:pPr>
        <w:pStyle w:val="Heading2"/>
      </w:pPr>
      <w:bookmarkStart w:id="87" w:name="_Toc143291648"/>
      <w:r>
        <w:t>NHRA funding flows</w:t>
      </w:r>
      <w:bookmarkEnd w:id="87"/>
    </w:p>
    <w:p w14:paraId="1FE66237" w14:textId="75CF1F3D" w:rsidR="00C14660" w:rsidRDefault="00797A82" w:rsidP="00054651">
      <w:r w:rsidRPr="00DD6CCD">
        <w:t xml:space="preserve">NHRA funding </w:t>
      </w:r>
      <w:r>
        <w:t>mechanisms s</w:t>
      </w:r>
      <w:r w:rsidR="00DC4574">
        <w:t>eek</w:t>
      </w:r>
      <w:r w:rsidRPr="00DD6CCD">
        <w:t xml:space="preserve"> to promote accountability, transparency with consistency in funding, independent oversight and collaboration between the </w:t>
      </w:r>
      <w:r>
        <w:t>Commonwealth</w:t>
      </w:r>
      <w:r w:rsidRPr="00DD6CCD">
        <w:t xml:space="preserve"> and </w:t>
      </w:r>
      <w:r>
        <w:t>S</w:t>
      </w:r>
      <w:r w:rsidRPr="00DD6CCD">
        <w:t>tate</w:t>
      </w:r>
      <w:r w:rsidR="00ED1AC5">
        <w:t xml:space="preserve"> and </w:t>
      </w:r>
      <w:r>
        <w:t>T</w:t>
      </w:r>
      <w:r w:rsidRPr="00DD6CCD">
        <w:t>erritory governments. The NHRA funding flow and mechanisms have</w:t>
      </w:r>
      <w:r w:rsidR="007124B8">
        <w:t> </w:t>
      </w:r>
      <w:r w:rsidRPr="00DD6CCD">
        <w:t>remained consistent, reaffirmed in each Addendum.</w:t>
      </w:r>
      <w:r>
        <w:t xml:space="preserve"> </w:t>
      </w:r>
      <w:r w:rsidRPr="000F5EDD">
        <w:t>The</w:t>
      </w:r>
      <w:r>
        <w:t xml:space="preserve"> implementation of the National Health Funding</w:t>
      </w:r>
      <w:r w:rsidRPr="000F5EDD">
        <w:t xml:space="preserve"> Pool </w:t>
      </w:r>
      <w:r>
        <w:t xml:space="preserve">(Pool) </w:t>
      </w:r>
      <w:r w:rsidRPr="000F5EDD">
        <w:t>and</w:t>
      </w:r>
      <w:r w:rsidR="007124B8">
        <w:t> </w:t>
      </w:r>
      <w:r w:rsidRPr="00FF0F2F">
        <w:t xml:space="preserve">State Managed Fund </w:t>
      </w:r>
      <w:r>
        <w:t>(</w:t>
      </w:r>
      <w:r w:rsidRPr="000F5EDD">
        <w:t>SMF</w:t>
      </w:r>
      <w:r>
        <w:t>) for each State</w:t>
      </w:r>
      <w:r w:rsidR="00ED1AC5">
        <w:t xml:space="preserve"> and </w:t>
      </w:r>
      <w:r>
        <w:t>Territory</w:t>
      </w:r>
      <w:r w:rsidRPr="000F5EDD">
        <w:t xml:space="preserve"> provide a line</w:t>
      </w:r>
      <w:r>
        <w:t>-</w:t>
      </w:r>
      <w:r w:rsidRPr="000F5EDD">
        <w:t>of</w:t>
      </w:r>
      <w:r>
        <w:t>-</w:t>
      </w:r>
      <w:r w:rsidRPr="000F5EDD">
        <w:t>sight to trac</w:t>
      </w:r>
      <w:r>
        <w:t>k</w:t>
      </w:r>
      <w:r w:rsidRPr="000F5EDD">
        <w:t xml:space="preserve"> each jurisdiction’s contribution to LHNs</w:t>
      </w:r>
      <w:r w:rsidR="007124B8">
        <w:t> </w:t>
      </w:r>
      <w:r w:rsidRPr="000F5EDD">
        <w:t>and third parties</w:t>
      </w:r>
      <w:r w:rsidR="000F5EDD" w:rsidRPr="000F5EDD">
        <w:t>.</w:t>
      </w:r>
    </w:p>
    <w:tbl>
      <w:tblPr>
        <w:tblStyle w:val="TableGrid"/>
        <w:tblW w:w="0" w:type="auto"/>
        <w:tblLayout w:type="fixed"/>
        <w:tblLook w:val="04A0" w:firstRow="1" w:lastRow="0" w:firstColumn="1" w:lastColumn="0" w:noHBand="0" w:noVBand="1"/>
      </w:tblPr>
      <w:tblGrid>
        <w:gridCol w:w="7938"/>
        <w:gridCol w:w="2528"/>
      </w:tblGrid>
      <w:tr w:rsidR="007124B8" w14:paraId="0B5ADA40" w14:textId="77777777" w:rsidTr="008A7474">
        <w:trPr>
          <w:cnfStyle w:val="100000000000" w:firstRow="1" w:lastRow="0" w:firstColumn="0" w:lastColumn="0" w:oddVBand="0" w:evenVBand="0" w:oddHBand="0" w:evenHBand="0" w:firstRowFirstColumn="0" w:firstRowLastColumn="0" w:lastRowFirstColumn="0" w:lastRowLastColumn="0"/>
        </w:trPr>
        <w:tc>
          <w:tcPr>
            <w:tcW w:w="7938" w:type="dxa"/>
            <w:tcMar>
              <w:top w:w="0" w:type="dxa"/>
            </w:tcMar>
          </w:tcPr>
          <w:p w14:paraId="6A52740F" w14:textId="19782960" w:rsidR="007124B8" w:rsidRPr="000768E0" w:rsidRDefault="007124B8" w:rsidP="007124B8">
            <w:r w:rsidRPr="000768E0">
              <w:t>There are two main funding mechanisms:</w:t>
            </w:r>
          </w:p>
          <w:p w14:paraId="783B5B55" w14:textId="77777777" w:rsidR="007124B8" w:rsidRPr="000768E0" w:rsidRDefault="007124B8" w:rsidP="007124B8">
            <w:pPr>
              <w:pStyle w:val="ListParagraph"/>
              <w:numPr>
                <w:ilvl w:val="0"/>
                <w:numId w:val="20"/>
              </w:numPr>
              <w:rPr>
                <w:b/>
                <w:bCs/>
              </w:rPr>
            </w:pPr>
            <w:r w:rsidRPr="000768E0">
              <w:rPr>
                <w:b/>
                <w:bCs/>
              </w:rPr>
              <w:t>National Health Funding Pool</w:t>
            </w:r>
            <w:r>
              <w:rPr>
                <w:b/>
                <w:bCs/>
              </w:rPr>
              <w:t xml:space="preserve"> (Pool)</w:t>
            </w:r>
            <w:r w:rsidRPr="00726539">
              <w:t>, which comprises:</w:t>
            </w:r>
          </w:p>
          <w:p w14:paraId="182BBDB3" w14:textId="77777777" w:rsidR="007124B8" w:rsidRPr="000768E0" w:rsidRDefault="007124B8" w:rsidP="007124B8">
            <w:pPr>
              <w:pStyle w:val="Subdotpoint"/>
            </w:pPr>
            <w:r w:rsidRPr="000768E0">
              <w:t xml:space="preserve">Commonwealth </w:t>
            </w:r>
            <w:r>
              <w:t>f</w:t>
            </w:r>
            <w:r w:rsidRPr="000768E0">
              <w:t>unding (ABF and Block)</w:t>
            </w:r>
          </w:p>
          <w:p w14:paraId="61192C34" w14:textId="77777777" w:rsidR="007124B8" w:rsidRPr="000768E0" w:rsidRDefault="007124B8" w:rsidP="007124B8">
            <w:pPr>
              <w:pStyle w:val="Subdotpoint"/>
            </w:pPr>
            <w:r w:rsidRPr="000768E0">
              <w:t>State and Territory</w:t>
            </w:r>
            <w:r>
              <w:t xml:space="preserve"> funding</w:t>
            </w:r>
            <w:r w:rsidRPr="000768E0">
              <w:t xml:space="preserve"> (ABF only)</w:t>
            </w:r>
          </w:p>
          <w:p w14:paraId="1DC1BF3A" w14:textId="77777777" w:rsidR="007124B8" w:rsidRPr="000768E0" w:rsidRDefault="007124B8" w:rsidP="007124B8">
            <w:pPr>
              <w:pStyle w:val="Subdotpoint"/>
            </w:pPr>
            <w:r w:rsidRPr="000768E0">
              <w:t xml:space="preserve">Other funding types contributing to the </w:t>
            </w:r>
            <w:r>
              <w:t>P</w:t>
            </w:r>
            <w:r w:rsidRPr="000768E0">
              <w:t>ool includ</w:t>
            </w:r>
            <w:r>
              <w:t>ing</w:t>
            </w:r>
            <w:r w:rsidRPr="000768E0">
              <w:t xml:space="preserve"> Public Health </w:t>
            </w:r>
            <w:r>
              <w:t>f</w:t>
            </w:r>
            <w:r w:rsidRPr="000768E0">
              <w:t>unding, cross border, Interest and over deposits</w:t>
            </w:r>
            <w:r>
              <w:t>.</w:t>
            </w:r>
            <w:r w:rsidRPr="000768E0">
              <w:t xml:space="preserve"> </w:t>
            </w:r>
          </w:p>
          <w:p w14:paraId="2CD1E2F9" w14:textId="77777777" w:rsidR="007124B8" w:rsidRPr="000768E0" w:rsidRDefault="007124B8" w:rsidP="007124B8">
            <w:pPr>
              <w:pStyle w:val="ListParagraph"/>
              <w:numPr>
                <w:ilvl w:val="0"/>
                <w:numId w:val="20"/>
              </w:numPr>
              <w:rPr>
                <w:b/>
                <w:bCs/>
              </w:rPr>
            </w:pPr>
            <w:r w:rsidRPr="000768E0">
              <w:rPr>
                <w:b/>
                <w:bCs/>
              </w:rPr>
              <w:t>State Managed Fund</w:t>
            </w:r>
            <w:r>
              <w:rPr>
                <w:b/>
                <w:bCs/>
              </w:rPr>
              <w:t xml:space="preserve"> (SMF)</w:t>
            </w:r>
            <w:r w:rsidRPr="00726539">
              <w:t>, which comprises:</w:t>
            </w:r>
          </w:p>
          <w:p w14:paraId="26763B8D" w14:textId="088F030A" w:rsidR="007124B8" w:rsidRDefault="007124B8" w:rsidP="007124B8">
            <w:pPr>
              <w:pStyle w:val="Subdotpoint"/>
            </w:pPr>
            <w:r w:rsidRPr="000768E0">
              <w:t>Each State and Territory ha</w:t>
            </w:r>
            <w:r>
              <w:t>s</w:t>
            </w:r>
            <w:r w:rsidRPr="000768E0">
              <w:t xml:space="preserve"> a SMF to manage Block funding (from both the Commonwealth</w:t>
            </w:r>
            <w:r w:rsidR="001615D9">
              <w:t>,</w:t>
            </w:r>
            <w:r w:rsidRPr="000768E0">
              <w:t xml:space="preserve"> and State</w:t>
            </w:r>
            <w:r w:rsidR="001615D9">
              <w:t xml:space="preserve"> or </w:t>
            </w:r>
            <w:r w:rsidRPr="000768E0">
              <w:t xml:space="preserve">Territory). </w:t>
            </w:r>
          </w:p>
        </w:tc>
        <w:tc>
          <w:tcPr>
            <w:tcW w:w="2528" w:type="dxa"/>
            <w:tcMar>
              <w:top w:w="0" w:type="dxa"/>
            </w:tcMar>
            <w:vAlign w:val="center"/>
          </w:tcPr>
          <w:p w14:paraId="7DA057F2" w14:textId="505EF450" w:rsidR="007124B8" w:rsidRPr="007124B8" w:rsidRDefault="007124B8" w:rsidP="007124B8">
            <w:pPr>
              <w:pStyle w:val="Pullout-QuoteGreen"/>
              <w:spacing w:line="216" w:lineRule="auto"/>
              <w:jc w:val="right"/>
              <w:rPr>
                <w:color w:val="007680"/>
              </w:rPr>
            </w:pPr>
            <w:r w:rsidRPr="00BC3AC3">
              <w:rPr>
                <w:color w:val="007680"/>
              </w:rPr>
              <w:t>In 2021-22, $59.2 billion of Commonwealth, State and Territory funding was administered under the NHRA.</w:t>
            </w:r>
            <w:r>
              <w:rPr>
                <w:color w:val="007680"/>
                <w:vertAlign w:val="superscript"/>
              </w:rPr>
              <w:t>7</w:t>
            </w:r>
          </w:p>
        </w:tc>
      </w:tr>
    </w:tbl>
    <w:p w14:paraId="79DF3050" w14:textId="77777777" w:rsidR="00054651" w:rsidRPr="000768E0" w:rsidRDefault="00054651" w:rsidP="00054651">
      <w:r w:rsidRPr="000768E0">
        <w:t xml:space="preserve">The NHRA allows for additional streams of funding to be paid through the </w:t>
      </w:r>
      <w:r>
        <w:t>P</w:t>
      </w:r>
      <w:r w:rsidRPr="000768E0">
        <w:t>ool if agreed by government</w:t>
      </w:r>
      <w:r>
        <w:t>s</w:t>
      </w:r>
      <w:r w:rsidRPr="000768E0">
        <w:t xml:space="preserve"> (e.g., response to COVID-19).</w:t>
      </w:r>
      <w:r>
        <w:t xml:space="preserve"> </w:t>
      </w:r>
      <w:r w:rsidRPr="000768E0">
        <w:t xml:space="preserve">Pool accounts are audited each year and have transparent accounting and reporting. </w:t>
      </w:r>
    </w:p>
    <w:p w14:paraId="37737C21" w14:textId="024D7330" w:rsidR="007124B8" w:rsidRDefault="00054651" w:rsidP="00054651">
      <w:r>
        <w:t>Monthly</w:t>
      </w:r>
      <w:r w:rsidRPr="000768E0">
        <w:t xml:space="preserve"> reports on funding </w:t>
      </w:r>
      <w:r>
        <w:t xml:space="preserve">and </w:t>
      </w:r>
      <w:r w:rsidRPr="000768E0">
        <w:t>payments</w:t>
      </w:r>
      <w:r>
        <w:t xml:space="preserve"> are published on </w:t>
      </w:r>
      <w:hyperlink r:id="rId42" w:history="1">
        <w:r w:rsidRPr="00694022">
          <w:rPr>
            <w:rStyle w:val="Hyperlink"/>
            <w:color w:val="0E57FC" w:themeColor="accent4" w:themeTint="99"/>
          </w:rPr>
          <w:t>www.publichospitalfunding.gov.au</w:t>
        </w:r>
      </w:hyperlink>
      <w:r>
        <w:t>.</w:t>
      </w:r>
    </w:p>
    <w:p w14:paraId="3F2BF72D" w14:textId="3B7FC5A2" w:rsidR="000768E0" w:rsidRDefault="00005800" w:rsidP="00054651">
      <w:r w:rsidRPr="00C128C1">
        <w:t>National funding and payment flows by type</w:t>
      </w:r>
      <w:r w:rsidR="004606E0">
        <w:t xml:space="preserve"> for 2021-22</w:t>
      </w:r>
      <w:r w:rsidR="003F5D51">
        <w:rPr>
          <w:rFonts w:ascii="ZWAdobeF" w:hAnsi="ZWAdobeF" w:cs="ZWAdobeF"/>
          <w:sz w:val="2"/>
          <w:szCs w:val="2"/>
        </w:rPr>
        <w:t>7F</w:t>
      </w:r>
      <w:r>
        <w:rPr>
          <w:rStyle w:val="FootnoteReference"/>
        </w:rPr>
        <w:footnoteReference w:id="9"/>
      </w:r>
      <w:r w:rsidRPr="00C128C1">
        <w:t xml:space="preserve"> are illustrated </w:t>
      </w:r>
      <w:r>
        <w:t xml:space="preserve">in </w:t>
      </w:r>
      <w:r>
        <w:fldChar w:fldCharType="begin" w:fldLock="1"/>
      </w:r>
      <w:r>
        <w:instrText xml:space="preserve"> REF _Ref143546392 \h </w:instrText>
      </w:r>
      <w:r w:rsidR="00054651">
        <w:instrText xml:space="preserve"> \* MERGEFORMAT </w:instrText>
      </w:r>
      <w:r>
        <w:fldChar w:fldCharType="separate"/>
      </w:r>
      <w:r w:rsidR="00FA10A4">
        <w:t xml:space="preserve">Figure </w:t>
      </w:r>
      <w:r w:rsidR="00FA10A4">
        <w:rPr>
          <w:noProof/>
        </w:rPr>
        <w:t>8</w:t>
      </w:r>
      <w:r>
        <w:fldChar w:fldCharType="end"/>
      </w:r>
      <w:r w:rsidR="00D619EE">
        <w:t>.</w:t>
      </w:r>
    </w:p>
    <w:p w14:paraId="20DD2107" w14:textId="512A2874" w:rsidR="0059248D" w:rsidRDefault="00E94140" w:rsidP="003045A2">
      <w:pPr>
        <w:spacing w:before="120"/>
      </w:pPr>
      <w:r>
        <w:rPr>
          <w:noProof/>
        </w:rPr>
        <w:drawing>
          <wp:inline distT="0" distB="0" distL="0" distR="0" wp14:anchorId="0E43A535" wp14:editId="16C164A7">
            <wp:extent cx="6627412" cy="3358646"/>
            <wp:effectExtent l="0" t="0" r="2540" b="0"/>
            <wp:docPr id="1489793602" name="Picture 1489793602" descr="P6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02" name="Picture 1489793602" descr="P677#yIS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751283" cy="3421422"/>
                    </a:xfrm>
                    <a:prstGeom prst="rect">
                      <a:avLst/>
                    </a:prstGeom>
                    <a:noFill/>
                  </pic:spPr>
                </pic:pic>
              </a:graphicData>
            </a:graphic>
          </wp:inline>
        </w:drawing>
      </w:r>
    </w:p>
    <w:p w14:paraId="2F6BFA97" w14:textId="1CCE8582" w:rsidR="000768E0" w:rsidRDefault="00D619EE" w:rsidP="00C2024B">
      <w:pPr>
        <w:pStyle w:val="Caption"/>
      </w:pPr>
      <w:bookmarkStart w:id="88" w:name="_Ref143546392"/>
      <w:bookmarkStart w:id="89" w:name="_Toc148968386"/>
      <w:r>
        <w:t xml:space="preserve">Figure </w:t>
      </w:r>
      <w:r>
        <w:fldChar w:fldCharType="begin"/>
      </w:r>
      <w:r>
        <w:instrText xml:space="preserve"> SEQ Figure \* ARABIC </w:instrText>
      </w:r>
      <w:r>
        <w:fldChar w:fldCharType="separate"/>
      </w:r>
      <w:r w:rsidR="003F5D51">
        <w:rPr>
          <w:noProof/>
        </w:rPr>
        <w:t>8</w:t>
      </w:r>
      <w:r>
        <w:rPr>
          <w:noProof/>
        </w:rPr>
        <w:fldChar w:fldCharType="end"/>
      </w:r>
      <w:bookmarkEnd w:id="88"/>
      <w:r>
        <w:t>: NHRA funding and payment flows</w:t>
      </w:r>
      <w:bookmarkEnd w:id="89"/>
    </w:p>
    <w:p w14:paraId="290C2D36" w14:textId="77777777" w:rsidR="00445CE3" w:rsidRPr="00445CE3" w:rsidRDefault="00445CE3" w:rsidP="007914F4">
      <w:pPr>
        <w:pStyle w:val="Heading2"/>
        <w:pageBreakBefore/>
      </w:pPr>
      <w:bookmarkStart w:id="90" w:name="_Toc143291649"/>
      <w:r w:rsidRPr="00445CE3">
        <w:t>Reinforcing and building on existing priority work</w:t>
      </w:r>
      <w:bookmarkEnd w:id="90"/>
      <w:r w:rsidRPr="00445CE3">
        <w:t xml:space="preserve"> </w:t>
      </w:r>
    </w:p>
    <w:p w14:paraId="0217ABB2" w14:textId="180305E6" w:rsidR="00310347" w:rsidRDefault="00310347" w:rsidP="00310347">
      <w:r>
        <w:t>In recent years there have been dynamic</w:t>
      </w:r>
      <w:r w:rsidRPr="00941348">
        <w:t xml:space="preserve"> changes to broader political and governance settings, health delivery</w:t>
      </w:r>
      <w:r>
        <w:t xml:space="preserve"> and policy</w:t>
      </w:r>
      <w:r w:rsidRPr="00941348">
        <w:t xml:space="preserve"> environment</w:t>
      </w:r>
      <w:r>
        <w:t>s,</w:t>
      </w:r>
      <w:r w:rsidRPr="00941348">
        <w:t xml:space="preserve"> </w:t>
      </w:r>
      <w:r>
        <w:t>in part related to</w:t>
      </w:r>
      <w:r w:rsidRPr="00941348">
        <w:t xml:space="preserve"> COVID-19 </w:t>
      </w:r>
      <w:r>
        <w:t>as well as the impact of other program reforms. These reforms have occurred, and continue to occur,</w:t>
      </w:r>
      <w:r w:rsidRPr="00C827DA">
        <w:t xml:space="preserve"> in and around the NHRA at Commonwealth</w:t>
      </w:r>
      <w:r w:rsidR="001615D9">
        <w:t>,</w:t>
      </w:r>
      <w:r w:rsidRPr="00C827DA">
        <w:t xml:space="preserve"> State</w:t>
      </w:r>
      <w:r w:rsidR="001615D9">
        <w:t xml:space="preserve"> and </w:t>
      </w:r>
      <w:r w:rsidRPr="00C827DA">
        <w:t>Territory levels</w:t>
      </w:r>
      <w:r>
        <w:t xml:space="preserve">, with </w:t>
      </w:r>
      <w:r w:rsidRPr="00DC61E2">
        <w:t xml:space="preserve">constant attention (reactive and proactive) </w:t>
      </w:r>
      <w:r>
        <w:t>for</w:t>
      </w:r>
      <w:r w:rsidRPr="00DC61E2">
        <w:t xml:space="preserve"> reform and improvement</w:t>
      </w:r>
      <w:r w:rsidRPr="00AE0522">
        <w:t xml:space="preserve">. </w:t>
      </w:r>
    </w:p>
    <w:p w14:paraId="6122721A" w14:textId="4FCCA609" w:rsidR="00310347" w:rsidRDefault="00310347" w:rsidP="00970B95">
      <w:pPr>
        <w:spacing w:after="60"/>
      </w:pPr>
      <w:r w:rsidRPr="00AE0522">
        <w:t xml:space="preserve">Some of these </w:t>
      </w:r>
      <w:r>
        <w:t xml:space="preserve">related priority areas include: </w:t>
      </w:r>
    </w:p>
    <w:p w14:paraId="7127B23B" w14:textId="17C0CA2F" w:rsidR="00310347" w:rsidRPr="00941348" w:rsidRDefault="00E216EE" w:rsidP="00970B95">
      <w:pPr>
        <w:pStyle w:val="Longdotpoints"/>
        <w:spacing w:after="60"/>
        <w:ind w:left="567"/>
      </w:pPr>
      <w:r w:rsidRPr="00E216EE">
        <w:t>National Disability Insurance Scheme (</w:t>
      </w:r>
      <w:r w:rsidR="00310347" w:rsidRPr="00941348">
        <w:t>NDIS</w:t>
      </w:r>
      <w:r>
        <w:t>)</w:t>
      </w:r>
      <w:r w:rsidR="00310347" w:rsidRPr="00941348">
        <w:t xml:space="preserve"> –</w:t>
      </w:r>
      <w:r w:rsidR="00310347">
        <w:t xml:space="preserve"> </w:t>
      </w:r>
      <w:r w:rsidR="00310347" w:rsidRPr="00941348">
        <w:t>substantial and growing investment in providing reasonable and necessary support to people with disability, in turn creat</w:t>
      </w:r>
      <w:r w:rsidR="00310347">
        <w:t>ing</w:t>
      </w:r>
      <w:r w:rsidR="00310347" w:rsidRPr="00941348">
        <w:t xml:space="preserve"> </w:t>
      </w:r>
      <w:r w:rsidR="003C55DF">
        <w:t>competition for</w:t>
      </w:r>
      <w:r w:rsidR="00310347" w:rsidRPr="00941348">
        <w:t xml:space="preserve"> the care workforce and markets and interface risk</w:t>
      </w:r>
      <w:r w:rsidR="00310347">
        <w:t>.</w:t>
      </w:r>
      <w:r w:rsidR="008D02F3">
        <w:t xml:space="preserve"> The </w:t>
      </w:r>
      <w:r w:rsidR="008D02F3" w:rsidRPr="008D02F3">
        <w:t>NDIS Reform Review</w:t>
      </w:r>
      <w:r w:rsidR="00582935">
        <w:t xml:space="preserve"> is examining two key areas:</w:t>
      </w:r>
      <w:r w:rsidR="007665EB">
        <w:t xml:space="preserve"> </w:t>
      </w:r>
      <w:r w:rsidR="00582935">
        <w:t>NDIS’ design, operations and sustainability</w:t>
      </w:r>
      <w:r w:rsidR="007665EB">
        <w:t>; and w</w:t>
      </w:r>
      <w:r w:rsidR="00582935">
        <w:t>ays to build a more responsive, supportive and sustainable market and workforce</w:t>
      </w:r>
      <w:r w:rsidR="004F0D06">
        <w:t xml:space="preserve">. </w:t>
      </w:r>
      <w:r w:rsidR="00582935">
        <w:t xml:space="preserve">Recommendations </w:t>
      </w:r>
      <w:r w:rsidR="004F0D06">
        <w:t xml:space="preserve">are </w:t>
      </w:r>
      <w:r w:rsidR="00582935">
        <w:t xml:space="preserve">due </w:t>
      </w:r>
      <w:r w:rsidR="00AD6671">
        <w:t>in</w:t>
      </w:r>
      <w:r w:rsidR="00582935">
        <w:t xml:space="preserve"> October 2023</w:t>
      </w:r>
      <w:r w:rsidR="004F0D06">
        <w:t>.</w:t>
      </w:r>
    </w:p>
    <w:p w14:paraId="1AED6FF5" w14:textId="48D0C97E" w:rsidR="00B61C8A" w:rsidRPr="00941348" w:rsidRDefault="00310347" w:rsidP="00970B95">
      <w:pPr>
        <w:pStyle w:val="Longdotpoints"/>
        <w:spacing w:after="60"/>
        <w:ind w:left="567"/>
      </w:pPr>
      <w:r w:rsidRPr="00941348">
        <w:t>Changes to aged care funding and structures flowing from the Royal Commission</w:t>
      </w:r>
      <w:r>
        <w:t xml:space="preserve"> on Aged Care Quality and Safety and related Commonwealth budget decisions.</w:t>
      </w:r>
      <w:r w:rsidR="005930AB">
        <w:t xml:space="preserve"> </w:t>
      </w:r>
      <w:r w:rsidR="003C55DF">
        <w:t>The Royal Commission’s recommendations included</w:t>
      </w:r>
      <w:r w:rsidR="00974742">
        <w:t xml:space="preserve"> </w:t>
      </w:r>
      <w:r w:rsidR="00D05167">
        <w:t>minimum staff time</w:t>
      </w:r>
      <w:r w:rsidR="00535181">
        <w:t xml:space="preserve"> standards</w:t>
      </w:r>
      <w:r w:rsidR="005930AB">
        <w:t xml:space="preserve">, </w:t>
      </w:r>
      <w:r w:rsidR="00B61C8A">
        <w:t>a change in governance</w:t>
      </w:r>
      <w:r w:rsidR="00974742">
        <w:t>, and c</w:t>
      </w:r>
      <w:r w:rsidR="00B61C8A">
        <w:t>reating a more experienced aged care workforce, enhancing working conditions and career growth opportunities.</w:t>
      </w:r>
    </w:p>
    <w:p w14:paraId="21ECBA7C" w14:textId="5A192246" w:rsidR="00310347" w:rsidRDefault="00310347" w:rsidP="00970B95">
      <w:pPr>
        <w:pStyle w:val="Longdotpoints"/>
        <w:spacing w:after="60"/>
        <w:ind w:left="567"/>
      </w:pPr>
      <w:r w:rsidRPr="00941348">
        <w:t>Investment in primary care through bulk billing incentives, voluntary enrolment, aged care incentives</w:t>
      </w:r>
      <w:r w:rsidR="002F21F5">
        <w:t xml:space="preserve"> and</w:t>
      </w:r>
      <w:r w:rsidRPr="00941348">
        <w:t xml:space="preserve"> scope of practice changes</w:t>
      </w:r>
      <w:r>
        <w:t>.</w:t>
      </w:r>
      <w:r w:rsidR="004114EC">
        <w:t xml:space="preserve"> The </w:t>
      </w:r>
      <w:r w:rsidR="004114EC" w:rsidRPr="004114EC">
        <w:t>Strengthening Medicare Taskforce</w:t>
      </w:r>
      <w:r w:rsidR="000B667A">
        <w:t xml:space="preserve"> </w:t>
      </w:r>
      <w:r w:rsidR="003C55DF">
        <w:t>has recommended</w:t>
      </w:r>
      <w:r w:rsidR="000B667A">
        <w:t xml:space="preserve"> </w:t>
      </w:r>
      <w:r w:rsidR="000B667A" w:rsidRPr="000B667A">
        <w:t>significant changes to how primary care is funded and delivered</w:t>
      </w:r>
      <w:r w:rsidR="0027770B">
        <w:t>.</w:t>
      </w:r>
    </w:p>
    <w:p w14:paraId="11BAEE88" w14:textId="57F18130" w:rsidR="00310347" w:rsidRDefault="00310347" w:rsidP="00970B95">
      <w:pPr>
        <w:pStyle w:val="Longdotpoints"/>
        <w:spacing w:after="60"/>
        <w:ind w:left="567"/>
      </w:pPr>
      <w:r w:rsidRPr="00941348">
        <w:t xml:space="preserve">Agreements that sit outside the </w:t>
      </w:r>
      <w:r>
        <w:t xml:space="preserve">NHRA, </w:t>
      </w:r>
      <w:r w:rsidRPr="00941348">
        <w:t>but enable</w:t>
      </w:r>
      <w:r w:rsidR="00C428CB">
        <w:t xml:space="preserve"> or complement</w:t>
      </w:r>
      <w:r w:rsidR="0013494C">
        <w:t xml:space="preserve"> NHRA objectives</w:t>
      </w:r>
      <w:r w:rsidRPr="00941348">
        <w:t xml:space="preserve"> – digital health, mental health, workforce</w:t>
      </w:r>
      <w:r w:rsidR="00083F67">
        <w:t>,</w:t>
      </w:r>
      <w:r w:rsidRPr="00941348">
        <w:t xml:space="preserve"> and shared commitments such as Closing the Gap</w:t>
      </w:r>
      <w:r>
        <w:t>.</w:t>
      </w:r>
      <w:r w:rsidRPr="0046047B">
        <w:t xml:space="preserve"> </w:t>
      </w:r>
      <w:r w:rsidR="00386C1F" w:rsidRPr="00386C1F">
        <w:t>The</w:t>
      </w:r>
      <w:r w:rsidR="00B350DC">
        <w:t xml:space="preserve"> </w:t>
      </w:r>
      <w:r w:rsidR="00B350DC" w:rsidRPr="00B350DC">
        <w:t xml:space="preserve">Australian Digital Health Agency </w:t>
      </w:r>
      <w:r w:rsidR="00B350DC">
        <w:t>(</w:t>
      </w:r>
      <w:r w:rsidR="00B350DC" w:rsidRPr="00B350DC">
        <w:t>ADHA</w:t>
      </w:r>
      <w:r w:rsidR="00B350DC">
        <w:t>)</w:t>
      </w:r>
      <w:r w:rsidR="00B350DC" w:rsidRPr="00B350DC">
        <w:t xml:space="preserve"> </w:t>
      </w:r>
      <w:r w:rsidR="00741BFA" w:rsidRPr="52CF78FB">
        <w:rPr>
          <w:rFonts w:eastAsia="Calibri"/>
        </w:rPr>
        <w:t>is the primary agency for national digital health in Australia with a direct responsibility to act collaboratively with the Commonwealth and States and Territories for the delivery of national digital health services</w:t>
      </w:r>
      <w:r w:rsidR="00AD0C25">
        <w:t xml:space="preserve">. The </w:t>
      </w:r>
      <w:r w:rsidR="00D0072F" w:rsidRPr="00D0072F">
        <w:t xml:space="preserve">Health Workforce </w:t>
      </w:r>
      <w:r w:rsidR="00D0072F">
        <w:t>T</w:t>
      </w:r>
      <w:r w:rsidR="00386C1F" w:rsidRPr="00386C1F">
        <w:t>askforce was established to develop options to address the workforce shortages and distribution issues across specialisations and geographical location</w:t>
      </w:r>
      <w:r w:rsidR="00404A01">
        <w:t>.</w:t>
      </w:r>
    </w:p>
    <w:p w14:paraId="6EDE0A0B" w14:textId="39E27951" w:rsidR="00310347" w:rsidRDefault="00310347" w:rsidP="001D7DD8">
      <w:pPr>
        <w:pStyle w:val="Longdotpoints"/>
        <w:ind w:left="567"/>
      </w:pPr>
      <w:r w:rsidRPr="00941348">
        <w:t>Development of models of care that aim to fill gaps in the current service system</w:t>
      </w:r>
      <w:r>
        <w:t xml:space="preserve">. For example, </w:t>
      </w:r>
      <w:r w:rsidRPr="00941348">
        <w:t xml:space="preserve">single employer model, hospital in the home, </w:t>
      </w:r>
      <w:r w:rsidR="00973B21">
        <w:t xml:space="preserve">and </w:t>
      </w:r>
      <w:r w:rsidRPr="00941348">
        <w:t>virtual care that aim to provide care in the community or in residential aged care.</w:t>
      </w:r>
      <w:r>
        <w:t xml:space="preserve"> </w:t>
      </w:r>
      <w:r w:rsidRPr="004818F5">
        <w:t>Attempts at inter-sectoral reform have tended to be piecemeal, as well as time and scale limited. Translating these to systemic sustainable reform is a key challenge of a future Agreement.</w:t>
      </w:r>
    </w:p>
    <w:p w14:paraId="47DF3B9D" w14:textId="56C57EBB" w:rsidR="00AF38DB" w:rsidRDefault="00310347" w:rsidP="00A363AA">
      <w:pPr>
        <w:spacing w:after="0"/>
      </w:pPr>
      <w:r w:rsidRPr="00AC2F12">
        <w:t xml:space="preserve">While not exhaustive, some of these reforms are summarised in </w:t>
      </w:r>
      <w:r>
        <w:fldChar w:fldCharType="begin" w:fldLock="1"/>
      </w:r>
      <w:r>
        <w:instrText xml:space="preserve"> REF _Ref143546408 \h </w:instrText>
      </w:r>
      <w:r>
        <w:fldChar w:fldCharType="separate"/>
      </w:r>
      <w:r w:rsidR="00FA10A4">
        <w:t xml:space="preserve">Figure </w:t>
      </w:r>
      <w:r w:rsidR="00FA10A4">
        <w:rPr>
          <w:noProof/>
        </w:rPr>
        <w:t>9</w:t>
      </w:r>
      <w:r>
        <w:fldChar w:fldCharType="end"/>
      </w:r>
      <w:r w:rsidR="00EB6CC1">
        <w:t>.</w:t>
      </w:r>
    </w:p>
    <w:p w14:paraId="20346DA5" w14:textId="41CE96BC" w:rsidR="00AF38DB" w:rsidRDefault="001345E6" w:rsidP="00D50025">
      <w:r>
        <w:rPr>
          <w:noProof/>
        </w:rPr>
        <w:drawing>
          <wp:inline distT="0" distB="0" distL="0" distR="0" wp14:anchorId="6127C2E6" wp14:editId="6EB96042">
            <wp:extent cx="6623618" cy="1762903"/>
            <wp:effectExtent l="0" t="0" r="6350" b="0"/>
            <wp:docPr id="52379502" name="Picture 52379502" descr="P6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9502" name="Picture 52379502" descr="P688#yIS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23618" cy="1762903"/>
                    </a:xfrm>
                    <a:prstGeom prst="rect">
                      <a:avLst/>
                    </a:prstGeom>
                    <a:noFill/>
                  </pic:spPr>
                </pic:pic>
              </a:graphicData>
            </a:graphic>
          </wp:inline>
        </w:drawing>
      </w:r>
    </w:p>
    <w:p w14:paraId="3363B8C5" w14:textId="64D5AD90" w:rsidR="00625F0D" w:rsidRDefault="00625F0D" w:rsidP="00C2024B">
      <w:pPr>
        <w:pStyle w:val="Caption"/>
      </w:pPr>
      <w:bookmarkStart w:id="91" w:name="_Ref143546408"/>
      <w:bookmarkStart w:id="92" w:name="_Toc148968387"/>
      <w:r>
        <w:t xml:space="preserve">Figure </w:t>
      </w:r>
      <w:r>
        <w:fldChar w:fldCharType="begin"/>
      </w:r>
      <w:r>
        <w:instrText xml:space="preserve"> SEQ Figure \* ARABIC </w:instrText>
      </w:r>
      <w:r>
        <w:fldChar w:fldCharType="separate"/>
      </w:r>
      <w:r w:rsidR="003F5D51">
        <w:rPr>
          <w:noProof/>
        </w:rPr>
        <w:t>9</w:t>
      </w:r>
      <w:r>
        <w:rPr>
          <w:noProof/>
        </w:rPr>
        <w:fldChar w:fldCharType="end"/>
      </w:r>
      <w:bookmarkEnd w:id="91"/>
      <w:r>
        <w:t xml:space="preserve">: </w:t>
      </w:r>
      <w:r w:rsidRPr="000D0111">
        <w:t>Current reforms within health and care sectors</w:t>
      </w:r>
      <w:r w:rsidR="005C5619">
        <w:t xml:space="preserve"> (sample)</w:t>
      </w:r>
      <w:bookmarkEnd w:id="92"/>
    </w:p>
    <w:p w14:paraId="6D691588" w14:textId="2BB9FD64" w:rsidR="003D70BF" w:rsidRPr="008832B0" w:rsidRDefault="003D70BF" w:rsidP="00F070EC">
      <w:pPr>
        <w:pStyle w:val="Heading2"/>
      </w:pPr>
      <w:bookmarkStart w:id="93" w:name="_Ref143090524"/>
      <w:bookmarkStart w:id="94" w:name="_Toc143291650"/>
      <w:r>
        <w:t>Operation of the Agreement during the COVID-19 pandemic</w:t>
      </w:r>
      <w:bookmarkEnd w:id="93"/>
      <w:bookmarkEnd w:id="94"/>
    </w:p>
    <w:p w14:paraId="6EFC8350" w14:textId="2FCDA494" w:rsidR="00CE61B3" w:rsidRDefault="00CE61B3" w:rsidP="00A363AA">
      <w:pPr>
        <w:spacing w:after="0"/>
      </w:pPr>
      <w:r>
        <w:t>The NHRA continued to operate during the COVID-19 pandemic. However, due to changes in hospital activity related to the pandemic and COVID</w:t>
      </w:r>
      <w:r w:rsidR="002617D7">
        <w:t>-19</w:t>
      </w:r>
      <w:r>
        <w:t xml:space="preserve"> response costs, it was supplemented with new arrangements</w:t>
      </w:r>
      <w:r w:rsidR="003F5D51">
        <w:rPr>
          <w:rFonts w:ascii="ZWAdobeF" w:hAnsi="ZWAdobeF" w:cs="ZWAdobeF"/>
          <w:sz w:val="2"/>
          <w:szCs w:val="2"/>
        </w:rPr>
        <w:t>8F</w:t>
      </w:r>
      <w:r w:rsidR="009D4E6B">
        <w:rPr>
          <w:rStyle w:val="FootnoteReference"/>
        </w:rPr>
        <w:footnoteReference w:id="10"/>
      </w:r>
      <w:r>
        <w:t>:</w:t>
      </w:r>
    </w:p>
    <w:p w14:paraId="68469383" w14:textId="7F2F9B9A" w:rsidR="00CE61B3" w:rsidRDefault="00CE61B3" w:rsidP="000731BA">
      <w:pPr>
        <w:pStyle w:val="ListBullet"/>
        <w:ind w:left="567"/>
      </w:pPr>
      <w:r>
        <w:t>The COVID-19 NPA ($</w:t>
      </w:r>
      <w:r w:rsidR="00447954">
        <w:t>14.7</w:t>
      </w:r>
      <w:r>
        <w:t xml:space="preserve"> billion</w:t>
      </w:r>
      <w:r w:rsidR="003F5D51">
        <w:rPr>
          <w:rFonts w:ascii="ZWAdobeF" w:hAnsi="ZWAdobeF" w:cs="ZWAdobeF"/>
          <w:sz w:val="2"/>
          <w:szCs w:val="2"/>
        </w:rPr>
        <w:t>9F</w:t>
      </w:r>
      <w:r w:rsidR="00B14B39">
        <w:rPr>
          <w:rStyle w:val="FootnoteReference"/>
        </w:rPr>
        <w:footnoteReference w:id="11"/>
      </w:r>
      <w:r>
        <w:t xml:space="preserve">) provided </w:t>
      </w:r>
      <w:r w:rsidR="00447954">
        <w:t>S</w:t>
      </w:r>
      <w:r>
        <w:t xml:space="preserve">tates and </w:t>
      </w:r>
      <w:r w:rsidR="00447954">
        <w:t>T</w:t>
      </w:r>
      <w:r>
        <w:t>erritories with additional funding to respond to the COVID-19 outbreak</w:t>
      </w:r>
      <w:r w:rsidR="00680ACA">
        <w:t>, generally matched on a 50:50 basis</w:t>
      </w:r>
      <w:r w:rsidR="00D836E5">
        <w:t xml:space="preserve">, and </w:t>
      </w:r>
    </w:p>
    <w:p w14:paraId="74B3E73A" w14:textId="1E2C0C2F" w:rsidR="00CE61B3" w:rsidRDefault="00CE61B3" w:rsidP="000731BA">
      <w:pPr>
        <w:pStyle w:val="ListBullet"/>
        <w:spacing w:after="120"/>
        <w:ind w:left="567"/>
        <w:contextualSpacing w:val="0"/>
      </w:pPr>
      <w:r>
        <w:t xml:space="preserve">A </w:t>
      </w:r>
      <w:r w:rsidR="00B50631">
        <w:t xml:space="preserve">Commonwealth </w:t>
      </w:r>
      <w:r w:rsidR="00991922">
        <w:t>M</w:t>
      </w:r>
      <w:r>
        <w:t xml:space="preserve">inimum </w:t>
      </w:r>
      <w:r w:rsidR="00991922">
        <w:t>F</w:t>
      </w:r>
      <w:r>
        <w:t xml:space="preserve">unding </w:t>
      </w:r>
      <w:r w:rsidR="00991922">
        <w:t>G</w:t>
      </w:r>
      <w:r>
        <w:t>uarantee</w:t>
      </w:r>
      <w:r w:rsidR="004D4711">
        <w:t xml:space="preserve"> (separate to the Addendum) for 2019-20, 2020</w:t>
      </w:r>
      <w:r w:rsidR="001B3E84">
        <w:t>-</w:t>
      </w:r>
      <w:r w:rsidR="004D4711">
        <w:t xml:space="preserve">21 and 2021-22 </w:t>
      </w:r>
      <w:r w:rsidR="001467B6">
        <w:t xml:space="preserve">totalling </w:t>
      </w:r>
      <w:r w:rsidR="001467B6" w:rsidRPr="001467B6">
        <w:t xml:space="preserve">$1.23 billion </w:t>
      </w:r>
      <w:r w:rsidR="003A25A1">
        <w:t>recognised</w:t>
      </w:r>
      <w:r w:rsidR="00FC7659" w:rsidRPr="00FC7659">
        <w:t xml:space="preserve"> the impact of the COVID-19 outbreak on public hospital activity</w:t>
      </w:r>
      <w:r w:rsidR="008C2319">
        <w:t xml:space="preserve">. </w:t>
      </w:r>
    </w:p>
    <w:p w14:paraId="34BA88CB" w14:textId="77777777" w:rsidR="00CE61B3" w:rsidRDefault="00CE61B3" w:rsidP="00A363AA">
      <w:pPr>
        <w:spacing w:after="0"/>
      </w:pPr>
      <w:r>
        <w:t>The COVID-19 NPA was amended several times and ended in December 2022. In summary it comprised:</w:t>
      </w:r>
    </w:p>
    <w:p w14:paraId="731E9CCC" w14:textId="77777777" w:rsidR="00CE61B3" w:rsidRDefault="00CE61B3" w:rsidP="000731BA">
      <w:pPr>
        <w:pStyle w:val="ListBullet"/>
        <w:ind w:left="567"/>
      </w:pPr>
      <w:r>
        <w:t>A one-off upfront payment of $100 million by the Commonwealth to the States and Territories, shared on a population basis</w:t>
      </w:r>
    </w:p>
    <w:p w14:paraId="78724221" w14:textId="77777777" w:rsidR="00CE61B3" w:rsidRDefault="00CE61B3" w:rsidP="000731BA">
      <w:pPr>
        <w:pStyle w:val="ListBullet"/>
        <w:ind w:left="567"/>
      </w:pPr>
      <w:r>
        <w:t>A commitment to equal (50:50) funding of COVID-19 public hospital services and other COVID-19 public health activities delivered by the States and Territories</w:t>
      </w:r>
    </w:p>
    <w:p w14:paraId="525FEE4A" w14:textId="77777777" w:rsidR="00CE61B3" w:rsidRDefault="00CE61B3" w:rsidP="000731BA">
      <w:pPr>
        <w:pStyle w:val="ListBullet"/>
        <w:ind w:left="567"/>
      </w:pPr>
      <w:r>
        <w:t>A Commonwealth payment to States and Territories to ensure the viability of private hospitals</w:t>
      </w:r>
    </w:p>
    <w:p w14:paraId="09AD1053" w14:textId="7ED80988" w:rsidR="007D6E50" w:rsidRPr="004E66C7" w:rsidRDefault="00CE61B3" w:rsidP="004E66C7">
      <w:pPr>
        <w:pStyle w:val="ListBullet"/>
        <w:ind w:left="567"/>
      </w:pPr>
      <w:r>
        <w:t>Commonwealth funding support for the roll-out of the COVID-19 vaccination program by States and Territories</w:t>
      </w:r>
      <w:r w:rsidR="00E967AD">
        <w:t>.</w:t>
      </w:r>
    </w:p>
    <w:p w14:paraId="5224190F" w14:textId="4DE23914" w:rsidR="00A736F7" w:rsidRPr="004E66C7" w:rsidRDefault="00A736F7" w:rsidP="004E66C7">
      <w:pPr>
        <w:pStyle w:val="ListBullet"/>
        <w:ind w:left="567"/>
        <w:sectPr w:rsidR="00A736F7" w:rsidRPr="004E66C7" w:rsidSect="0053360F">
          <w:headerReference w:type="even" r:id="rId45"/>
          <w:headerReference w:type="default" r:id="rId46"/>
          <w:headerReference w:type="first" r:id="rId47"/>
          <w:pgSz w:w="11906" w:h="16838" w:code="9"/>
          <w:pgMar w:top="1276" w:right="720" w:bottom="720" w:left="720" w:header="680" w:footer="425" w:gutter="0"/>
          <w:cols w:space="284"/>
          <w:docGrid w:linePitch="360"/>
        </w:sectPr>
      </w:pPr>
    </w:p>
    <w:p w14:paraId="40D80431" w14:textId="6E2A23BD" w:rsidR="00B56064" w:rsidRPr="00F73593" w:rsidRDefault="005A282D" w:rsidP="00F73593">
      <w:pPr>
        <w:pStyle w:val="Heading1"/>
      </w:pPr>
      <w:bookmarkStart w:id="95" w:name="_Toc143291651"/>
      <w:bookmarkStart w:id="96" w:name="_Toc148968351"/>
      <w:r>
        <w:t xml:space="preserve">Consultation </w:t>
      </w:r>
      <w:r w:rsidR="0009731B">
        <w:t>o</w:t>
      </w:r>
      <w:r>
        <w:t>utcomes</w:t>
      </w:r>
      <w:bookmarkEnd w:id="95"/>
      <w:bookmarkEnd w:id="96"/>
    </w:p>
    <w:p w14:paraId="54E21D84" w14:textId="499A1A31" w:rsidR="0080565E" w:rsidRDefault="00774DF4" w:rsidP="00D47C58">
      <w:pPr>
        <w:pStyle w:val="Sectionintro"/>
      </w:pPr>
      <w:r>
        <w:t xml:space="preserve">This chapter </w:t>
      </w:r>
      <w:r w:rsidR="009F1345">
        <w:t>provides insights from</w:t>
      </w:r>
      <w:r w:rsidR="00603DB6">
        <w:t xml:space="preserve"> the jurisdictional workshops</w:t>
      </w:r>
      <w:r w:rsidR="00796ADD">
        <w:t>,</w:t>
      </w:r>
      <w:r w:rsidR="00603DB6">
        <w:t xml:space="preserve"> interviews and written submissions</w:t>
      </w:r>
      <w:r w:rsidR="008B6B09" w:rsidRPr="00D47C58">
        <w:t>.</w:t>
      </w:r>
    </w:p>
    <w:p w14:paraId="45E21092" w14:textId="5D16C76D" w:rsidR="006D7BA1" w:rsidRPr="004E66C7" w:rsidRDefault="006D7BA1" w:rsidP="004E66C7">
      <w:r w:rsidRPr="004E66C7">
        <w:t xml:space="preserve">A key requirement of the Review was a comprehensive stakeholder consultation process – encompassing </w:t>
      </w:r>
      <w:r w:rsidR="00341A92" w:rsidRPr="004E66C7">
        <w:t>two-day</w:t>
      </w:r>
      <w:r w:rsidR="00BD033E">
        <w:t xml:space="preserve">s of </w:t>
      </w:r>
      <w:r w:rsidRPr="004E66C7">
        <w:t xml:space="preserve"> workshops with</w:t>
      </w:r>
      <w:r w:rsidR="005553C3">
        <w:t>in</w:t>
      </w:r>
      <w:r w:rsidRPr="004E66C7">
        <w:t xml:space="preserve"> each jurisdiction, targeted virtual or face-to-face interviews with key organisations and written submissions from stakeholders. This wide</w:t>
      </w:r>
      <w:r w:rsidR="006557B5" w:rsidRPr="004E66C7">
        <w:t>-</w:t>
      </w:r>
      <w:r w:rsidRPr="004E66C7">
        <w:t>ranging process gathered stakeholder perspectives on whether the objectives of the NHRA Addendum are being met, current challenges, any identified improvements or opportunities, presentation of case studies</w:t>
      </w:r>
      <w:r w:rsidR="00C941E6" w:rsidRPr="004E66C7">
        <w:t>,</w:t>
      </w:r>
      <w:r w:rsidRPr="004E66C7">
        <w:t xml:space="preserve"> data on system challenges and performance, and potential future directions.</w:t>
      </w:r>
    </w:p>
    <w:p w14:paraId="0CA292F9" w14:textId="11083B01" w:rsidR="0044161B" w:rsidRDefault="006D7BA1" w:rsidP="006D7BA1">
      <w:r>
        <w:t>The</w:t>
      </w:r>
      <w:r w:rsidRPr="00A95F96">
        <w:t xml:space="preserve"> </w:t>
      </w:r>
      <w:r>
        <w:t>areas of improvement identified through consultation</w:t>
      </w:r>
      <w:r w:rsidRPr="00A95F96">
        <w:t xml:space="preserve"> </w:t>
      </w:r>
      <w:r>
        <w:t>group</w:t>
      </w:r>
      <w:r w:rsidRPr="00A95F96">
        <w:t xml:space="preserve"> into 10 themes </w:t>
      </w:r>
      <w:r>
        <w:t xml:space="preserve">as listed below and illustrated in </w:t>
      </w:r>
      <w:r w:rsidR="0044161B">
        <w:fldChar w:fldCharType="begin" w:fldLock="1"/>
      </w:r>
      <w:r w:rsidR="0044161B">
        <w:instrText xml:space="preserve"> REF _Ref143546423 \h </w:instrText>
      </w:r>
      <w:r w:rsidR="0044161B">
        <w:fldChar w:fldCharType="separate"/>
      </w:r>
      <w:r w:rsidR="00FA10A4">
        <w:t xml:space="preserve">Figure </w:t>
      </w:r>
      <w:r w:rsidR="00FA10A4">
        <w:rPr>
          <w:noProof/>
        </w:rPr>
        <w:t>10</w:t>
      </w:r>
      <w:r w:rsidR="0044161B">
        <w:fldChar w:fldCharType="end"/>
      </w:r>
      <w:r w:rsidR="00EC7971">
        <w:t xml:space="preserve">. </w:t>
      </w:r>
    </w:p>
    <w:p w14:paraId="53ED1D71" w14:textId="77777777" w:rsidR="00EC7971" w:rsidRPr="00952B1D" w:rsidRDefault="00EC7971" w:rsidP="00841CFC">
      <w:pPr>
        <w:pStyle w:val="ListParagraph"/>
        <w:numPr>
          <w:ilvl w:val="0"/>
          <w:numId w:val="26"/>
        </w:numPr>
        <w:spacing w:after="0"/>
        <w:ind w:left="357" w:hanging="357"/>
        <w:rPr>
          <w:b/>
          <w:color w:val="967200"/>
        </w:rPr>
      </w:pPr>
      <w:r w:rsidRPr="00952B1D">
        <w:rPr>
          <w:b/>
          <w:color w:val="8E6C00"/>
        </w:rPr>
        <w:t>Whole of system Agreement</w:t>
      </w:r>
    </w:p>
    <w:p w14:paraId="4A8F60BA" w14:textId="31113B78" w:rsidR="0044161B" w:rsidRDefault="0044161B" w:rsidP="0044161B">
      <w:r>
        <w:t>Establishing the NHRA as a strategic reform Agreement, with the remit and governance to take a whole of health system view and to respond to current and future system pressures, rather than as a hospital financing agreement that is narrow and technical in focus.</w:t>
      </w:r>
    </w:p>
    <w:tbl>
      <w:tblPr>
        <w:tblStyle w:val="TableGrid"/>
        <w:tblW w:w="0" w:type="auto"/>
        <w:tblLayout w:type="fixed"/>
        <w:tblLook w:val="04A0" w:firstRow="1" w:lastRow="0" w:firstColumn="1" w:lastColumn="0" w:noHBand="0" w:noVBand="1"/>
      </w:tblPr>
      <w:tblGrid>
        <w:gridCol w:w="3780"/>
        <w:gridCol w:w="6686"/>
      </w:tblGrid>
      <w:tr w:rsidR="0032600B" w14:paraId="0A55B604" w14:textId="77777777" w:rsidTr="0032600B">
        <w:trPr>
          <w:cnfStyle w:val="100000000000" w:firstRow="1" w:lastRow="0" w:firstColumn="0" w:lastColumn="0" w:oddVBand="0" w:evenVBand="0" w:oddHBand="0" w:evenHBand="0" w:firstRowFirstColumn="0" w:firstRowLastColumn="0" w:lastRowFirstColumn="0" w:lastRowLastColumn="0"/>
        </w:trPr>
        <w:tc>
          <w:tcPr>
            <w:tcW w:w="3780" w:type="dxa"/>
            <w:tcMar>
              <w:top w:w="0" w:type="dxa"/>
            </w:tcMar>
          </w:tcPr>
          <w:p w14:paraId="551889E4" w14:textId="77777777" w:rsidR="0032600B" w:rsidRPr="0034418C" w:rsidRDefault="0032600B" w:rsidP="0032600B">
            <w:pPr>
              <w:pStyle w:val="ListParagraph"/>
              <w:numPr>
                <w:ilvl w:val="0"/>
                <w:numId w:val="26"/>
              </w:numPr>
              <w:spacing w:after="0"/>
              <w:ind w:left="357" w:hanging="357"/>
              <w:rPr>
                <w:b/>
                <w:color w:val="DA291C"/>
              </w:rPr>
            </w:pPr>
            <w:r w:rsidRPr="0034418C">
              <w:rPr>
                <w:b/>
                <w:color w:val="DA291C"/>
              </w:rPr>
              <w:t>Intersectoral collaboration</w:t>
            </w:r>
          </w:p>
          <w:p w14:paraId="296EC792" w14:textId="77777777" w:rsidR="0032600B" w:rsidRDefault="0032600B" w:rsidP="0032600B">
            <w:r>
              <w:t>Delivering i</w:t>
            </w:r>
            <w:r w:rsidRPr="005A03F3">
              <w:t>ntegrat</w:t>
            </w:r>
            <w:r>
              <w:t>ed</w:t>
            </w:r>
            <w:r w:rsidRPr="005A03F3">
              <w:t>, coordinat</w:t>
            </w:r>
            <w:r>
              <w:t>ed</w:t>
            </w:r>
            <w:r w:rsidRPr="005A03F3">
              <w:t xml:space="preserve"> and responsive patient-centred care </w:t>
            </w:r>
            <w:r>
              <w:t xml:space="preserve">that </w:t>
            </w:r>
            <w:r w:rsidRPr="005A03F3">
              <w:t>reduce</w:t>
            </w:r>
            <w:r>
              <w:t>s</w:t>
            </w:r>
            <w:r w:rsidRPr="005A03F3">
              <w:t xml:space="preserve"> fragmented patient care pathways, suboptimal patient experiences and outcomes, and bottlenecks in hospital flows</w:t>
            </w:r>
            <w:r>
              <w:t>.</w:t>
            </w:r>
          </w:p>
          <w:p w14:paraId="19EAFA6B" w14:textId="77777777" w:rsidR="0032600B" w:rsidRPr="005D61F9" w:rsidRDefault="0032600B" w:rsidP="0032600B">
            <w:pPr>
              <w:pStyle w:val="ListParagraph"/>
              <w:numPr>
                <w:ilvl w:val="0"/>
                <w:numId w:val="26"/>
              </w:numPr>
              <w:spacing w:after="0"/>
              <w:ind w:left="357" w:hanging="357"/>
              <w:rPr>
                <w:b/>
                <w:color w:val="A26000"/>
              </w:rPr>
            </w:pPr>
            <w:r w:rsidRPr="005D61F9">
              <w:rPr>
                <w:b/>
                <w:color w:val="A26000"/>
              </w:rPr>
              <w:t>Optimal blended models of care</w:t>
            </w:r>
          </w:p>
          <w:p w14:paraId="66958E32" w14:textId="77777777" w:rsidR="0032600B" w:rsidRDefault="0032600B" w:rsidP="0032600B">
            <w:r>
              <w:t>Providing s</w:t>
            </w:r>
            <w:r w:rsidRPr="00770E81">
              <w:t xml:space="preserve">ustainable, </w:t>
            </w:r>
            <w:r w:rsidRPr="0052579A">
              <w:t xml:space="preserve">innovative </w:t>
            </w:r>
            <w:r w:rsidRPr="00770E81">
              <w:t xml:space="preserve">and scalable </w:t>
            </w:r>
            <w:r w:rsidRPr="0052579A">
              <w:t>public hospital funding and holistic</w:t>
            </w:r>
            <w:r w:rsidRPr="00770E81">
              <w:t xml:space="preserve">, </w:t>
            </w:r>
            <w:r w:rsidRPr="0052579A">
              <w:t xml:space="preserve">blended </w:t>
            </w:r>
            <w:r w:rsidRPr="00770E81">
              <w:t>models</w:t>
            </w:r>
            <w:r w:rsidRPr="0052579A">
              <w:t xml:space="preserve"> of care </w:t>
            </w:r>
            <w:r>
              <w:t xml:space="preserve">that can deliver the right care in the right place at the right time. </w:t>
            </w:r>
          </w:p>
          <w:p w14:paraId="127CFE44" w14:textId="77777777" w:rsidR="0032600B" w:rsidRPr="006D5F03" w:rsidRDefault="0032600B" w:rsidP="0032600B">
            <w:pPr>
              <w:pStyle w:val="ListParagraph"/>
              <w:numPr>
                <w:ilvl w:val="0"/>
                <w:numId w:val="26"/>
              </w:numPr>
              <w:spacing w:after="0"/>
              <w:ind w:left="357" w:hanging="357"/>
              <w:rPr>
                <w:b/>
                <w:color w:val="D60093"/>
              </w:rPr>
            </w:pPr>
            <w:r w:rsidRPr="006D5F03">
              <w:rPr>
                <w:b/>
                <w:color w:val="D60093"/>
              </w:rPr>
              <w:t>Financing reform</w:t>
            </w:r>
          </w:p>
          <w:p w14:paraId="603331F8" w14:textId="77777777" w:rsidR="0032600B" w:rsidRDefault="0032600B" w:rsidP="0032600B">
            <w:r w:rsidRPr="001B6713">
              <w:t xml:space="preserve">Ensuring a transparent and accountable funding model </w:t>
            </w:r>
            <w:r>
              <w:t>that generates the right incentives and is fit for purpose for future challenges.</w:t>
            </w:r>
          </w:p>
          <w:p w14:paraId="2710EAEF" w14:textId="77777777" w:rsidR="0032600B" w:rsidRPr="0034418C" w:rsidRDefault="0032600B" w:rsidP="0032600B">
            <w:pPr>
              <w:pStyle w:val="ListParagraph"/>
              <w:numPr>
                <w:ilvl w:val="0"/>
                <w:numId w:val="26"/>
              </w:numPr>
              <w:spacing w:after="0"/>
              <w:ind w:left="357" w:hanging="357"/>
              <w:rPr>
                <w:b/>
                <w:color w:val="7030A0"/>
              </w:rPr>
            </w:pPr>
            <w:r w:rsidRPr="0034418C">
              <w:rPr>
                <w:b/>
                <w:color w:val="7030A0"/>
              </w:rPr>
              <w:t>Long-term health reforms</w:t>
            </w:r>
          </w:p>
          <w:p w14:paraId="4F11A59F" w14:textId="77777777" w:rsidR="0032600B" w:rsidRDefault="0032600B" w:rsidP="0032600B">
            <w:r w:rsidRPr="00ED2D4E">
              <w:t>Building innovation and options for future reform</w:t>
            </w:r>
            <w:r>
              <w:t xml:space="preserve"> and associated governance.</w:t>
            </w:r>
          </w:p>
          <w:p w14:paraId="01D15720" w14:textId="77777777" w:rsidR="0032600B" w:rsidRPr="0034418C" w:rsidRDefault="0032600B" w:rsidP="0032600B">
            <w:pPr>
              <w:pStyle w:val="ListParagraph"/>
              <w:numPr>
                <w:ilvl w:val="0"/>
                <w:numId w:val="26"/>
              </w:numPr>
              <w:spacing w:after="0"/>
              <w:ind w:left="357" w:hanging="357"/>
              <w:rPr>
                <w:b/>
                <w:color w:val="0070C0"/>
              </w:rPr>
            </w:pPr>
            <w:r w:rsidRPr="0034418C">
              <w:rPr>
                <w:b/>
                <w:color w:val="0070C0"/>
              </w:rPr>
              <w:t xml:space="preserve">Rural and remote service delivery </w:t>
            </w:r>
          </w:p>
          <w:p w14:paraId="49B057E7" w14:textId="77777777" w:rsidR="0032600B" w:rsidRDefault="0032600B" w:rsidP="00F26329">
            <w:r>
              <w:t>Ensuring</w:t>
            </w:r>
            <w:r w:rsidRPr="00BA4585">
              <w:t xml:space="preserve"> equitable access to healthcare</w:t>
            </w:r>
            <w:r>
              <w:t xml:space="preserve"> that meets</w:t>
            </w:r>
            <w:r w:rsidRPr="00286407">
              <w:t xml:space="preserve"> rural and remote community needs and service delivery</w:t>
            </w:r>
            <w:r>
              <w:t>.</w:t>
            </w:r>
          </w:p>
          <w:p w14:paraId="0D291DA0" w14:textId="77777777" w:rsidR="00914191" w:rsidRPr="0034418C" w:rsidRDefault="00914191" w:rsidP="00914191">
            <w:pPr>
              <w:pStyle w:val="ListParagraph"/>
              <w:numPr>
                <w:ilvl w:val="0"/>
                <w:numId w:val="26"/>
              </w:numPr>
              <w:spacing w:after="0"/>
              <w:ind w:left="357" w:hanging="357"/>
              <w:rPr>
                <w:b/>
                <w:color w:val="046A38"/>
              </w:rPr>
            </w:pPr>
            <w:r w:rsidRPr="0034418C">
              <w:rPr>
                <w:b/>
                <w:color w:val="046A38"/>
              </w:rPr>
              <w:t>First Nations</w:t>
            </w:r>
            <w:r>
              <w:rPr>
                <w:b/>
                <w:color w:val="046A38"/>
              </w:rPr>
              <w:t>’</w:t>
            </w:r>
            <w:r w:rsidRPr="0034418C">
              <w:rPr>
                <w:b/>
                <w:color w:val="046A38"/>
              </w:rPr>
              <w:t xml:space="preserve"> </w:t>
            </w:r>
            <w:r>
              <w:rPr>
                <w:b/>
                <w:color w:val="046A38"/>
              </w:rPr>
              <w:t>p</w:t>
            </w:r>
            <w:r w:rsidRPr="0034418C">
              <w:rPr>
                <w:b/>
                <w:color w:val="046A38"/>
              </w:rPr>
              <w:t>eople</w:t>
            </w:r>
          </w:p>
          <w:p w14:paraId="54CCAA34" w14:textId="600E7F5D" w:rsidR="00914191" w:rsidRDefault="00914191" w:rsidP="00F26329">
            <w:r w:rsidRPr="00944E3B">
              <w:t>Strengthening and addressing culturally responsive support, access and equity of services provided to First Nations</w:t>
            </w:r>
            <w:r>
              <w:t>’</w:t>
            </w:r>
            <w:r w:rsidRPr="00944E3B">
              <w:t xml:space="preserve"> </w:t>
            </w:r>
            <w:r>
              <w:t>p</w:t>
            </w:r>
            <w:r w:rsidRPr="00944E3B">
              <w:t>eople</w:t>
            </w:r>
            <w:r>
              <w:t xml:space="preserve"> </w:t>
            </w:r>
            <w:r w:rsidRPr="00944E3B">
              <w:t>within the health system</w:t>
            </w:r>
            <w:r>
              <w:t>.</w:t>
            </w:r>
          </w:p>
        </w:tc>
        <w:tc>
          <w:tcPr>
            <w:tcW w:w="6686" w:type="dxa"/>
            <w:tcMar>
              <w:top w:w="0" w:type="dxa"/>
            </w:tcMar>
            <w:vAlign w:val="center"/>
          </w:tcPr>
          <w:p w14:paraId="16E90170" w14:textId="77777777" w:rsidR="0032600B" w:rsidRDefault="0032600B" w:rsidP="007914F4">
            <w:pPr>
              <w:spacing w:after="240"/>
              <w:jc w:val="right"/>
            </w:pPr>
            <w:r>
              <w:rPr>
                <w:noProof/>
              </w:rPr>
              <w:drawing>
                <wp:inline distT="0" distB="0" distL="0" distR="0" wp14:anchorId="22C74428" wp14:editId="3BE2849E">
                  <wp:extent cx="4170568" cy="4010025"/>
                  <wp:effectExtent l="0" t="0" r="0" b="0"/>
                  <wp:docPr id="52379508" name="Picture 52379508" descr="P718C2T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9508" name="Picture 52379508" descr="P718C2T5#yIS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3265" r="13227"/>
                          <a:stretch/>
                        </pic:blipFill>
                        <pic:spPr bwMode="auto">
                          <a:xfrm>
                            <a:off x="0" y="0"/>
                            <a:ext cx="4250100" cy="4086495"/>
                          </a:xfrm>
                          <a:prstGeom prst="rect">
                            <a:avLst/>
                          </a:prstGeom>
                          <a:noFill/>
                          <a:ln>
                            <a:noFill/>
                          </a:ln>
                          <a:extLst>
                            <a:ext uri="{53640926-AAD7-44D8-BBD7-CCE9431645EC}">
                              <a14:shadowObscured xmlns:a14="http://schemas.microsoft.com/office/drawing/2010/main"/>
                            </a:ext>
                          </a:extLst>
                        </pic:spPr>
                      </pic:pic>
                    </a:graphicData>
                  </a:graphic>
                </wp:inline>
              </w:drawing>
            </w:r>
          </w:p>
          <w:p w14:paraId="4AAA824E" w14:textId="47248EBC" w:rsidR="0032600B" w:rsidRPr="0032600B" w:rsidRDefault="0032600B" w:rsidP="00C2024B">
            <w:pPr>
              <w:pStyle w:val="Caption"/>
              <w:rPr>
                <w:noProof/>
                <w:sz w:val="20"/>
                <w:szCs w:val="20"/>
              </w:rPr>
            </w:pPr>
            <w:bookmarkStart w:id="97" w:name="_Ref143546423"/>
            <w:bookmarkStart w:id="98" w:name="_Toc148968388"/>
            <w:r>
              <w:t xml:space="preserve">Figure </w:t>
            </w:r>
            <w:r>
              <w:fldChar w:fldCharType="begin"/>
            </w:r>
            <w:r>
              <w:instrText xml:space="preserve"> SEQ Figure \* ARABIC </w:instrText>
            </w:r>
            <w:r>
              <w:fldChar w:fldCharType="separate"/>
            </w:r>
            <w:r w:rsidR="003F5D51">
              <w:rPr>
                <w:noProof/>
              </w:rPr>
              <w:t>10</w:t>
            </w:r>
            <w:r>
              <w:fldChar w:fldCharType="end"/>
            </w:r>
            <w:bookmarkEnd w:id="97"/>
            <w:r>
              <w:t xml:space="preserve">: </w:t>
            </w:r>
            <w:r w:rsidRPr="0077143D">
              <w:t>Consistent themes identified in the Review</w:t>
            </w:r>
            <w:bookmarkEnd w:id="98"/>
          </w:p>
        </w:tc>
      </w:tr>
    </w:tbl>
    <w:p w14:paraId="6A4FF99F" w14:textId="77777777" w:rsidR="0044161B" w:rsidRPr="00E060B2" w:rsidRDefault="0044161B" w:rsidP="00841CFC">
      <w:pPr>
        <w:pStyle w:val="ListParagraph"/>
        <w:numPr>
          <w:ilvl w:val="0"/>
          <w:numId w:val="26"/>
        </w:numPr>
        <w:spacing w:after="0"/>
        <w:ind w:left="357" w:hanging="357"/>
        <w:rPr>
          <w:b/>
          <w:color w:val="007682"/>
        </w:rPr>
      </w:pPr>
      <w:r w:rsidRPr="00E060B2">
        <w:rPr>
          <w:b/>
          <w:color w:val="007682"/>
        </w:rPr>
        <w:t xml:space="preserve">Workforce and digital health </w:t>
      </w:r>
    </w:p>
    <w:p w14:paraId="19284778" w14:textId="6B024E9E" w:rsidR="0044161B" w:rsidRDefault="0044161B" w:rsidP="0044161B">
      <w:r w:rsidRPr="00CC16C9">
        <w:t xml:space="preserve">Enabling and incentivising a sufficient and skilled health professional workforce (including relevant strategies), providing digital </w:t>
      </w:r>
      <w:r w:rsidR="00640681">
        <w:t>health</w:t>
      </w:r>
      <w:r w:rsidR="00640681" w:rsidRPr="00CC16C9">
        <w:t xml:space="preserve"> </w:t>
      </w:r>
      <w:r w:rsidRPr="00CC16C9">
        <w:t>services, and accessing comprehensive health information about patients across the health sector at the point of care</w:t>
      </w:r>
      <w:r>
        <w:t>.</w:t>
      </w:r>
    </w:p>
    <w:p w14:paraId="394A7FFD" w14:textId="77777777" w:rsidR="0044161B" w:rsidRPr="0034418C" w:rsidRDefault="0044161B" w:rsidP="00841CFC">
      <w:pPr>
        <w:pStyle w:val="ListParagraph"/>
        <w:numPr>
          <w:ilvl w:val="0"/>
          <w:numId w:val="26"/>
        </w:numPr>
        <w:spacing w:after="0"/>
        <w:ind w:left="357" w:hanging="357"/>
        <w:rPr>
          <w:b/>
          <w:color w:val="44546A" w:themeColor="text2"/>
        </w:rPr>
      </w:pPr>
      <w:r w:rsidRPr="0034418C">
        <w:rPr>
          <w:b/>
          <w:color w:val="44546A" w:themeColor="text2"/>
        </w:rPr>
        <w:t>Measuring success</w:t>
      </w:r>
    </w:p>
    <w:p w14:paraId="7A1CEBFE" w14:textId="77777777" w:rsidR="0044161B" w:rsidRDefault="0044161B" w:rsidP="0044161B">
      <w:r>
        <w:t>Embedding</w:t>
      </w:r>
      <w:r w:rsidRPr="00B0153F">
        <w:t xml:space="preserve"> a performance framework as a proactive monitoring and planning tool to measure the performance of the health system, understand future pressures, and the capacity of the system to respond to these pressures</w:t>
      </w:r>
      <w:r>
        <w:t>.</w:t>
      </w:r>
    </w:p>
    <w:p w14:paraId="42965C5F" w14:textId="77777777" w:rsidR="0044161B" w:rsidRPr="00E060B2" w:rsidRDefault="0044161B" w:rsidP="00841CFC">
      <w:pPr>
        <w:pStyle w:val="ListParagraph"/>
        <w:numPr>
          <w:ilvl w:val="0"/>
          <w:numId w:val="26"/>
        </w:numPr>
        <w:spacing w:after="0"/>
        <w:ind w:left="357" w:hanging="357"/>
        <w:rPr>
          <w:b/>
          <w:color w:val="007E39"/>
        </w:rPr>
      </w:pPr>
      <w:r w:rsidRPr="00E060B2">
        <w:rPr>
          <w:b/>
          <w:color w:val="007E39"/>
        </w:rPr>
        <w:t xml:space="preserve">COVID-19 </w:t>
      </w:r>
    </w:p>
    <w:p w14:paraId="1D626DF9" w14:textId="77777777" w:rsidR="0044161B" w:rsidRDefault="0044161B" w:rsidP="0044161B">
      <w:r>
        <w:t xml:space="preserve">Providing </w:t>
      </w:r>
      <w:r w:rsidRPr="000A7AFE">
        <w:t xml:space="preserve">flexibility </w:t>
      </w:r>
      <w:r>
        <w:t xml:space="preserve">in </w:t>
      </w:r>
      <w:r w:rsidRPr="008F71FD">
        <w:t xml:space="preserve">the Agreement </w:t>
      </w:r>
      <w:r w:rsidRPr="000A7AFE">
        <w:t xml:space="preserve">to respond to large external shocks </w:t>
      </w:r>
      <w:r w:rsidRPr="008F71FD">
        <w:t xml:space="preserve">and major disruptions </w:t>
      </w:r>
      <w:r w:rsidRPr="000A7AFE">
        <w:t>to the system, such as COVID-19</w:t>
      </w:r>
      <w:r>
        <w:t>.</w:t>
      </w:r>
    </w:p>
    <w:p w14:paraId="6421AB8B" w14:textId="125D5667" w:rsidR="008D2014" w:rsidRDefault="0044161B" w:rsidP="008B60F9">
      <w:r w:rsidRPr="0034418C">
        <w:t>Consultation outcomes are mapped to these 10 themes in sections</w:t>
      </w:r>
      <w:r w:rsidR="00551CC3">
        <w:t xml:space="preserve"> </w:t>
      </w:r>
      <w:r w:rsidR="00551CC3">
        <w:fldChar w:fldCharType="begin" w:fldLock="1"/>
      </w:r>
      <w:r w:rsidR="00551CC3">
        <w:instrText xml:space="preserve"> REF _Ref146698632 \w \h </w:instrText>
      </w:r>
      <w:r w:rsidR="00551CC3">
        <w:fldChar w:fldCharType="separate"/>
      </w:r>
      <w:r w:rsidR="00FA10A4">
        <w:t>3.1</w:t>
      </w:r>
      <w:r w:rsidR="00551CC3">
        <w:fldChar w:fldCharType="end"/>
      </w:r>
      <w:r w:rsidR="00551CC3">
        <w:t xml:space="preserve"> to </w:t>
      </w:r>
      <w:r w:rsidR="00551CC3">
        <w:fldChar w:fldCharType="begin" w:fldLock="1"/>
      </w:r>
      <w:r w:rsidR="00551CC3">
        <w:instrText xml:space="preserve"> REF _Ref143090530 \w \h </w:instrText>
      </w:r>
      <w:r w:rsidR="00551CC3">
        <w:fldChar w:fldCharType="separate"/>
      </w:r>
      <w:r w:rsidR="00FA10A4">
        <w:t>3.10</w:t>
      </w:r>
      <w:r w:rsidR="00551CC3">
        <w:fldChar w:fldCharType="end"/>
      </w:r>
      <w:r w:rsidRPr="0034418C">
        <w:t xml:space="preserve">, covering a summary of what </w:t>
      </w:r>
      <w:r w:rsidR="007F2FD4">
        <w:t>was</w:t>
      </w:r>
      <w:r w:rsidRPr="0034418C">
        <w:t xml:space="preserve"> heard in consultations, specific key issues raised, strengths</w:t>
      </w:r>
      <w:r w:rsidR="0058317A">
        <w:t xml:space="preserve"> </w:t>
      </w:r>
      <w:r w:rsidR="0058317A" w:rsidRPr="0058317A">
        <w:t>and case studies where relevant</w:t>
      </w:r>
      <w:r w:rsidR="000A7AFE">
        <w:t>.</w:t>
      </w:r>
      <w:bookmarkStart w:id="99" w:name="_Ref143162044"/>
      <w:bookmarkStart w:id="100" w:name="_Toc143291653"/>
    </w:p>
    <w:p w14:paraId="7ABED546" w14:textId="0E8EAEA6" w:rsidR="00EC7971" w:rsidRDefault="009D7C15" w:rsidP="00EC7971">
      <w:pPr>
        <w:pStyle w:val="Heading2"/>
        <w:pageBreakBefore/>
      </w:pPr>
      <w:bookmarkStart w:id="101" w:name="_Ref146698632"/>
      <w:r>
        <w:rPr>
          <w:noProof/>
        </w:rPr>
        <w:drawing>
          <wp:anchor distT="0" distB="0" distL="114300" distR="114300" simplePos="0" relativeHeight="251602944" behindDoc="0" locked="0" layoutInCell="1" allowOverlap="1" wp14:anchorId="1E70448D" wp14:editId="40DA6DBF">
            <wp:simplePos x="0" y="0"/>
            <wp:positionH relativeFrom="column">
              <wp:posOffset>6031675</wp:posOffset>
            </wp:positionH>
            <wp:positionV relativeFrom="paragraph">
              <wp:posOffset>-74295</wp:posOffset>
            </wp:positionV>
            <wp:extent cx="637213" cy="783772"/>
            <wp:effectExtent l="0" t="0" r="0" b="0"/>
            <wp:wrapNone/>
            <wp:docPr id="6" name="Picture 6" descr="P72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728#y1">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637213" cy="783772"/>
                    </a:xfrm>
                    <a:prstGeom prst="rect">
                      <a:avLst/>
                    </a:prstGeom>
                  </pic:spPr>
                </pic:pic>
              </a:graphicData>
            </a:graphic>
            <wp14:sizeRelH relativeFrom="page">
              <wp14:pctWidth>0</wp14:pctWidth>
            </wp14:sizeRelH>
            <wp14:sizeRelV relativeFrom="page">
              <wp14:pctHeight>0</wp14:pctHeight>
            </wp14:sizeRelV>
          </wp:anchor>
        </w:drawing>
      </w:r>
      <w:r w:rsidR="00EC7971">
        <w:t>Whole of system Agreement</w:t>
      </w:r>
      <w:bookmarkEnd w:id="101"/>
    </w:p>
    <w:tbl>
      <w:tblPr>
        <w:tblStyle w:val="TableGrid"/>
        <w:tblW w:w="0" w:type="auto"/>
        <w:shd w:val="clear" w:color="auto" w:fill="F2F2F2" w:themeFill="background1" w:themeFillShade="F2"/>
        <w:tblLook w:val="04A0" w:firstRow="1" w:lastRow="0" w:firstColumn="1" w:lastColumn="0" w:noHBand="0" w:noVBand="1"/>
      </w:tblPr>
      <w:tblGrid>
        <w:gridCol w:w="10466"/>
      </w:tblGrid>
      <w:tr w:rsidR="00EC7971" w14:paraId="5B9365E3" w14:textId="77777777" w:rsidTr="00C10B26">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tcPr>
          <w:bookmarkEnd w:id="99"/>
          <w:bookmarkEnd w:id="100"/>
          <w:p w14:paraId="0608E036" w14:textId="3913A4EB" w:rsidR="00EC7971" w:rsidRDefault="00EC7971" w:rsidP="00C10B26">
            <w:pPr>
              <w:pStyle w:val="Summarytable"/>
              <w:rPr>
                <w:color w:val="00707E" w:themeColor="accent5" w:themeShade="BF"/>
              </w:rPr>
            </w:pPr>
            <w:r>
              <w:rPr>
                <w:noProof/>
              </w:rPr>
              <w:drawing>
                <wp:inline distT="0" distB="0" distL="0" distR="0" wp14:anchorId="5AB78ADA" wp14:editId="7EC9D69D">
                  <wp:extent cx="270000" cy="270000"/>
                  <wp:effectExtent l="0" t="0" r="0" b="0"/>
                  <wp:docPr id="19" name="Graphic 19" descr="P729C1T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P729C1T6#yIS1">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70000" cy="270000"/>
                          </a:xfrm>
                          <a:prstGeom prst="rect">
                            <a:avLst/>
                          </a:prstGeom>
                        </pic:spPr>
                      </pic:pic>
                    </a:graphicData>
                  </a:graphic>
                </wp:inline>
              </w:drawing>
            </w:r>
            <w:r w:rsidR="0032600B">
              <w:rPr>
                <w:color w:val="00707E" w:themeColor="accent5" w:themeShade="BF"/>
              </w:rPr>
              <w:t xml:space="preserve"> </w:t>
            </w:r>
            <w:r w:rsidRPr="00BB2C81">
              <w:rPr>
                <w:color w:val="00707E" w:themeColor="accent5" w:themeShade="BF"/>
              </w:rPr>
              <w:t>Summary</w:t>
            </w:r>
            <w:r>
              <w:rPr>
                <w:color w:val="00707E" w:themeColor="accent5" w:themeShade="BF"/>
              </w:rPr>
              <w:t xml:space="preserve"> of what we heard</w:t>
            </w:r>
            <w:r w:rsidRPr="00BB2C81">
              <w:rPr>
                <w:color w:val="00707E" w:themeColor="accent5" w:themeShade="BF"/>
              </w:rPr>
              <w:t>:</w:t>
            </w:r>
          </w:p>
          <w:p w14:paraId="1D8E1BCF" w14:textId="77777777" w:rsidR="00EC7971" w:rsidRDefault="00EC7971" w:rsidP="00C10B26">
            <w:pPr>
              <w:pStyle w:val="Summarytable"/>
              <w:spacing w:before="240"/>
              <w:rPr>
                <w:color w:val="00707E" w:themeColor="accent5" w:themeShade="BF"/>
              </w:rPr>
            </w:pPr>
            <w:r w:rsidRPr="00FD1CE3">
              <w:t>Stakeholders generally considered that the NHRA did not operate as a health reform agreement, but as a technical hospital financing agreement. While its objectives and schedules aspired to a broadly based approach to engagement and reform, this did not happen in practice.</w:t>
            </w:r>
            <w:r w:rsidRPr="000D5369">
              <w:rPr>
                <w:b w:val="0"/>
              </w:rPr>
              <w:t xml:space="preserve"> There was no place where a holistic health system view could be taken, including to identify and respond to current and future system pressures</w:t>
            </w:r>
            <w:r>
              <w:rPr>
                <w:b w:val="0"/>
              </w:rPr>
              <w:t>, or to incorporate the views and responsibilities of different sectors and players</w:t>
            </w:r>
            <w:r w:rsidRPr="000D5369">
              <w:rPr>
                <w:b w:val="0"/>
              </w:rPr>
              <w:t>.</w:t>
            </w:r>
          </w:p>
          <w:p w14:paraId="6FCDA3C5" w14:textId="2C325DF2" w:rsidR="00EC7971" w:rsidRDefault="00EC7971" w:rsidP="00C10B26">
            <w:pPr>
              <w:pStyle w:val="Summarytable"/>
              <w:rPr>
                <w:b w:val="0"/>
                <w:bCs w:val="0"/>
              </w:rPr>
            </w:pPr>
            <w:r w:rsidRPr="00700B3B">
              <w:rPr>
                <w:b w:val="0"/>
                <w:bCs w:val="0"/>
              </w:rPr>
              <w:t xml:space="preserve">The objectives and goals of the NHRA </w:t>
            </w:r>
            <w:r>
              <w:rPr>
                <w:b w:val="0"/>
                <w:bCs w:val="0"/>
              </w:rPr>
              <w:t>tended to operate</w:t>
            </w:r>
            <w:r w:rsidRPr="00700B3B">
              <w:rPr>
                <w:b w:val="0"/>
                <w:bCs w:val="0"/>
              </w:rPr>
              <w:t xml:space="preserve"> in isolation from other bilateral agreements that interact with, or are related to </w:t>
            </w:r>
            <w:r>
              <w:rPr>
                <w:b w:val="0"/>
                <w:bCs w:val="0"/>
              </w:rPr>
              <w:t xml:space="preserve">it, for example those seeking to address access </w:t>
            </w:r>
            <w:r w:rsidR="00A011F2">
              <w:rPr>
                <w:b w:val="0"/>
                <w:bCs w:val="0"/>
              </w:rPr>
              <w:t xml:space="preserve">to health care </w:t>
            </w:r>
            <w:r>
              <w:rPr>
                <w:b w:val="0"/>
                <w:bCs w:val="0"/>
              </w:rPr>
              <w:t>for high priority groups</w:t>
            </w:r>
            <w:r w:rsidR="00341A92">
              <w:rPr>
                <w:b w:val="0"/>
                <w:bCs w:val="0"/>
              </w:rPr>
              <w:t xml:space="preserve"> such as mental health or First Nations</w:t>
            </w:r>
            <w:r w:rsidR="00754D29">
              <w:rPr>
                <w:b w:val="0"/>
                <w:bCs w:val="0"/>
              </w:rPr>
              <w:t xml:space="preserve"> people</w:t>
            </w:r>
            <w:r>
              <w:rPr>
                <w:b w:val="0"/>
                <w:bCs w:val="0"/>
              </w:rPr>
              <w:t>. In a similar vein, some of the key Agreement enablers (digital health and workforce) are not widely referenced.</w:t>
            </w:r>
          </w:p>
          <w:p w14:paraId="3F10B906" w14:textId="7348BDBE" w:rsidR="00EC7971" w:rsidRDefault="00EC7971" w:rsidP="00C10B26">
            <w:pPr>
              <w:pStyle w:val="Summarytable"/>
              <w:rPr>
                <w:b w:val="0"/>
                <w:bCs w:val="0"/>
              </w:rPr>
            </w:pPr>
            <w:r>
              <w:rPr>
                <w:b w:val="0"/>
                <w:bCs w:val="0"/>
              </w:rPr>
              <w:t xml:space="preserve">It was apparent from stakeholder comments that, while the national bodies had performed essential functions in implementing elements of the Agreement, there was a mixed understanding of their role and functions and, in some instances, momentum had been lost when functions transferred and the level of national governance reduced, particularly following changes to COAG arrangements. There was </w:t>
            </w:r>
            <w:r w:rsidR="00A011F2">
              <w:rPr>
                <w:b w:val="0"/>
                <w:bCs w:val="0"/>
              </w:rPr>
              <w:t xml:space="preserve">a </w:t>
            </w:r>
            <w:r>
              <w:rPr>
                <w:b w:val="0"/>
                <w:bCs w:val="0"/>
              </w:rPr>
              <w:t xml:space="preserve">tension expressed between the independence of the key national bodies and a desire from jurisdictions for greater responsiveness in addressing technical issues and immediate pressures. </w:t>
            </w:r>
          </w:p>
          <w:p w14:paraId="7F96E9C7" w14:textId="77777777" w:rsidR="00EC7971" w:rsidRPr="00804B8B" w:rsidRDefault="00EC7971" w:rsidP="00C10B26">
            <w:pPr>
              <w:pStyle w:val="Summarytable"/>
              <w:spacing w:after="240"/>
              <w:rPr>
                <w:b w:val="0"/>
              </w:rPr>
            </w:pPr>
            <w:r>
              <w:rPr>
                <w:b w:val="0"/>
                <w:bCs w:val="0"/>
              </w:rPr>
              <w:t>Reform aspirations are clear throughout the Addendum. Stakeholders noted that, while there are pockets of innovation, they have not been systemic and are stifled by lack of dedicated funding and bureaucratic process. There has been insufficient use of the data and expertise held by the national bodies in mapping out reform opportunities and solutions.</w:t>
            </w:r>
          </w:p>
        </w:tc>
      </w:tr>
    </w:tbl>
    <w:p w14:paraId="40B89333" w14:textId="77777777" w:rsidR="006D45D5" w:rsidRDefault="006D45D5" w:rsidP="006D45D5">
      <w:pPr>
        <w:pStyle w:val="Heading3"/>
        <w:spacing w:before="120"/>
      </w:pPr>
      <w:bookmarkStart w:id="102" w:name="_Toc143291654"/>
      <w:r>
        <w:t>Identified issues</w:t>
      </w:r>
      <w:bookmarkEnd w:id="102"/>
      <w:r>
        <w:t xml:space="preserve"> </w:t>
      </w:r>
    </w:p>
    <w:p w14:paraId="03F3EE49" w14:textId="77777777" w:rsidR="003A7510" w:rsidRPr="00CE26D9" w:rsidRDefault="003A7510" w:rsidP="003A7510">
      <w:r>
        <w:t>The key issues identified by stakeholders as part of this theme were:</w:t>
      </w:r>
    </w:p>
    <w:p w14:paraId="4009296E" w14:textId="77777777" w:rsidR="00EC7971" w:rsidRDefault="00EC7971" w:rsidP="00835D0E">
      <w:pPr>
        <w:pStyle w:val="Longdotpoints"/>
        <w:ind w:left="567"/>
      </w:pPr>
      <w:r>
        <w:t xml:space="preserve">The NHRA was seen as operating narrowly as a hospital financing agreement, driving a focus on technical efficiency and at times preventing progress towards the shared objective of delivering safe, quality care in the right place. </w:t>
      </w:r>
    </w:p>
    <w:p w14:paraId="3A8742AB" w14:textId="77777777" w:rsidR="00EC7971" w:rsidRDefault="00EC7971" w:rsidP="00835D0E">
      <w:pPr>
        <w:pStyle w:val="Longdotpoints"/>
        <w:ind w:left="567"/>
      </w:pPr>
      <w:r w:rsidRPr="00C30BAE">
        <w:t xml:space="preserve">The NHRA does not </w:t>
      </w:r>
      <w:r>
        <w:t xml:space="preserve">operate in partnership with broader system stakeholders, including consumers and there are no channels for </w:t>
      </w:r>
      <w:r w:rsidRPr="00C30BAE">
        <w:t>consumer</w:t>
      </w:r>
      <w:r>
        <w:t>s and consumer organisations</w:t>
      </w:r>
      <w:r w:rsidRPr="00C30BAE">
        <w:t xml:space="preserve"> to raise issues</w:t>
      </w:r>
      <w:r w:rsidRPr="002339E6">
        <w:t>.</w:t>
      </w:r>
    </w:p>
    <w:p w14:paraId="72156E90" w14:textId="2B93EE6D" w:rsidR="00E51763" w:rsidRDefault="00E51763" w:rsidP="00835D0E">
      <w:pPr>
        <w:pStyle w:val="Longdotpoints"/>
        <w:ind w:left="567"/>
      </w:pPr>
      <w:r>
        <w:t xml:space="preserve">The NHRA principles and objectives aim to provide a pathway to improve the interface between sectors, however progress has tended to be fragmented, uncoordinated and supported by limited additional funding to support new models of care. Stakeholders indicated the NHRA often lacks sufficient detail, or the wording is too ambiguous, with few processes </w:t>
      </w:r>
      <w:r w:rsidR="001F364E">
        <w:t xml:space="preserve">or measures </w:t>
      </w:r>
      <w:r>
        <w:t>to assess if the Agreement is delivering on the NHRA intent.</w:t>
      </w:r>
    </w:p>
    <w:p w14:paraId="3B3F7F5A" w14:textId="0DFA5D15" w:rsidR="00E51763" w:rsidRDefault="00E51763" w:rsidP="00835D0E">
      <w:pPr>
        <w:pStyle w:val="Longdotpoints"/>
        <w:ind w:left="567"/>
      </w:pPr>
      <w:r>
        <w:t xml:space="preserve">Considering the ongoing implications of COVID-19, changes to national governance and new priorities, a holistic approach to the management of the health system was needed, recognising the interplay between different parts of the care continuum and between healthcare and adjacent sectors such as </w:t>
      </w:r>
      <w:r w:rsidR="00341A92">
        <w:t>primary care, a</w:t>
      </w:r>
      <w:r>
        <w:t xml:space="preserve">ged </w:t>
      </w:r>
      <w:r w:rsidR="00341A92">
        <w:t>c</w:t>
      </w:r>
      <w:r>
        <w:t xml:space="preserve">are and </w:t>
      </w:r>
      <w:r w:rsidR="00341A92">
        <w:t>d</w:t>
      </w:r>
      <w:r>
        <w:t>isability.</w:t>
      </w:r>
    </w:p>
    <w:p w14:paraId="0E056F0C" w14:textId="7E83C91F" w:rsidR="00E51763" w:rsidRDefault="00E51763" w:rsidP="00835D0E">
      <w:pPr>
        <w:pStyle w:val="Longdotpoints"/>
        <w:ind w:left="567"/>
      </w:pPr>
      <w:r>
        <w:t xml:space="preserve">The objectives and goals of the NHRA tend to be considered in isolation from other bilateral agreements that interact with, or are related to, the NHRA. While its objectives and schedules aspired to a broadly based approach to engagement and reform, this does not happen in practice. Particular examples cited in consultations included the </w:t>
      </w:r>
      <w:r w:rsidRPr="00D16C69">
        <w:rPr>
          <w:i/>
          <w:iCs/>
        </w:rPr>
        <w:t>National Agreement on Closing the Gap</w:t>
      </w:r>
      <w:r>
        <w:t xml:space="preserve">, the </w:t>
      </w:r>
      <w:r w:rsidRPr="00D16C69">
        <w:rPr>
          <w:i/>
          <w:iCs/>
        </w:rPr>
        <w:t xml:space="preserve">National Mental Health and Suicide Prevention </w:t>
      </w:r>
      <w:r w:rsidR="00341A92">
        <w:rPr>
          <w:i/>
          <w:iCs/>
        </w:rPr>
        <w:t>Agreement, the National Preventive Health Strategy</w:t>
      </w:r>
      <w:r w:rsidR="00341A92">
        <w:t xml:space="preserve"> </w:t>
      </w:r>
      <w:r>
        <w:t xml:space="preserve">and health workforce initiatives. </w:t>
      </w:r>
    </w:p>
    <w:p w14:paraId="0181E08D" w14:textId="2BA38496" w:rsidR="00E51763" w:rsidRDefault="00E51763" w:rsidP="00835D0E">
      <w:pPr>
        <w:pStyle w:val="Longdotpoints"/>
        <w:ind w:left="567"/>
      </w:pPr>
      <w:r>
        <w:t xml:space="preserve">Stakeholder understanding of the roles, functions and performance of national bodies varied. In some instances, national bodies were perceived as having lost momentum or there was confusion about lines of responsibility, notably with the dissolution of some bodies e.g., </w:t>
      </w:r>
      <w:r w:rsidR="008F084E">
        <w:t xml:space="preserve">those related to </w:t>
      </w:r>
      <w:r>
        <w:t>COAG</w:t>
      </w:r>
      <w:r w:rsidR="00EC7971">
        <w:t>.</w:t>
      </w:r>
      <w:r>
        <w:t xml:space="preserve"> </w:t>
      </w:r>
    </w:p>
    <w:p w14:paraId="6E9035BF" w14:textId="77777777" w:rsidR="00E51763" w:rsidRDefault="00E51763" w:rsidP="00835D0E">
      <w:pPr>
        <w:pStyle w:val="Longdotpoints"/>
        <w:ind w:left="567"/>
      </w:pPr>
      <w:r>
        <w:t xml:space="preserve">There was a perceived tension between the independent nature of the key pricing and funding national bodies and the development of shared goals and actions. Stakeholders indicated a desire for increased responsiveness to individual jurisdictional concerns, and to foster more effective and collaborative decision-making. </w:t>
      </w:r>
    </w:p>
    <w:p w14:paraId="2D6AC6E4" w14:textId="77777777" w:rsidR="00E06C54" w:rsidRDefault="00E51763" w:rsidP="00835D0E">
      <w:pPr>
        <w:pStyle w:val="Longdotpoints"/>
        <w:ind w:left="567"/>
      </w:pPr>
      <w:r>
        <w:t>Some stakeholders commented that the Addendum does not hold parties accountable when they fail to implement their elements of the Agreement. A stronger mechanism to drive greater accountability for all governments was seen as required.</w:t>
      </w:r>
    </w:p>
    <w:p w14:paraId="745CEA6C" w14:textId="20C7ACF0" w:rsidR="00E06C54" w:rsidRDefault="00E06C54" w:rsidP="00835D0E">
      <w:pPr>
        <w:pStyle w:val="Longdotpoints"/>
        <w:ind w:left="567"/>
      </w:pPr>
      <w:r>
        <w:t xml:space="preserve">Limited progress was identified in implementing the Agreement’s </w:t>
      </w:r>
      <w:r w:rsidR="0024745B">
        <w:t>LTR</w:t>
      </w:r>
      <w:r>
        <w:t xml:space="preserve"> agenda due to insufficient coordination between the </w:t>
      </w:r>
      <w:r w:rsidR="00692B10">
        <w:t xml:space="preserve">Commonwealth, </w:t>
      </w:r>
      <w:r>
        <w:t>State</w:t>
      </w:r>
      <w:r w:rsidR="00692B10">
        <w:t>s,</w:t>
      </w:r>
      <w:r>
        <w:t xml:space="preserve"> Territor</w:t>
      </w:r>
      <w:r w:rsidR="00692B10">
        <w:t>ies</w:t>
      </w:r>
      <w:r>
        <w:t xml:space="preserve"> </w:t>
      </w:r>
      <w:r w:rsidR="00692B10">
        <w:t>and</w:t>
      </w:r>
      <w:r w:rsidR="004C27B6" w:rsidRPr="004C27B6">
        <w:t xml:space="preserve"> </w:t>
      </w:r>
      <w:r w:rsidR="004C27B6">
        <w:t>national bodies</w:t>
      </w:r>
      <w:r w:rsidR="00EC7971">
        <w:t>.</w:t>
      </w:r>
      <w:r>
        <w:t xml:space="preserve"> Stronger incentives, additional resources and oversight at a national level to drive action and improve outcomes was seen as necessary</w:t>
      </w:r>
      <w:r w:rsidR="004735A6">
        <w:t xml:space="preserve"> (</w:t>
      </w:r>
      <w:r w:rsidR="00583DF5">
        <w:t>see</w:t>
      </w:r>
      <w:r w:rsidR="004735A6">
        <w:t xml:space="preserve"> </w:t>
      </w:r>
      <w:r w:rsidR="008421D0">
        <w:t>Observation</w:t>
      </w:r>
      <w:r w:rsidR="00583DF5">
        <w:t>: Reform Implementation Group)</w:t>
      </w:r>
      <w:r>
        <w:t>.</w:t>
      </w:r>
    </w:p>
    <w:p w14:paraId="2B9A2A05" w14:textId="41AAA283" w:rsidR="006D45D5" w:rsidRDefault="006D45D5" w:rsidP="00835D0E">
      <w:pPr>
        <w:pStyle w:val="Heading3"/>
      </w:pPr>
      <w:bookmarkStart w:id="103" w:name="_Toc143291655"/>
      <w:r>
        <w:t>Strengths</w:t>
      </w:r>
      <w:bookmarkEnd w:id="103"/>
    </w:p>
    <w:p w14:paraId="544AD429" w14:textId="77777777" w:rsidR="000B692B" w:rsidRDefault="000B692B" w:rsidP="00835D0E">
      <w:pPr>
        <w:pStyle w:val="Longdotpoints"/>
        <w:keepNext/>
        <w:keepLines/>
        <w:numPr>
          <w:ilvl w:val="0"/>
          <w:numId w:val="0"/>
        </w:numPr>
      </w:pPr>
      <w:r>
        <w:t>Some of the strengths identified by stakeholders include:</w:t>
      </w:r>
    </w:p>
    <w:p w14:paraId="55BA1AA2" w14:textId="74F9407E" w:rsidR="00EC7971" w:rsidRDefault="00EC7971" w:rsidP="00835D0E">
      <w:pPr>
        <w:pStyle w:val="Longdotpoints"/>
        <w:ind w:left="567"/>
      </w:pPr>
      <w:r>
        <w:t>The Agreement has brought improved technical efficiency and greater transparency to the flow of Commonwealth</w:t>
      </w:r>
      <w:r w:rsidR="001615D9">
        <w:t xml:space="preserve">, </w:t>
      </w:r>
      <w:r>
        <w:t>State</w:t>
      </w:r>
      <w:r w:rsidR="001615D9">
        <w:t xml:space="preserve"> and </w:t>
      </w:r>
      <w:r>
        <w:t xml:space="preserve">Territory monies to </w:t>
      </w:r>
      <w:r w:rsidR="00B457BD">
        <w:t>LHNs</w:t>
      </w:r>
      <w:r>
        <w:t xml:space="preserve"> and the relationship of those monies to activity, enabled through regular reporting and the operation of the national bodies independently of government.</w:t>
      </w:r>
    </w:p>
    <w:p w14:paraId="5F9CAEB6" w14:textId="77777777" w:rsidR="00EC7971" w:rsidRDefault="00EC7971" w:rsidP="00835D0E">
      <w:pPr>
        <w:pStyle w:val="Longdotpoints"/>
        <w:ind w:left="567"/>
      </w:pPr>
      <w:r w:rsidRPr="00FE0BF8">
        <w:t xml:space="preserve">There is shared commitment across jurisdictional health authorities towards the NHRA’s objectives and </w:t>
      </w:r>
      <w:r>
        <w:t>LTRs</w:t>
      </w:r>
      <w:r w:rsidRPr="00FE0BF8">
        <w:t xml:space="preserve">, </w:t>
      </w:r>
      <w:r>
        <w:t>focused on a</w:t>
      </w:r>
      <w:r w:rsidRPr="00FE0BF8">
        <w:t xml:space="preserve"> health system </w:t>
      </w:r>
      <w:r>
        <w:t xml:space="preserve">that </w:t>
      </w:r>
      <w:r w:rsidRPr="00FE0BF8">
        <w:t>is more patient-centric, outcomes focused and financially sustainable</w:t>
      </w:r>
      <w:r w:rsidRPr="000D5734">
        <w:t>.</w:t>
      </w:r>
      <w:r>
        <w:t xml:space="preserve"> The shared commitment brings a platform of national dialogue for health operations, collaboration between jurisdictions and a greater level of </w:t>
      </w:r>
      <w:r w:rsidRPr="008055EE">
        <w:t>consistency in data collection and reporting</w:t>
      </w:r>
      <w:r>
        <w:t xml:space="preserve">. </w:t>
      </w:r>
    </w:p>
    <w:tbl>
      <w:tblPr>
        <w:tblStyle w:val="TableGrid"/>
        <w:tblW w:w="0" w:type="auto"/>
        <w:tblBorders>
          <w:top w:val="dashSmallGap" w:sz="4" w:space="0" w:color="8496B0" w:themeColor="text2" w:themeTint="99"/>
          <w:left w:val="dashSmallGap" w:sz="4" w:space="0" w:color="8496B0" w:themeColor="text2" w:themeTint="99"/>
          <w:bottom w:val="dashSmallGap" w:sz="4" w:space="0" w:color="8496B0" w:themeColor="text2" w:themeTint="99"/>
          <w:right w:val="dashSmallGap" w:sz="4" w:space="0" w:color="8496B0" w:themeColor="text2" w:themeTint="99"/>
        </w:tblBorders>
        <w:tblLook w:val="04A0" w:firstRow="1" w:lastRow="0" w:firstColumn="1" w:lastColumn="0" w:noHBand="0" w:noVBand="1"/>
      </w:tblPr>
      <w:tblGrid>
        <w:gridCol w:w="10456"/>
      </w:tblGrid>
      <w:tr w:rsidR="00EC7971" w14:paraId="0C368CE5" w14:textId="77777777" w:rsidTr="00E642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8E7719C" w14:textId="18FF8AED" w:rsidR="00EC7971" w:rsidRPr="00E642FA" w:rsidRDefault="00E642FA" w:rsidP="00C10B26">
            <w:pPr>
              <w:pStyle w:val="Summarytable"/>
              <w:keepNext/>
              <w:keepLines/>
              <w:rPr>
                <w:color w:val="8496B0" w:themeColor="text2" w:themeTint="99"/>
              </w:rPr>
            </w:pPr>
            <w:r w:rsidRPr="00914191">
              <w:rPr>
                <w:noProof/>
                <w:color w:val="8496B0" w:themeColor="text2" w:themeTint="99"/>
                <w:lang w:val="en-GB"/>
              </w:rPr>
              <w:drawing>
                <wp:inline distT="0" distB="0" distL="0" distR="0" wp14:anchorId="1EC41CCB" wp14:editId="203B374E">
                  <wp:extent cx="270000" cy="270000"/>
                  <wp:effectExtent l="0" t="0" r="0" b="0"/>
                  <wp:docPr id="13" name="Graphic 13" descr="P750C1T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P750C1T7#yIS1">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70000" cy="270000"/>
                          </a:xfrm>
                          <a:prstGeom prst="rect">
                            <a:avLst/>
                          </a:prstGeom>
                        </pic:spPr>
                      </pic:pic>
                    </a:graphicData>
                  </a:graphic>
                </wp:inline>
              </w:drawing>
            </w:r>
            <w:r w:rsidRPr="007E6224">
              <w:rPr>
                <w:color w:val="5B708F"/>
              </w:rPr>
              <w:t>Observation</w:t>
            </w:r>
            <w:r w:rsidR="00EC7971" w:rsidRPr="007E6224">
              <w:rPr>
                <w:color w:val="5B708F"/>
              </w:rPr>
              <w:t xml:space="preserve">: </w:t>
            </w:r>
            <w:r w:rsidR="00EC7971" w:rsidRPr="007E6224">
              <w:rPr>
                <w:b w:val="0"/>
                <w:bCs w:val="0"/>
                <w:color w:val="5B708F"/>
              </w:rPr>
              <w:t>Reform Implementation Group (RIG)</w:t>
            </w:r>
          </w:p>
          <w:p w14:paraId="01FE19F5" w14:textId="77777777" w:rsidR="00EC7971" w:rsidRPr="003578B9" w:rsidRDefault="00EC7971" w:rsidP="00C10B26">
            <w:pPr>
              <w:pStyle w:val="Summarytable"/>
              <w:keepLines/>
              <w:rPr>
                <w:b w:val="0"/>
                <w:bCs w:val="0"/>
              </w:rPr>
            </w:pPr>
            <w:r w:rsidRPr="00D768A4">
              <w:rPr>
                <w:b w:val="0"/>
                <w:bCs w:val="0"/>
              </w:rPr>
              <w:t>RIG was established under the HCEF to lead implementation of the NHRA including the LTRs. However, without dedicated and additional resourcing to drive implementation, RIG members have had to progress this work alongside their usual and demanding roles as senior health executives. While support for some of the LTR work has been sought and provided through other national processes (e.g., via the HCEF cost shared budget), the activities required to implement the LTRs are insufficiently resourced and progress has been slow</w:t>
            </w:r>
            <w:r w:rsidRPr="00E733CD">
              <w:rPr>
                <w:b w:val="0"/>
                <w:bCs w:val="0"/>
              </w:rPr>
              <w:t>.</w:t>
            </w:r>
          </w:p>
        </w:tc>
      </w:tr>
    </w:tbl>
    <w:p w14:paraId="23C7EC36" w14:textId="41E6740E" w:rsidR="001C4F37" w:rsidRDefault="00B0091A" w:rsidP="000D5369">
      <w:pPr>
        <w:pStyle w:val="Heading2"/>
        <w:pageBreakBefore/>
      </w:pPr>
      <w:bookmarkStart w:id="104" w:name="_Ref144798537"/>
      <w:bookmarkStart w:id="105" w:name="_Toc143291656"/>
      <w:r>
        <w:rPr>
          <w:noProof/>
        </w:rPr>
        <w:drawing>
          <wp:anchor distT="0" distB="0" distL="114300" distR="114300" simplePos="0" relativeHeight="251608064" behindDoc="0" locked="0" layoutInCell="1" allowOverlap="1" wp14:anchorId="7E318B16" wp14:editId="16B11839">
            <wp:simplePos x="0" y="0"/>
            <wp:positionH relativeFrom="column">
              <wp:posOffset>5848160</wp:posOffset>
            </wp:positionH>
            <wp:positionV relativeFrom="paragraph">
              <wp:posOffset>-77470</wp:posOffset>
            </wp:positionV>
            <wp:extent cx="810260" cy="723265"/>
            <wp:effectExtent l="0" t="0" r="8890" b="635"/>
            <wp:wrapNone/>
            <wp:docPr id="31" name="Picture 31" descr="P75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753#y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810260" cy="723265"/>
                    </a:xfrm>
                    <a:prstGeom prst="rect">
                      <a:avLst/>
                    </a:prstGeom>
                  </pic:spPr>
                </pic:pic>
              </a:graphicData>
            </a:graphic>
            <wp14:sizeRelH relativeFrom="page">
              <wp14:pctWidth>0</wp14:pctWidth>
            </wp14:sizeRelH>
            <wp14:sizeRelV relativeFrom="page">
              <wp14:pctHeight>0</wp14:pctHeight>
            </wp14:sizeRelV>
          </wp:anchor>
        </w:drawing>
      </w:r>
      <w:r w:rsidR="001C4F37">
        <w:t>Intersectoral collaboration</w:t>
      </w:r>
      <w:bookmarkEnd w:id="104"/>
      <w:bookmarkEnd w:id="105"/>
    </w:p>
    <w:tbl>
      <w:tblPr>
        <w:tblStyle w:val="TableGrid"/>
        <w:tblW w:w="0" w:type="auto"/>
        <w:shd w:val="clear" w:color="auto" w:fill="F2F2F2" w:themeFill="background1" w:themeFillShade="F2"/>
        <w:tblLook w:val="04A0" w:firstRow="1" w:lastRow="0" w:firstColumn="1" w:lastColumn="0" w:noHBand="0" w:noVBand="1"/>
      </w:tblPr>
      <w:tblGrid>
        <w:gridCol w:w="10466"/>
      </w:tblGrid>
      <w:tr w:rsidR="00EC7971" w14:paraId="0CBDB13D" w14:textId="77777777" w:rsidTr="00C10B26">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tcPr>
          <w:p w14:paraId="47BD94DF" w14:textId="4CB31ECE" w:rsidR="00EC7971" w:rsidRDefault="00EC7971" w:rsidP="00C10B26">
            <w:pPr>
              <w:pStyle w:val="Summarytable"/>
              <w:rPr>
                <w:color w:val="00707E" w:themeColor="accent5" w:themeShade="BF"/>
              </w:rPr>
            </w:pPr>
            <w:bookmarkStart w:id="106" w:name="_Hlk141799630"/>
            <w:r>
              <w:rPr>
                <w:noProof/>
              </w:rPr>
              <w:drawing>
                <wp:inline distT="0" distB="0" distL="0" distR="0" wp14:anchorId="2B4C471D" wp14:editId="1AC55EF7">
                  <wp:extent cx="270000" cy="270000"/>
                  <wp:effectExtent l="0" t="0" r="0" b="0"/>
                  <wp:docPr id="30" name="Graphic 30" descr="P754C1T8#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P754C1T8#yIS1">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70000" cy="270000"/>
                          </a:xfrm>
                          <a:prstGeom prst="rect">
                            <a:avLst/>
                          </a:prstGeom>
                        </pic:spPr>
                      </pic:pic>
                    </a:graphicData>
                  </a:graphic>
                </wp:inline>
              </w:drawing>
            </w:r>
            <w:r w:rsidR="0032600B">
              <w:rPr>
                <w:color w:val="00707E" w:themeColor="accent5" w:themeShade="BF"/>
              </w:rPr>
              <w:t xml:space="preserve">  </w:t>
            </w:r>
            <w:r w:rsidRPr="00BB2C81">
              <w:rPr>
                <w:color w:val="00707E" w:themeColor="accent5" w:themeShade="BF"/>
              </w:rPr>
              <w:t>Summary</w:t>
            </w:r>
            <w:r>
              <w:rPr>
                <w:color w:val="00707E" w:themeColor="accent5" w:themeShade="BF"/>
              </w:rPr>
              <w:t xml:space="preserve"> of what we heard</w:t>
            </w:r>
            <w:r w:rsidRPr="00BB2C81">
              <w:rPr>
                <w:color w:val="00707E" w:themeColor="accent5" w:themeShade="BF"/>
              </w:rPr>
              <w:t xml:space="preserve">: </w:t>
            </w:r>
          </w:p>
          <w:p w14:paraId="4F05019F" w14:textId="77777777" w:rsidR="00EC7971" w:rsidRDefault="00EC7971" w:rsidP="00C10B26">
            <w:pPr>
              <w:pStyle w:val="Summarytable"/>
              <w:rPr>
                <w:b w:val="0"/>
                <w:bCs w:val="0"/>
              </w:rPr>
            </w:pPr>
            <w:r w:rsidRPr="00D56B51">
              <w:t>Stakeholders considered that the NHRA fell short in encouraging intersectoral collaboration and enabling integrated patient-centred care.</w:t>
            </w:r>
            <w:r w:rsidRPr="00174876">
              <w:rPr>
                <w:b w:val="0"/>
                <w:bCs w:val="0"/>
              </w:rPr>
              <w:t xml:space="preserve"> </w:t>
            </w:r>
            <w:r w:rsidRPr="006E483B">
              <w:t>While all jurisdictions are making progress within their respective sectors, insufficient collaboration between sectors and tension around roles and responsibilities, has led to fragmented patient care pathways, suboptimal patient experiences and outcomes, and bottlenecks in hospital flows.</w:t>
            </w:r>
            <w:r w:rsidRPr="00174876">
              <w:rPr>
                <w:b w:val="0"/>
                <w:bCs w:val="0"/>
              </w:rPr>
              <w:t xml:space="preserve"> </w:t>
            </w:r>
            <w:r>
              <w:rPr>
                <w:b w:val="0"/>
                <w:bCs w:val="0"/>
              </w:rPr>
              <w:t>A particular area of concern was the number of disability and aged care patients who remain in public hospitals after their clinical episode is complete, contributing to hospital access block.</w:t>
            </w:r>
          </w:p>
          <w:p w14:paraId="0E1C0163" w14:textId="235B0C7D" w:rsidR="00EC7971" w:rsidRDefault="00EC7971" w:rsidP="00C10B26">
            <w:pPr>
              <w:pStyle w:val="Summarytable"/>
              <w:rPr>
                <w:b w:val="0"/>
                <w:bCs w:val="0"/>
              </w:rPr>
            </w:pPr>
            <w:r w:rsidRPr="00174876">
              <w:rPr>
                <w:b w:val="0"/>
                <w:bCs w:val="0"/>
              </w:rPr>
              <w:t>Recognising the pressing need for a more cohesive approach, stakeholders are actively advocating for enhanced intersectoral coordination and cooperation to address these challenges and create a more seamless healthcare system that prioritises the needs and well-being of patients throughout their healthcare journey.</w:t>
            </w:r>
            <w:r>
              <w:rPr>
                <w:b w:val="0"/>
                <w:bCs w:val="0"/>
              </w:rPr>
              <w:t xml:space="preserve"> </w:t>
            </w:r>
            <w:r w:rsidR="008421D0">
              <w:rPr>
                <w:b w:val="0"/>
                <w:bCs w:val="0"/>
              </w:rPr>
              <w:t>There was particular concern that, when primary care struggles to meet demand, avoidable hospital presentations result, that this is neither cost nor clinically effective and that States and Territories need to step in as providers of last resort.</w:t>
            </w:r>
          </w:p>
          <w:p w14:paraId="636DF786" w14:textId="77777777" w:rsidR="00EC7971" w:rsidRDefault="00EC7971" w:rsidP="00C10B26">
            <w:pPr>
              <w:pStyle w:val="Summarytable"/>
            </w:pPr>
            <w:r w:rsidRPr="008D20CA">
              <w:rPr>
                <w:b w:val="0"/>
                <w:bCs w:val="0"/>
              </w:rPr>
              <w:t xml:space="preserve">While the architecture </w:t>
            </w:r>
            <w:r>
              <w:rPr>
                <w:b w:val="0"/>
                <w:bCs w:val="0"/>
              </w:rPr>
              <w:t>for</w:t>
            </w:r>
            <w:r w:rsidRPr="008D20CA">
              <w:rPr>
                <w:b w:val="0"/>
                <w:bCs w:val="0"/>
              </w:rPr>
              <w:t xml:space="preserve"> integrated and locally responsive services is in the Agreement</w:t>
            </w:r>
            <w:r>
              <w:rPr>
                <w:b w:val="0"/>
                <w:bCs w:val="0"/>
              </w:rPr>
              <w:t>,</w:t>
            </w:r>
            <w:r w:rsidRPr="008D20CA">
              <w:rPr>
                <w:b w:val="0"/>
                <w:bCs w:val="0"/>
              </w:rPr>
              <w:t xml:space="preserve"> through the requirements on LHNs and PHNs, the track record of delivery at the local level has been patchy, in part due to a lack of flexible funding and an imbalance in the power and influence of the two sectors.</w:t>
            </w:r>
          </w:p>
        </w:tc>
      </w:tr>
    </w:tbl>
    <w:p w14:paraId="644537AA" w14:textId="77777777" w:rsidR="001C4F37" w:rsidRDefault="000B299A" w:rsidP="000B299A">
      <w:pPr>
        <w:pStyle w:val="Heading3"/>
        <w:spacing w:before="120"/>
      </w:pPr>
      <w:bookmarkStart w:id="107" w:name="_Toc143291657"/>
      <w:bookmarkEnd w:id="106"/>
      <w:r>
        <w:t>Identified issues</w:t>
      </w:r>
      <w:bookmarkEnd w:id="107"/>
      <w:r>
        <w:t xml:space="preserve"> </w:t>
      </w:r>
    </w:p>
    <w:p w14:paraId="4E75720A" w14:textId="77777777" w:rsidR="00BD165D" w:rsidRPr="00CE26D9" w:rsidRDefault="00BD165D" w:rsidP="00BD165D">
      <w:r>
        <w:t xml:space="preserve">The key issues identified </w:t>
      </w:r>
      <w:r w:rsidR="003E5D05">
        <w:t xml:space="preserve">by stakeholders </w:t>
      </w:r>
      <w:r>
        <w:t>as part of this theme were:</w:t>
      </w:r>
    </w:p>
    <w:p w14:paraId="0AA4B816" w14:textId="6E8BEEF7" w:rsidR="00EC7971" w:rsidRDefault="00EC7971" w:rsidP="00835D0E">
      <w:pPr>
        <w:pStyle w:val="Longdotpoints"/>
        <w:ind w:left="567"/>
      </w:pPr>
      <w:r>
        <w:t>There is insufficient cross-portfolio and cross-government collaboration to address system interface issues. There is a risk of poor patient experience and outcomes, as well as cost shifting between systems, in the absence of a shared understanding and contribution to responsibilities at the interface and how transitions are managed.</w:t>
      </w:r>
    </w:p>
    <w:p w14:paraId="6C36DE49" w14:textId="77777777" w:rsidR="00902F1A" w:rsidRDefault="00902F1A" w:rsidP="00835D0E">
      <w:pPr>
        <w:pStyle w:val="Longdotpoints"/>
        <w:ind w:left="567"/>
      </w:pPr>
      <w:r>
        <w:t>Current funding mechanisms and the delineation of roles and responsibilities, particularly between hospital care, and aged, disability and primary care discourage a continuum of healthcare service delivery across multiple settings, which hinders the capacity to deliver the right care in the right place at the right time, detracting from allocative efficiency and patient experience. There are deficiencies in referral networks, patient transfer and transition support to and from the aged care and disability sectors that impact on patient outcomes.</w:t>
      </w:r>
    </w:p>
    <w:p w14:paraId="0FFA7C80" w14:textId="274244A3" w:rsidR="00902F1A" w:rsidRDefault="00902F1A" w:rsidP="00835D0E">
      <w:pPr>
        <w:pStyle w:val="Longdotpoints"/>
        <w:ind w:left="567"/>
      </w:pPr>
      <w:r>
        <w:t xml:space="preserve">Insufficient step-down care and service constraints to meet the demand from NDIS participants and elderly people </w:t>
      </w:r>
      <w:r w:rsidR="00EC7971">
        <w:t>in hospital who require</w:t>
      </w:r>
      <w:r>
        <w:t xml:space="preserve"> community or residential aged care, lead to longer hospital stays despite patients having completed their clinical episode and being ready for discharge, which results in poorer health outcomes and access blockages</w:t>
      </w:r>
      <w:r w:rsidR="005F2D0B">
        <w:t xml:space="preserve"> (see </w:t>
      </w:r>
      <w:r w:rsidR="008421D0">
        <w:t>Observation</w:t>
      </w:r>
      <w:r w:rsidR="005F2D0B">
        <w:t>: hospital discharge barriers).</w:t>
      </w:r>
    </w:p>
    <w:p w14:paraId="1786F638" w14:textId="5EA5F5F9" w:rsidR="00902F1A" w:rsidRDefault="00902F1A" w:rsidP="00835D0E">
      <w:pPr>
        <w:pStyle w:val="Longdotpoints"/>
        <w:ind w:left="567"/>
      </w:pPr>
      <w:r>
        <w:t xml:space="preserve">The current architecture lacks support for joint commissioning, collaboration and planning between PHN/LHNs, hindering the development of locally responsive person-centred services and resulting in duplication. </w:t>
      </w:r>
      <w:r w:rsidR="008421D0">
        <w:t xml:space="preserve">There is too little involvement of </w:t>
      </w:r>
      <w:r w:rsidR="00F46026" w:rsidRPr="00F46026">
        <w:t xml:space="preserve">Aboriginal Community Controlled Health Organisations </w:t>
      </w:r>
      <w:r w:rsidR="00F46026">
        <w:t>(</w:t>
      </w:r>
      <w:r w:rsidR="008421D0">
        <w:t>ACCHOs</w:t>
      </w:r>
      <w:r w:rsidR="00F46026">
        <w:t>)</w:t>
      </w:r>
      <w:r w:rsidR="008421D0">
        <w:t xml:space="preserve"> in local planning.</w:t>
      </w:r>
    </w:p>
    <w:p w14:paraId="2FA09345" w14:textId="77777777" w:rsidR="00902F1A" w:rsidRDefault="00902F1A" w:rsidP="00835D0E">
      <w:pPr>
        <w:pStyle w:val="Longdotpoints"/>
        <w:ind w:left="567"/>
      </w:pPr>
      <w:r>
        <w:t xml:space="preserve">Identifying needs at the local level and jointly commissioning services between PHNs and LHNs is patchy. PHNs do not have access to sufficient flexible funding to enable them to respond to local needs and, in some cases, the relationship between LHNs and PHNs is more competitive than collaborative, contrary to the expectations of the Agreement. </w:t>
      </w:r>
    </w:p>
    <w:p w14:paraId="3E3E7823" w14:textId="08049237" w:rsidR="00E0551E" w:rsidRDefault="00902F1A" w:rsidP="00835D0E">
      <w:pPr>
        <w:pStyle w:val="Longdotpoints"/>
        <w:ind w:left="567"/>
      </w:pPr>
      <w:r>
        <w:t xml:space="preserve">Equitable access to primary care is constrained by available workforce, care models and service affordability, especially in areas where there are thin markets, which puts demand on </w:t>
      </w:r>
      <w:r w:rsidR="00EC7971">
        <w:t xml:space="preserve">hospital </w:t>
      </w:r>
      <w:r w:rsidR="00E75CB2">
        <w:t>activity, affects</w:t>
      </w:r>
      <w:r w:rsidR="00EC7971">
        <w:t xml:space="preserve"> patient outcomes</w:t>
      </w:r>
      <w:r w:rsidR="008421D0">
        <w:t xml:space="preserve"> and shifts a service delivery burden to </w:t>
      </w:r>
      <w:r w:rsidR="0049276C">
        <w:t>S</w:t>
      </w:r>
      <w:r w:rsidR="008421D0">
        <w:t xml:space="preserve">tates and </w:t>
      </w:r>
      <w:r w:rsidR="0049276C">
        <w:t>T</w:t>
      </w:r>
      <w:r w:rsidR="008421D0">
        <w:t>erritories as providers of last resort</w:t>
      </w:r>
      <w:r w:rsidR="00EC7971">
        <w:t>.</w:t>
      </w:r>
    </w:p>
    <w:p w14:paraId="7D93A7C9" w14:textId="64A4D077" w:rsidR="000457C6" w:rsidRDefault="00E0551E" w:rsidP="00835D0E">
      <w:pPr>
        <w:pStyle w:val="Longdotpoints"/>
        <w:ind w:left="567"/>
      </w:pPr>
      <w:r>
        <w:t xml:space="preserve">Inadequate data systems and data sharing </w:t>
      </w:r>
      <w:r w:rsidR="000112AD">
        <w:t xml:space="preserve">and linking </w:t>
      </w:r>
      <w:r>
        <w:t>processes fail to provide comprehensive patient journey data that can support a cohesive and integrated health system</w:t>
      </w:r>
      <w:r w:rsidR="000457C6">
        <w:t xml:space="preserve">. </w:t>
      </w:r>
    </w:p>
    <w:p w14:paraId="2498B864" w14:textId="77777777" w:rsidR="00F12551" w:rsidRDefault="00F12551" w:rsidP="00F12551">
      <w:pPr>
        <w:pStyle w:val="Heading3"/>
      </w:pPr>
      <w:bookmarkStart w:id="108" w:name="_Toc143291658"/>
      <w:r>
        <w:t>Strengths</w:t>
      </w:r>
      <w:bookmarkEnd w:id="108"/>
      <w:r>
        <w:t xml:space="preserve"> </w:t>
      </w:r>
    </w:p>
    <w:p w14:paraId="11E69D3D" w14:textId="77777777" w:rsidR="000B692B" w:rsidRDefault="000B692B" w:rsidP="00CC7F3C">
      <w:pPr>
        <w:pStyle w:val="Longdotpoints"/>
        <w:numPr>
          <w:ilvl w:val="0"/>
          <w:numId w:val="0"/>
        </w:numPr>
      </w:pPr>
      <w:r>
        <w:t>Some of the strengths identified by stakeholders include:</w:t>
      </w:r>
    </w:p>
    <w:p w14:paraId="572AD685" w14:textId="77777777" w:rsidR="00B009CD" w:rsidRDefault="00B009CD" w:rsidP="00835D0E">
      <w:pPr>
        <w:pStyle w:val="Longdotpoints"/>
        <w:ind w:left="567"/>
      </w:pPr>
      <w:r>
        <w:t xml:space="preserve">There are examples where PHNs have had success in localised joint planning and program design working closely with jurisdictions, LHNs and local stakeholders to drive positive health outcomes (e.g., Joint Mental Health System Planning and Redesign in Tasmania, Collaborative Commissioning between the Western Sydney LHN and PHN). </w:t>
      </w:r>
    </w:p>
    <w:p w14:paraId="21749059" w14:textId="77777777" w:rsidR="003C2A7D" w:rsidRDefault="00B009CD" w:rsidP="00835D0E">
      <w:pPr>
        <w:pStyle w:val="Longdotpoints"/>
        <w:ind w:left="567"/>
      </w:pPr>
      <w:r>
        <w:t>The collaborative and proactive approach taken in recent months for NDIS participants in public hospitals experiencing discharge delay from hospital was acknowledged nationwide as a positive step that is supporting NDIS participants to transition back to their usual place of care</w:t>
      </w:r>
      <w:r w:rsidR="003C2A7D">
        <w:t>.</w:t>
      </w:r>
    </w:p>
    <w:p w14:paraId="0FD26C9E" w14:textId="32C07CFC" w:rsidR="000D5734" w:rsidRDefault="003C2A7D" w:rsidP="00835D0E">
      <w:pPr>
        <w:pStyle w:val="Longdotpoints"/>
        <w:ind w:left="567"/>
      </w:pPr>
      <w:r>
        <w:t xml:space="preserve">The Lumos program (a collaboration with </w:t>
      </w:r>
      <w:r w:rsidR="00B552E3" w:rsidRPr="00B552E3">
        <w:t>New South Wales</w:t>
      </w:r>
      <w:r>
        <w:t xml:space="preserve"> Health and PHNs) was viewed as a key enabler of integrated care by providing a more comprehensive view of the patient journey across different care settings</w:t>
      </w:r>
      <w:r w:rsidR="000D5734" w:rsidRPr="000D5734">
        <w:t>.</w:t>
      </w:r>
    </w:p>
    <w:tbl>
      <w:tblPr>
        <w:tblStyle w:val="TableGrid"/>
        <w:tblW w:w="0" w:type="auto"/>
        <w:tblBorders>
          <w:top w:val="dashSmallGap" w:sz="4" w:space="0" w:color="8496B0" w:themeColor="text2" w:themeTint="99"/>
          <w:left w:val="dashSmallGap" w:sz="4" w:space="0" w:color="8496B0" w:themeColor="text2" w:themeTint="99"/>
          <w:bottom w:val="dashSmallGap" w:sz="4" w:space="0" w:color="8496B0" w:themeColor="text2" w:themeTint="99"/>
          <w:right w:val="dashSmallGap" w:sz="4" w:space="0" w:color="8496B0" w:themeColor="text2" w:themeTint="99"/>
        </w:tblBorders>
        <w:tblLook w:val="04A0" w:firstRow="1" w:lastRow="0" w:firstColumn="1" w:lastColumn="0" w:noHBand="0" w:noVBand="1"/>
      </w:tblPr>
      <w:tblGrid>
        <w:gridCol w:w="10456"/>
      </w:tblGrid>
      <w:tr w:rsidR="00EC7971" w14:paraId="1302B750" w14:textId="77777777" w:rsidTr="00622DD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69DAB6A" w14:textId="49441B2E" w:rsidR="00EC7971" w:rsidRPr="008A7495" w:rsidRDefault="008A7495" w:rsidP="00C10B26">
            <w:pPr>
              <w:pStyle w:val="Summarytable"/>
              <w:rPr>
                <w:color w:val="8496B0" w:themeColor="text2" w:themeTint="99"/>
              </w:rPr>
            </w:pPr>
            <w:r w:rsidRPr="00875087">
              <w:rPr>
                <w:noProof/>
                <w:color w:val="8496B0" w:themeColor="text2" w:themeTint="99"/>
                <w:lang w:val="en-GB"/>
              </w:rPr>
              <w:drawing>
                <wp:inline distT="0" distB="0" distL="0" distR="0" wp14:anchorId="402AFA88" wp14:editId="20D8E2FA">
                  <wp:extent cx="270000" cy="270000"/>
                  <wp:effectExtent l="0" t="0" r="0" b="0"/>
                  <wp:docPr id="48" name="Graphic 48" descr="P773C1T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P773C1T9#yIS1">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70000" cy="270000"/>
                          </a:xfrm>
                          <a:prstGeom prst="rect">
                            <a:avLst/>
                          </a:prstGeom>
                        </pic:spPr>
                      </pic:pic>
                    </a:graphicData>
                  </a:graphic>
                </wp:inline>
              </w:drawing>
            </w:r>
            <w:r w:rsidRPr="007E6224">
              <w:rPr>
                <w:color w:val="5B708F"/>
              </w:rPr>
              <w:t>Observation:</w:t>
            </w:r>
            <w:r w:rsidR="00EC7971" w:rsidRPr="007E6224">
              <w:rPr>
                <w:color w:val="5B708F"/>
              </w:rPr>
              <w:t xml:space="preserve"> </w:t>
            </w:r>
            <w:r w:rsidR="00EC7971" w:rsidRPr="007E6224">
              <w:rPr>
                <w:b w:val="0"/>
                <w:color w:val="5B708F"/>
              </w:rPr>
              <w:t>Hospital discharge barriers</w:t>
            </w:r>
          </w:p>
          <w:p w14:paraId="39C5B5F5" w14:textId="1C961A54" w:rsidR="00EC7971" w:rsidRDefault="00EC7971" w:rsidP="00C10B26">
            <w:pPr>
              <w:pStyle w:val="Summarytable"/>
              <w:ind w:right="107"/>
              <w:rPr>
                <w:b w:val="0"/>
                <w:bCs w:val="0"/>
              </w:rPr>
            </w:pPr>
            <w:r w:rsidRPr="003578B9">
              <w:rPr>
                <w:b w:val="0"/>
                <w:bCs w:val="0"/>
              </w:rPr>
              <w:t>Issues of thin markets</w:t>
            </w:r>
            <w:r>
              <w:rPr>
                <w:b w:val="0"/>
                <w:bCs w:val="0"/>
              </w:rPr>
              <w:t xml:space="preserve"> affecting access to</w:t>
            </w:r>
            <w:r w:rsidRPr="003578B9">
              <w:rPr>
                <w:b w:val="0"/>
                <w:bCs w:val="0"/>
              </w:rPr>
              <w:t xml:space="preserve"> providers, availability of suitable accommodation and response timeliness nationwide have resulted in </w:t>
            </w:r>
            <w:r>
              <w:rPr>
                <w:b w:val="0"/>
                <w:bCs w:val="0"/>
              </w:rPr>
              <w:t>older</w:t>
            </w:r>
            <w:r w:rsidRPr="003578B9">
              <w:rPr>
                <w:b w:val="0"/>
                <w:bCs w:val="0"/>
              </w:rPr>
              <w:t xml:space="preserve"> patients </w:t>
            </w:r>
            <w:r>
              <w:rPr>
                <w:b w:val="0"/>
                <w:bCs w:val="0"/>
              </w:rPr>
              <w:t>and NDIS participants remaining</w:t>
            </w:r>
            <w:r w:rsidRPr="003578B9">
              <w:rPr>
                <w:b w:val="0"/>
                <w:bCs w:val="0"/>
              </w:rPr>
              <w:t xml:space="preserve"> in acute care beds </w:t>
            </w:r>
            <w:r>
              <w:rPr>
                <w:b w:val="0"/>
                <w:bCs w:val="0"/>
              </w:rPr>
              <w:t>when</w:t>
            </w:r>
            <w:r w:rsidRPr="003578B9">
              <w:rPr>
                <w:b w:val="0"/>
                <w:bCs w:val="0"/>
              </w:rPr>
              <w:t xml:space="preserve"> clinically ready for discharge. Th</w:t>
            </w:r>
            <w:r>
              <w:rPr>
                <w:b w:val="0"/>
                <w:bCs w:val="0"/>
              </w:rPr>
              <w:t>is</w:t>
            </w:r>
            <w:r w:rsidRPr="003578B9">
              <w:rPr>
                <w:b w:val="0"/>
                <w:bCs w:val="0"/>
              </w:rPr>
              <w:t xml:space="preserve"> unnecessary extended length of stay can cause poorer patient outcomes and experiences, while limiting the availability of beds for those who </w:t>
            </w:r>
            <w:r>
              <w:rPr>
                <w:b w:val="0"/>
                <w:bCs w:val="0"/>
              </w:rPr>
              <w:t>clinically</w:t>
            </w:r>
            <w:r w:rsidRPr="003578B9">
              <w:rPr>
                <w:b w:val="0"/>
                <w:bCs w:val="0"/>
              </w:rPr>
              <w:t xml:space="preserve"> require them. </w:t>
            </w:r>
            <w:r w:rsidR="005F2D0B">
              <w:rPr>
                <w:b w:val="0"/>
                <w:bCs w:val="0"/>
              </w:rPr>
              <w:t>Anecdotal evidence presented to the Review stated that around 4%-5% of beds nationwide are filled by older patients clinically ready for discharge, with up to 25% of ED accessible beds impacted in some regions.</w:t>
            </w:r>
          </w:p>
          <w:p w14:paraId="36451350" w14:textId="52559E6A" w:rsidR="00EC7971" w:rsidRPr="003578B9" w:rsidRDefault="00EC7971" w:rsidP="00C10B26">
            <w:pPr>
              <w:pStyle w:val="Summarytable"/>
              <w:ind w:right="107"/>
              <w:rPr>
                <w:b w:val="0"/>
                <w:bCs w:val="0"/>
              </w:rPr>
            </w:pPr>
            <w:r w:rsidRPr="003578B9">
              <w:rPr>
                <w:b w:val="0"/>
                <w:bCs w:val="0"/>
              </w:rPr>
              <w:t xml:space="preserve">As </w:t>
            </w:r>
            <w:r w:rsidR="00ED733F">
              <w:rPr>
                <w:b w:val="0"/>
                <w:bCs w:val="0"/>
              </w:rPr>
              <w:t>of</w:t>
            </w:r>
            <w:r>
              <w:rPr>
                <w:b w:val="0"/>
                <w:bCs w:val="0"/>
              </w:rPr>
              <w:t xml:space="preserve"> </w:t>
            </w:r>
            <w:r w:rsidRPr="003578B9">
              <w:rPr>
                <w:b w:val="0"/>
                <w:bCs w:val="0"/>
              </w:rPr>
              <w:t xml:space="preserve">31 May 2023, a total of 1,331 NDIS participants were medically ready for discharge, with an average wait time of 26 days to discharge. </w:t>
            </w:r>
            <w:r w:rsidRPr="00650E28">
              <w:rPr>
                <w:b w:val="0"/>
                <w:bCs w:val="0"/>
                <w:i/>
                <w:iCs/>
              </w:rPr>
              <w:t>Report on Government Services 2023</w:t>
            </w:r>
            <w:r>
              <w:rPr>
                <w:b w:val="0"/>
                <w:bCs w:val="0"/>
              </w:rPr>
              <w:t xml:space="preserve"> data indicated there were a total of over 286,000 hospital patient days across Australia for those </w:t>
            </w:r>
            <w:r w:rsidRPr="008B13CA">
              <w:rPr>
                <w:b w:val="0"/>
                <w:bCs w:val="0"/>
              </w:rPr>
              <w:t xml:space="preserve">eligible and waiting for residential aged </w:t>
            </w:r>
            <w:r>
              <w:rPr>
                <w:b w:val="0"/>
                <w:bCs w:val="0"/>
              </w:rPr>
              <w:t>care in 2020-21</w:t>
            </w:r>
            <w:r w:rsidR="00333246">
              <w:rPr>
                <w:b w:val="0"/>
                <w:bCs w:val="0"/>
              </w:rPr>
              <w:t xml:space="preserve"> (with anecdotal evidence this has grown substantially since)</w:t>
            </w:r>
            <w:r>
              <w:rPr>
                <w:b w:val="0"/>
                <w:bCs w:val="0"/>
              </w:rPr>
              <w:t xml:space="preserve">. This equated to 9.2 hospital patient days per 1000 patient days. When assessing this figure based on remoteness there was a significant variation compared to major cities (7 hospital patient days per 1000 patient days) and those in regional and remote settings (for example, 47.6 hospital patient days per 1000 patient days for the remote setting). </w:t>
            </w:r>
          </w:p>
        </w:tc>
      </w:tr>
    </w:tbl>
    <w:p w14:paraId="6A3F23F8" w14:textId="12CECD01" w:rsidR="00EC7971" w:rsidRPr="00F12551" w:rsidRDefault="00C2510D" w:rsidP="00EC7971">
      <w:pPr>
        <w:pStyle w:val="Heading2"/>
        <w:pageBreakBefore/>
      </w:pPr>
      <w:bookmarkStart w:id="109" w:name="_Toc143291659"/>
      <w:bookmarkStart w:id="110" w:name="_Ref143696427"/>
      <w:r>
        <w:rPr>
          <w:noProof/>
        </w:rPr>
        <w:drawing>
          <wp:anchor distT="0" distB="0" distL="114300" distR="114300" simplePos="0" relativeHeight="251618304" behindDoc="0" locked="0" layoutInCell="1" allowOverlap="1" wp14:anchorId="69C3C69F" wp14:editId="1297C5AB">
            <wp:simplePos x="0" y="0"/>
            <wp:positionH relativeFrom="column">
              <wp:posOffset>5812345</wp:posOffset>
            </wp:positionH>
            <wp:positionV relativeFrom="paragraph">
              <wp:posOffset>-86360</wp:posOffset>
            </wp:positionV>
            <wp:extent cx="847898" cy="783771"/>
            <wp:effectExtent l="0" t="0" r="0" b="0"/>
            <wp:wrapNone/>
            <wp:docPr id="56" name="Picture 56" descr="P77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777#y1">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847898" cy="783771"/>
                    </a:xfrm>
                    <a:prstGeom prst="rect">
                      <a:avLst/>
                    </a:prstGeom>
                  </pic:spPr>
                </pic:pic>
              </a:graphicData>
            </a:graphic>
            <wp14:sizeRelH relativeFrom="page">
              <wp14:pctWidth>0</wp14:pctWidth>
            </wp14:sizeRelH>
            <wp14:sizeRelV relativeFrom="page">
              <wp14:pctHeight>0</wp14:pctHeight>
            </wp14:sizeRelV>
          </wp:anchor>
        </w:drawing>
      </w:r>
      <w:r w:rsidR="00EC7971">
        <w:t>Optimal blended models of care</w:t>
      </w:r>
      <w:bookmarkEnd w:id="109"/>
      <w:bookmarkEnd w:id="110"/>
    </w:p>
    <w:tbl>
      <w:tblPr>
        <w:tblStyle w:val="TableGrid"/>
        <w:tblW w:w="0" w:type="auto"/>
        <w:shd w:val="clear" w:color="auto" w:fill="F2F2F2" w:themeFill="background1" w:themeFillShade="F2"/>
        <w:tblLook w:val="04A0" w:firstRow="1" w:lastRow="0" w:firstColumn="1" w:lastColumn="0" w:noHBand="0" w:noVBand="1"/>
      </w:tblPr>
      <w:tblGrid>
        <w:gridCol w:w="10466"/>
      </w:tblGrid>
      <w:tr w:rsidR="00EC7971" w14:paraId="51366818" w14:textId="77777777" w:rsidTr="00C10B26">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tcPr>
          <w:p w14:paraId="1353CBDF" w14:textId="021DB97F" w:rsidR="00EC7971" w:rsidRDefault="00EC7971" w:rsidP="00C10B26">
            <w:pPr>
              <w:pStyle w:val="Summarytable"/>
              <w:rPr>
                <w:color w:val="00707E" w:themeColor="accent5" w:themeShade="BF"/>
              </w:rPr>
            </w:pPr>
            <w:r>
              <w:rPr>
                <w:noProof/>
              </w:rPr>
              <w:drawing>
                <wp:inline distT="0" distB="0" distL="0" distR="0" wp14:anchorId="44356A84" wp14:editId="3B8861F8">
                  <wp:extent cx="270000" cy="270000"/>
                  <wp:effectExtent l="0" t="0" r="0" b="0"/>
                  <wp:docPr id="7" name="Graphic 7" descr="P778C1T1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P778C1T10#yIS1">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70000" cy="270000"/>
                          </a:xfrm>
                          <a:prstGeom prst="rect">
                            <a:avLst/>
                          </a:prstGeom>
                        </pic:spPr>
                      </pic:pic>
                    </a:graphicData>
                  </a:graphic>
                </wp:inline>
              </w:drawing>
            </w:r>
            <w:r w:rsidR="0032600B">
              <w:rPr>
                <w:color w:val="00707E" w:themeColor="accent5" w:themeShade="BF"/>
              </w:rPr>
              <w:t xml:space="preserve"> </w:t>
            </w:r>
            <w:r w:rsidRPr="00BB2C81">
              <w:rPr>
                <w:color w:val="00707E" w:themeColor="accent5" w:themeShade="BF"/>
              </w:rPr>
              <w:t>Summary</w:t>
            </w:r>
            <w:r>
              <w:rPr>
                <w:color w:val="00707E" w:themeColor="accent5" w:themeShade="BF"/>
              </w:rPr>
              <w:t xml:space="preserve"> of what we heard</w:t>
            </w:r>
            <w:r w:rsidRPr="00BB2C81">
              <w:rPr>
                <w:color w:val="00707E" w:themeColor="accent5" w:themeShade="BF"/>
              </w:rPr>
              <w:t xml:space="preserve">: </w:t>
            </w:r>
          </w:p>
          <w:p w14:paraId="510F40D1" w14:textId="58CF2C0D" w:rsidR="00EC7971" w:rsidRPr="00DB11ED" w:rsidRDefault="00EC7971" w:rsidP="00C10B26">
            <w:pPr>
              <w:pStyle w:val="Summarytable"/>
              <w:rPr>
                <w:b w:val="0"/>
                <w:bCs w:val="0"/>
              </w:rPr>
            </w:pPr>
            <w:r w:rsidRPr="00DB11ED">
              <w:rPr>
                <w:color w:val="000000" w:themeColor="text1"/>
              </w:rPr>
              <w:t>A widespread view expressed in consultations is that NHRA funding with its focus on activity drives care to the inpatient setting when, increasingly, the health needs of the population (ageing and increase in chronic and complex conditions) require integrated care that is multidisciplinary and supports transitions between sectors. The capacity to develop these blended models and implement them in a systematic and scalable way is not seen as enabled by the NHRA</w:t>
            </w:r>
            <w:r w:rsidR="00333246">
              <w:rPr>
                <w:color w:val="000000" w:themeColor="text1"/>
              </w:rPr>
              <w:t xml:space="preserve"> nor is there sufficient differentiation between low and high value care</w:t>
            </w:r>
            <w:r w:rsidRPr="00DB11ED">
              <w:rPr>
                <w:color w:val="000000" w:themeColor="text1"/>
              </w:rPr>
              <w:t>.</w:t>
            </w:r>
            <w:r w:rsidR="00333246">
              <w:rPr>
                <w:color w:val="000000" w:themeColor="text1"/>
              </w:rPr>
              <w:t xml:space="preserve"> </w:t>
            </w:r>
            <w:r w:rsidRPr="00DB11ED">
              <w:rPr>
                <w:b w:val="0"/>
                <w:bCs w:val="0"/>
                <w:color w:val="000000" w:themeColor="text1"/>
              </w:rPr>
              <w:t>While the NHRA references the exploration and trial of innovative models of care, progress has been slow, impacted both by COVID-19 and a lack of ongoing funding support.</w:t>
            </w:r>
          </w:p>
        </w:tc>
      </w:tr>
    </w:tbl>
    <w:p w14:paraId="2F443637" w14:textId="77777777" w:rsidR="002339E6" w:rsidRDefault="002339E6" w:rsidP="002339E6">
      <w:pPr>
        <w:pStyle w:val="Heading3"/>
        <w:spacing w:before="120"/>
      </w:pPr>
      <w:bookmarkStart w:id="111" w:name="_Toc143291660"/>
      <w:r>
        <w:t>Identified issues</w:t>
      </w:r>
      <w:bookmarkEnd w:id="111"/>
      <w:r>
        <w:t xml:space="preserve"> </w:t>
      </w:r>
    </w:p>
    <w:p w14:paraId="66E0991F" w14:textId="77777777" w:rsidR="00BD165D" w:rsidRPr="00CE26D9" w:rsidRDefault="00BD165D" w:rsidP="00BD165D">
      <w:r>
        <w:t xml:space="preserve">The key issues identified </w:t>
      </w:r>
      <w:r w:rsidR="00F07946">
        <w:t xml:space="preserve">by stakeholders </w:t>
      </w:r>
      <w:r>
        <w:t>as part of this theme were:</w:t>
      </w:r>
    </w:p>
    <w:p w14:paraId="515F1C7E" w14:textId="77777777" w:rsidR="00C30BAE" w:rsidRPr="00C30BAE" w:rsidRDefault="00C30BAE" w:rsidP="00835D0E">
      <w:pPr>
        <w:pStyle w:val="Longdotpoints"/>
        <w:ind w:left="567"/>
      </w:pPr>
      <w:r w:rsidRPr="00C30BAE">
        <w:t xml:space="preserve">The NHRA funding model with its focus on activity drives care towards inpatient settings and does not enable integrated care that is multidisciplinary and coordinated across various care settings. This includes hospital, primary and community care, and aged care </w:t>
      </w:r>
      <w:r w:rsidR="00EC7971">
        <w:t>where an integrated approach to care</w:t>
      </w:r>
      <w:r w:rsidRPr="00C30BAE">
        <w:t xml:space="preserve"> is needed</w:t>
      </w:r>
      <w:r w:rsidR="00EC7971">
        <w:t>, particularly</w:t>
      </w:r>
      <w:r w:rsidRPr="00C30BAE">
        <w:t xml:space="preserve"> for the management of patients with chronic and complex conditions and for system efficiency.</w:t>
      </w:r>
    </w:p>
    <w:p w14:paraId="48D4ECA2" w14:textId="3C68497E" w:rsidR="00C30BAE" w:rsidRPr="00C30BAE" w:rsidRDefault="00C30BAE" w:rsidP="00835D0E">
      <w:pPr>
        <w:pStyle w:val="Longdotpoints"/>
        <w:ind w:left="567"/>
      </w:pPr>
      <w:r w:rsidRPr="00C30BAE">
        <w:t>Alternat</w:t>
      </w:r>
      <w:r w:rsidR="00716BEE">
        <w:t>ive</w:t>
      </w:r>
      <w:r w:rsidRPr="00C30BAE">
        <w:t xml:space="preserve"> blended funding arrangements, such as bundled payments that bring together the in-hospital and out of hospital elements of an episode of care, have not been developed under the current Addendum, nor has there been systemic progress on identifying and intervening in high-risk populations to avoid expensive hospital admissions. </w:t>
      </w:r>
    </w:p>
    <w:p w14:paraId="2B86DB0B" w14:textId="46081E07" w:rsidR="00C30BAE" w:rsidRPr="00C30BAE" w:rsidRDefault="00C30BAE" w:rsidP="00835D0E">
      <w:pPr>
        <w:pStyle w:val="Longdotpoints"/>
        <w:ind w:left="567"/>
      </w:pPr>
      <w:r w:rsidRPr="00C30BAE">
        <w:t xml:space="preserve">The NHRA does not fund patient services that </w:t>
      </w:r>
      <w:r w:rsidR="008421D0" w:rsidRPr="00C30BAE">
        <w:t xml:space="preserve">are funded, in any part, </w:t>
      </w:r>
      <w:r w:rsidRPr="00C30BAE">
        <w:t xml:space="preserve">through another benefit program to avoid duplicate funding. However, with the increasing complexity and interconnectedness in the delivery of health care services, there is a wider issue as to whether funding arrangements are keeping up with cross-sector clinical practice and technology. </w:t>
      </w:r>
    </w:p>
    <w:p w14:paraId="48BDEBAA" w14:textId="652978FA" w:rsidR="00C52F89" w:rsidRPr="00C30BAE" w:rsidRDefault="00C30BAE" w:rsidP="0072731F">
      <w:pPr>
        <w:pStyle w:val="Longdotpoints"/>
        <w:ind w:left="567"/>
      </w:pPr>
      <w:r w:rsidRPr="00C30BAE">
        <w:t xml:space="preserve">The ABF model can financially penalise innovation by </w:t>
      </w:r>
      <w:r w:rsidR="00974C41">
        <w:t>not applying</w:t>
      </w:r>
      <w:r w:rsidRPr="00C30BAE">
        <w:t xml:space="preserve"> the Commonwealth funding contribution to new models of care that are deemed out-of-scope even if they have the effect of reducing in-scope activity. While there have been initiatives using technology to provide virtual care these are not always supported through the NHRA, creating the need for </w:t>
      </w:r>
      <w:r w:rsidR="0072731F" w:rsidRPr="00C30BAE">
        <w:t>work</w:t>
      </w:r>
      <w:r w:rsidR="0072731F">
        <w:t>arounds</w:t>
      </w:r>
      <w:r w:rsidRPr="00C30BAE">
        <w:t xml:space="preserve"> or unnecessary hospital admissions. </w:t>
      </w:r>
    </w:p>
    <w:tbl>
      <w:tblPr>
        <w:tblStyle w:val="TableGrid"/>
        <w:tblW w:w="0" w:type="auto"/>
        <w:tblBorders>
          <w:top w:val="single" w:sz="4" w:space="0" w:color="0097A9" w:themeColor="accent5"/>
          <w:left w:val="single" w:sz="4" w:space="0" w:color="0097A9" w:themeColor="accent5"/>
          <w:bottom w:val="single" w:sz="4" w:space="0" w:color="0097A9" w:themeColor="accent5"/>
          <w:right w:val="single" w:sz="4" w:space="0" w:color="0097A9" w:themeColor="accent5"/>
          <w:insideH w:val="single" w:sz="4" w:space="0" w:color="0097A9" w:themeColor="accent5"/>
          <w:insideV w:val="single" w:sz="4" w:space="0" w:color="0097A9" w:themeColor="accent5"/>
        </w:tblBorders>
        <w:tblLook w:val="04A0" w:firstRow="1" w:lastRow="0" w:firstColumn="1" w:lastColumn="0" w:noHBand="0" w:noVBand="1"/>
      </w:tblPr>
      <w:tblGrid>
        <w:gridCol w:w="10456"/>
      </w:tblGrid>
      <w:tr w:rsidR="00333246" w14:paraId="15AA45B5" w14:textId="77777777" w:rsidTr="001412DB">
        <w:trPr>
          <w:cnfStyle w:val="100000000000" w:firstRow="1" w:lastRow="0" w:firstColumn="0" w:lastColumn="0" w:oddVBand="0" w:evenVBand="0" w:oddHBand="0" w:evenHBand="0" w:firstRowFirstColumn="0" w:firstRowLastColumn="0" w:lastRowFirstColumn="0" w:lastRowLastColumn="0"/>
        </w:trPr>
        <w:tc>
          <w:tcPr>
            <w:tcW w:w="10456" w:type="dxa"/>
            <w:tcBorders>
              <w:top w:val="dotted" w:sz="4" w:space="0" w:color="0097A9" w:themeColor="accent5"/>
              <w:left w:val="dotted" w:sz="4" w:space="0" w:color="0097A9" w:themeColor="accent5"/>
              <w:bottom w:val="dotted" w:sz="4" w:space="0" w:color="0097A9" w:themeColor="accent5"/>
              <w:right w:val="dotted" w:sz="4" w:space="0" w:color="0097A9" w:themeColor="accent5"/>
            </w:tcBorders>
            <w:shd w:val="clear" w:color="auto" w:fill="auto"/>
          </w:tcPr>
          <w:p w14:paraId="27ACEA41" w14:textId="5A60AFAD" w:rsidR="00333246" w:rsidRPr="00BB2C81" w:rsidRDefault="00333246" w:rsidP="001412DB">
            <w:pPr>
              <w:pStyle w:val="Summarytable"/>
              <w:rPr>
                <w:color w:val="00707E" w:themeColor="accent5" w:themeShade="BF"/>
              </w:rPr>
            </w:pPr>
            <w:r w:rsidRPr="00875087">
              <w:rPr>
                <w:noProof/>
                <w:color w:val="00707E" w:themeColor="accent5" w:themeShade="BF"/>
              </w:rPr>
              <w:drawing>
                <wp:inline distT="0" distB="0" distL="0" distR="0" wp14:anchorId="4040EB6C" wp14:editId="30C8E835">
                  <wp:extent cx="270000" cy="270000"/>
                  <wp:effectExtent l="0" t="0" r="0" b="0"/>
                  <wp:docPr id="38" name="Graphic 38" descr="P787C1T1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P787C1T11#yIS1">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70000" cy="270000"/>
                          </a:xfrm>
                          <a:prstGeom prst="rect">
                            <a:avLst/>
                          </a:prstGeom>
                        </pic:spPr>
                      </pic:pic>
                    </a:graphicData>
                  </a:graphic>
                </wp:inline>
              </w:drawing>
            </w:r>
            <w:r w:rsidRPr="00875087">
              <w:rPr>
                <w:color w:val="00707E" w:themeColor="accent5" w:themeShade="BF"/>
              </w:rPr>
              <w:t>Case study:</w:t>
            </w:r>
            <w:r w:rsidRPr="00BB2C81">
              <w:rPr>
                <w:color w:val="00707E" w:themeColor="accent5" w:themeShade="BF"/>
              </w:rPr>
              <w:t xml:space="preserve"> </w:t>
            </w:r>
            <w:r>
              <w:rPr>
                <w:b w:val="0"/>
                <w:bCs w:val="0"/>
                <w:color w:val="00707E" w:themeColor="accent5" w:themeShade="BF"/>
              </w:rPr>
              <w:t>Virtual Care – Remote Patient Monitoring Program</w:t>
            </w:r>
          </w:p>
          <w:p w14:paraId="2FA379FC" w14:textId="75F4B921" w:rsidR="00333246" w:rsidRDefault="00B552E3" w:rsidP="001412DB">
            <w:pPr>
              <w:pStyle w:val="Summarytable"/>
              <w:ind w:right="107"/>
              <w:rPr>
                <w:b w:val="0"/>
              </w:rPr>
            </w:pPr>
            <w:r w:rsidRPr="00B552E3">
              <w:rPr>
                <w:b w:val="0"/>
              </w:rPr>
              <w:t>New South Wales</w:t>
            </w:r>
            <w:r w:rsidR="00333246">
              <w:rPr>
                <w:b w:val="0"/>
              </w:rPr>
              <w:t xml:space="preserve"> Health identified that r</w:t>
            </w:r>
            <w:r w:rsidR="00333246" w:rsidRPr="00A81589">
              <w:rPr>
                <w:b w:val="0"/>
              </w:rPr>
              <w:t xml:space="preserve">esidents of regional </w:t>
            </w:r>
            <w:r w:rsidRPr="00B552E3">
              <w:rPr>
                <w:b w:val="0"/>
              </w:rPr>
              <w:t>New South Wales</w:t>
            </w:r>
            <w:r w:rsidR="00333246" w:rsidRPr="00A81589">
              <w:rPr>
                <w:b w:val="0"/>
              </w:rPr>
              <w:t xml:space="preserve"> have poorer health outcomes and face significant challenges in accessing health and hospital services compared to people living in metropolitan areas.</w:t>
            </w:r>
            <w:r w:rsidR="00333246">
              <w:rPr>
                <w:b w:val="0"/>
              </w:rPr>
              <w:t xml:space="preserve"> Diabetes was identified as a major risk factor to hospitalisation and death. To address this, </w:t>
            </w:r>
            <w:r w:rsidRPr="00B552E3">
              <w:rPr>
                <w:b w:val="0"/>
              </w:rPr>
              <w:t>New South Wales</w:t>
            </w:r>
            <w:r w:rsidR="00333246">
              <w:rPr>
                <w:b w:val="0"/>
              </w:rPr>
              <w:t xml:space="preserve"> Health are piloting a Virtual Care – Remote Patient Monitoring (VC-RPM) Program, focusing on patients with type 2 diabetes, type 2 diabetes with chronic heart failure, and chronic obstructive pulmonary disease (COPD). The VC-RPM Program allows participating patients to be cared for conveniently and safely in the comfort of their home, at work, or Country or in community settings. The program aims to help reduce pressures on the hospital system by reducing admissions, presentations to ED as well as wait and travel time for patients.</w:t>
            </w:r>
          </w:p>
          <w:p w14:paraId="2D8B7F21" w14:textId="045ACA06" w:rsidR="00333246" w:rsidRDefault="00333246" w:rsidP="001412DB">
            <w:pPr>
              <w:pStyle w:val="Summarytable"/>
              <w:ind w:right="107"/>
            </w:pPr>
            <w:r>
              <w:rPr>
                <w:b w:val="0"/>
              </w:rPr>
              <w:t xml:space="preserve">The VC-RPM is funded by </w:t>
            </w:r>
            <w:r w:rsidR="00B552E3" w:rsidRPr="00B552E3">
              <w:rPr>
                <w:b w:val="0"/>
              </w:rPr>
              <w:t>New South Wales</w:t>
            </w:r>
            <w:r>
              <w:rPr>
                <w:b w:val="0"/>
              </w:rPr>
              <w:t xml:space="preserve"> Health as the current ABF model does not accurately identify, cost and price the digital costs of service delivery. As the patient is typically not physically present, under the current counting methodologies these activities do not generate </w:t>
            </w:r>
            <w:r w:rsidR="0098527C">
              <w:rPr>
                <w:b w:val="0"/>
              </w:rPr>
              <w:t>National Weighted Activity Unit (</w:t>
            </w:r>
            <w:r>
              <w:rPr>
                <w:b w:val="0"/>
              </w:rPr>
              <w:t>NWAU</w:t>
            </w:r>
            <w:r w:rsidR="0098527C">
              <w:rPr>
                <w:b w:val="0"/>
              </w:rPr>
              <w:t>)</w:t>
            </w:r>
            <w:r>
              <w:rPr>
                <w:b w:val="0"/>
              </w:rPr>
              <w:t xml:space="preserve">. However, staff are </w:t>
            </w:r>
            <w:r w:rsidRPr="00DE7076">
              <w:rPr>
                <w:b w:val="0"/>
              </w:rPr>
              <w:t>spending considerable time reviewing patient results and interpreting these in the medical record. Remote monitoring improves patients care through more frequent monitoring and detection of issues earlier in patients, particularly with chronic diseases. The number of remote monitoring consults can range from one to four, can be resource intensive and may happen on the same day, depending on patient needs.</w:t>
            </w:r>
          </w:p>
          <w:p w14:paraId="5B98F2DF" w14:textId="77777777" w:rsidR="00333246" w:rsidRPr="00055EC0" w:rsidRDefault="00333246" w:rsidP="001412DB">
            <w:pPr>
              <w:pStyle w:val="Summarytable"/>
              <w:ind w:right="107"/>
              <w:rPr>
                <w:b w:val="0"/>
              </w:rPr>
            </w:pPr>
            <w:r w:rsidRPr="00DE7076">
              <w:rPr>
                <w:b w:val="0"/>
                <w:bCs w:val="0"/>
              </w:rPr>
              <w:t>This</w:t>
            </w:r>
            <w:r>
              <w:rPr>
                <w:b w:val="0"/>
                <w:bCs w:val="0"/>
              </w:rPr>
              <w:t xml:space="preserve"> case study demonstrates the need for the funding model to be flexible and responsive to innovative models of care. For remote monitoring models of care, the entire episode of care could be defined by a specified period so that it can</w:t>
            </w:r>
            <w:r>
              <w:rPr>
                <w:b w:val="0"/>
              </w:rPr>
              <w:t xml:space="preserve"> be </w:t>
            </w:r>
            <w:r>
              <w:rPr>
                <w:b w:val="0"/>
                <w:bCs w:val="0"/>
              </w:rPr>
              <w:t>costed</w:t>
            </w:r>
            <w:r>
              <w:rPr>
                <w:b w:val="0"/>
              </w:rPr>
              <w:t xml:space="preserve"> and </w:t>
            </w:r>
            <w:r>
              <w:rPr>
                <w:b w:val="0"/>
                <w:bCs w:val="0"/>
              </w:rPr>
              <w:t>priced for an agreed amount of time. This may mean remote monitoring activity is bundled and counted as one admitted patient service event per patient per calendar month regardless of the number of occasions of service delivered.</w:t>
            </w:r>
            <w:r>
              <w:rPr>
                <w:rFonts w:ascii="Times New Roman" w:hAnsi="Times New Roman" w:cs="Times New Roman"/>
                <w:sz w:val="24"/>
                <w:szCs w:val="24"/>
                <w:lang w:eastAsia="en-AU"/>
              </w:rPr>
              <w:t xml:space="preserve"> </w:t>
            </w:r>
          </w:p>
        </w:tc>
      </w:tr>
    </w:tbl>
    <w:p w14:paraId="075D8294" w14:textId="77777777" w:rsidR="00333246" w:rsidRDefault="00333246" w:rsidP="00875087">
      <w:pPr>
        <w:pStyle w:val="Longdotpoints"/>
        <w:numPr>
          <w:ilvl w:val="0"/>
          <w:numId w:val="0"/>
        </w:numPr>
        <w:ind w:left="360" w:hanging="360"/>
      </w:pPr>
    </w:p>
    <w:p w14:paraId="36A86741" w14:textId="1BA440FA" w:rsidR="00C30BAE" w:rsidRPr="00C30BAE" w:rsidRDefault="00C30BAE" w:rsidP="00835D0E">
      <w:pPr>
        <w:pStyle w:val="Longdotpoints"/>
        <w:ind w:left="567"/>
      </w:pPr>
      <w:r w:rsidRPr="00C30BAE">
        <w:t xml:space="preserve">The NHRA has aspired to promote more integrated models of care, with a stronger focus on higher value interventions and patient outcomes and to improve safety and quality. However, to date, there has been little progress at a system level, though some of the building blocks exist with work undertaken by the national bodies. </w:t>
      </w:r>
    </w:p>
    <w:p w14:paraId="6F7A2763" w14:textId="439FC30F" w:rsidR="00333246" w:rsidRPr="00C30BAE" w:rsidRDefault="00C30BAE" w:rsidP="0072731F">
      <w:pPr>
        <w:pStyle w:val="Longdotpoints"/>
        <w:ind w:left="567"/>
      </w:pPr>
      <w:r w:rsidRPr="00C30BAE">
        <w:t xml:space="preserve">The process of adding new services or procedures to the </w:t>
      </w:r>
      <w:r w:rsidR="001A2E86">
        <w:t xml:space="preserve">NEP and </w:t>
      </w:r>
      <w:r w:rsidRPr="00C30BAE">
        <w:t>NEC to be funded through the ABF and Block funding system is slow and infrequent. In addition, it is a complex process which means there is additional financial strain on States</w:t>
      </w:r>
      <w:r w:rsidR="00B8643A">
        <w:t xml:space="preserve"> and </w:t>
      </w:r>
      <w:r w:rsidRPr="00C30BAE">
        <w:t xml:space="preserve">Territories as they may need to assume the responsibility of funding the initiative in the meantime (without the Commonwealth contributing ongoing financial assistance). This has been a brake on the willingness of system managers to test new ideas. </w:t>
      </w:r>
    </w:p>
    <w:p w14:paraId="610A0FF4" w14:textId="77777777" w:rsidR="002339E6" w:rsidRDefault="002339E6" w:rsidP="002339E6">
      <w:pPr>
        <w:pStyle w:val="Heading3"/>
      </w:pPr>
      <w:bookmarkStart w:id="112" w:name="_Toc143291661"/>
      <w:r>
        <w:t>Strengths</w:t>
      </w:r>
      <w:bookmarkEnd w:id="112"/>
      <w:r>
        <w:t xml:space="preserve"> </w:t>
      </w:r>
    </w:p>
    <w:p w14:paraId="5A12EAF7" w14:textId="77777777" w:rsidR="000B692B" w:rsidRDefault="000B692B" w:rsidP="00CC7F3C">
      <w:pPr>
        <w:pStyle w:val="Longdotpoints"/>
        <w:numPr>
          <w:ilvl w:val="0"/>
          <w:numId w:val="0"/>
        </w:numPr>
      </w:pPr>
      <w:r>
        <w:t>Some of the strengths identified by stakeholders include:</w:t>
      </w:r>
    </w:p>
    <w:p w14:paraId="22CCF214" w14:textId="77777777" w:rsidR="00641D65" w:rsidRDefault="00641D65" w:rsidP="00835D0E">
      <w:pPr>
        <w:pStyle w:val="Longdotpoints"/>
        <w:ind w:left="567"/>
      </w:pPr>
      <w:r>
        <w:t>There are pockets of successful innovation piloted across Australia, such as virtual ED services, psychosocial step-down care facilities, and integrated patient-centred models that involve specialist and hospital services playing a role to strengthen the capacity of community-based services.</w:t>
      </w:r>
    </w:p>
    <w:p w14:paraId="2B6FB5C5" w14:textId="77777777" w:rsidR="00641D65" w:rsidRDefault="00641D65" w:rsidP="00835D0E">
      <w:pPr>
        <w:pStyle w:val="Longdotpoints"/>
        <w:ind w:left="567"/>
      </w:pPr>
      <w:r>
        <w:t xml:space="preserve">Public hospital services have embraced technology to provide virtual care where clinically appropriate, together with hospital avoidance and hospital length of stay minimisation models; and are increasingly networking and integrating services to improve equity of access to patients, in line with </w:t>
      </w:r>
      <w:r w:rsidR="00F55F12">
        <w:t>C</w:t>
      </w:r>
      <w:r>
        <w:t xml:space="preserve">lauses 5a-5d and </w:t>
      </w:r>
      <w:r w:rsidR="00F55F12">
        <w:t>C</w:t>
      </w:r>
      <w:r>
        <w:t>lause 19a of the Addendum.</w:t>
      </w:r>
    </w:p>
    <w:p w14:paraId="779D0B7F" w14:textId="77777777" w:rsidR="003D31EC" w:rsidRDefault="00641D65" w:rsidP="00835D0E">
      <w:pPr>
        <w:pStyle w:val="Longdotpoints"/>
        <w:ind w:left="567"/>
      </w:pPr>
      <w:r>
        <w:t xml:space="preserve">All jurisdictions have consistently identified paying for value and outcomes as a priority reform, in alignment with the recommendation from the Productivity Commission’s </w:t>
      </w:r>
      <w:r w:rsidRPr="00D16C69">
        <w:rPr>
          <w:i/>
          <w:iCs/>
        </w:rPr>
        <w:t>Advancing Prosperity</w:t>
      </w:r>
      <w:r>
        <w:t xml:space="preserve"> report</w:t>
      </w:r>
      <w:r w:rsidR="00DA5F2A">
        <w:t xml:space="preserve">. </w:t>
      </w:r>
    </w:p>
    <w:p w14:paraId="6B6B2530" w14:textId="71C70F75" w:rsidR="00EC7971" w:rsidRDefault="006845FD" w:rsidP="00EC7971">
      <w:pPr>
        <w:pStyle w:val="Heading2"/>
        <w:pageBreakBefore/>
      </w:pPr>
      <w:bookmarkStart w:id="113" w:name="_Toc143291662"/>
      <w:r>
        <w:rPr>
          <w:noProof/>
        </w:rPr>
        <w:drawing>
          <wp:anchor distT="0" distB="0" distL="114300" distR="114300" simplePos="0" relativeHeight="251623424" behindDoc="0" locked="0" layoutInCell="1" allowOverlap="1" wp14:anchorId="2A57AC12" wp14:editId="6386F6F4">
            <wp:simplePos x="0" y="0"/>
            <wp:positionH relativeFrom="column">
              <wp:posOffset>5850065</wp:posOffset>
            </wp:positionH>
            <wp:positionV relativeFrom="paragraph">
              <wp:posOffset>-78105</wp:posOffset>
            </wp:positionV>
            <wp:extent cx="808355" cy="771525"/>
            <wp:effectExtent l="0" t="0" r="0" b="9525"/>
            <wp:wrapNone/>
            <wp:docPr id="1489793659" name="Picture 1489793659" descr="P80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59" name="Picture 1489793659" descr="P800#y1">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808355" cy="771525"/>
                    </a:xfrm>
                    <a:prstGeom prst="rect">
                      <a:avLst/>
                    </a:prstGeom>
                  </pic:spPr>
                </pic:pic>
              </a:graphicData>
            </a:graphic>
            <wp14:sizeRelH relativeFrom="page">
              <wp14:pctWidth>0</wp14:pctWidth>
            </wp14:sizeRelH>
            <wp14:sizeRelV relativeFrom="page">
              <wp14:pctHeight>0</wp14:pctHeight>
            </wp14:sizeRelV>
          </wp:anchor>
        </w:drawing>
      </w:r>
      <w:r w:rsidR="00EC7971">
        <w:t>Financing reform</w:t>
      </w:r>
      <w:bookmarkEnd w:id="113"/>
      <w:r w:rsidR="00EC7971">
        <w:t xml:space="preserve"> </w:t>
      </w:r>
    </w:p>
    <w:tbl>
      <w:tblPr>
        <w:tblStyle w:val="TableGrid"/>
        <w:tblW w:w="0" w:type="auto"/>
        <w:shd w:val="clear" w:color="auto" w:fill="F2F2F2" w:themeFill="background1" w:themeFillShade="F2"/>
        <w:tblLook w:val="04A0" w:firstRow="1" w:lastRow="0" w:firstColumn="1" w:lastColumn="0" w:noHBand="0" w:noVBand="1"/>
      </w:tblPr>
      <w:tblGrid>
        <w:gridCol w:w="10466"/>
      </w:tblGrid>
      <w:tr w:rsidR="00EC7971" w14:paraId="50BE3370" w14:textId="77777777" w:rsidTr="00C10B26">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tcPr>
          <w:p w14:paraId="087E8499" w14:textId="4961E1B4" w:rsidR="00EC7971" w:rsidRPr="00351E6A" w:rsidRDefault="00EC7971" w:rsidP="00C10B26">
            <w:pPr>
              <w:pStyle w:val="Summarytable"/>
              <w:rPr>
                <w:color w:val="00707E" w:themeColor="accent5" w:themeShade="BF"/>
              </w:rPr>
            </w:pPr>
            <w:r w:rsidRPr="00351E6A">
              <w:rPr>
                <w:noProof/>
              </w:rPr>
              <w:drawing>
                <wp:inline distT="0" distB="0" distL="0" distR="0" wp14:anchorId="4DC2094B" wp14:editId="26810109">
                  <wp:extent cx="270000" cy="270000"/>
                  <wp:effectExtent l="0" t="0" r="0" b="0"/>
                  <wp:docPr id="22" name="Graphic 22" descr="P801C1T1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P801C1T12#yIS1">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70000" cy="270000"/>
                          </a:xfrm>
                          <a:prstGeom prst="rect">
                            <a:avLst/>
                          </a:prstGeom>
                        </pic:spPr>
                      </pic:pic>
                    </a:graphicData>
                  </a:graphic>
                </wp:inline>
              </w:drawing>
            </w:r>
            <w:r w:rsidR="0032600B">
              <w:rPr>
                <w:color w:val="00707E" w:themeColor="accent5" w:themeShade="BF"/>
              </w:rPr>
              <w:t xml:space="preserve"> </w:t>
            </w:r>
            <w:r w:rsidRPr="00351E6A">
              <w:rPr>
                <w:color w:val="00707E" w:themeColor="accent5" w:themeShade="BF"/>
              </w:rPr>
              <w:t xml:space="preserve">Summary of what we heard: </w:t>
            </w:r>
          </w:p>
          <w:p w14:paraId="28D068EC" w14:textId="398035D3" w:rsidR="00333246" w:rsidRDefault="00EC7971" w:rsidP="00C10B26">
            <w:pPr>
              <w:pStyle w:val="Summarytable"/>
              <w:rPr>
                <w:color w:val="000000" w:themeColor="text1"/>
              </w:rPr>
            </w:pPr>
            <w:r>
              <w:rPr>
                <w:color w:val="000000" w:themeColor="text1"/>
              </w:rPr>
              <w:t xml:space="preserve">Stakeholders acknowledged the significant reform that ABF represented at the time of its introduction and considered that its objectives </w:t>
            </w:r>
            <w:r w:rsidR="00C92384">
              <w:rPr>
                <w:color w:val="000000" w:themeColor="text1"/>
              </w:rPr>
              <w:t>to improve</w:t>
            </w:r>
            <w:r>
              <w:rPr>
                <w:color w:val="000000" w:themeColor="text1"/>
              </w:rPr>
              <w:t xml:space="preserve"> technical efficiency, transparency and accountability have largely been met. However, the NHRA's funding arrangements were generally criticised as putting too great a pressure on State</w:t>
            </w:r>
            <w:r w:rsidR="001615D9">
              <w:rPr>
                <w:color w:val="000000" w:themeColor="text1"/>
              </w:rPr>
              <w:t xml:space="preserve"> and </w:t>
            </w:r>
            <w:r>
              <w:rPr>
                <w:color w:val="000000" w:themeColor="text1"/>
              </w:rPr>
              <w:t xml:space="preserve">Territory budgets, with </w:t>
            </w:r>
            <w:r w:rsidR="00333246">
              <w:rPr>
                <w:color w:val="000000" w:themeColor="text1"/>
              </w:rPr>
              <w:t>the Commonwealth</w:t>
            </w:r>
            <w:r w:rsidR="00067C76">
              <w:rPr>
                <w:color w:val="000000" w:themeColor="text1"/>
              </w:rPr>
              <w:t xml:space="preserve"> share of public hospital funding</w:t>
            </w:r>
            <w:r>
              <w:rPr>
                <w:color w:val="000000" w:themeColor="text1"/>
              </w:rPr>
              <w:t xml:space="preserve"> seen as growing too slowly and the operation of the 6.5% funding cap impacting both the rate of growth</w:t>
            </w:r>
            <w:r w:rsidR="00CC4C8A">
              <w:rPr>
                <w:color w:val="000000" w:themeColor="text1"/>
              </w:rPr>
              <w:t xml:space="preserve"> </w:t>
            </w:r>
            <w:r>
              <w:rPr>
                <w:color w:val="000000" w:themeColor="text1"/>
              </w:rPr>
              <w:t xml:space="preserve">and the capacity of hospitals to respond to demand pressures. </w:t>
            </w:r>
          </w:p>
          <w:p w14:paraId="78B19342" w14:textId="5B599AFB" w:rsidR="00EC7971" w:rsidRDefault="00EC7971" w:rsidP="00C10B26">
            <w:pPr>
              <w:pStyle w:val="Summarytable"/>
              <w:rPr>
                <w:color w:val="000000" w:themeColor="text1"/>
              </w:rPr>
            </w:pPr>
            <w:r>
              <w:rPr>
                <w:color w:val="000000" w:themeColor="text1"/>
              </w:rPr>
              <w:t>The ABF system and efficient growth formula were seen as overly complex and becoming more so, and it was unclear whether increasingly technical adjustments were delivering intended outcomes, while other elements of the funding system (such as public health and teaching, training and research (TTR)) lacked transparency and accountability.</w:t>
            </w:r>
          </w:p>
          <w:p w14:paraId="4F6B3539" w14:textId="4074C916" w:rsidR="00EC7971" w:rsidRDefault="00EC7971" w:rsidP="00C10B26">
            <w:pPr>
              <w:pStyle w:val="Summarytable"/>
              <w:rPr>
                <w:b w:val="0"/>
                <w:bCs w:val="0"/>
                <w:color w:val="000000" w:themeColor="text1"/>
              </w:rPr>
            </w:pPr>
            <w:r>
              <w:rPr>
                <w:b w:val="0"/>
                <w:bCs w:val="0"/>
                <w:color w:val="000000" w:themeColor="text1"/>
              </w:rPr>
              <w:t xml:space="preserve">A summary of the key </w:t>
            </w:r>
            <w:r w:rsidR="00C92384">
              <w:rPr>
                <w:b w:val="0"/>
                <w:bCs w:val="0"/>
                <w:color w:val="000000" w:themeColor="text1"/>
              </w:rPr>
              <w:t xml:space="preserve">issues </w:t>
            </w:r>
            <w:r w:rsidR="008421D0">
              <w:rPr>
                <w:b w:val="0"/>
                <w:bCs w:val="0"/>
                <w:color w:val="000000" w:themeColor="text1"/>
              </w:rPr>
              <w:t xml:space="preserve">raised </w:t>
            </w:r>
            <w:r>
              <w:rPr>
                <w:b w:val="0"/>
                <w:bCs w:val="0"/>
                <w:color w:val="000000" w:themeColor="text1"/>
              </w:rPr>
              <w:t>include:</w:t>
            </w:r>
          </w:p>
          <w:p w14:paraId="5EE5BB6C" w14:textId="5CA7DA70" w:rsidR="00EC7971" w:rsidRDefault="00EC7971" w:rsidP="00EC7971">
            <w:pPr>
              <w:pStyle w:val="Summarytable"/>
              <w:numPr>
                <w:ilvl w:val="0"/>
                <w:numId w:val="20"/>
              </w:numPr>
              <w:rPr>
                <w:b w:val="0"/>
                <w:bCs w:val="0"/>
                <w:color w:val="000000" w:themeColor="text1"/>
              </w:rPr>
            </w:pPr>
            <w:r>
              <w:rPr>
                <w:b w:val="0"/>
                <w:bCs w:val="0"/>
                <w:color w:val="000000" w:themeColor="text1"/>
              </w:rPr>
              <w:t xml:space="preserve">While the rationale for the Commonwealth’s 45% contribution to efficient growth and 6.5% growth cap is understood, perceived inequity in the Commonwealth share of public hospital expenditure and the operation of the cap was seen as impacting the ability to meet real demand growth, particularly when cost pressures and the impact of an ageing population is taken into account, and </w:t>
            </w:r>
            <w:r w:rsidR="00C10178">
              <w:rPr>
                <w:b w:val="0"/>
                <w:bCs w:val="0"/>
                <w:color w:val="000000" w:themeColor="text1"/>
              </w:rPr>
              <w:t xml:space="preserve">as </w:t>
            </w:r>
            <w:r>
              <w:rPr>
                <w:b w:val="0"/>
                <w:bCs w:val="0"/>
                <w:color w:val="000000" w:themeColor="text1"/>
              </w:rPr>
              <w:t>putting unsustainable pressure on State</w:t>
            </w:r>
            <w:r w:rsidR="001615D9">
              <w:rPr>
                <w:b w:val="0"/>
                <w:bCs w:val="0"/>
                <w:color w:val="000000" w:themeColor="text1"/>
              </w:rPr>
              <w:t xml:space="preserve"> and </w:t>
            </w:r>
            <w:r>
              <w:rPr>
                <w:b w:val="0"/>
                <w:bCs w:val="0"/>
                <w:color w:val="000000" w:themeColor="text1"/>
              </w:rPr>
              <w:t xml:space="preserve">Territory budgets. </w:t>
            </w:r>
          </w:p>
          <w:p w14:paraId="2E5417C5" w14:textId="6263638A" w:rsidR="00EC7971" w:rsidRDefault="00EC7971" w:rsidP="00EC7971">
            <w:pPr>
              <w:pStyle w:val="Summarytable"/>
              <w:numPr>
                <w:ilvl w:val="0"/>
                <w:numId w:val="20"/>
              </w:numPr>
              <w:rPr>
                <w:b w:val="0"/>
                <w:bCs w:val="0"/>
                <w:color w:val="000000" w:themeColor="text1"/>
              </w:rPr>
            </w:pPr>
            <w:r>
              <w:rPr>
                <w:b w:val="0"/>
                <w:bCs w:val="0"/>
                <w:color w:val="000000" w:themeColor="text1"/>
              </w:rPr>
              <w:t>The current funding model</w:t>
            </w:r>
            <w:r w:rsidR="00922A91">
              <w:rPr>
                <w:b w:val="0"/>
                <w:bCs w:val="0"/>
                <w:color w:val="000000" w:themeColor="text1"/>
              </w:rPr>
              <w:t xml:space="preserve"> </w:t>
            </w:r>
            <w:r>
              <w:rPr>
                <w:b w:val="0"/>
                <w:bCs w:val="0"/>
                <w:color w:val="000000" w:themeColor="text1"/>
              </w:rPr>
              <w:t xml:space="preserve">has </w:t>
            </w:r>
            <w:r w:rsidR="002F3CDD">
              <w:rPr>
                <w:b w:val="0"/>
                <w:bCs w:val="0"/>
                <w:color w:val="000000" w:themeColor="text1"/>
              </w:rPr>
              <w:t>improved</w:t>
            </w:r>
            <w:r>
              <w:rPr>
                <w:b w:val="0"/>
                <w:bCs w:val="0"/>
                <w:color w:val="000000" w:themeColor="text1"/>
              </w:rPr>
              <w:t xml:space="preserve"> technical efficiency and accountability, but is considered too restrictive and inflexible to adapt to the increasingly complex needs of patients and to enable those interactions with different providers required to support the entire care pathway. This creates a barrier to delivering a more seamless approach to care and disincentivises design, development and implementation of innovative models. </w:t>
            </w:r>
          </w:p>
          <w:p w14:paraId="6B20ABDE" w14:textId="4757E5D1" w:rsidR="00EC7971" w:rsidRDefault="00EC7971" w:rsidP="00EC7971">
            <w:pPr>
              <w:pStyle w:val="Summarytable"/>
              <w:numPr>
                <w:ilvl w:val="0"/>
                <w:numId w:val="20"/>
              </w:numPr>
              <w:rPr>
                <w:b w:val="0"/>
                <w:bCs w:val="0"/>
                <w:color w:val="000000" w:themeColor="text1"/>
              </w:rPr>
            </w:pPr>
            <w:r>
              <w:rPr>
                <w:b w:val="0"/>
                <w:bCs w:val="0"/>
                <w:color w:val="000000" w:themeColor="text1"/>
              </w:rPr>
              <w:t xml:space="preserve">The ABF price determination process, predominantly based on average unit costs derived at a national level, </w:t>
            </w:r>
            <w:r w:rsidR="00C10178">
              <w:rPr>
                <w:b w:val="0"/>
                <w:bCs w:val="0"/>
                <w:color w:val="000000" w:themeColor="text1"/>
              </w:rPr>
              <w:t xml:space="preserve">were seen to </w:t>
            </w:r>
            <w:r>
              <w:rPr>
                <w:b w:val="0"/>
                <w:bCs w:val="0"/>
                <w:color w:val="000000" w:themeColor="text1"/>
              </w:rPr>
              <w:t xml:space="preserve">disadvantage smaller jurisdictions and rural and remote services that </w:t>
            </w:r>
            <w:r w:rsidR="001C4800">
              <w:rPr>
                <w:b w:val="0"/>
                <w:bCs w:val="0"/>
                <w:color w:val="000000" w:themeColor="text1"/>
              </w:rPr>
              <w:t xml:space="preserve">did </w:t>
            </w:r>
            <w:r>
              <w:rPr>
                <w:b w:val="0"/>
                <w:bCs w:val="0"/>
                <w:color w:val="000000" w:themeColor="text1"/>
              </w:rPr>
              <w:t>not have the economies of scale to realise efficiencies. Furthermore, the basis for determining block funding through the NEC was seen as not adequately meeting the service costs of rural hospitals, particularly relating to workforce and supply chain. There are elements of block funding arrangements that continue to lack transparency and accountability.</w:t>
            </w:r>
          </w:p>
          <w:p w14:paraId="5F6E528A" w14:textId="53CA0097" w:rsidR="00EC7971" w:rsidRDefault="00EC7971" w:rsidP="00EC7971">
            <w:pPr>
              <w:pStyle w:val="Summarytable"/>
              <w:numPr>
                <w:ilvl w:val="0"/>
                <w:numId w:val="20"/>
              </w:numPr>
              <w:rPr>
                <w:b w:val="0"/>
                <w:bCs w:val="0"/>
                <w:color w:val="000000" w:themeColor="text1"/>
              </w:rPr>
            </w:pPr>
            <w:r>
              <w:rPr>
                <w:b w:val="0"/>
                <w:bCs w:val="0"/>
                <w:color w:val="000000" w:themeColor="text1"/>
              </w:rPr>
              <w:t xml:space="preserve">The approach to drive efficiency through the case weight classification framework </w:t>
            </w:r>
            <w:r w:rsidR="00A52DAD">
              <w:rPr>
                <w:b w:val="0"/>
                <w:bCs w:val="0"/>
                <w:color w:val="000000" w:themeColor="text1"/>
              </w:rPr>
              <w:t>is</w:t>
            </w:r>
            <w:r>
              <w:rPr>
                <w:b w:val="0"/>
                <w:bCs w:val="0"/>
                <w:color w:val="000000" w:themeColor="text1"/>
              </w:rPr>
              <w:t xml:space="preserve"> complex and is impacted by technical deficiencies and data shortcomings. The most notable concern is the time lag between when costs are incurred by jurisdictions and when they are reflected in the NEP. While this relates to the time that it takes to collect and assure the quality of data at the jurisdictional level, at a time of high price growth, it results in a gap between the level of funding and the cost of service delivery and adds pressure to State and Territory budgets. </w:t>
            </w:r>
          </w:p>
          <w:p w14:paraId="266171BE" w14:textId="77777777" w:rsidR="00EC7971" w:rsidRDefault="00EC7971" w:rsidP="00EC7971">
            <w:pPr>
              <w:pStyle w:val="Summarytable"/>
              <w:numPr>
                <w:ilvl w:val="0"/>
                <w:numId w:val="20"/>
              </w:numPr>
              <w:rPr>
                <w:b w:val="0"/>
                <w:bCs w:val="0"/>
                <w:color w:val="000000" w:themeColor="text1"/>
              </w:rPr>
            </w:pPr>
            <w:r>
              <w:rPr>
                <w:b w:val="0"/>
                <w:bCs w:val="0"/>
                <w:color w:val="000000" w:themeColor="text1"/>
              </w:rPr>
              <w:t xml:space="preserve">Current funding arrangements that cater for cross-border patient flows are not consistent across jurisdictions. The ABF approach between jurisdictions does not adequately account for the underlying non-recurrent, infrastructure and technology costs incurred by host jurisdictions when cross-border services are delivered at scale. </w:t>
            </w:r>
          </w:p>
          <w:p w14:paraId="0355584C" w14:textId="03F69AAB" w:rsidR="00EC7971" w:rsidRDefault="00EC7971" w:rsidP="00EC7971">
            <w:pPr>
              <w:pStyle w:val="Summarytable"/>
              <w:numPr>
                <w:ilvl w:val="0"/>
                <w:numId w:val="20"/>
              </w:numPr>
              <w:rPr>
                <w:b w:val="0"/>
                <w:bCs w:val="0"/>
                <w:color w:val="000000" w:themeColor="text1"/>
              </w:rPr>
            </w:pPr>
            <w:r>
              <w:rPr>
                <w:b w:val="0"/>
                <w:bCs w:val="0"/>
                <w:color w:val="000000" w:themeColor="text1"/>
              </w:rPr>
              <w:t xml:space="preserve">An overarching theme on accessing and paying for </w:t>
            </w:r>
            <w:r w:rsidR="00D6711A">
              <w:rPr>
                <w:b w:val="0"/>
                <w:bCs w:val="0"/>
                <w:color w:val="000000" w:themeColor="text1"/>
              </w:rPr>
              <w:t>h</w:t>
            </w:r>
            <w:r w:rsidR="00071578" w:rsidRPr="00071578">
              <w:rPr>
                <w:b w:val="0"/>
                <w:bCs w:val="0"/>
                <w:color w:val="000000" w:themeColor="text1"/>
              </w:rPr>
              <w:t xml:space="preserve">igh-cost, </w:t>
            </w:r>
            <w:r w:rsidR="00D6711A">
              <w:rPr>
                <w:b w:val="0"/>
                <w:bCs w:val="0"/>
                <w:color w:val="000000" w:themeColor="text1"/>
              </w:rPr>
              <w:t>h</w:t>
            </w:r>
            <w:r w:rsidR="00071578" w:rsidRPr="00071578">
              <w:rPr>
                <w:b w:val="0"/>
                <w:bCs w:val="0"/>
                <w:color w:val="000000" w:themeColor="text1"/>
              </w:rPr>
              <w:t>ighly</w:t>
            </w:r>
            <w:r w:rsidR="00BE0850">
              <w:rPr>
                <w:b w:val="0"/>
                <w:bCs w:val="0"/>
                <w:color w:val="000000" w:themeColor="text1"/>
              </w:rPr>
              <w:t xml:space="preserve"> </w:t>
            </w:r>
            <w:r w:rsidR="00D6711A">
              <w:rPr>
                <w:b w:val="0"/>
                <w:bCs w:val="0"/>
                <w:color w:val="000000" w:themeColor="text1"/>
              </w:rPr>
              <w:t>s</w:t>
            </w:r>
            <w:r w:rsidR="00071578" w:rsidRPr="00071578">
              <w:rPr>
                <w:b w:val="0"/>
                <w:bCs w:val="0"/>
                <w:color w:val="000000" w:themeColor="text1"/>
              </w:rPr>
              <w:t xml:space="preserve">pecialised therapies </w:t>
            </w:r>
            <w:r w:rsidR="00A4154F">
              <w:rPr>
                <w:b w:val="0"/>
                <w:bCs w:val="0"/>
                <w:color w:val="000000" w:themeColor="text1"/>
              </w:rPr>
              <w:t xml:space="preserve">were the </w:t>
            </w:r>
            <w:r>
              <w:rPr>
                <w:b w:val="0"/>
                <w:bCs w:val="0"/>
                <w:color w:val="000000" w:themeColor="text1"/>
              </w:rPr>
              <w:t xml:space="preserve">inefficiencies in the governance mechanisms to approve the use of these therapies and funding schemes. The challenges to access and maintaining financial sustainability will only intensify as more </w:t>
            </w:r>
            <w:r w:rsidR="00807B98">
              <w:rPr>
                <w:b w:val="0"/>
                <w:bCs w:val="0"/>
                <w:color w:val="000000" w:themeColor="text1"/>
              </w:rPr>
              <w:t>of these</w:t>
            </w:r>
            <w:r>
              <w:rPr>
                <w:b w:val="0"/>
                <w:bCs w:val="0"/>
                <w:color w:val="000000" w:themeColor="text1"/>
              </w:rPr>
              <w:t xml:space="preserve"> therapies come to market in the coming years.</w:t>
            </w:r>
          </w:p>
          <w:p w14:paraId="7C292004" w14:textId="77777777" w:rsidR="00EC7971" w:rsidRPr="00354EF6" w:rsidRDefault="00EC7971" w:rsidP="00EC7971">
            <w:pPr>
              <w:pStyle w:val="Summarytable"/>
              <w:numPr>
                <w:ilvl w:val="0"/>
                <w:numId w:val="20"/>
              </w:numPr>
              <w:rPr>
                <w:b w:val="0"/>
                <w:bCs w:val="0"/>
                <w:color w:val="000000" w:themeColor="text1"/>
              </w:rPr>
            </w:pPr>
            <w:r w:rsidRPr="00354EF6">
              <w:rPr>
                <w:b w:val="0"/>
                <w:bCs w:val="0"/>
                <w:color w:val="000000" w:themeColor="text1"/>
              </w:rPr>
              <w:t xml:space="preserve">Stakeholders acknowledged that progress had been made in implementing more neutral funding arrangements between public and private patients being treated in public hospitals; however, considered that incentives remained for public hospitals to admit a patient as a private patient.    </w:t>
            </w:r>
          </w:p>
        </w:tc>
      </w:tr>
    </w:tbl>
    <w:p w14:paraId="2BC83584" w14:textId="77777777" w:rsidR="00EC7971" w:rsidRPr="00FA4AE7" w:rsidRDefault="00EC7971" w:rsidP="00EC7971">
      <w:pPr>
        <w:pStyle w:val="Heading3"/>
        <w:spacing w:before="120"/>
      </w:pPr>
      <w:bookmarkStart w:id="114" w:name="_Toc143291663"/>
      <w:bookmarkStart w:id="115" w:name="_Ref145594889"/>
      <w:r>
        <w:t>Identified issues</w:t>
      </w:r>
      <w:bookmarkEnd w:id="114"/>
      <w:bookmarkEnd w:id="115"/>
      <w:r>
        <w:t xml:space="preserve"> </w:t>
      </w:r>
    </w:p>
    <w:p w14:paraId="3AB9DD06" w14:textId="7B8A3C5C" w:rsidR="00415A35" w:rsidRDefault="00415A35" w:rsidP="00415A35">
      <w:r>
        <w:t xml:space="preserve">The key issues identified by stakeholders as part of this theme </w:t>
      </w:r>
      <w:r w:rsidR="00C92384">
        <w:t>were:</w:t>
      </w:r>
    </w:p>
    <w:p w14:paraId="07610161" w14:textId="69E58B23" w:rsidR="00EC7971" w:rsidRPr="00816A3F" w:rsidRDefault="00EC7971" w:rsidP="00EC7971">
      <w:pPr>
        <w:rPr>
          <w:b/>
          <w:bCs/>
        </w:rPr>
      </w:pPr>
      <w:r>
        <w:rPr>
          <w:b/>
          <w:bCs/>
        </w:rPr>
        <w:t>C</w:t>
      </w:r>
      <w:r w:rsidR="00A52DAD">
        <w:rPr>
          <w:b/>
          <w:bCs/>
        </w:rPr>
        <w:t>ommonwealth Contribution Rate (C</w:t>
      </w:r>
      <w:r>
        <w:rPr>
          <w:b/>
          <w:bCs/>
        </w:rPr>
        <w:t>CR</w:t>
      </w:r>
      <w:r w:rsidR="00A52DAD">
        <w:rPr>
          <w:b/>
          <w:bCs/>
        </w:rPr>
        <w:t>)</w:t>
      </w:r>
      <w:r>
        <w:rPr>
          <w:b/>
          <w:bCs/>
        </w:rPr>
        <w:t>, g</w:t>
      </w:r>
      <w:r w:rsidRPr="00816A3F">
        <w:rPr>
          <w:b/>
          <w:bCs/>
        </w:rPr>
        <w:t xml:space="preserve">rowth </w:t>
      </w:r>
      <w:r>
        <w:rPr>
          <w:b/>
          <w:bCs/>
        </w:rPr>
        <w:t>c</w:t>
      </w:r>
      <w:r w:rsidRPr="00816A3F">
        <w:rPr>
          <w:b/>
          <w:bCs/>
        </w:rPr>
        <w:t xml:space="preserve">ap and </w:t>
      </w:r>
      <w:r>
        <w:rPr>
          <w:b/>
          <w:bCs/>
        </w:rPr>
        <w:t>f</w:t>
      </w:r>
      <w:r w:rsidRPr="00816A3F">
        <w:rPr>
          <w:b/>
          <w:bCs/>
        </w:rPr>
        <w:t xml:space="preserve">unding </w:t>
      </w:r>
      <w:r>
        <w:rPr>
          <w:b/>
          <w:bCs/>
        </w:rPr>
        <w:t>s</w:t>
      </w:r>
      <w:r w:rsidRPr="00816A3F">
        <w:rPr>
          <w:b/>
          <w:bCs/>
        </w:rPr>
        <w:t>hare</w:t>
      </w:r>
    </w:p>
    <w:p w14:paraId="2F7EA3AE" w14:textId="77777777" w:rsidR="00EC7971" w:rsidRDefault="00EC7971" w:rsidP="00EC7971">
      <w:pPr>
        <w:pStyle w:val="Longdotpoints"/>
        <w:numPr>
          <w:ilvl w:val="0"/>
          <w:numId w:val="0"/>
        </w:numPr>
      </w:pPr>
      <w:r>
        <w:t>The current level of Commonwealth contribution to public hospital expenditure was seen as not representing an equitable share and as growing too slowly, limiting the capacity of health services to meet community needs.</w:t>
      </w:r>
    </w:p>
    <w:p w14:paraId="285A21F4" w14:textId="3F92FE42" w:rsidR="00EC7971" w:rsidRPr="00131156" w:rsidRDefault="00EC7971" w:rsidP="00835D0E">
      <w:pPr>
        <w:pStyle w:val="Longdotpoints"/>
        <w:ind w:left="567"/>
      </w:pPr>
      <w:r>
        <w:t xml:space="preserve">While the commitment in the Agreement is that the Commonwealth will contribute 45% of the efficient growth of ABF service delivery and block funding, the operation of the calculation system has seen the </w:t>
      </w:r>
      <w:r w:rsidR="00A4154F">
        <w:t xml:space="preserve">relative </w:t>
      </w:r>
      <w:r>
        <w:t xml:space="preserve">Commonwealth </w:t>
      </w:r>
      <w:r w:rsidR="00A4154F">
        <w:t xml:space="preserve">share </w:t>
      </w:r>
      <w:r>
        <w:t xml:space="preserve">grow to only </w:t>
      </w:r>
      <w:r w:rsidR="006831F8">
        <w:t>40.3</w:t>
      </w:r>
      <w:r>
        <w:t>% by 2022-23. This makes it challenging for States</w:t>
      </w:r>
      <w:r w:rsidR="00B8643A">
        <w:t xml:space="preserve"> and </w:t>
      </w:r>
      <w:r>
        <w:t xml:space="preserve">Territories to budget and plan the purchase of additional activity to meet strong demand growth and address the backlog in elective surgery and specialist outpatient </w:t>
      </w:r>
      <w:r w:rsidRPr="00131156">
        <w:t xml:space="preserve">services. </w:t>
      </w:r>
    </w:p>
    <w:p w14:paraId="24D55C05" w14:textId="5A446610" w:rsidR="00EC7971" w:rsidRPr="00131156" w:rsidRDefault="00EC7971" w:rsidP="00835D0E">
      <w:pPr>
        <w:pStyle w:val="Longdotpoints"/>
        <w:ind w:left="567"/>
      </w:pPr>
      <w:r w:rsidRPr="00131156">
        <w:t xml:space="preserve">For historical reasons, there remains a wide discrepancy between the CCR in each State and Territory – </w:t>
      </w:r>
      <w:r w:rsidR="006831F8" w:rsidRPr="00131156">
        <w:t>32.9</w:t>
      </w:r>
      <w:r w:rsidRPr="00131156">
        <w:t xml:space="preserve">% for the lowest through to </w:t>
      </w:r>
      <w:r w:rsidR="006831F8" w:rsidRPr="00131156">
        <w:t>41.9</w:t>
      </w:r>
      <w:r w:rsidRPr="00131156">
        <w:t>% for the highest</w:t>
      </w:r>
      <w:r w:rsidR="00131156" w:rsidRPr="00131156">
        <w:t xml:space="preserve"> in 2022-23</w:t>
      </w:r>
      <w:r w:rsidR="00305A79" w:rsidRPr="00131156">
        <w:t>.</w:t>
      </w:r>
      <w:r w:rsidRPr="00131156">
        <w:t xml:space="preserve"> While this discrepancy has narrowed over the course of the Agreement</w:t>
      </w:r>
      <w:r w:rsidR="00C92384">
        <w:t>,</w:t>
      </w:r>
      <w:r w:rsidRPr="00131156">
        <w:t xml:space="preserve"> progress has been slow and is likely to remain so. </w:t>
      </w:r>
    </w:p>
    <w:p w14:paraId="2837DF25" w14:textId="77777777" w:rsidR="00EC7971" w:rsidRDefault="00EC7971" w:rsidP="00EC7971">
      <w:pPr>
        <w:pStyle w:val="Longdotpoints"/>
        <w:numPr>
          <w:ilvl w:val="0"/>
          <w:numId w:val="0"/>
        </w:numPr>
      </w:pPr>
      <w:r>
        <w:t>The 6.5% growth cap incorporates both price and activity growth, which are affected by external factors of inflation and the impact on hospital activity from the ageing population and increased incidence of chronic disease.</w:t>
      </w:r>
    </w:p>
    <w:p w14:paraId="0278522E" w14:textId="013A93D4" w:rsidR="00EB6663" w:rsidRPr="00126D16" w:rsidRDefault="00EB6663" w:rsidP="00835D0E">
      <w:pPr>
        <w:pStyle w:val="Longdotpoints"/>
        <w:ind w:left="567"/>
      </w:pPr>
      <w:r>
        <w:t>Within the calculation of the 6.5% cap, a key issue in the current climate of cost escalation is the</w:t>
      </w:r>
      <w:r w:rsidRPr="00126D16">
        <w:t xml:space="preserve"> proportion of funding growth</w:t>
      </w:r>
      <w:r>
        <w:t xml:space="preserve"> that</w:t>
      </w:r>
      <w:r w:rsidRPr="00126D16">
        <w:t xml:space="preserve"> is </w:t>
      </w:r>
      <w:r>
        <w:t xml:space="preserve">driven </w:t>
      </w:r>
      <w:r w:rsidRPr="00126D16">
        <w:t>by price</w:t>
      </w:r>
      <w:r>
        <w:t xml:space="preserve"> variables rather than </w:t>
      </w:r>
      <w:r w:rsidR="00EC7971">
        <w:t>activity.</w:t>
      </w:r>
      <w:r w:rsidRPr="00126D16">
        <w:t xml:space="preserve"> </w:t>
      </w:r>
      <w:r>
        <w:t>This significantly</w:t>
      </w:r>
      <w:r w:rsidRPr="00126D16">
        <w:t xml:space="preserve"> </w:t>
      </w:r>
      <w:r w:rsidR="00EC7971">
        <w:t xml:space="preserve">limits </w:t>
      </w:r>
      <w:r>
        <w:t>the ability</w:t>
      </w:r>
      <w:r w:rsidRPr="00126D16">
        <w:t xml:space="preserve"> to grow service</w:t>
      </w:r>
      <w:r>
        <w:t xml:space="preserve"> capacity</w:t>
      </w:r>
      <w:r w:rsidRPr="00126D16">
        <w:t xml:space="preserve"> to address </w:t>
      </w:r>
      <w:r>
        <w:t>projected demand</w:t>
      </w:r>
      <w:r w:rsidR="00EC7971">
        <w:t>, as it leaves little headroom for activity growth.</w:t>
      </w:r>
      <w:r>
        <w:t xml:space="preserve"> </w:t>
      </w:r>
    </w:p>
    <w:p w14:paraId="5CF569FA" w14:textId="77777777" w:rsidR="00EB6663" w:rsidRPr="00126D16" w:rsidRDefault="00EB6663" w:rsidP="00835D0E">
      <w:pPr>
        <w:pStyle w:val="Longdotpoints"/>
        <w:ind w:left="567"/>
      </w:pPr>
      <w:r>
        <w:t>The issue has significant ramifications for j</w:t>
      </w:r>
      <w:r w:rsidRPr="00126D16">
        <w:t xml:space="preserve">urisdictions </w:t>
      </w:r>
      <w:r>
        <w:t xml:space="preserve">that are facing longer term planning challenges in their ability to </w:t>
      </w:r>
      <w:r w:rsidRPr="00126D16">
        <w:t>mak</w:t>
      </w:r>
      <w:r>
        <w:t xml:space="preserve">e the </w:t>
      </w:r>
      <w:r w:rsidRPr="00126D16">
        <w:t xml:space="preserve">necessary decisions </w:t>
      </w:r>
      <w:r>
        <w:t xml:space="preserve">to </w:t>
      </w:r>
      <w:r w:rsidRPr="00126D16">
        <w:t xml:space="preserve">build </w:t>
      </w:r>
      <w:r>
        <w:t>health service</w:t>
      </w:r>
      <w:r w:rsidRPr="00126D16">
        <w:t xml:space="preserve"> capacity to meet growing community health needs</w:t>
      </w:r>
      <w:r>
        <w:t xml:space="preserve">, particularly as Australia faces the ongoing demands from </w:t>
      </w:r>
      <w:r w:rsidRPr="00126D16">
        <w:t>an ageing population and increased incidence</w:t>
      </w:r>
      <w:r w:rsidRPr="0099262D">
        <w:t xml:space="preserve"> of chronic </w:t>
      </w:r>
      <w:r>
        <w:t>disease</w:t>
      </w:r>
      <w:r w:rsidRPr="0099262D">
        <w:t>.</w:t>
      </w:r>
      <w:r>
        <w:t xml:space="preserve"> The issue is made more challenging by the fact that the </w:t>
      </w:r>
      <w:r w:rsidRPr="0099262D">
        <w:t xml:space="preserve">determination of whether </w:t>
      </w:r>
      <w:r>
        <w:t xml:space="preserve">jurisdictions have </w:t>
      </w:r>
      <w:r w:rsidRPr="0099262D">
        <w:t xml:space="preserve">exceeded </w:t>
      </w:r>
      <w:r>
        <w:t>the cap is</w:t>
      </w:r>
      <w:r w:rsidRPr="0099262D">
        <w:t xml:space="preserve"> made</w:t>
      </w:r>
      <w:r>
        <w:t xml:space="preserve"> well past the end of the financial year</w:t>
      </w:r>
      <w:r w:rsidRPr="0099262D">
        <w:t>.</w:t>
      </w:r>
    </w:p>
    <w:p w14:paraId="4DEF8FA9" w14:textId="77777777" w:rsidR="00E33A5E" w:rsidRPr="000E1E05" w:rsidRDefault="00E33A5E" w:rsidP="00CC7F3C">
      <w:pPr>
        <w:pStyle w:val="Longdotpoints"/>
        <w:numPr>
          <w:ilvl w:val="0"/>
          <w:numId w:val="0"/>
        </w:numPr>
      </w:pPr>
      <w:r w:rsidRPr="000E1E05">
        <w:t xml:space="preserve">The efficient growth formula is complex and has technical deficiencies. </w:t>
      </w:r>
    </w:p>
    <w:p w14:paraId="7A673031" w14:textId="523D1891" w:rsidR="00E33A5E" w:rsidRDefault="00F70304" w:rsidP="00835D0E">
      <w:pPr>
        <w:pStyle w:val="Longdotpoints"/>
        <w:ind w:left="567"/>
      </w:pPr>
      <w:r>
        <w:t>T</w:t>
      </w:r>
      <w:r w:rsidR="00E33A5E">
        <w:t>he basis for determining</w:t>
      </w:r>
      <w:r w:rsidR="00A35AC7">
        <w:t xml:space="preserve"> a</w:t>
      </w:r>
      <w:r w:rsidR="00E33A5E">
        <w:t xml:space="preserve"> </w:t>
      </w:r>
      <w:r w:rsidR="00A35AC7">
        <w:t xml:space="preserve">jurisdiction’s </w:t>
      </w:r>
      <w:r w:rsidR="00E33A5E">
        <w:t xml:space="preserve">growth cap </w:t>
      </w:r>
      <w:r w:rsidR="00F50B65">
        <w:t>was</w:t>
      </w:r>
      <w:r w:rsidR="00E33A5E">
        <w:t xml:space="preserve"> seen as overly complex</w:t>
      </w:r>
      <w:r w:rsidR="00E33A5E" w:rsidRPr="00000446">
        <w:t xml:space="preserve"> </w:t>
      </w:r>
      <w:r w:rsidR="00E33A5E">
        <w:t xml:space="preserve">both in terms of what it represents (price and growth) and how the final yearly determination is confirmed, as well as difficult to plan and administer by States and Territories. This </w:t>
      </w:r>
      <w:r w:rsidR="00D671EE">
        <w:t>complexity</w:t>
      </w:r>
      <w:r w:rsidR="00170A2D">
        <w:t xml:space="preserve"> </w:t>
      </w:r>
      <w:r w:rsidR="00756C15">
        <w:t xml:space="preserve">is </w:t>
      </w:r>
      <w:r w:rsidR="00D16642">
        <w:t>added to through</w:t>
      </w:r>
      <w:r w:rsidR="00756C15">
        <w:t xml:space="preserve"> the</w:t>
      </w:r>
      <w:r w:rsidR="00E33A5E">
        <w:t xml:space="preserve"> way in which yearly </w:t>
      </w:r>
      <w:r w:rsidR="00E33A5E" w:rsidRPr="00000446">
        <w:t xml:space="preserve">back-casting </w:t>
      </w:r>
      <w:r w:rsidR="00E33A5E">
        <w:t>processes are conducted which is effectively</w:t>
      </w:r>
      <w:r w:rsidR="00E33A5E" w:rsidRPr="00000446">
        <w:t xml:space="preserve"> the </w:t>
      </w:r>
      <w:r w:rsidR="00E33A5E">
        <w:t xml:space="preserve">only way </w:t>
      </w:r>
      <w:r w:rsidR="00E33A5E" w:rsidRPr="00000446">
        <w:t xml:space="preserve">that the funding mechanism adjusts for the change in events between years </w:t>
      </w:r>
      <w:r w:rsidR="00E33A5E">
        <w:t>and does not address the impact on</w:t>
      </w:r>
      <w:r w:rsidR="00E33A5E" w:rsidRPr="00000446">
        <w:t xml:space="preserve"> the absolute number of events that occur each year.</w:t>
      </w:r>
    </w:p>
    <w:p w14:paraId="7C9705A2" w14:textId="77777777" w:rsidR="00B875BE" w:rsidRPr="00000446" w:rsidRDefault="00B875BE" w:rsidP="00650E28">
      <w:pPr>
        <w:pStyle w:val="Longdotpoints"/>
        <w:numPr>
          <w:ilvl w:val="0"/>
          <w:numId w:val="0"/>
        </w:numPr>
        <w:ind w:left="360" w:hanging="360"/>
      </w:pPr>
    </w:p>
    <w:p w14:paraId="0CF342C6" w14:textId="77777777" w:rsidR="00EC7971" w:rsidRDefault="00EC7971" w:rsidP="00EC7971">
      <w:pPr>
        <w:rPr>
          <w:b/>
          <w:bCs/>
        </w:rPr>
      </w:pPr>
      <w:r>
        <w:rPr>
          <w:b/>
          <w:bCs/>
        </w:rPr>
        <w:t>Potential impact of funding activity through ABF</w:t>
      </w:r>
    </w:p>
    <w:p w14:paraId="6B5557D4" w14:textId="179B7C0F" w:rsidR="00EC7971" w:rsidRDefault="00EC7971" w:rsidP="00EC7971">
      <w:r>
        <w:t>The funding model was considered to have insufficient flexibility to adapt to the complex needs of patients across the care pathway.</w:t>
      </w:r>
    </w:p>
    <w:p w14:paraId="44175F2B" w14:textId="4AFE40B3" w:rsidR="00EC7971" w:rsidRDefault="00EC7971" w:rsidP="00835D0E">
      <w:pPr>
        <w:pStyle w:val="Longdotpoints"/>
        <w:ind w:left="567"/>
      </w:pPr>
      <w:r>
        <w:t>The focus on setting and meeting NWAU/ABF targets to attract Commonwealth funding was seen as driving care to the inpatient setting, rather than preventing hospitalisations through individualised health interventions and early disease management, usually delivered in primary and community-based care settings.</w:t>
      </w:r>
    </w:p>
    <w:p w14:paraId="4FAAD7E7" w14:textId="02483C83" w:rsidR="00EC7971" w:rsidRDefault="00EC7971" w:rsidP="00835D0E">
      <w:pPr>
        <w:pStyle w:val="Longdotpoints"/>
        <w:ind w:left="567"/>
      </w:pPr>
      <w:r>
        <w:t xml:space="preserve">In some situations, the ABF approach was seen as a significant barrier to introducing integrated care models. A number of examples have been identified including hospital activities incurring high cost/low volume activity, programs aimed at hospital avoidance, community or at-home non-admitted programs aimed at reducing or replacing the reliance on admitted activity, which were effective but could not be sustained within the provisions of the NHRA. </w:t>
      </w:r>
    </w:p>
    <w:p w14:paraId="6A4E1A36" w14:textId="77777777" w:rsidR="00EC7971" w:rsidRDefault="00EC7971" w:rsidP="00EC7971">
      <w:r>
        <w:t>NHRA’s ABF approach (including NEP) tends to disadvantage smaller jurisdictions.</w:t>
      </w:r>
    </w:p>
    <w:p w14:paraId="515069C0" w14:textId="13361837" w:rsidR="00415A35" w:rsidRPr="001C4513" w:rsidRDefault="00415A35" w:rsidP="00835D0E">
      <w:pPr>
        <w:pStyle w:val="Longdotpoints"/>
        <w:ind w:left="567"/>
      </w:pPr>
      <w:r w:rsidRPr="001C4513">
        <w:t>For smaller jurisdictions with smaller and fewer hospitals</w:t>
      </w:r>
      <w:r w:rsidR="00B85A74">
        <w:t>, lack of scale, and sparse populations</w:t>
      </w:r>
      <w:r w:rsidRPr="001C4513">
        <w:t xml:space="preserve">, the NEP and NEC </w:t>
      </w:r>
      <w:r w:rsidR="00C92384">
        <w:t xml:space="preserve">were seen by many as </w:t>
      </w:r>
      <w:r w:rsidRPr="001C4513">
        <w:t>provid</w:t>
      </w:r>
      <w:r w:rsidR="00C92384">
        <w:t>ing</w:t>
      </w:r>
      <w:r w:rsidRPr="001C4513">
        <w:t xml:space="preserve"> neither a realistic price signal nor an achievable benchmark. Larger jurisdictions, and larger metropolitan hospital</w:t>
      </w:r>
      <w:r w:rsidR="003659F8">
        <w:t>s’</w:t>
      </w:r>
      <w:r w:rsidRPr="001C4513">
        <w:t xml:space="preserve"> costs</w:t>
      </w:r>
      <w:r w:rsidR="00EC7971" w:rsidRPr="008A0BCC">
        <w:t>,</w:t>
      </w:r>
      <w:r w:rsidRPr="001C4513">
        <w:t xml:space="preserve"> </w:t>
      </w:r>
      <w:r w:rsidR="00C92384">
        <w:t>strongly</w:t>
      </w:r>
      <w:r w:rsidRPr="001C4513">
        <w:t xml:space="preserve"> influence the calculation of the NEP and NEC by the sheer volume of cost data impacting price and cost weight parameters. This issue is further compounded by other additional cost imposts incurred by </w:t>
      </w:r>
      <w:r w:rsidR="006E235F">
        <w:t>smaller</w:t>
      </w:r>
      <w:r w:rsidR="006E235F" w:rsidRPr="001C4513">
        <w:t xml:space="preserve"> </w:t>
      </w:r>
      <w:r w:rsidRPr="001C4513">
        <w:t xml:space="preserve">hospitals (e.g., the higher wage burden to attract specialist and technical skills to smaller jurisdictions and remote health services). </w:t>
      </w:r>
    </w:p>
    <w:p w14:paraId="14F5C651" w14:textId="77777777" w:rsidR="00D407F0" w:rsidRPr="00C15C5E" w:rsidRDefault="00D407F0" w:rsidP="00835C53">
      <w:pPr>
        <w:pStyle w:val="Longdotpoints"/>
        <w:keepNext/>
        <w:numPr>
          <w:ilvl w:val="0"/>
          <w:numId w:val="0"/>
        </w:numPr>
      </w:pPr>
      <w:r w:rsidRPr="00C15C5E">
        <w:t xml:space="preserve">There is ambiguity in </w:t>
      </w:r>
      <w:r>
        <w:t xml:space="preserve">ABF </w:t>
      </w:r>
      <w:r w:rsidRPr="00C15C5E">
        <w:t xml:space="preserve">shadow pricing parameters. </w:t>
      </w:r>
    </w:p>
    <w:p w14:paraId="33C5C38E" w14:textId="77777777" w:rsidR="00D407F0" w:rsidRPr="00B10C0F" w:rsidRDefault="00D407F0" w:rsidP="00835D0E">
      <w:pPr>
        <w:pStyle w:val="Longdotpoints"/>
        <w:ind w:left="567"/>
      </w:pPr>
      <w:r>
        <w:t>The Addendum does not provide leverage around the often significant changes arising from the introduction of new ABF classifications or resulting changes in costing methodologies, even in situations where transitional arrangements such as shadow pricing are introduced. There is ambiguity in the Addendum about what constitutes full participation in shadow pricing (</w:t>
      </w:r>
      <w:r w:rsidR="00EC7971">
        <w:t>clause A42a), which significantly influences the applicability of these provisions. The lack of specificity around these provisions has seen pressure to shadow price all new classifications regardless of the significance of the impact of the new classification on the national pricing model, constraining the ability to be responsive in reflecting changes in clinical practice.</w:t>
      </w:r>
    </w:p>
    <w:p w14:paraId="44EBE5EB" w14:textId="77777777" w:rsidR="0042162E" w:rsidRDefault="0042162E" w:rsidP="00CC7F3C">
      <w:pPr>
        <w:pStyle w:val="Longdotpoints"/>
        <w:numPr>
          <w:ilvl w:val="0"/>
          <w:numId w:val="0"/>
        </w:numPr>
      </w:pPr>
    </w:p>
    <w:p w14:paraId="28E03F37" w14:textId="77777777" w:rsidR="007B6B4F" w:rsidRPr="00B10C0F" w:rsidRDefault="007B6B4F" w:rsidP="00CC7F3C">
      <w:pPr>
        <w:pStyle w:val="Longdotpoints"/>
        <w:numPr>
          <w:ilvl w:val="0"/>
          <w:numId w:val="0"/>
        </w:numPr>
        <w:rPr>
          <w:b/>
          <w:bCs/>
        </w:rPr>
      </w:pPr>
      <w:r w:rsidRPr="00B10C0F">
        <w:rPr>
          <w:b/>
          <w:bCs/>
        </w:rPr>
        <w:t>Cost and price data</w:t>
      </w:r>
    </w:p>
    <w:p w14:paraId="3DE5E876" w14:textId="77777777" w:rsidR="007B6B4F" w:rsidRPr="00E85628" w:rsidRDefault="007B6B4F" w:rsidP="00CC7F3C">
      <w:pPr>
        <w:pStyle w:val="Longdotpoints"/>
        <w:numPr>
          <w:ilvl w:val="0"/>
          <w:numId w:val="0"/>
        </w:numPr>
      </w:pPr>
      <w:r w:rsidRPr="00E85628">
        <w:t xml:space="preserve">The lag in cost data and NEP calculation makes it difficult for LHNs to use the NEP for activity and capacity planning. </w:t>
      </w:r>
    </w:p>
    <w:p w14:paraId="3813DBA6" w14:textId="28C9183F" w:rsidR="007B6B4F" w:rsidRPr="001C4513" w:rsidRDefault="007B6B4F" w:rsidP="000050CD">
      <w:pPr>
        <w:pStyle w:val="Longdotpoints"/>
        <w:ind w:left="567"/>
      </w:pPr>
      <w:r w:rsidRPr="001C4513">
        <w:t xml:space="preserve">The NEP is based on hospital data collections that are prepared from the </w:t>
      </w:r>
      <w:r w:rsidR="00533F77">
        <w:t>three</w:t>
      </w:r>
      <w:r w:rsidRPr="001C4513">
        <w:t xml:space="preserve"> years prior which fails to realise the more immediate real time cost and efficiency effects impacted, for example, </w:t>
      </w:r>
      <w:r w:rsidR="005E05FF" w:rsidRPr="001C4513">
        <w:t xml:space="preserve">by </w:t>
      </w:r>
      <w:r w:rsidRPr="001C4513">
        <w:t>workforce shortages and jurisdictional Enterprise Bargaining Agreement outcomes, cost inflation on supplies/consumables and related supply chain distribution</w:t>
      </w:r>
      <w:r w:rsidR="00C92384">
        <w:t xml:space="preserve"> and the </w:t>
      </w:r>
      <w:r w:rsidRPr="001C4513">
        <w:t xml:space="preserve">downstream impacts of COVID-19. </w:t>
      </w:r>
    </w:p>
    <w:p w14:paraId="6CDE2E8B" w14:textId="77777777" w:rsidR="00EC7971" w:rsidRDefault="00EC7971" w:rsidP="000050CD">
      <w:pPr>
        <w:pStyle w:val="Longdotpoints"/>
        <w:ind w:left="567"/>
      </w:pPr>
      <w:r>
        <w:t>The lag between the cost data submission and the NEP means that States and Territories face a liquidity risk if health service costs escalate at a more rapid rate, having to find ways to address the immediate higher cost of healthcare provision while they wait for equivalent Commonwealth funding contributions.</w:t>
      </w:r>
    </w:p>
    <w:p w14:paraId="22AC7007" w14:textId="77777777" w:rsidR="00415A35" w:rsidRPr="00E85628" w:rsidRDefault="00415A35" w:rsidP="00CC7F3C">
      <w:pPr>
        <w:pStyle w:val="Longdotpoints"/>
        <w:numPr>
          <w:ilvl w:val="0"/>
          <w:numId w:val="0"/>
        </w:numPr>
      </w:pPr>
      <w:r w:rsidRPr="00E85628">
        <w:t>Some adjustments are not effective in achieving the objectives of the Addendum</w:t>
      </w:r>
      <w:r w:rsidR="00AD2A87">
        <w:t xml:space="preserve"> and promoting innovations based on </w:t>
      </w:r>
      <w:r w:rsidR="00606CBA">
        <w:t xml:space="preserve">evidentiary </w:t>
      </w:r>
      <w:r w:rsidR="00AD2A87">
        <w:t>requirements</w:t>
      </w:r>
      <w:r w:rsidRPr="00E85628">
        <w:t>.</w:t>
      </w:r>
    </w:p>
    <w:p w14:paraId="4C5274D0" w14:textId="6DBADB4B" w:rsidR="00EC7971" w:rsidRDefault="00EC7971" w:rsidP="000050CD">
      <w:pPr>
        <w:pStyle w:val="Longdotpoints"/>
        <w:ind w:left="567"/>
      </w:pPr>
      <w:r>
        <w:t xml:space="preserve">Stakeholders noted that the </w:t>
      </w:r>
      <w:r w:rsidRPr="001C4513">
        <w:t xml:space="preserve">most common barriers to the introduction of new adjustments, or perceived inadequacy of existing adjustments, is a lack of evidence available in reported cost and activity data, including due to jurisdictional limitations in allocating costs accurately at the patient level or limitations in the collection of patient characteristics data. Others may be rejected due to low materiality and/or misalignment with the Pricing Guidelines, such as </w:t>
      </w:r>
      <w:r w:rsidR="0001275B">
        <w:t>S</w:t>
      </w:r>
      <w:r w:rsidRPr="001C4513">
        <w:t>tate</w:t>
      </w:r>
      <w:r w:rsidR="0001275B">
        <w:t xml:space="preserve"> and Territory</w:t>
      </w:r>
      <w:r w:rsidRPr="001C4513">
        <w:t>-based adjustments that have been proposed by some jurisdictions but are inconsistent with a national pricing approach and a preference for patient-based adjustments.</w:t>
      </w:r>
    </w:p>
    <w:p w14:paraId="12583937" w14:textId="77777777" w:rsidR="00415A35" w:rsidRPr="000E1E05" w:rsidRDefault="00415A35" w:rsidP="00CC7F3C">
      <w:pPr>
        <w:pStyle w:val="Longdotpoints"/>
        <w:numPr>
          <w:ilvl w:val="0"/>
          <w:numId w:val="0"/>
        </w:numPr>
      </w:pPr>
      <w:r w:rsidRPr="000E1E05">
        <w:t>There is limited jurisdictional capacity and capability for continuous improvement in clinical costing</w:t>
      </w:r>
      <w:r w:rsidR="000A782B">
        <w:t xml:space="preserve"> and </w:t>
      </w:r>
      <w:r w:rsidR="00D407F0">
        <w:t xml:space="preserve">cost </w:t>
      </w:r>
      <w:r w:rsidR="000A782B">
        <w:t>data capture</w:t>
      </w:r>
      <w:r w:rsidRPr="000E1E05">
        <w:t>.</w:t>
      </w:r>
    </w:p>
    <w:p w14:paraId="5D97AACD" w14:textId="77777777" w:rsidR="00415A35" w:rsidRDefault="00415A35" w:rsidP="000050CD">
      <w:pPr>
        <w:pStyle w:val="Longdotpoints"/>
        <w:ind w:left="567"/>
      </w:pPr>
      <w:r>
        <w:t>While the intention of the A</w:t>
      </w:r>
      <w:r w:rsidRPr="00E9471D">
        <w:t xml:space="preserve">BF </w:t>
      </w:r>
      <w:r>
        <w:t xml:space="preserve">model framework was expected to drive </w:t>
      </w:r>
      <w:r w:rsidRPr="00E9471D">
        <w:t>improve</w:t>
      </w:r>
      <w:r>
        <w:t xml:space="preserve">ments </w:t>
      </w:r>
      <w:r w:rsidR="00EC7971">
        <w:t>in</w:t>
      </w:r>
      <w:r>
        <w:t xml:space="preserve"> </w:t>
      </w:r>
      <w:r w:rsidRPr="00E9471D">
        <w:t>quality</w:t>
      </w:r>
      <w:r>
        <w:t xml:space="preserve"> and </w:t>
      </w:r>
      <w:r w:rsidRPr="00E9471D">
        <w:t xml:space="preserve">efficiency </w:t>
      </w:r>
      <w:r>
        <w:t xml:space="preserve">in the preparation of episodic cost data, </w:t>
      </w:r>
      <w:r w:rsidRPr="00E9471D">
        <w:t>it is no</w:t>
      </w:r>
      <w:r>
        <w:t xml:space="preserve"> longer </w:t>
      </w:r>
      <w:r w:rsidRPr="00E9471D">
        <w:t>clear that this aspect remains a focus</w:t>
      </w:r>
      <w:r>
        <w:t>. This is largely</w:t>
      </w:r>
      <w:r w:rsidRPr="00E9471D">
        <w:t xml:space="preserve"> due to </w:t>
      </w:r>
      <w:r>
        <w:t>ongoing limitations in data sources and in the technical</w:t>
      </w:r>
      <w:r w:rsidRPr="00E9471D">
        <w:t xml:space="preserve"> </w:t>
      </w:r>
      <w:r>
        <w:t xml:space="preserve">costing </w:t>
      </w:r>
      <w:r w:rsidRPr="00E9471D">
        <w:t xml:space="preserve">capability </w:t>
      </w:r>
      <w:r>
        <w:t xml:space="preserve">across </w:t>
      </w:r>
      <w:r w:rsidR="003E32B5">
        <w:t>S</w:t>
      </w:r>
      <w:r w:rsidRPr="00E9471D">
        <w:t xml:space="preserve">tates and </w:t>
      </w:r>
      <w:r w:rsidR="003E32B5">
        <w:t>T</w:t>
      </w:r>
      <w:r w:rsidRPr="00E9471D">
        <w:t xml:space="preserve">erritories. </w:t>
      </w:r>
    </w:p>
    <w:p w14:paraId="1E8060AD" w14:textId="77777777" w:rsidR="00415A35" w:rsidRDefault="00415A35" w:rsidP="000050CD">
      <w:pPr>
        <w:pStyle w:val="Longdotpoints"/>
        <w:ind w:left="567"/>
      </w:pPr>
      <w:r>
        <w:t xml:space="preserve">Accuracy, timeliness and administrative burden for preparing episodic cost </w:t>
      </w:r>
      <w:r w:rsidRPr="00F32737">
        <w:t xml:space="preserve">data is </w:t>
      </w:r>
      <w:r>
        <w:t>also limited</w:t>
      </w:r>
      <w:r w:rsidRPr="00F32737">
        <w:t xml:space="preserve"> by the </w:t>
      </w:r>
      <w:r>
        <w:t xml:space="preserve">lack of skills and </w:t>
      </w:r>
      <w:r w:rsidRPr="00F32737">
        <w:t xml:space="preserve">capacity </w:t>
      </w:r>
      <w:r>
        <w:t xml:space="preserve">of LHNs </w:t>
      </w:r>
      <w:r w:rsidRPr="00F32737">
        <w:t xml:space="preserve">to </w:t>
      </w:r>
      <w:r>
        <w:t xml:space="preserve">adequately drive the </w:t>
      </w:r>
      <w:r w:rsidRPr="00F32737">
        <w:t>collect</w:t>
      </w:r>
      <w:r>
        <w:t>ion of</w:t>
      </w:r>
      <w:r w:rsidRPr="00F32737">
        <w:t xml:space="preserve"> </w:t>
      </w:r>
      <w:r>
        <w:t xml:space="preserve">more contemporary </w:t>
      </w:r>
      <w:r w:rsidRPr="00F32737">
        <w:t>data</w:t>
      </w:r>
      <w:r>
        <w:t xml:space="preserve">, particularly as the complexity of the patient classification systems used to base the pricing parameters increases. This limitation is commonly impacted by </w:t>
      </w:r>
      <w:r w:rsidRPr="00F32737">
        <w:t xml:space="preserve">highly manual </w:t>
      </w:r>
      <w:r>
        <w:t xml:space="preserve">costing and collection </w:t>
      </w:r>
      <w:r w:rsidRPr="00F32737">
        <w:t>process</w:t>
      </w:r>
      <w:r>
        <w:t>es, poor source data systems, highly administrative</w:t>
      </w:r>
      <w:r w:rsidRPr="00F32737">
        <w:t xml:space="preserve"> quality assurance requirements </w:t>
      </w:r>
      <w:r>
        <w:t>and workforce challenges in attracting technical skills and episodic costing capability.</w:t>
      </w:r>
    </w:p>
    <w:p w14:paraId="3E099D65" w14:textId="77777777" w:rsidR="00415A35" w:rsidRDefault="00415A35" w:rsidP="00415A35">
      <w:pPr>
        <w:rPr>
          <w:b/>
          <w:bCs/>
        </w:rPr>
      </w:pPr>
    </w:p>
    <w:p w14:paraId="11E80FA6" w14:textId="77777777" w:rsidR="00415A35" w:rsidRPr="00816A3F" w:rsidRDefault="00415A35" w:rsidP="00415A35">
      <w:pPr>
        <w:rPr>
          <w:b/>
          <w:bCs/>
        </w:rPr>
      </w:pPr>
      <w:r w:rsidRPr="00816A3F">
        <w:rPr>
          <w:b/>
          <w:bCs/>
        </w:rPr>
        <w:t xml:space="preserve">Block </w:t>
      </w:r>
      <w:r>
        <w:rPr>
          <w:b/>
          <w:bCs/>
        </w:rPr>
        <w:t>f</w:t>
      </w:r>
      <w:r w:rsidRPr="00816A3F">
        <w:rPr>
          <w:b/>
          <w:bCs/>
        </w:rPr>
        <w:t xml:space="preserve">unding </w:t>
      </w:r>
      <w:r>
        <w:rPr>
          <w:b/>
          <w:bCs/>
        </w:rPr>
        <w:t>a</w:t>
      </w:r>
      <w:r w:rsidRPr="00816A3F">
        <w:rPr>
          <w:b/>
          <w:bCs/>
        </w:rPr>
        <w:t>llocations</w:t>
      </w:r>
      <w:r>
        <w:rPr>
          <w:b/>
          <w:bCs/>
        </w:rPr>
        <w:t xml:space="preserve"> </w:t>
      </w:r>
    </w:p>
    <w:p w14:paraId="0EAD129F" w14:textId="77777777" w:rsidR="00415A35" w:rsidRPr="00816A3F" w:rsidRDefault="00415A35" w:rsidP="00CC7F3C">
      <w:pPr>
        <w:pStyle w:val="Longdotpoints"/>
        <w:numPr>
          <w:ilvl w:val="0"/>
          <w:numId w:val="0"/>
        </w:numPr>
      </w:pPr>
      <w:r>
        <w:t xml:space="preserve">Stakeholders noted the </w:t>
      </w:r>
      <w:r w:rsidRPr="00816A3F">
        <w:t xml:space="preserve">limited transparency </w:t>
      </w:r>
      <w:r>
        <w:t xml:space="preserve">of the </w:t>
      </w:r>
      <w:r w:rsidR="00EE1A92">
        <w:t xml:space="preserve">block funding </w:t>
      </w:r>
      <w:r>
        <w:t>allocation</w:t>
      </w:r>
      <w:r w:rsidRPr="00816A3F">
        <w:t>.</w:t>
      </w:r>
    </w:p>
    <w:p w14:paraId="20B023E6" w14:textId="05B5C89D" w:rsidR="003919F1" w:rsidRDefault="003919F1" w:rsidP="000050CD">
      <w:pPr>
        <w:pStyle w:val="Longdotpoints"/>
        <w:ind w:left="567"/>
      </w:pPr>
      <w:r>
        <w:t>The</w:t>
      </w:r>
      <w:r w:rsidR="00CE1C39">
        <w:t xml:space="preserve">re is a </w:t>
      </w:r>
      <w:r>
        <w:t>lack</w:t>
      </w:r>
      <w:r w:rsidR="00CE1C39">
        <w:t xml:space="preserve"> of</w:t>
      </w:r>
      <w:r>
        <w:t xml:space="preserve"> visibility of activities delivered by States and Territories where block funding is allocated to the </w:t>
      </w:r>
      <w:r w:rsidR="00EC7971">
        <w:t>State Managed Fund</w:t>
      </w:r>
      <w:r>
        <w:t xml:space="preserve"> for allocation rather than through the </w:t>
      </w:r>
      <w:r w:rsidR="00CE1C39">
        <w:t>P</w:t>
      </w:r>
      <w:r>
        <w:t>ool to the relevant LHN. This method of funding small and rural hospitals results in a lack of transparency over how States</w:t>
      </w:r>
      <w:r w:rsidR="00B8643A">
        <w:t xml:space="preserve"> and </w:t>
      </w:r>
      <w:r w:rsidR="00824FDB">
        <w:t>Territories</w:t>
      </w:r>
      <w:r>
        <w:t xml:space="preserve"> address efficiency improvements for the serviced populations.</w:t>
      </w:r>
    </w:p>
    <w:p w14:paraId="205DE2A2" w14:textId="77777777" w:rsidR="00277F88" w:rsidRDefault="00277F88" w:rsidP="00CC7F3C">
      <w:pPr>
        <w:pStyle w:val="Longdotpoints"/>
        <w:numPr>
          <w:ilvl w:val="0"/>
          <w:numId w:val="0"/>
        </w:numPr>
      </w:pPr>
      <w:r w:rsidRPr="00277F88">
        <w:t xml:space="preserve">Block funding does not adequately fund </w:t>
      </w:r>
      <w:r w:rsidR="008E670A" w:rsidRPr="00816A3F">
        <w:t xml:space="preserve">regional and </w:t>
      </w:r>
      <w:r w:rsidRPr="00277F88">
        <w:t>rural hospitals for the higher costs of health delivery</w:t>
      </w:r>
      <w:r w:rsidR="008E670A">
        <w:t>.</w:t>
      </w:r>
    </w:p>
    <w:p w14:paraId="4CCC1D8B" w14:textId="2AE576D4" w:rsidR="00415A35" w:rsidRDefault="00DC6F55" w:rsidP="000050CD">
      <w:pPr>
        <w:pStyle w:val="Longdotpoints"/>
        <w:ind w:left="567"/>
      </w:pPr>
      <w:r w:rsidRPr="00DC6F55">
        <w:t xml:space="preserve">Rural hospitals face higher costs in delivering their services for a multitude of reasons, such as </w:t>
      </w:r>
      <w:r w:rsidR="00A52DAD">
        <w:t>a greater incidence of</w:t>
      </w:r>
      <w:r w:rsidR="00A52DAD" w:rsidRPr="00DC6F55">
        <w:t xml:space="preserve"> </w:t>
      </w:r>
      <w:r w:rsidRPr="00DC6F55">
        <w:t xml:space="preserve">natural disasters, fewer doctors, </w:t>
      </w:r>
      <w:r w:rsidR="00EC7971">
        <w:t xml:space="preserve">and the impact of </w:t>
      </w:r>
      <w:r w:rsidRPr="00DC6F55">
        <w:t>distance</w:t>
      </w:r>
      <w:r w:rsidR="00EC7971">
        <w:t>.</w:t>
      </w:r>
      <w:r>
        <w:t xml:space="preserve"> In addition, </w:t>
      </w:r>
      <w:r w:rsidR="00415A35">
        <w:t xml:space="preserve">TTR funding is perceived as largely consumed by large tertiary/quaternary services with a lack of rural and regional recognition. </w:t>
      </w:r>
    </w:p>
    <w:p w14:paraId="4D963C48" w14:textId="77777777" w:rsidR="00415A35" w:rsidRDefault="00415A35" w:rsidP="00415A35">
      <w:pPr>
        <w:rPr>
          <w:b/>
          <w:bCs/>
        </w:rPr>
      </w:pPr>
    </w:p>
    <w:p w14:paraId="17936762" w14:textId="77777777" w:rsidR="00415A35" w:rsidRPr="00816A3F" w:rsidRDefault="00415A35" w:rsidP="00415A35">
      <w:pPr>
        <w:rPr>
          <w:b/>
          <w:bCs/>
        </w:rPr>
      </w:pPr>
      <w:r w:rsidRPr="00816A3F">
        <w:rPr>
          <w:b/>
          <w:bCs/>
        </w:rPr>
        <w:t xml:space="preserve">Public </w:t>
      </w:r>
      <w:r>
        <w:rPr>
          <w:b/>
          <w:bCs/>
        </w:rPr>
        <w:t>h</w:t>
      </w:r>
      <w:r w:rsidRPr="00816A3F">
        <w:rPr>
          <w:b/>
          <w:bCs/>
        </w:rPr>
        <w:t>ealth</w:t>
      </w:r>
      <w:r w:rsidR="00E60569">
        <w:rPr>
          <w:b/>
          <w:bCs/>
        </w:rPr>
        <w:t>, cross-border</w:t>
      </w:r>
      <w:r w:rsidR="001C4ADD">
        <w:rPr>
          <w:b/>
          <w:bCs/>
        </w:rPr>
        <w:t xml:space="preserve"> </w:t>
      </w:r>
      <w:r>
        <w:rPr>
          <w:b/>
          <w:bCs/>
        </w:rPr>
        <w:t>and other f</w:t>
      </w:r>
      <w:r w:rsidRPr="00816A3F">
        <w:rPr>
          <w:b/>
          <w:bCs/>
        </w:rPr>
        <w:t>unding</w:t>
      </w:r>
    </w:p>
    <w:p w14:paraId="0CF1CA2F" w14:textId="77777777" w:rsidR="00415A35" w:rsidRPr="00816A3F" w:rsidRDefault="00415A35" w:rsidP="00CC7F3C">
      <w:pPr>
        <w:pStyle w:val="Longdotpoints"/>
        <w:numPr>
          <w:ilvl w:val="0"/>
          <w:numId w:val="0"/>
        </w:numPr>
      </w:pPr>
      <w:r>
        <w:t xml:space="preserve">Current funding of </w:t>
      </w:r>
      <w:r w:rsidR="00A116F4">
        <w:t>p</w:t>
      </w:r>
      <w:r w:rsidRPr="00816A3F">
        <w:t xml:space="preserve">ublic </w:t>
      </w:r>
      <w:r w:rsidR="00A116F4">
        <w:t>h</w:t>
      </w:r>
      <w:r w:rsidRPr="00816A3F">
        <w:t xml:space="preserve">ealth </w:t>
      </w:r>
      <w:r>
        <w:t xml:space="preserve">programs </w:t>
      </w:r>
      <w:r w:rsidRPr="00816A3F">
        <w:t xml:space="preserve">is based on a legacy indexation model </w:t>
      </w:r>
      <w:r>
        <w:t>with</w:t>
      </w:r>
      <w:r w:rsidRPr="00816A3F">
        <w:t xml:space="preserve"> no national mechanism for </w:t>
      </w:r>
      <w:r>
        <w:t xml:space="preserve">funding the implementation and ongoing support for </w:t>
      </w:r>
      <w:r w:rsidRPr="00816A3F">
        <w:t>preventative health initiatives.</w:t>
      </w:r>
    </w:p>
    <w:p w14:paraId="32E62DAA" w14:textId="400C7EF4" w:rsidR="00415A35" w:rsidRDefault="00415A35" w:rsidP="000050CD">
      <w:pPr>
        <w:pStyle w:val="Longdotpoints"/>
        <w:ind w:left="567"/>
      </w:pPr>
      <w:r>
        <w:t xml:space="preserve">Currently, the Addendum maintains that public health programs and associated activity growth </w:t>
      </w:r>
      <w:r w:rsidR="00041BF0">
        <w:t>is</w:t>
      </w:r>
      <w:r>
        <w:t xml:space="preserve"> based on the historical </w:t>
      </w:r>
      <w:r w:rsidR="00E40247" w:rsidRPr="00E40247">
        <w:t>Specific Purpose Paymen</w:t>
      </w:r>
      <w:r w:rsidR="00E40247">
        <w:t>t</w:t>
      </w:r>
      <w:r w:rsidR="00E40247" w:rsidRPr="00E40247">
        <w:t xml:space="preserve"> </w:t>
      </w:r>
      <w:r w:rsidR="00E40247">
        <w:t>(</w:t>
      </w:r>
      <w:r>
        <w:t>SPP</w:t>
      </w:r>
      <w:r w:rsidR="00E40247">
        <w:t>)</w:t>
      </w:r>
      <w:r>
        <w:t xml:space="preserve"> growth factor</w:t>
      </w:r>
      <w:r w:rsidR="00327613">
        <w:t xml:space="preserve"> which </w:t>
      </w:r>
      <w:r>
        <w:t>does not account for the underlying shortfall in providing public health services nor does it reflect the growing need and resource drivers for maintaining public health intervention</w:t>
      </w:r>
      <w:r w:rsidR="001844A9">
        <w:t>. This</w:t>
      </w:r>
      <w:r>
        <w:t xml:space="preserve"> further disadvantages jurisdictions with slower population growth. </w:t>
      </w:r>
    </w:p>
    <w:p w14:paraId="43729C43" w14:textId="7E5F94C1" w:rsidR="00DE74D7" w:rsidRDefault="00DE74D7" w:rsidP="000050CD">
      <w:pPr>
        <w:pStyle w:val="Longdotpoints"/>
        <w:ind w:left="567"/>
        <w:rPr>
          <w:rFonts w:ascii="Times New Roman" w:hAnsi="Times New Roman" w:cs="Times New Roman"/>
          <w:sz w:val="24"/>
          <w:szCs w:val="24"/>
          <w:lang w:eastAsia="en-AU"/>
        </w:rPr>
      </w:pPr>
      <w:r>
        <w:t>As a consequence of the</w:t>
      </w:r>
      <w:r w:rsidR="003119A1">
        <w:t xml:space="preserve"> expiration of </w:t>
      </w:r>
      <w:r>
        <w:t xml:space="preserve">COVID-19 NPA, there is no </w:t>
      </w:r>
      <w:r w:rsidRPr="003F2A4C">
        <w:t xml:space="preserve">specific </w:t>
      </w:r>
      <w:r>
        <w:t xml:space="preserve">Commonwealth </w:t>
      </w:r>
      <w:r w:rsidRPr="003F2A4C">
        <w:t>funding</w:t>
      </w:r>
      <w:r>
        <w:t xml:space="preserve"> </w:t>
      </w:r>
      <w:r w:rsidR="00BA29BE">
        <w:t xml:space="preserve">for the </w:t>
      </w:r>
      <w:r>
        <w:t>enduring impact of</w:t>
      </w:r>
      <w:r w:rsidRPr="003F2A4C">
        <w:t xml:space="preserve"> C</w:t>
      </w:r>
      <w:r>
        <w:t>OVID-19</w:t>
      </w:r>
      <w:r w:rsidRPr="003F2A4C">
        <w:t xml:space="preserve"> for LHNs or public health program</w:t>
      </w:r>
      <w:r w:rsidR="005272BE">
        <w:t>s</w:t>
      </w:r>
      <w:r w:rsidR="00BA29BE">
        <w:t>.</w:t>
      </w:r>
      <w:r w:rsidR="00A84424" w:rsidRPr="00A84424">
        <w:t xml:space="preserve"> </w:t>
      </w:r>
      <w:r w:rsidR="00EC7971">
        <w:t xml:space="preserve">States and Territories </w:t>
      </w:r>
      <w:r w:rsidR="00C92384">
        <w:t xml:space="preserve">have </w:t>
      </w:r>
      <w:r w:rsidR="00967529">
        <w:t xml:space="preserve">noted </w:t>
      </w:r>
      <w:r w:rsidR="00EC7971">
        <w:t xml:space="preserve">that the backlog in planned care will be funded through the NHRA at the lower 45% growth rate and within the 6.5% cap, leaving them to fund the additional costs of this demand within existing growth calculation caps. </w:t>
      </w:r>
    </w:p>
    <w:p w14:paraId="1EE19773" w14:textId="77777777" w:rsidR="00415A35" w:rsidRPr="00910283" w:rsidRDefault="00415A35" w:rsidP="00EC7971">
      <w:pPr>
        <w:pStyle w:val="Longdotpoints"/>
        <w:numPr>
          <w:ilvl w:val="0"/>
          <w:numId w:val="0"/>
        </w:numPr>
      </w:pPr>
      <w:r w:rsidRPr="00910283">
        <w:t xml:space="preserve">Cross-border arrangements do not appropriately allocate incentives between jurisdictions. </w:t>
      </w:r>
    </w:p>
    <w:p w14:paraId="4F7BD9D6" w14:textId="0A3F0B41" w:rsidR="00EC7971" w:rsidRPr="001C4513" w:rsidRDefault="00EC7971" w:rsidP="000050CD">
      <w:pPr>
        <w:pStyle w:val="Longdotpoints"/>
        <w:ind w:left="567"/>
      </w:pPr>
      <w:r>
        <w:t>The lack of clear and consistent procedural requirements or national guidelines for funding cross-border flows means that inter-jurisdictional funding agreements are negotiated individually between affected States</w:t>
      </w:r>
      <w:r w:rsidR="00B8643A">
        <w:t xml:space="preserve"> and </w:t>
      </w:r>
      <w:r>
        <w:t>Territories, creating disparities in the way costs are recovered by the host jurisdictions to support the services provided</w:t>
      </w:r>
      <w:r w:rsidRPr="001C4513">
        <w:t xml:space="preserve">. </w:t>
      </w:r>
    </w:p>
    <w:p w14:paraId="5D60D662" w14:textId="77777777" w:rsidR="00415A35" w:rsidRPr="001C4513" w:rsidRDefault="00415A35" w:rsidP="000050CD">
      <w:pPr>
        <w:pStyle w:val="Longdotpoints"/>
        <w:ind w:left="567"/>
      </w:pPr>
      <w:r w:rsidRPr="001C4513">
        <w:t xml:space="preserve">It was noted that the basis for negotiating cross border funding is mainly based on the NEP (or proportion thereof) which does not recognise the host jurisdiction’s ongoing non-recurrent costs to support infrastructure and technology or the impact of block grant allocations such as </w:t>
      </w:r>
      <w:r w:rsidR="0082149A">
        <w:t>TTR</w:t>
      </w:r>
      <w:r w:rsidRPr="001C4513">
        <w:t xml:space="preserve"> that are funded outside the NEP. While this issue may not be as great a concern for larger jurisdictions, smaller jurisdictions which support a higher proportional number of interstate patients are considerably more affected.</w:t>
      </w:r>
    </w:p>
    <w:p w14:paraId="670D602A" w14:textId="77777777" w:rsidR="00513188" w:rsidRDefault="00513188" w:rsidP="00415A35">
      <w:pPr>
        <w:rPr>
          <w:b/>
          <w:bCs/>
          <w:highlight w:val="yellow"/>
        </w:rPr>
      </w:pPr>
    </w:p>
    <w:p w14:paraId="490CEAD7" w14:textId="4DFB56DA" w:rsidR="00A74F8C" w:rsidRDefault="00A74F8C" w:rsidP="00A74F8C">
      <w:pPr>
        <w:rPr>
          <w:b/>
          <w:bCs/>
        </w:rPr>
      </w:pPr>
      <w:r>
        <w:rPr>
          <w:b/>
          <w:bCs/>
        </w:rPr>
        <w:t xml:space="preserve">Pharmaceutical Reform and </w:t>
      </w:r>
      <w:r w:rsidR="00677BC2">
        <w:rPr>
          <w:b/>
          <w:bCs/>
        </w:rPr>
        <w:t>h</w:t>
      </w:r>
      <w:r w:rsidR="001E166D" w:rsidRPr="001E166D">
        <w:rPr>
          <w:b/>
          <w:bCs/>
        </w:rPr>
        <w:t xml:space="preserve">igh-cost, </w:t>
      </w:r>
      <w:r w:rsidR="00677BC2">
        <w:rPr>
          <w:b/>
          <w:bCs/>
        </w:rPr>
        <w:t>h</w:t>
      </w:r>
      <w:r w:rsidR="001E166D" w:rsidRPr="001E166D">
        <w:rPr>
          <w:b/>
          <w:bCs/>
        </w:rPr>
        <w:t xml:space="preserve">ighly </w:t>
      </w:r>
      <w:r w:rsidR="00677BC2">
        <w:rPr>
          <w:b/>
          <w:bCs/>
        </w:rPr>
        <w:t>s</w:t>
      </w:r>
      <w:r w:rsidR="001E166D" w:rsidRPr="001E166D">
        <w:rPr>
          <w:b/>
          <w:bCs/>
        </w:rPr>
        <w:t>pecialised therapies</w:t>
      </w:r>
    </w:p>
    <w:p w14:paraId="0F9A0915" w14:textId="493B18DA" w:rsidR="00A74F8C" w:rsidRDefault="00A74F8C" w:rsidP="00A74F8C">
      <w:r>
        <w:t xml:space="preserve">A lack of access to PBS medicines for admitted patients on discharge, non-admitted and same day patients was seen as potentially impacting access and continuity of care, noting that </w:t>
      </w:r>
      <w:r w:rsidR="00B552E3" w:rsidRPr="00B552E3">
        <w:t>New South Wales</w:t>
      </w:r>
      <w:r>
        <w:t xml:space="preserve"> and </w:t>
      </w:r>
      <w:r w:rsidR="00AF4316" w:rsidRPr="00AF4316">
        <w:t>Australian Capital Territory</w:t>
      </w:r>
      <w:r>
        <w:t xml:space="preserve"> do not participate in the Pharmaceutical Reform </w:t>
      </w:r>
      <w:r w:rsidR="00C92384">
        <w:t xml:space="preserve">Arrangements </w:t>
      </w:r>
      <w:r>
        <w:t>which enable public hospitals to</w:t>
      </w:r>
      <w:r w:rsidR="00096C8A">
        <w:t xml:space="preserve"> dispens</w:t>
      </w:r>
      <w:r>
        <w:t xml:space="preserve">e PBS </w:t>
      </w:r>
      <w:r w:rsidR="00360BC3">
        <w:t>subsided</w:t>
      </w:r>
      <w:r w:rsidR="005E2A99">
        <w:t xml:space="preserve"> </w:t>
      </w:r>
      <w:r>
        <w:t>medicines in certain circumstances. This lack of national consistency was seen as introducing distortions to the NEP.</w:t>
      </w:r>
    </w:p>
    <w:p w14:paraId="235B2F57" w14:textId="6DE9BD32" w:rsidR="00A74F8C" w:rsidRDefault="001E166D" w:rsidP="00A74F8C">
      <w:r w:rsidRPr="001E166D">
        <w:t xml:space="preserve">High-cost, </w:t>
      </w:r>
      <w:r w:rsidR="0052453C">
        <w:t>h</w:t>
      </w:r>
      <w:r w:rsidRPr="001E166D">
        <w:t xml:space="preserve">ighly </w:t>
      </w:r>
      <w:r w:rsidR="0052453C">
        <w:t>s</w:t>
      </w:r>
      <w:r w:rsidRPr="001E166D">
        <w:t xml:space="preserve">pecialised therapies </w:t>
      </w:r>
      <w:r w:rsidR="00A74F8C">
        <w:t>are hampered by fragmented approval and implementation processes, with access to high-cost medications and therapy restricted under the funding agreements due to cost considerations and administrative hurdles. There was a perception that Australia, once a leader in introduction of new therapies, was beginning to lag behind.</w:t>
      </w:r>
    </w:p>
    <w:p w14:paraId="7C33E5BB" w14:textId="3190FFE9" w:rsidR="00A74F8C" w:rsidRDefault="00A74F8C" w:rsidP="000050CD">
      <w:pPr>
        <w:pStyle w:val="Longdotpoints"/>
        <w:ind w:left="567"/>
      </w:pPr>
      <w:r>
        <w:t xml:space="preserve">An overarching ambition noted in consultation was to enable equitable access to </w:t>
      </w:r>
      <w:r w:rsidR="007D3242">
        <w:t>h</w:t>
      </w:r>
      <w:r w:rsidR="00C45EE1" w:rsidRPr="00C45EE1">
        <w:t xml:space="preserve">igh-cost, </w:t>
      </w:r>
      <w:r w:rsidR="007D3242">
        <w:t>h</w:t>
      </w:r>
      <w:r w:rsidR="00C45EE1" w:rsidRPr="00C45EE1">
        <w:t xml:space="preserve">ighly </w:t>
      </w:r>
      <w:r w:rsidR="007D3242">
        <w:t>s</w:t>
      </w:r>
      <w:r w:rsidR="00C45EE1" w:rsidRPr="00C45EE1">
        <w:t xml:space="preserve">pecialised therapies </w:t>
      </w:r>
      <w:r>
        <w:t>regardless of geographic location and to take stronger steps toward a national unified framework for the assessment and introduction of new therapies.</w:t>
      </w:r>
    </w:p>
    <w:p w14:paraId="6E0141EC" w14:textId="35C7DB5B" w:rsidR="00A74F8C" w:rsidRDefault="00A74F8C" w:rsidP="000050CD">
      <w:pPr>
        <w:pStyle w:val="Longdotpoints"/>
        <w:ind w:left="567"/>
      </w:pPr>
      <w:r>
        <w:t xml:space="preserve">Access to </w:t>
      </w:r>
      <w:r w:rsidR="007D3242">
        <w:t>h</w:t>
      </w:r>
      <w:r w:rsidR="00C45EE1" w:rsidRPr="00C45EE1">
        <w:t xml:space="preserve">igh-cost, </w:t>
      </w:r>
      <w:r w:rsidR="007D3242">
        <w:t>h</w:t>
      </w:r>
      <w:r w:rsidR="00C45EE1" w:rsidRPr="00C45EE1">
        <w:t xml:space="preserve">ighly </w:t>
      </w:r>
      <w:r w:rsidR="007D3242">
        <w:t>s</w:t>
      </w:r>
      <w:r w:rsidR="00C45EE1" w:rsidRPr="00C45EE1">
        <w:t xml:space="preserve">pecialised therapies </w:t>
      </w:r>
      <w:r>
        <w:t xml:space="preserve">was seen as impacted by a lack of forward planning across all levels of government to support budgeting </w:t>
      </w:r>
      <w:r w:rsidR="00A52DAD">
        <w:t xml:space="preserve">for </w:t>
      </w:r>
      <w:r w:rsidR="00E732B9">
        <w:t>these</w:t>
      </w:r>
      <w:r w:rsidR="00A52DAD" w:rsidRPr="001E166D">
        <w:t xml:space="preserve"> therapies </w:t>
      </w:r>
      <w:r>
        <w:t xml:space="preserve">and to do the horizon scanning to identify potential new therapies and prepare for their funding and implementation. </w:t>
      </w:r>
    </w:p>
    <w:p w14:paraId="414AF8D7" w14:textId="4F36FAAA" w:rsidR="00A74F8C" w:rsidRDefault="00A74F8C" w:rsidP="000050CD">
      <w:pPr>
        <w:pStyle w:val="Longdotpoints"/>
        <w:ind w:left="567"/>
      </w:pPr>
      <w:r>
        <w:t xml:space="preserve">There has been a lack of agreement between jurisdictions as to which services are eligible for the NHRA-established Health Technology Assessment </w:t>
      </w:r>
      <w:r w:rsidR="00693880">
        <w:t xml:space="preserve">(HTA) </w:t>
      </w:r>
      <w:r>
        <w:t>process. These compounding factors are resulting in barriers which reduce equitable access and referral</w:t>
      </w:r>
      <w:r w:rsidR="00E732B9">
        <w:t>,</w:t>
      </w:r>
      <w:r>
        <w:t xml:space="preserve"> even for approved therapies. As a result, eligible patients were seen as missing out on trials/therapy. </w:t>
      </w:r>
    </w:p>
    <w:p w14:paraId="74391E8D" w14:textId="037AB4D9" w:rsidR="00A74F8C" w:rsidRDefault="00A74F8C" w:rsidP="000050CD">
      <w:pPr>
        <w:pStyle w:val="Longdotpoints"/>
        <w:ind w:left="567"/>
      </w:pPr>
      <w:r>
        <w:t xml:space="preserve">Further, when new therapies were introduced the </w:t>
      </w:r>
      <w:r w:rsidR="00693880">
        <w:t>HTA</w:t>
      </w:r>
      <w:r>
        <w:t xml:space="preserve"> processes failed to </w:t>
      </w:r>
      <w:r w:rsidR="00C92384">
        <w:t xml:space="preserve">fully </w:t>
      </w:r>
      <w:r>
        <w:t>recognise the impact on health service costs of introducing these therapies</w:t>
      </w:r>
      <w:r w:rsidR="001D2614">
        <w:t xml:space="preserve"> at the time of approval</w:t>
      </w:r>
      <w:r>
        <w:t>, such as the attendant staffing and patient support costs which can be significant. This acts as a brake on health service willingness to offer these technologies</w:t>
      </w:r>
      <w:r w:rsidR="006B6788">
        <w:t xml:space="preserve"> until the lag in cost capture is addressed</w:t>
      </w:r>
      <w:r>
        <w:t>.</w:t>
      </w:r>
    </w:p>
    <w:p w14:paraId="18BE53BF" w14:textId="77777777" w:rsidR="00EC7971" w:rsidRPr="00FD55AA" w:rsidRDefault="00EC7971" w:rsidP="00EC7971"/>
    <w:p w14:paraId="589F8540" w14:textId="2911AD1A" w:rsidR="00EC7971" w:rsidRPr="00B10C0F" w:rsidRDefault="00EC7971" w:rsidP="00EC7971">
      <w:pPr>
        <w:pStyle w:val="Longdotpoints"/>
        <w:numPr>
          <w:ilvl w:val="0"/>
          <w:numId w:val="0"/>
        </w:numPr>
        <w:rPr>
          <w:b/>
          <w:bCs/>
        </w:rPr>
      </w:pPr>
      <w:r w:rsidRPr="00B10C0F">
        <w:rPr>
          <w:b/>
          <w:bCs/>
        </w:rPr>
        <w:t xml:space="preserve">Private </w:t>
      </w:r>
      <w:r w:rsidR="007B7301">
        <w:rPr>
          <w:b/>
          <w:bCs/>
        </w:rPr>
        <w:t>patients and private providers</w:t>
      </w:r>
      <w:r w:rsidRPr="00B10C0F">
        <w:rPr>
          <w:b/>
          <w:bCs/>
        </w:rPr>
        <w:t xml:space="preserve"> </w:t>
      </w:r>
    </w:p>
    <w:p w14:paraId="7AC7D14C" w14:textId="77777777" w:rsidR="00EC7971" w:rsidRPr="00910283" w:rsidRDefault="00EC7971" w:rsidP="00EC7971">
      <w:r>
        <w:t>Stakeholders acknowledged that progress had been made in implementing more neutral funding arrangements between public and private patients being treated in public hospitals; however, considered that incentives remained for public hospitals to admit a patient as a private patient</w:t>
      </w:r>
      <w:r w:rsidRPr="00910283">
        <w:t xml:space="preserve">. </w:t>
      </w:r>
    </w:p>
    <w:p w14:paraId="5EB543C6" w14:textId="60D0898E" w:rsidR="00415A35" w:rsidRPr="001C4513" w:rsidRDefault="00415A35" w:rsidP="000050CD">
      <w:pPr>
        <w:pStyle w:val="Longdotpoints"/>
        <w:ind w:left="567"/>
      </w:pPr>
      <w:r w:rsidRPr="001C4513">
        <w:t xml:space="preserve">Some LHNs see private health insurance (PHI) income as an important source of own source revenue, potentially at the expense of public patient admissions. Instances were noted of patients feeling pressured to use their private insurance </w:t>
      </w:r>
      <w:r w:rsidR="00A700BC">
        <w:t>following an admission from the ED and/or</w:t>
      </w:r>
      <w:r w:rsidRPr="001C4513">
        <w:t xml:space="preserve"> public hospital stay, </w:t>
      </w:r>
      <w:r w:rsidR="00A52DAD">
        <w:t>and then facing</w:t>
      </w:r>
      <w:r w:rsidRPr="001C4513">
        <w:t xml:space="preserve"> out-of-pocket costs. The extent of those costs </w:t>
      </w:r>
      <w:r w:rsidR="00435D73" w:rsidRPr="001C4513">
        <w:t>was</w:t>
      </w:r>
      <w:r w:rsidRPr="001C4513">
        <w:t xml:space="preserve"> not always clear at the point of private patient election.</w:t>
      </w:r>
    </w:p>
    <w:p w14:paraId="6AF5E3CF" w14:textId="77777777" w:rsidR="00415A35" w:rsidRPr="001C4513" w:rsidRDefault="00415A35" w:rsidP="000050CD">
      <w:pPr>
        <w:pStyle w:val="Longdotpoints"/>
        <w:ind w:left="567"/>
      </w:pPr>
      <w:r w:rsidRPr="001C4513">
        <w:t>Concerns have also been raised by States and Territories that any material shifts away from treating patients as privately insured towards public patient activity will not be recognised by the Commonwealth with respect to growth funding contributions.</w:t>
      </w:r>
    </w:p>
    <w:p w14:paraId="76317714" w14:textId="77777777" w:rsidR="00EC7971" w:rsidRDefault="00EC7971" w:rsidP="00EC7971">
      <w:r>
        <w:t>There is a perception by private hospital providers that the NHRA enables the public sector a competitive advantage in radiology services.</w:t>
      </w:r>
    </w:p>
    <w:p w14:paraId="62B23645" w14:textId="77777777" w:rsidR="00EC7971" w:rsidRPr="00D35057" w:rsidRDefault="00EC7971" w:rsidP="000050CD">
      <w:pPr>
        <w:pStyle w:val="Longdotpoints"/>
        <w:ind w:left="567"/>
      </w:pPr>
      <w:r w:rsidRPr="00D35057">
        <w:t>Private providers report that they are unfairly disadvantaged because public hospitals receive government funding for the infrastructure and workforce used to deliver radiology services (i.e., subsidised by public funding). There are reports of some hospitals providing higher value radiology services like CT, MRI and PET as a revenue generation initiative and avoiding/limiting provision of Ultrasound, breast imaging and interventional procedures to outpatients because of lower rebates.</w:t>
      </w:r>
    </w:p>
    <w:p w14:paraId="69D8E695" w14:textId="77777777" w:rsidR="00EC7971" w:rsidRPr="00D35057" w:rsidRDefault="00EC7971" w:rsidP="000050CD">
      <w:pPr>
        <w:pStyle w:val="Longdotpoints"/>
        <w:ind w:left="567"/>
      </w:pPr>
      <w:r w:rsidRPr="00D35057">
        <w:t xml:space="preserve">There is a perception by private providers that public hospitals claim Medicare rebates for radiology services where the costs are covered by NHRA funding. The Commonwealth Government has sought to address this issue through compliance initiatives such as data-matching to identify duplicate payments and relevant audits. There is concern from the private sector that these actions may </w:t>
      </w:r>
      <w:r>
        <w:t xml:space="preserve">also </w:t>
      </w:r>
      <w:r w:rsidRPr="00D35057">
        <w:t>lead to significant out-of-pocket costs for patients, which may be inconsistent with Clause A9 of the NHRA (not funding patient services if the same service, or any part of the same service, is funded through any other Commonwealth program). From a health service perspective, this could also create a risk that the IHACPA costing and pricing processes may have incomplete information.</w:t>
      </w:r>
    </w:p>
    <w:p w14:paraId="4112C316" w14:textId="77777777" w:rsidR="00F1137F" w:rsidRPr="00910283" w:rsidRDefault="00F1137F" w:rsidP="001C4513">
      <w:pPr>
        <w:keepNext/>
      </w:pPr>
      <w:r w:rsidRPr="00910283">
        <w:t xml:space="preserve">There are inappropriate arrangements in some small rural hospital EDs to bill patients privately and claim Medicare. </w:t>
      </w:r>
    </w:p>
    <w:p w14:paraId="07D2FE7C" w14:textId="77777777" w:rsidR="00F1137F" w:rsidRDefault="00F1137F" w:rsidP="000050CD">
      <w:pPr>
        <w:pStyle w:val="Longdotpoints"/>
        <w:ind w:left="567"/>
      </w:pPr>
      <w:r>
        <w:t xml:space="preserve">There are reports of current arrangements in small rural hospitals where EDs are billing patients privately, subsidised by Medicare. The Medicare rebate is significantly less than the remuneration a senior medical officer in a regional hospital would receive on salary and is </w:t>
      </w:r>
      <w:r w:rsidR="00EC7971" w:rsidRPr="00D35057">
        <w:t xml:space="preserve">seen as an unfair rate of pay. </w:t>
      </w:r>
      <w:r>
        <w:t xml:space="preserve">This disparity has </w:t>
      </w:r>
      <w:r w:rsidR="00EC7971" w:rsidRPr="00D35057">
        <w:t xml:space="preserve">contributed to </w:t>
      </w:r>
      <w:r>
        <w:t>a continued trend of local GPs no longer providing 24/7 emergency coverage at the local hospital.</w:t>
      </w:r>
    </w:p>
    <w:p w14:paraId="44798635" w14:textId="77777777" w:rsidR="00415A35" w:rsidRDefault="00415A35" w:rsidP="00415A35">
      <w:pPr>
        <w:pStyle w:val="Heading3"/>
      </w:pPr>
      <w:bookmarkStart w:id="116" w:name="_Toc143291664"/>
      <w:r>
        <w:t>Strengths</w:t>
      </w:r>
      <w:bookmarkEnd w:id="116"/>
      <w:r>
        <w:t xml:space="preserve"> </w:t>
      </w:r>
    </w:p>
    <w:p w14:paraId="051E6AB6" w14:textId="77777777" w:rsidR="00415A35" w:rsidRDefault="00415A35" w:rsidP="00CC7F3C">
      <w:pPr>
        <w:pStyle w:val="Longdotpoints"/>
        <w:numPr>
          <w:ilvl w:val="0"/>
          <w:numId w:val="0"/>
        </w:numPr>
      </w:pPr>
      <w:r>
        <w:t>Some of the strengths identified by stakeholders include:</w:t>
      </w:r>
    </w:p>
    <w:p w14:paraId="7AF07838" w14:textId="77777777" w:rsidR="00415A35" w:rsidRPr="001C4513" w:rsidRDefault="00415A35" w:rsidP="000050CD">
      <w:pPr>
        <w:pStyle w:val="Longdotpoints"/>
        <w:ind w:left="567"/>
      </w:pPr>
      <w:r w:rsidRPr="001C4513">
        <w:t>The NHRA funding model has been successful in achieving its intention to promote accountability, transparency and consistency in funding, including through the use of the independent Funding Pool and Administrator.</w:t>
      </w:r>
      <w:r w:rsidR="00EC7971">
        <w:t xml:space="preserve"> While progress in growing the Commonwealth contribution to public hospital services has been slower than anticipated, it has still grown both in absolute and percentage terms and the discrepancies between individual States and Territories has narrowed.</w:t>
      </w:r>
    </w:p>
    <w:p w14:paraId="7640EDB5" w14:textId="77777777" w:rsidR="00EC7971" w:rsidRPr="001C4513" w:rsidRDefault="00EC7971" w:rsidP="000050CD">
      <w:pPr>
        <w:pStyle w:val="Longdotpoints"/>
        <w:ind w:left="567"/>
      </w:pPr>
      <w:r>
        <w:t>There is evidence that technical efficiency in the delivery of public hospital services has improved over the life of the Agreement</w:t>
      </w:r>
      <w:r w:rsidRPr="001C4513">
        <w:t>.</w:t>
      </w:r>
    </w:p>
    <w:p w14:paraId="33EC3237" w14:textId="40E8307F" w:rsidR="00415A35" w:rsidRPr="001C4513" w:rsidRDefault="00415A35" w:rsidP="000050CD">
      <w:pPr>
        <w:pStyle w:val="Longdotpoints"/>
        <w:ind w:left="567"/>
      </w:pPr>
      <w:r w:rsidRPr="001C4513">
        <w:t>The NHRA promotes a clearer independent oversight process in pricing determination and generates greater inter-jurisdictional collaboration between the Commonwealth and State</w:t>
      </w:r>
      <w:r w:rsidR="001615D9">
        <w:t xml:space="preserve"> and </w:t>
      </w:r>
      <w:r w:rsidRPr="001C4513">
        <w:t xml:space="preserve">Territory governments on the principles for advancing the funding model on a </w:t>
      </w:r>
      <w:r w:rsidR="00EA0537">
        <w:t>nationally</w:t>
      </w:r>
      <w:r w:rsidRPr="001C4513">
        <w:t xml:space="preserve"> consistent basis.</w:t>
      </w:r>
    </w:p>
    <w:p w14:paraId="074F2C65" w14:textId="77777777" w:rsidR="00415A35" w:rsidRPr="001C4513" w:rsidRDefault="00415A35" w:rsidP="000050CD">
      <w:pPr>
        <w:pStyle w:val="Longdotpoints"/>
        <w:ind w:left="567"/>
      </w:pPr>
      <w:r w:rsidRPr="001C4513">
        <w:t>The Addendum provides a nationally consistent approach and clear process for how ABF and block funding should be calculated including explicit guidance on the principles that should underpin the development of the NEP. Previous agreements had grant values determined on a relatively rudimentary basis, generally being based on some historically agreed amount adjusted by population and cost growth rates.</w:t>
      </w:r>
    </w:p>
    <w:p w14:paraId="0366CBF4" w14:textId="640D8EFA" w:rsidR="00415A35" w:rsidRPr="001C4513" w:rsidRDefault="00415A35" w:rsidP="000050CD">
      <w:pPr>
        <w:pStyle w:val="Longdotpoints"/>
        <w:ind w:left="567"/>
      </w:pPr>
      <w:r w:rsidRPr="001C4513">
        <w:t xml:space="preserve">The funding model and approach to pricing that has been adopted by Australian </w:t>
      </w:r>
      <w:r w:rsidR="00DB60FF">
        <w:t>j</w:t>
      </w:r>
      <w:r w:rsidRPr="001C4513">
        <w:t xml:space="preserve">urisdictions under the NHRA is recognised internationally as one of the more technically advanced models for funding hospital services. </w:t>
      </w:r>
    </w:p>
    <w:p w14:paraId="19AAF808" w14:textId="77777777" w:rsidR="00F25BB9" w:rsidRDefault="00F25BB9">
      <w:pPr>
        <w:spacing w:after="0" w:line="240" w:lineRule="atLeast"/>
      </w:pPr>
      <w:r>
        <w:br w:type="page"/>
      </w:r>
    </w:p>
    <w:p w14:paraId="4EF9FAB6" w14:textId="0EF06D66" w:rsidR="00EC7971" w:rsidRDefault="00EC7971" w:rsidP="00EC7971">
      <w:pPr>
        <w:pStyle w:val="Heading2"/>
      </w:pPr>
      <w:bookmarkStart w:id="117" w:name="_Ref146093879"/>
      <w:bookmarkStart w:id="118" w:name="_Toc143291665"/>
      <w:r>
        <w:t>Long-term health reforms</w:t>
      </w:r>
      <w:bookmarkEnd w:id="117"/>
    </w:p>
    <w:tbl>
      <w:tblPr>
        <w:tblStyle w:val="TableGrid"/>
        <w:tblW w:w="0" w:type="auto"/>
        <w:shd w:val="clear" w:color="auto" w:fill="F2F2F2" w:themeFill="background1" w:themeFillShade="F2"/>
        <w:tblLook w:val="04A0" w:firstRow="1" w:lastRow="0" w:firstColumn="1" w:lastColumn="0" w:noHBand="0" w:noVBand="1"/>
      </w:tblPr>
      <w:tblGrid>
        <w:gridCol w:w="10466"/>
      </w:tblGrid>
      <w:tr w:rsidR="00EC7971" w14:paraId="183D31A1" w14:textId="77777777" w:rsidTr="00C10B26">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tcPr>
          <w:bookmarkEnd w:id="118"/>
          <w:p w14:paraId="6713ED9C" w14:textId="7F83F972" w:rsidR="00EC7971" w:rsidRDefault="0094150D" w:rsidP="00C10B26">
            <w:pPr>
              <w:pStyle w:val="Summarytable"/>
              <w:rPr>
                <w:color w:val="00707E" w:themeColor="accent5" w:themeShade="BF"/>
              </w:rPr>
            </w:pPr>
            <w:r>
              <w:rPr>
                <w:noProof/>
              </w:rPr>
              <w:drawing>
                <wp:anchor distT="0" distB="0" distL="114300" distR="114300" simplePos="0" relativeHeight="251633664" behindDoc="0" locked="0" layoutInCell="1" allowOverlap="1" wp14:anchorId="2830EE3D" wp14:editId="260D5538">
                  <wp:simplePos x="0" y="0"/>
                  <wp:positionH relativeFrom="column">
                    <wp:posOffset>5997611</wp:posOffset>
                  </wp:positionH>
                  <wp:positionV relativeFrom="paragraph">
                    <wp:posOffset>-349951</wp:posOffset>
                  </wp:positionV>
                  <wp:extent cx="647887" cy="760021"/>
                  <wp:effectExtent l="0" t="0" r="0" b="2540"/>
                  <wp:wrapNone/>
                  <wp:docPr id="52379479" name="Picture 52379479" descr="P884C1T1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9479" name="Picture 52379479" descr="P884C1T13#y1">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647887" cy="760021"/>
                          </a:xfrm>
                          <a:prstGeom prst="rect">
                            <a:avLst/>
                          </a:prstGeom>
                        </pic:spPr>
                      </pic:pic>
                    </a:graphicData>
                  </a:graphic>
                  <wp14:sizeRelH relativeFrom="page">
                    <wp14:pctWidth>0</wp14:pctWidth>
                  </wp14:sizeRelH>
                  <wp14:sizeRelV relativeFrom="page">
                    <wp14:pctHeight>0</wp14:pctHeight>
                  </wp14:sizeRelV>
                </wp:anchor>
              </w:drawing>
            </w:r>
            <w:r w:rsidR="00EC7971">
              <w:rPr>
                <w:noProof/>
              </w:rPr>
              <w:drawing>
                <wp:inline distT="0" distB="0" distL="0" distR="0" wp14:anchorId="64589CF6" wp14:editId="3E11908F">
                  <wp:extent cx="270000" cy="270000"/>
                  <wp:effectExtent l="0" t="0" r="0" b="0"/>
                  <wp:docPr id="1489793601" name="Graphic 1489793601" descr="P884C1T1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01" name="Graphic 1489793601" descr="P884C1T13#yIS1">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70000" cy="270000"/>
                          </a:xfrm>
                          <a:prstGeom prst="rect">
                            <a:avLst/>
                          </a:prstGeom>
                        </pic:spPr>
                      </pic:pic>
                    </a:graphicData>
                  </a:graphic>
                </wp:inline>
              </w:drawing>
            </w:r>
            <w:r w:rsidR="00EC7971" w:rsidRPr="00BB2C81">
              <w:rPr>
                <w:color w:val="00707E" w:themeColor="accent5" w:themeShade="BF"/>
              </w:rPr>
              <w:t>Summary</w:t>
            </w:r>
            <w:r w:rsidR="00EC7971">
              <w:rPr>
                <w:color w:val="00707E" w:themeColor="accent5" w:themeShade="BF"/>
              </w:rPr>
              <w:t xml:space="preserve"> of what we heard</w:t>
            </w:r>
            <w:r w:rsidR="00EC7971" w:rsidRPr="00BB2C81">
              <w:rPr>
                <w:color w:val="00707E" w:themeColor="accent5" w:themeShade="BF"/>
              </w:rPr>
              <w:t xml:space="preserve">: </w:t>
            </w:r>
          </w:p>
          <w:p w14:paraId="028F5D2E" w14:textId="77777777" w:rsidR="00EC7971" w:rsidRDefault="00EC7971" w:rsidP="00C10B26">
            <w:pPr>
              <w:pStyle w:val="Summarytable"/>
              <w:rPr>
                <w:b w:val="0"/>
                <w:bCs w:val="0"/>
              </w:rPr>
            </w:pPr>
            <w:r w:rsidRPr="00971BA3">
              <w:t xml:space="preserve">Stakeholders reported that, while many of </w:t>
            </w:r>
            <w:r>
              <w:t>the Addendum’s six LTRs</w:t>
            </w:r>
            <w:r w:rsidRPr="00971BA3">
              <w:t xml:space="preserve"> remained important, there had been limited progress to date, partly due to the urgent focus on addressing the COVID-19 pandemic and a lack of appropriate governance, resourcing, incentives and success measures to drive implementation.</w:t>
            </w:r>
            <w:r w:rsidRPr="00173F14">
              <w:rPr>
                <w:b w:val="0"/>
                <w:bCs w:val="0"/>
              </w:rPr>
              <w:t xml:space="preserve"> </w:t>
            </w:r>
            <w:r>
              <w:rPr>
                <w:b w:val="0"/>
                <w:bCs w:val="0"/>
              </w:rPr>
              <w:t>It was further noted that there was a lack of agreement on the highest priority</w:t>
            </w:r>
            <w:r w:rsidRPr="00173F14">
              <w:rPr>
                <w:b w:val="0"/>
                <w:bCs w:val="0"/>
              </w:rPr>
              <w:t xml:space="preserve"> reforms</w:t>
            </w:r>
            <w:r>
              <w:rPr>
                <w:b w:val="0"/>
                <w:bCs w:val="0"/>
              </w:rPr>
              <w:t>, inadequate information sharing on what was being trialled where, and no clear pathway to integrate reform outcomes into NHRA funding.</w:t>
            </w:r>
          </w:p>
          <w:p w14:paraId="50F66994" w14:textId="3B39E8D3" w:rsidR="00EC7971" w:rsidRDefault="00EC7971" w:rsidP="00C10B26">
            <w:pPr>
              <w:pStyle w:val="Summarytable"/>
            </w:pPr>
            <w:r w:rsidRPr="00173F14">
              <w:rPr>
                <w:b w:val="0"/>
                <w:bCs w:val="0"/>
              </w:rPr>
              <w:t>Coming out of COVID-19, jurisdiction</w:t>
            </w:r>
            <w:r>
              <w:rPr>
                <w:b w:val="0"/>
                <w:bCs w:val="0"/>
              </w:rPr>
              <w:t>s</w:t>
            </w:r>
            <w:r w:rsidRPr="00173F14">
              <w:rPr>
                <w:b w:val="0"/>
                <w:bCs w:val="0"/>
              </w:rPr>
              <w:t xml:space="preserve"> </w:t>
            </w:r>
            <w:r>
              <w:rPr>
                <w:b w:val="0"/>
                <w:bCs w:val="0"/>
              </w:rPr>
              <w:t>reported</w:t>
            </w:r>
            <w:r w:rsidRPr="00173F14">
              <w:rPr>
                <w:b w:val="0"/>
                <w:bCs w:val="0"/>
              </w:rPr>
              <w:t xml:space="preserve"> a commitment to deliver on </w:t>
            </w:r>
            <w:r>
              <w:rPr>
                <w:b w:val="0"/>
                <w:bCs w:val="0"/>
              </w:rPr>
              <w:t>the</w:t>
            </w:r>
            <w:r w:rsidRPr="00173F14">
              <w:rPr>
                <w:b w:val="0"/>
                <w:bCs w:val="0"/>
              </w:rPr>
              <w:t xml:space="preserve"> </w:t>
            </w:r>
            <w:r>
              <w:rPr>
                <w:b w:val="0"/>
                <w:bCs w:val="0"/>
              </w:rPr>
              <w:t>LTRs, but noted that t</w:t>
            </w:r>
            <w:r w:rsidRPr="00BA596C">
              <w:rPr>
                <w:b w:val="0"/>
                <w:bCs w:val="0"/>
              </w:rPr>
              <w:t xml:space="preserve">he NHRA </w:t>
            </w:r>
            <w:r>
              <w:rPr>
                <w:b w:val="0"/>
                <w:bCs w:val="0"/>
              </w:rPr>
              <w:t>was not well positioned</w:t>
            </w:r>
            <w:r w:rsidRPr="00BA596C">
              <w:rPr>
                <w:b w:val="0"/>
                <w:bCs w:val="0"/>
              </w:rPr>
              <w:t xml:space="preserve"> to sustainably drive and foster innovation, prevention and value-based care across the health system. </w:t>
            </w:r>
            <w:r>
              <w:rPr>
                <w:b w:val="0"/>
                <w:bCs w:val="0"/>
              </w:rPr>
              <w:t>I</w:t>
            </w:r>
            <w:r w:rsidRPr="00BA596C">
              <w:rPr>
                <w:b w:val="0"/>
                <w:bCs w:val="0"/>
              </w:rPr>
              <w:t xml:space="preserve">nvestment in innovations </w:t>
            </w:r>
            <w:r>
              <w:rPr>
                <w:b w:val="0"/>
                <w:bCs w:val="0"/>
              </w:rPr>
              <w:t>tend to be</w:t>
            </w:r>
            <w:r w:rsidRPr="00BA596C">
              <w:rPr>
                <w:b w:val="0"/>
                <w:bCs w:val="0"/>
              </w:rPr>
              <w:t xml:space="preserve"> tactical and not sustained beyond pilot projects.</w:t>
            </w:r>
          </w:p>
        </w:tc>
      </w:tr>
    </w:tbl>
    <w:p w14:paraId="7EA5B651" w14:textId="77777777" w:rsidR="00CD03B1" w:rsidRDefault="00CD03B1" w:rsidP="00CD03B1">
      <w:pPr>
        <w:pStyle w:val="Heading3"/>
        <w:spacing w:before="120"/>
      </w:pPr>
      <w:bookmarkStart w:id="119" w:name="_Toc143291666"/>
      <w:r>
        <w:t>Identified issues</w:t>
      </w:r>
      <w:bookmarkEnd w:id="119"/>
      <w:r>
        <w:t xml:space="preserve"> </w:t>
      </w:r>
    </w:p>
    <w:p w14:paraId="3650308C" w14:textId="77777777" w:rsidR="00CD03B1" w:rsidRPr="00CE26D9" w:rsidRDefault="00CD03B1" w:rsidP="00CD03B1">
      <w:r>
        <w:t xml:space="preserve">The key issues identified </w:t>
      </w:r>
      <w:r w:rsidR="00F07946">
        <w:t xml:space="preserve">by stakeholders </w:t>
      </w:r>
      <w:r>
        <w:t>as part of this theme were:</w:t>
      </w:r>
    </w:p>
    <w:p w14:paraId="3D632CB9" w14:textId="77777777" w:rsidR="00CD03B1" w:rsidRPr="004A13E1" w:rsidRDefault="00CD03B1" w:rsidP="000050CD">
      <w:pPr>
        <w:pStyle w:val="Longdotpoints"/>
        <w:ind w:left="567"/>
      </w:pPr>
      <w:r w:rsidRPr="004A13E1">
        <w:t xml:space="preserve">Progress in implementing </w:t>
      </w:r>
      <w:r w:rsidR="00E54F0D">
        <w:t>LTRs</w:t>
      </w:r>
      <w:r w:rsidRPr="004A13E1">
        <w:t xml:space="preserve"> have been relatively slow</w:t>
      </w:r>
      <w:r w:rsidR="00EC7971">
        <w:t>, in part</w:t>
      </w:r>
      <w:r w:rsidRPr="004A13E1">
        <w:t xml:space="preserve"> due to the pandemic response and resulting capacity constraints across jurisdictions.</w:t>
      </w:r>
    </w:p>
    <w:p w14:paraId="20B78216" w14:textId="78592107" w:rsidR="00483B61" w:rsidRPr="004A13E1" w:rsidRDefault="00483B61" w:rsidP="000050CD">
      <w:pPr>
        <w:pStyle w:val="Longdotpoints"/>
        <w:ind w:left="567"/>
      </w:pPr>
      <w:r w:rsidRPr="004A13E1">
        <w:t xml:space="preserve">Appropriate governance structures, incentives, resources and measures of success to drive and embed </w:t>
      </w:r>
      <w:r>
        <w:t>LTRs</w:t>
      </w:r>
      <w:r w:rsidRPr="004A13E1">
        <w:t xml:space="preserve"> are lacking or obscure.</w:t>
      </w:r>
      <w:r>
        <w:t xml:space="preserve"> Understanding at the outset what the long-term funding arrangement may be for a specific reform initiative was seen as important as, in its absence, there was concern that the commissioning State would end up solely bearing the </w:t>
      </w:r>
      <w:r w:rsidDel="0089428B">
        <w:t>long</w:t>
      </w:r>
      <w:r w:rsidR="0089428B">
        <w:t>-term</w:t>
      </w:r>
      <w:r>
        <w:t xml:space="preserve"> cost. This acted as a brake on reform.</w:t>
      </w:r>
    </w:p>
    <w:p w14:paraId="3B064768" w14:textId="77777777" w:rsidR="00483B61" w:rsidRPr="004A13E1" w:rsidRDefault="00483B61" w:rsidP="000050CD">
      <w:pPr>
        <w:pStyle w:val="Longdotpoints"/>
        <w:ind w:left="567"/>
      </w:pPr>
      <w:r w:rsidRPr="004A13E1">
        <w:t>Insufficient resources and mechanisms supporting collaboration between PHNs and LHNs hinder</w:t>
      </w:r>
      <w:r>
        <w:t>ed</w:t>
      </w:r>
      <w:r w:rsidRPr="004A13E1">
        <w:t xml:space="preserve"> genuine collaboration and responsiveness to local needs.</w:t>
      </w:r>
      <w:r>
        <w:t xml:space="preserve"> PHN funding tended to be tied to specific areas, detracting from their capacity to support local commissioning.</w:t>
      </w:r>
    </w:p>
    <w:p w14:paraId="7AEE2A35" w14:textId="77777777" w:rsidR="00483B61" w:rsidRPr="004A13E1" w:rsidRDefault="00483B61" w:rsidP="000050CD">
      <w:pPr>
        <w:pStyle w:val="Longdotpoints"/>
        <w:ind w:left="567"/>
      </w:pPr>
      <w:r w:rsidRPr="004A13E1">
        <w:t>The NHRA does not provide sustainable funding for preventive care, hindering initiatives for healthier communities and addressing health inequity gaps.</w:t>
      </w:r>
      <w:r>
        <w:t xml:space="preserve"> Limited progress has been made on achieving the objectives of the </w:t>
      </w:r>
      <w:r w:rsidR="0024745B">
        <w:t>LTR</w:t>
      </w:r>
      <w:r>
        <w:t xml:space="preserve"> area of prevention and wellbeing.</w:t>
      </w:r>
    </w:p>
    <w:p w14:paraId="1DD633C2" w14:textId="77777777" w:rsidR="00CD03B1" w:rsidRDefault="00483B61" w:rsidP="000050CD">
      <w:pPr>
        <w:pStyle w:val="Longdotpoints"/>
        <w:ind w:left="567"/>
      </w:pPr>
      <w:r w:rsidRPr="004A13E1">
        <w:t xml:space="preserve">The NHRA does not provide </w:t>
      </w:r>
      <w:r>
        <w:t xml:space="preserve">direct </w:t>
      </w:r>
      <w:r w:rsidRPr="004A13E1">
        <w:t>funding for investment in digital infrastructure, despite its importance for better data linkage and connectivity.</w:t>
      </w:r>
      <w:r>
        <w:t xml:space="preserve"> Advances across the spectrum of </w:t>
      </w:r>
      <w:r w:rsidR="0024745B">
        <w:t>LTR</w:t>
      </w:r>
      <w:r>
        <w:t xml:space="preserve"> areas and to improve patient outcomes require digitally enabled sharing of patient level information, particularly at transition points between sectors</w:t>
      </w:r>
      <w:r w:rsidR="00D2236F">
        <w:t>.</w:t>
      </w:r>
    </w:p>
    <w:p w14:paraId="21336751" w14:textId="77777777" w:rsidR="00CD03B1" w:rsidRDefault="00CD03B1" w:rsidP="00CD03B1">
      <w:pPr>
        <w:pStyle w:val="Heading3"/>
      </w:pPr>
      <w:bookmarkStart w:id="120" w:name="_Toc143291667"/>
      <w:bookmarkStart w:id="121" w:name="_Ref143596365"/>
      <w:r>
        <w:t>Strengths</w:t>
      </w:r>
      <w:bookmarkEnd w:id="120"/>
      <w:bookmarkEnd w:id="121"/>
      <w:r>
        <w:t xml:space="preserve"> </w:t>
      </w:r>
    </w:p>
    <w:p w14:paraId="4C0F6232" w14:textId="77777777" w:rsidR="000B692B" w:rsidRDefault="000B692B" w:rsidP="00CC7F3C">
      <w:pPr>
        <w:pStyle w:val="Longdotpoints"/>
        <w:numPr>
          <w:ilvl w:val="0"/>
          <w:numId w:val="0"/>
        </w:numPr>
      </w:pPr>
      <w:r>
        <w:t>Some of the strengths identified by stakeholders include:</w:t>
      </w:r>
    </w:p>
    <w:p w14:paraId="0536F4DB" w14:textId="77777777" w:rsidR="00E939E5" w:rsidRDefault="00E939E5" w:rsidP="000050CD">
      <w:pPr>
        <w:pStyle w:val="Longdotpoints"/>
        <w:ind w:left="567"/>
      </w:pPr>
      <w:r>
        <w:t xml:space="preserve">There is a shared and genuine commitment to deliver LTRs. The long-term priorities have been used to inform jurisdictional health reform strategies, such as </w:t>
      </w:r>
      <w:r w:rsidRPr="00D16C69">
        <w:rPr>
          <w:i/>
          <w:iCs/>
        </w:rPr>
        <w:t>HealthQ32</w:t>
      </w:r>
      <w:r>
        <w:t xml:space="preserve"> in Queensland and the </w:t>
      </w:r>
      <w:r w:rsidRPr="00573861">
        <w:rPr>
          <w:i/>
          <w:iCs/>
        </w:rPr>
        <w:t>Long-Term Plan for Healthcare in Tasmania 2040</w:t>
      </w:r>
      <w:r>
        <w:t>.</w:t>
      </w:r>
    </w:p>
    <w:p w14:paraId="285C1D1F" w14:textId="60D38006" w:rsidR="00CD03B1" w:rsidRDefault="00E939E5" w:rsidP="000050CD">
      <w:pPr>
        <w:pStyle w:val="Longdotpoints"/>
        <w:ind w:left="567"/>
      </w:pPr>
      <w:r>
        <w:t xml:space="preserve">There are some notable reform developments. For example, Queensland has </w:t>
      </w:r>
      <w:r w:rsidR="007D731C">
        <w:t xml:space="preserve">committed to </w:t>
      </w:r>
      <w:r>
        <w:t>the Torres and Cape Health Care (TORCH) Commissioning Fund</w:t>
      </w:r>
      <w:r w:rsidR="00AA04A6">
        <w:t xml:space="preserve"> </w:t>
      </w:r>
      <w:r w:rsidR="00187A7D">
        <w:t>(</w:t>
      </w:r>
      <w:r w:rsidR="00B713A4">
        <w:t xml:space="preserve">Case Study </w:t>
      </w:r>
      <w:r w:rsidR="00187A7D">
        <w:t>below)</w:t>
      </w:r>
      <w:r>
        <w:t>. Queensland and Victoria have also undertaken a review of the health data landscape and lessons from COVID-19 data sharing to inform national health data priorities</w:t>
      </w:r>
      <w:r w:rsidR="00CD03B1" w:rsidRPr="00AB6F39">
        <w:t>.</w:t>
      </w:r>
    </w:p>
    <w:tbl>
      <w:tblPr>
        <w:tblStyle w:val="TableGrid"/>
        <w:tblW w:w="0" w:type="auto"/>
        <w:tblBorders>
          <w:top w:val="dotted" w:sz="4" w:space="0" w:color="0097A9" w:themeColor="accent5"/>
          <w:left w:val="dotted" w:sz="4" w:space="0" w:color="0097A9" w:themeColor="accent5"/>
          <w:bottom w:val="dotted" w:sz="4" w:space="0" w:color="0097A9" w:themeColor="accent5"/>
          <w:right w:val="dotted" w:sz="4" w:space="0" w:color="0097A9" w:themeColor="accent5"/>
        </w:tblBorders>
        <w:tblLook w:val="04A0" w:firstRow="1" w:lastRow="0" w:firstColumn="1" w:lastColumn="0" w:noHBand="0" w:noVBand="1"/>
      </w:tblPr>
      <w:tblGrid>
        <w:gridCol w:w="10456"/>
      </w:tblGrid>
      <w:tr w:rsidR="00EC7971" w14:paraId="574436F0" w14:textId="77777777" w:rsidTr="001E118A">
        <w:trPr>
          <w:cnfStyle w:val="100000000000" w:firstRow="1" w:lastRow="0" w:firstColumn="0" w:lastColumn="0" w:oddVBand="0" w:evenVBand="0" w:oddHBand="0" w:evenHBand="0" w:firstRowFirstColumn="0" w:firstRowLastColumn="0" w:lastRowFirstColumn="0" w:lastRowLastColumn="0"/>
        </w:trPr>
        <w:tc>
          <w:tcPr>
            <w:tcW w:w="1046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0D60480" w14:textId="60715AFB" w:rsidR="00EC7971" w:rsidRPr="00BB2C81" w:rsidRDefault="00EC7971" w:rsidP="00C10B26">
            <w:pPr>
              <w:pStyle w:val="Summarytable"/>
              <w:rPr>
                <w:color w:val="00707E" w:themeColor="accent5" w:themeShade="BF"/>
              </w:rPr>
            </w:pPr>
            <w:r w:rsidRPr="00875087">
              <w:rPr>
                <w:noProof/>
                <w:color w:val="00707E" w:themeColor="accent5" w:themeShade="BF"/>
              </w:rPr>
              <w:drawing>
                <wp:inline distT="0" distB="0" distL="0" distR="0" wp14:anchorId="68625CB4" wp14:editId="42E39311">
                  <wp:extent cx="270000" cy="270000"/>
                  <wp:effectExtent l="0" t="0" r="0" b="0"/>
                  <wp:docPr id="20" name="Graphic 20" descr="P899C1T1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P899C1T14#yIS1">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70000" cy="270000"/>
                          </a:xfrm>
                          <a:prstGeom prst="rect">
                            <a:avLst/>
                          </a:prstGeom>
                        </pic:spPr>
                      </pic:pic>
                    </a:graphicData>
                  </a:graphic>
                </wp:inline>
              </w:drawing>
            </w:r>
            <w:r w:rsidRPr="00875087">
              <w:rPr>
                <w:color w:val="00707E" w:themeColor="accent5" w:themeShade="BF"/>
              </w:rPr>
              <w:t>Case study:</w:t>
            </w:r>
            <w:r w:rsidRPr="00BB2C81">
              <w:rPr>
                <w:color w:val="00707E" w:themeColor="accent5" w:themeShade="BF"/>
              </w:rPr>
              <w:t xml:space="preserve"> </w:t>
            </w:r>
            <w:r w:rsidR="00D83A14" w:rsidRPr="00D83A14">
              <w:rPr>
                <w:b w:val="0"/>
                <w:bCs w:val="0"/>
                <w:color w:val="00707E" w:themeColor="accent5" w:themeShade="BF"/>
              </w:rPr>
              <w:t>Torres and Cape Health Care (TORCH) Commissioning Fund</w:t>
            </w:r>
            <w:r w:rsidR="003F5D51">
              <w:rPr>
                <w:rFonts w:ascii="ZWAdobeF" w:hAnsi="ZWAdobeF" w:cs="ZWAdobeF"/>
                <w:b w:val="0"/>
                <w:bCs w:val="0"/>
                <w:sz w:val="2"/>
                <w:szCs w:val="2"/>
              </w:rPr>
              <w:t>10F</w:t>
            </w:r>
            <w:r w:rsidR="00B55DC8">
              <w:rPr>
                <w:rStyle w:val="FootnoteReference"/>
                <w:b w:val="0"/>
                <w:bCs w:val="0"/>
                <w:color w:val="00707E" w:themeColor="accent5" w:themeShade="BF"/>
              </w:rPr>
              <w:footnoteReference w:id="12"/>
            </w:r>
          </w:p>
          <w:p w14:paraId="2C269872" w14:textId="20C84A6B" w:rsidR="00EC7971" w:rsidRDefault="00CD0D92" w:rsidP="00BC34DC">
            <w:pPr>
              <w:pStyle w:val="Summarytable"/>
              <w:ind w:right="102"/>
              <w:rPr>
                <w:b w:val="0"/>
                <w:bCs w:val="0"/>
              </w:rPr>
            </w:pPr>
            <w:r>
              <w:rPr>
                <w:b w:val="0"/>
                <w:bCs w:val="0"/>
              </w:rPr>
              <w:t xml:space="preserve">The TORCH project is a joint commitment by the Australian and Queensland Governments in partnership with community leaders and the Queensland Aboriginal and </w:t>
            </w:r>
            <w:r w:rsidR="009F16B4">
              <w:rPr>
                <w:b w:val="0"/>
                <w:bCs w:val="0"/>
              </w:rPr>
              <w:t>Islander</w:t>
            </w:r>
            <w:r>
              <w:rPr>
                <w:b w:val="0"/>
                <w:bCs w:val="0"/>
              </w:rPr>
              <w:t xml:space="preserve"> </w:t>
            </w:r>
            <w:r w:rsidR="009F16B4">
              <w:rPr>
                <w:b w:val="0"/>
                <w:bCs w:val="0"/>
              </w:rPr>
              <w:t xml:space="preserve">Health Council (QAIHC), for health system reform for the Torres and Cape region. The project will establish an independent </w:t>
            </w:r>
            <w:r w:rsidR="00532382">
              <w:rPr>
                <w:b w:val="0"/>
                <w:bCs w:val="0"/>
              </w:rPr>
              <w:t>regional health care commissioner (the TORCH entity)</w:t>
            </w:r>
            <w:r w:rsidR="00A53D99">
              <w:rPr>
                <w:b w:val="0"/>
                <w:bCs w:val="0"/>
              </w:rPr>
              <w:t xml:space="preserve">, which will plan and buy health services based on evidence and local input. The TORCH Entity will be backed by pooled funding from both Commonwealth and State healthcare funding for healthcare services. </w:t>
            </w:r>
            <w:r w:rsidR="00514C8E">
              <w:rPr>
                <w:b w:val="0"/>
                <w:bCs w:val="0"/>
              </w:rPr>
              <w:t>The initiative is a ten-year journey to shift the way healthcare is commissione</w:t>
            </w:r>
            <w:r w:rsidR="00407461">
              <w:rPr>
                <w:b w:val="0"/>
                <w:bCs w:val="0"/>
              </w:rPr>
              <w:t>d</w:t>
            </w:r>
            <w:r w:rsidR="00514C8E">
              <w:rPr>
                <w:b w:val="0"/>
                <w:bCs w:val="0"/>
              </w:rPr>
              <w:t>, which will drive improved health system effectiveness, efficiency, equity and whole of population health and wellbeing outcomes.</w:t>
            </w:r>
          </w:p>
          <w:p w14:paraId="5CDAF70B" w14:textId="529B24A4" w:rsidR="000831A9" w:rsidRPr="00AD4932" w:rsidRDefault="000831A9" w:rsidP="00BC34DC">
            <w:pPr>
              <w:pStyle w:val="Summarytable"/>
              <w:ind w:right="102"/>
              <w:rPr>
                <w:b w:val="0"/>
                <w:bCs w:val="0"/>
              </w:rPr>
            </w:pPr>
            <w:r>
              <w:rPr>
                <w:b w:val="0"/>
                <w:bCs w:val="0"/>
              </w:rPr>
              <w:t>The initiative will progress implementation at a regional level o</w:t>
            </w:r>
            <w:r w:rsidR="004D5493">
              <w:rPr>
                <w:b w:val="0"/>
                <w:bCs w:val="0"/>
              </w:rPr>
              <w:t>f t</w:t>
            </w:r>
            <w:r>
              <w:rPr>
                <w:b w:val="0"/>
                <w:bCs w:val="0"/>
              </w:rPr>
              <w:t>h</w:t>
            </w:r>
            <w:r w:rsidR="004D5493">
              <w:rPr>
                <w:b w:val="0"/>
                <w:bCs w:val="0"/>
              </w:rPr>
              <w:t>e</w:t>
            </w:r>
            <w:r>
              <w:rPr>
                <w:b w:val="0"/>
                <w:bCs w:val="0"/>
              </w:rPr>
              <w:t xml:space="preserve"> </w:t>
            </w:r>
            <w:r w:rsidR="004D5493">
              <w:rPr>
                <w:b w:val="0"/>
                <w:bCs w:val="0"/>
              </w:rPr>
              <w:t>Paying</w:t>
            </w:r>
            <w:r>
              <w:rPr>
                <w:b w:val="0"/>
                <w:bCs w:val="0"/>
              </w:rPr>
              <w:t xml:space="preserve"> for Value </w:t>
            </w:r>
            <w:r w:rsidR="004D5493">
              <w:rPr>
                <w:b w:val="0"/>
                <w:bCs w:val="0"/>
              </w:rPr>
              <w:t>and</w:t>
            </w:r>
            <w:r>
              <w:rPr>
                <w:b w:val="0"/>
                <w:bCs w:val="0"/>
              </w:rPr>
              <w:t xml:space="preserve"> Outcomes and Joint Planning and Funding LTR priorities</w:t>
            </w:r>
            <w:r w:rsidR="004D5493">
              <w:rPr>
                <w:b w:val="0"/>
                <w:bCs w:val="0"/>
              </w:rPr>
              <w:t xml:space="preserve">. $4.56 million was provided for the project through the Health Innovation Fund. The TORCH project will drive health system reform to allow </w:t>
            </w:r>
            <w:r w:rsidR="00407461">
              <w:rPr>
                <w:b w:val="0"/>
                <w:bCs w:val="0"/>
              </w:rPr>
              <w:t>regional</w:t>
            </w:r>
            <w:r w:rsidR="004D5493">
              <w:rPr>
                <w:b w:val="0"/>
                <w:bCs w:val="0"/>
              </w:rPr>
              <w:t xml:space="preserve"> community-controlled commissioning – in community, for community. </w:t>
            </w:r>
          </w:p>
        </w:tc>
      </w:tr>
    </w:tbl>
    <w:p w14:paraId="4FB067E0" w14:textId="0E579C17" w:rsidR="001D7407" w:rsidRDefault="00D510D4" w:rsidP="0066750B">
      <w:pPr>
        <w:pStyle w:val="Heading2"/>
        <w:pageBreakBefore/>
      </w:pPr>
      <w:bookmarkStart w:id="123" w:name="_Toc143291668"/>
      <w:r>
        <w:rPr>
          <w:noProof/>
        </w:rPr>
        <w:drawing>
          <wp:anchor distT="0" distB="0" distL="114300" distR="114300" simplePos="0" relativeHeight="251638784" behindDoc="0" locked="0" layoutInCell="1" allowOverlap="1" wp14:anchorId="19F3CD51" wp14:editId="688AFC44">
            <wp:simplePos x="0" y="0"/>
            <wp:positionH relativeFrom="column">
              <wp:posOffset>6026595</wp:posOffset>
            </wp:positionH>
            <wp:positionV relativeFrom="paragraph">
              <wp:posOffset>-74295</wp:posOffset>
            </wp:positionV>
            <wp:extent cx="633342" cy="795129"/>
            <wp:effectExtent l="0" t="0" r="0" b="5080"/>
            <wp:wrapNone/>
            <wp:docPr id="52379485" name="Picture 52379485" descr="P90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9485" name="Picture 52379485" descr="P903#y1">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633342" cy="795129"/>
                    </a:xfrm>
                    <a:prstGeom prst="rect">
                      <a:avLst/>
                    </a:prstGeom>
                  </pic:spPr>
                </pic:pic>
              </a:graphicData>
            </a:graphic>
            <wp14:sizeRelH relativeFrom="page">
              <wp14:pctWidth>0</wp14:pctWidth>
            </wp14:sizeRelH>
            <wp14:sizeRelV relativeFrom="page">
              <wp14:pctHeight>0</wp14:pctHeight>
            </wp14:sizeRelV>
          </wp:anchor>
        </w:drawing>
      </w:r>
      <w:r w:rsidR="001D7407">
        <w:t>Rural and remote service delivery</w:t>
      </w:r>
      <w:bookmarkEnd w:id="123"/>
      <w:r w:rsidR="001D7407">
        <w:t xml:space="preserve"> </w:t>
      </w:r>
    </w:p>
    <w:tbl>
      <w:tblPr>
        <w:tblStyle w:val="TableGrid"/>
        <w:tblW w:w="0" w:type="auto"/>
        <w:shd w:val="clear" w:color="auto" w:fill="F2F2F2" w:themeFill="background1" w:themeFillShade="F2"/>
        <w:tblLook w:val="04A0" w:firstRow="1" w:lastRow="0" w:firstColumn="1" w:lastColumn="0" w:noHBand="0" w:noVBand="1"/>
      </w:tblPr>
      <w:tblGrid>
        <w:gridCol w:w="10466"/>
      </w:tblGrid>
      <w:tr w:rsidR="00EC7971" w14:paraId="1585EA6F" w14:textId="77777777" w:rsidTr="00C10B26">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tcPr>
          <w:p w14:paraId="3D8DEF51" w14:textId="43E965F1" w:rsidR="00EC7971" w:rsidRDefault="00EC7971" w:rsidP="00C10B26">
            <w:pPr>
              <w:pStyle w:val="Summarytable"/>
              <w:rPr>
                <w:color w:val="00707E" w:themeColor="accent5" w:themeShade="BF"/>
              </w:rPr>
            </w:pPr>
            <w:r>
              <w:rPr>
                <w:noProof/>
              </w:rPr>
              <w:drawing>
                <wp:inline distT="0" distB="0" distL="0" distR="0" wp14:anchorId="2331CBC4" wp14:editId="2F8DDA34">
                  <wp:extent cx="270000" cy="270000"/>
                  <wp:effectExtent l="0" t="0" r="0" b="0"/>
                  <wp:docPr id="57" name="Graphic 57" descr="P904C1T15#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descr="P904C1T15#yIS1">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70000" cy="270000"/>
                          </a:xfrm>
                          <a:prstGeom prst="rect">
                            <a:avLst/>
                          </a:prstGeom>
                        </pic:spPr>
                      </pic:pic>
                    </a:graphicData>
                  </a:graphic>
                </wp:inline>
              </w:drawing>
            </w:r>
            <w:r w:rsidR="0032600B">
              <w:rPr>
                <w:color w:val="00707E" w:themeColor="accent5" w:themeShade="BF"/>
              </w:rPr>
              <w:t xml:space="preserve"> </w:t>
            </w:r>
            <w:r w:rsidRPr="00BB2C81">
              <w:rPr>
                <w:color w:val="00707E" w:themeColor="accent5" w:themeShade="BF"/>
              </w:rPr>
              <w:t>Summary</w:t>
            </w:r>
            <w:r>
              <w:rPr>
                <w:color w:val="00707E" w:themeColor="accent5" w:themeShade="BF"/>
              </w:rPr>
              <w:t xml:space="preserve"> of what we heard</w:t>
            </w:r>
            <w:r w:rsidRPr="00BB2C81">
              <w:rPr>
                <w:color w:val="00707E" w:themeColor="accent5" w:themeShade="BF"/>
              </w:rPr>
              <w:t xml:space="preserve">: </w:t>
            </w:r>
          </w:p>
          <w:p w14:paraId="0922C255" w14:textId="5C5AA648" w:rsidR="00EC7971" w:rsidRDefault="00EC7971" w:rsidP="00C10B26">
            <w:pPr>
              <w:pStyle w:val="Summarytable"/>
            </w:pPr>
            <w:r w:rsidRPr="003262CB">
              <w:t>Rural and remote residents experience inequitable access to healthcare, resulting in poorer health outcomes. Scarcity of health services and inadequate health workforce prevents people from accessing the right care at the right time and place, while limited step-down care results in delayed discharge and longer hospital stays.</w:t>
            </w:r>
            <w:r w:rsidRPr="00F16AB2">
              <w:rPr>
                <w:b w:val="0"/>
                <w:bCs w:val="0"/>
              </w:rPr>
              <w:t xml:space="preserve"> The NHRA lacks provision for addressing market failures in </w:t>
            </w:r>
            <w:r>
              <w:rPr>
                <w:b w:val="0"/>
                <w:bCs w:val="0"/>
              </w:rPr>
              <w:t>rural and remote</w:t>
            </w:r>
            <w:r w:rsidRPr="00F16AB2">
              <w:rPr>
                <w:b w:val="0"/>
                <w:bCs w:val="0"/>
              </w:rPr>
              <w:t xml:space="preserve"> areas and limited digital health literacy and </w:t>
            </w:r>
            <w:r w:rsidR="003368EC">
              <w:rPr>
                <w:b w:val="0"/>
                <w:bCs w:val="0"/>
              </w:rPr>
              <w:t xml:space="preserve">unreliable </w:t>
            </w:r>
            <w:r w:rsidRPr="00F16AB2">
              <w:rPr>
                <w:b w:val="0"/>
                <w:bCs w:val="0"/>
              </w:rPr>
              <w:t>internet access further hinder access to care.</w:t>
            </w:r>
          </w:p>
        </w:tc>
      </w:tr>
    </w:tbl>
    <w:p w14:paraId="4D7F569A" w14:textId="77777777" w:rsidR="00050249" w:rsidRDefault="00050249" w:rsidP="00814A95">
      <w:pPr>
        <w:pStyle w:val="Heading3"/>
        <w:spacing w:before="120"/>
      </w:pPr>
      <w:bookmarkStart w:id="124" w:name="_Toc143291669"/>
      <w:r>
        <w:t>Identified issues</w:t>
      </w:r>
      <w:bookmarkEnd w:id="124"/>
      <w:r>
        <w:t xml:space="preserve"> </w:t>
      </w:r>
    </w:p>
    <w:p w14:paraId="292A2737" w14:textId="77777777" w:rsidR="00BD165D" w:rsidRPr="00CE26D9" w:rsidRDefault="00BD165D" w:rsidP="00814A95">
      <w:pPr>
        <w:keepNext/>
      </w:pPr>
      <w:r>
        <w:t xml:space="preserve">The key issues identified </w:t>
      </w:r>
      <w:r w:rsidR="00F07946">
        <w:t xml:space="preserve">by stakeholders </w:t>
      </w:r>
      <w:r>
        <w:t>as part of this theme were:</w:t>
      </w:r>
    </w:p>
    <w:p w14:paraId="512F3794" w14:textId="77777777" w:rsidR="00EC7971" w:rsidRPr="00A93F06" w:rsidRDefault="00EC7971" w:rsidP="00AE047D">
      <w:pPr>
        <w:pStyle w:val="Longdotpoints"/>
        <w:ind w:left="562"/>
      </w:pPr>
      <w:r w:rsidRPr="00A93F06">
        <w:t xml:space="preserve">The lack of health services </w:t>
      </w:r>
      <w:r>
        <w:t>to</w:t>
      </w:r>
      <w:r w:rsidRPr="00A93F06">
        <w:t xml:space="preserve"> step-down care </w:t>
      </w:r>
      <w:r>
        <w:t xml:space="preserve">and </w:t>
      </w:r>
      <w:r w:rsidRPr="00A93F06">
        <w:t xml:space="preserve">accommodation in rural and remote areas </w:t>
      </w:r>
      <w:r>
        <w:t>detracts from the capacity for</w:t>
      </w:r>
      <w:r w:rsidRPr="00A93F06">
        <w:t xml:space="preserve"> people </w:t>
      </w:r>
      <w:r>
        <w:t>to</w:t>
      </w:r>
      <w:r w:rsidRPr="00A93F06">
        <w:t xml:space="preserve"> access the healthcare services </w:t>
      </w:r>
      <w:r>
        <w:t xml:space="preserve">they need </w:t>
      </w:r>
      <w:r w:rsidRPr="00A93F06">
        <w:t>at the right time and place, resulting in poorer patient outcomes, discharge delays and longer lengths of stay.</w:t>
      </w:r>
    </w:p>
    <w:p w14:paraId="1B74175D" w14:textId="40EB57F0" w:rsidR="00EC7971" w:rsidRPr="00A93F06" w:rsidRDefault="00EC7971" w:rsidP="00AE047D">
      <w:pPr>
        <w:pStyle w:val="Longdotpoints"/>
        <w:ind w:left="562"/>
      </w:pPr>
      <w:r w:rsidRPr="00A93F06">
        <w:t xml:space="preserve">Lack of access to primary care in rural areas has a significant impact on health outcomes and increases reliance on local public hospitals and </w:t>
      </w:r>
      <w:r w:rsidR="00EB5122">
        <w:t>ED</w:t>
      </w:r>
      <w:r w:rsidRPr="00A93F06">
        <w:t xml:space="preserve"> utilisation.</w:t>
      </w:r>
      <w:r>
        <w:t xml:space="preserve"> </w:t>
      </w:r>
    </w:p>
    <w:tbl>
      <w:tblPr>
        <w:tblStyle w:val="TableGrid"/>
        <w:tblW w:w="0" w:type="auto"/>
        <w:tblLayout w:type="fixed"/>
        <w:tblLook w:val="04A0" w:firstRow="1" w:lastRow="0" w:firstColumn="1" w:lastColumn="0" w:noHBand="0" w:noVBand="1"/>
      </w:tblPr>
      <w:tblGrid>
        <w:gridCol w:w="7560"/>
        <w:gridCol w:w="2906"/>
      </w:tblGrid>
      <w:tr w:rsidR="00BF56C2" w14:paraId="32FEF2AB" w14:textId="77777777" w:rsidTr="00BF56C2">
        <w:trPr>
          <w:cnfStyle w:val="100000000000" w:firstRow="1" w:lastRow="0" w:firstColumn="0" w:lastColumn="0" w:oddVBand="0" w:evenVBand="0" w:oddHBand="0" w:evenHBand="0" w:firstRowFirstColumn="0" w:firstRowLastColumn="0" w:lastRowFirstColumn="0" w:lastRowLastColumn="0"/>
        </w:trPr>
        <w:tc>
          <w:tcPr>
            <w:tcW w:w="7560" w:type="dxa"/>
            <w:tcMar>
              <w:top w:w="0" w:type="dxa"/>
            </w:tcMar>
          </w:tcPr>
          <w:p w14:paraId="34DE373C" w14:textId="77777777" w:rsidR="0008071D" w:rsidRPr="00A93F06" w:rsidRDefault="0008071D" w:rsidP="0008071D">
            <w:pPr>
              <w:pStyle w:val="Longdotpoints"/>
              <w:ind w:left="562" w:right="432"/>
            </w:pPr>
            <w:r w:rsidRPr="00A93F06">
              <w:t xml:space="preserve">The NHRA does not safeguard against market failure in rural and remote areas. </w:t>
            </w:r>
            <w:r>
              <w:t>Some stakeholders noted that jurisdictional health services are required to deliver</w:t>
            </w:r>
            <w:r w:rsidRPr="00A93F06">
              <w:t xml:space="preserve"> primary and aged care services in remote and rural communities whe</w:t>
            </w:r>
            <w:r>
              <w:t xml:space="preserve">n there is a </w:t>
            </w:r>
            <w:r w:rsidRPr="00A93F06">
              <w:t>market failure.</w:t>
            </w:r>
            <w:r>
              <w:t xml:space="preserve"> There are no accountability and escalation mechanisms in the NHRA that mitigates this, despite responsibility for primary care and aged care resting with the Commonwealth.</w:t>
            </w:r>
          </w:p>
          <w:p w14:paraId="4BF9CC44" w14:textId="77777777" w:rsidR="0008071D" w:rsidRPr="00A93F06" w:rsidRDefault="0008071D" w:rsidP="0008071D">
            <w:pPr>
              <w:pStyle w:val="Longdotpoints"/>
              <w:ind w:left="562" w:right="432"/>
            </w:pPr>
            <w:r w:rsidRPr="00A93F06">
              <w:t xml:space="preserve">The distribution of teaching, training, and research funding </w:t>
            </w:r>
            <w:r>
              <w:t xml:space="preserve">through the NHRA </w:t>
            </w:r>
            <w:r w:rsidRPr="00A93F06">
              <w:t>lacks transparency and accountability, hindering the development of rural and remote health service capacity.</w:t>
            </w:r>
          </w:p>
          <w:p w14:paraId="491E33E1" w14:textId="77777777" w:rsidR="0008071D" w:rsidRDefault="0008071D" w:rsidP="0008071D">
            <w:pPr>
              <w:pStyle w:val="Longdotpoints"/>
              <w:ind w:left="562" w:right="432"/>
            </w:pPr>
            <w:r w:rsidRPr="00A93F06">
              <w:t>The NEP is a national average model that does not provide sufficient flexibility for regional and rural variation, disadvantag</w:t>
            </w:r>
            <w:r>
              <w:t>ing</w:t>
            </w:r>
            <w:r w:rsidRPr="00A93F06">
              <w:t xml:space="preserve"> remote locations with higher service delivery costs.</w:t>
            </w:r>
            <w:r>
              <w:t xml:space="preserve"> Although there are adjustments for rurality and remoteness, these are outweighed by the impact of larger populations in larger rural centres.</w:t>
            </w:r>
          </w:p>
          <w:p w14:paraId="7EE54881" w14:textId="60B4781E" w:rsidR="00BF56C2" w:rsidRDefault="0008071D" w:rsidP="0008071D">
            <w:pPr>
              <w:pStyle w:val="Longdotpoints"/>
              <w:ind w:left="562" w:right="432"/>
            </w:pPr>
            <w:r w:rsidRPr="00A93F06">
              <w:t>Lower digital health literacy and restricted internet access in rural and remote areas hinder access to virtual health services.</w:t>
            </w:r>
          </w:p>
        </w:tc>
        <w:tc>
          <w:tcPr>
            <w:tcW w:w="2906" w:type="dxa"/>
            <w:tcMar>
              <w:top w:w="0" w:type="dxa"/>
            </w:tcMar>
            <w:vAlign w:val="center"/>
          </w:tcPr>
          <w:p w14:paraId="45C091F9" w14:textId="77777777" w:rsidR="00BF56C2" w:rsidRDefault="00BF56C2" w:rsidP="00BF56C2">
            <w:pPr>
              <w:pStyle w:val="Pullout-QuoteGreen"/>
              <w:spacing w:after="120" w:line="216" w:lineRule="auto"/>
              <w:ind w:left="0"/>
              <w:rPr>
                <w:color w:val="007680"/>
              </w:rPr>
            </w:pPr>
            <w:r>
              <w:rPr>
                <w:color w:val="007680"/>
              </w:rPr>
              <w:t>“</w:t>
            </w:r>
            <w:r w:rsidRPr="00BB168D">
              <w:rPr>
                <w:color w:val="007680"/>
              </w:rPr>
              <w:t>Rural, regional and remote patients have significantly poorer health outcomes, greater incidence of chronic disease and greater premature deaths when compared to their counterparts in metropolitan areas</w:t>
            </w:r>
            <w:r>
              <w:rPr>
                <w:color w:val="007680"/>
              </w:rPr>
              <w:t>.”</w:t>
            </w:r>
          </w:p>
          <w:p w14:paraId="60803F08" w14:textId="0A98E9A2" w:rsidR="00BF56C2" w:rsidRPr="00BF56C2" w:rsidRDefault="00BF56C2" w:rsidP="00BF56C2">
            <w:pPr>
              <w:pStyle w:val="Pullout-QuoteGreen"/>
              <w:spacing w:line="216" w:lineRule="auto"/>
              <w:ind w:left="0"/>
              <w:rPr>
                <w:i w:val="0"/>
                <w:color w:val="007680"/>
                <w:sz w:val="18"/>
                <w:szCs w:val="18"/>
              </w:rPr>
            </w:pPr>
            <w:r w:rsidRPr="00924695">
              <w:rPr>
                <w:i w:val="0"/>
                <w:color w:val="007680"/>
                <w:sz w:val="18"/>
                <w:szCs w:val="18"/>
              </w:rPr>
              <w:t>- NSW Parliamentary Inquiry Health Outcomes and Access to Health and Hospital Services in Rural, Regional and Remote NSW</w:t>
            </w:r>
          </w:p>
        </w:tc>
      </w:tr>
    </w:tbl>
    <w:p w14:paraId="70AC9795" w14:textId="77777777" w:rsidR="00A93F06" w:rsidRDefault="00A93F06" w:rsidP="00A93F06">
      <w:pPr>
        <w:pStyle w:val="Heading3"/>
      </w:pPr>
      <w:bookmarkStart w:id="125" w:name="_Toc143291670"/>
      <w:r>
        <w:t>Strengths</w:t>
      </w:r>
      <w:bookmarkEnd w:id="125"/>
      <w:r>
        <w:t xml:space="preserve"> </w:t>
      </w:r>
    </w:p>
    <w:p w14:paraId="2840242B" w14:textId="77777777" w:rsidR="000B692B" w:rsidRDefault="000B692B" w:rsidP="00CC7F3C">
      <w:pPr>
        <w:pStyle w:val="Longdotpoints"/>
        <w:numPr>
          <w:ilvl w:val="0"/>
          <w:numId w:val="0"/>
        </w:numPr>
      </w:pPr>
      <w:r>
        <w:t>Some of the strengths identified by stakeholders include:</w:t>
      </w:r>
    </w:p>
    <w:p w14:paraId="3FB854F8" w14:textId="1294FF59" w:rsidR="006B3F6D" w:rsidRPr="006B3F6D" w:rsidRDefault="006B3F6D" w:rsidP="000050CD">
      <w:pPr>
        <w:pStyle w:val="Longdotpoints"/>
        <w:ind w:left="567"/>
      </w:pPr>
      <w:r w:rsidRPr="006B3F6D">
        <w:t xml:space="preserve">The Single Employer Model for GP </w:t>
      </w:r>
      <w:r w:rsidR="00367B0C">
        <w:t>Registrars</w:t>
      </w:r>
      <w:r w:rsidRPr="006B3F6D">
        <w:t xml:space="preserve"> </w:t>
      </w:r>
      <w:r w:rsidR="00B072C9">
        <w:t xml:space="preserve">is being </w:t>
      </w:r>
      <w:r w:rsidRPr="006B3F6D">
        <w:t xml:space="preserve">successfully piloted in several jurisdictions to increase the regional medical workforce in both hospital and primary care. While an evaluation of the program is currently being </w:t>
      </w:r>
      <w:r w:rsidR="00ED3A70">
        <w:t>commissioned</w:t>
      </w:r>
      <w:r w:rsidRPr="006B3F6D">
        <w:t>, initial feedback from stakeholders has been favourable.</w:t>
      </w:r>
    </w:p>
    <w:p w14:paraId="1DA095A6" w14:textId="77777777" w:rsidR="00050249" w:rsidRDefault="006B3F6D" w:rsidP="000050CD">
      <w:pPr>
        <w:pStyle w:val="Longdotpoints"/>
        <w:ind w:left="567"/>
      </w:pPr>
      <w:r w:rsidRPr="006B3F6D">
        <w:t>Initiatives to support expansion of the recruitment pipeline through the National Cabinet and HMM have been well received</w:t>
      </w:r>
      <w:r w:rsidR="00137B36">
        <w:t xml:space="preserve"> </w:t>
      </w:r>
      <w:r w:rsidR="00137B36" w:rsidRPr="006B3F6D">
        <w:t>(e.g</w:t>
      </w:r>
      <w:r w:rsidR="008F748C" w:rsidRPr="006B3F6D">
        <w:t>.,</w:t>
      </w:r>
      <w:r w:rsidR="00137B36" w:rsidRPr="006B3F6D">
        <w:t xml:space="preserve"> Strengthening Medicare, Innovative Models of Care, Primary Health care Rural and Remote Innovative Multidisciplinary Models of care)</w:t>
      </w:r>
      <w:r w:rsidRPr="006B3F6D">
        <w:t>. However, these initiatives operate external to the processes of the NHRA.</w:t>
      </w:r>
      <w:r w:rsidR="00050249" w:rsidRPr="000D5734">
        <w:t xml:space="preserve"> </w:t>
      </w:r>
    </w:p>
    <w:tbl>
      <w:tblPr>
        <w:tblStyle w:val="TableGrid"/>
        <w:tblW w:w="0" w:type="auto"/>
        <w:tblBorders>
          <w:top w:val="dotted" w:sz="4" w:space="0" w:color="0097A9" w:themeColor="accent5"/>
          <w:left w:val="dotted" w:sz="4" w:space="0" w:color="0097A9" w:themeColor="accent5"/>
          <w:bottom w:val="dotted" w:sz="4" w:space="0" w:color="0097A9" w:themeColor="accent5"/>
          <w:right w:val="dotted" w:sz="4" w:space="0" w:color="0097A9" w:themeColor="accent5"/>
        </w:tblBorders>
        <w:tblLook w:val="04A0" w:firstRow="1" w:lastRow="0" w:firstColumn="1" w:lastColumn="0" w:noHBand="0" w:noVBand="1"/>
      </w:tblPr>
      <w:tblGrid>
        <w:gridCol w:w="10456"/>
      </w:tblGrid>
      <w:tr w:rsidR="00EC7971" w14:paraId="6E0CF05F" w14:textId="77777777" w:rsidTr="001E118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499B5D5" w14:textId="56FC2C89" w:rsidR="00EC7971" w:rsidRPr="00BB2C81" w:rsidRDefault="00EC7971" w:rsidP="00C10B26">
            <w:pPr>
              <w:pStyle w:val="Summarytable"/>
              <w:rPr>
                <w:color w:val="00707E" w:themeColor="accent5" w:themeShade="BF"/>
              </w:rPr>
            </w:pPr>
            <w:r w:rsidRPr="00875087">
              <w:rPr>
                <w:noProof/>
                <w:color w:val="00707E" w:themeColor="accent5" w:themeShade="BF"/>
              </w:rPr>
              <w:drawing>
                <wp:inline distT="0" distB="0" distL="0" distR="0" wp14:anchorId="36B8EFCC" wp14:editId="6FF8CD5C">
                  <wp:extent cx="270000" cy="270000"/>
                  <wp:effectExtent l="0" t="0" r="0" b="0"/>
                  <wp:docPr id="58" name="Graphic 58" descr="P922C1T1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P922C1T17#yIS1">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70000" cy="270000"/>
                          </a:xfrm>
                          <a:prstGeom prst="rect">
                            <a:avLst/>
                          </a:prstGeom>
                        </pic:spPr>
                      </pic:pic>
                    </a:graphicData>
                  </a:graphic>
                </wp:inline>
              </w:drawing>
            </w:r>
            <w:r w:rsidRPr="00875087">
              <w:rPr>
                <w:color w:val="00707E" w:themeColor="accent5" w:themeShade="BF"/>
              </w:rPr>
              <w:t>Case study:</w:t>
            </w:r>
            <w:r w:rsidRPr="00BB2C81">
              <w:rPr>
                <w:color w:val="00707E" w:themeColor="accent5" w:themeShade="BF"/>
              </w:rPr>
              <w:t xml:space="preserve"> </w:t>
            </w:r>
            <w:r w:rsidRPr="006B3F6D">
              <w:rPr>
                <w:b w:val="0"/>
                <w:bCs w:val="0"/>
                <w:color w:val="00707E" w:themeColor="accent5" w:themeShade="BF"/>
              </w:rPr>
              <w:t>Primary Health Care (PHC) clinics in the N</w:t>
            </w:r>
            <w:r w:rsidR="00B552E3">
              <w:rPr>
                <w:b w:val="0"/>
                <w:bCs w:val="0"/>
                <w:color w:val="00707E" w:themeColor="accent5" w:themeShade="BF"/>
              </w:rPr>
              <w:t>orthern Territory</w:t>
            </w:r>
          </w:p>
          <w:p w14:paraId="07E16C85" w14:textId="1AFE507E" w:rsidR="00EC7971" w:rsidRPr="003578B9" w:rsidRDefault="00EC7971" w:rsidP="00C10B26">
            <w:pPr>
              <w:pStyle w:val="Summarytable"/>
              <w:ind w:right="107"/>
              <w:rPr>
                <w:b w:val="0"/>
                <w:bCs w:val="0"/>
              </w:rPr>
            </w:pPr>
            <w:r w:rsidRPr="00693884">
              <w:rPr>
                <w:b w:val="0"/>
                <w:bCs w:val="0"/>
              </w:rPr>
              <w:t xml:space="preserve">Due to market failure, </w:t>
            </w:r>
            <w:r w:rsidR="00B552E3" w:rsidRPr="00B552E3">
              <w:rPr>
                <w:b w:val="0"/>
                <w:bCs w:val="0"/>
              </w:rPr>
              <w:t>Northern Territory</w:t>
            </w:r>
            <w:r w:rsidRPr="00693884">
              <w:rPr>
                <w:b w:val="0"/>
                <w:bCs w:val="0"/>
              </w:rPr>
              <w:t xml:space="preserve"> Health funds PHC clinics in remote and very remote areas. These clinics provide a range of services including general medical care, maternal and child health services, mental health care and chronic disease management. Patients with chronic diseases who reside in remote communities need to travel to a PHC clinic to receive care required under their multidisciplinary plans. There are often underlying health and social risk factors which place patients at a higher risk of acute deterioration and can result in multi-day visits to the PHC clinic. As </w:t>
            </w:r>
            <w:r w:rsidR="00B552E3" w:rsidRPr="00B552E3">
              <w:rPr>
                <w:b w:val="0"/>
                <w:bCs w:val="0"/>
              </w:rPr>
              <w:t>Northern Territory</w:t>
            </w:r>
            <w:r w:rsidRPr="00693884">
              <w:rPr>
                <w:b w:val="0"/>
                <w:bCs w:val="0"/>
              </w:rPr>
              <w:t xml:space="preserve"> PHC clinics are largely staffed by nurses, most health service interactions are not eligible for Commonwealth funding through MBS.</w:t>
            </w:r>
          </w:p>
        </w:tc>
      </w:tr>
    </w:tbl>
    <w:p w14:paraId="016E6659" w14:textId="65078B72" w:rsidR="001D7407" w:rsidRDefault="007011B9" w:rsidP="000B692B">
      <w:pPr>
        <w:pStyle w:val="Heading2"/>
        <w:pageBreakBefore/>
      </w:pPr>
      <w:r>
        <w:rPr>
          <w:noProof/>
        </w:rPr>
        <w:drawing>
          <wp:anchor distT="0" distB="0" distL="114300" distR="114300" simplePos="0" relativeHeight="251711488" behindDoc="0" locked="0" layoutInCell="1" allowOverlap="1" wp14:anchorId="5739D7A1" wp14:editId="06F9DDBA">
            <wp:simplePos x="0" y="0"/>
            <wp:positionH relativeFrom="column">
              <wp:posOffset>5774055</wp:posOffset>
            </wp:positionH>
            <wp:positionV relativeFrom="paragraph">
              <wp:posOffset>-57785</wp:posOffset>
            </wp:positionV>
            <wp:extent cx="876300" cy="786130"/>
            <wp:effectExtent l="0" t="0" r="0" b="0"/>
            <wp:wrapNone/>
            <wp:docPr id="1" name="Picture 1" descr="P92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925#y1">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76300" cy="786130"/>
                    </a:xfrm>
                    <a:prstGeom prst="rect">
                      <a:avLst/>
                    </a:prstGeom>
                  </pic:spPr>
                </pic:pic>
              </a:graphicData>
            </a:graphic>
            <wp14:sizeRelH relativeFrom="page">
              <wp14:pctWidth>0</wp14:pctWidth>
            </wp14:sizeRelH>
            <wp14:sizeRelV relativeFrom="page">
              <wp14:pctHeight>0</wp14:pctHeight>
            </wp14:sizeRelV>
          </wp:anchor>
        </w:drawing>
      </w:r>
      <w:r w:rsidR="00FC5181">
        <w:t xml:space="preserve">First </w:t>
      </w:r>
      <w:r w:rsidR="00864220">
        <w:t>N</w:t>
      </w:r>
      <w:r w:rsidR="00FC5181">
        <w:t>ations</w:t>
      </w:r>
      <w:r w:rsidR="00C156CD">
        <w:t>’</w:t>
      </w:r>
      <w:r w:rsidR="00FC5181">
        <w:t xml:space="preserve"> people</w:t>
      </w:r>
    </w:p>
    <w:tbl>
      <w:tblPr>
        <w:tblStyle w:val="TableGrid"/>
        <w:tblW w:w="0" w:type="auto"/>
        <w:shd w:val="clear" w:color="auto" w:fill="F2F2F2" w:themeFill="background1" w:themeFillShade="F2"/>
        <w:tblLook w:val="04A0" w:firstRow="1" w:lastRow="0" w:firstColumn="1" w:lastColumn="0" w:noHBand="0" w:noVBand="1"/>
      </w:tblPr>
      <w:tblGrid>
        <w:gridCol w:w="10466"/>
      </w:tblGrid>
      <w:tr w:rsidR="00EC7971" w14:paraId="2882DD4E" w14:textId="77777777" w:rsidTr="00C10B26">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tcPr>
          <w:p w14:paraId="0359254D" w14:textId="40C1C74C" w:rsidR="00EC7971" w:rsidRDefault="00EC7971" w:rsidP="00C10B26">
            <w:pPr>
              <w:pStyle w:val="Summarytable"/>
              <w:rPr>
                <w:color w:val="00707E" w:themeColor="accent5" w:themeShade="BF"/>
              </w:rPr>
            </w:pPr>
            <w:r>
              <w:rPr>
                <w:noProof/>
              </w:rPr>
              <w:drawing>
                <wp:inline distT="0" distB="0" distL="0" distR="0" wp14:anchorId="116DD661" wp14:editId="36EB45C6">
                  <wp:extent cx="270000" cy="270000"/>
                  <wp:effectExtent l="0" t="0" r="0" b="0"/>
                  <wp:docPr id="46" name="Graphic 46" descr="P926C1T18#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descr="P926C1T18#yIS1">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70000" cy="270000"/>
                          </a:xfrm>
                          <a:prstGeom prst="rect">
                            <a:avLst/>
                          </a:prstGeom>
                        </pic:spPr>
                      </pic:pic>
                    </a:graphicData>
                  </a:graphic>
                </wp:inline>
              </w:drawing>
            </w:r>
            <w:r w:rsidRPr="00BB2C81">
              <w:rPr>
                <w:color w:val="00707E" w:themeColor="accent5" w:themeShade="BF"/>
              </w:rPr>
              <w:t>Summary</w:t>
            </w:r>
            <w:r>
              <w:rPr>
                <w:color w:val="00707E" w:themeColor="accent5" w:themeShade="BF"/>
              </w:rPr>
              <w:t xml:space="preserve"> of what we heard</w:t>
            </w:r>
            <w:r w:rsidRPr="00BB2C81">
              <w:rPr>
                <w:color w:val="00707E" w:themeColor="accent5" w:themeShade="BF"/>
              </w:rPr>
              <w:t xml:space="preserve">: </w:t>
            </w:r>
          </w:p>
          <w:p w14:paraId="0DF89A99" w14:textId="0992022A" w:rsidR="00EC7971" w:rsidRDefault="00EC7971" w:rsidP="00C10B26">
            <w:pPr>
              <w:pStyle w:val="Summarytable"/>
              <w:rPr>
                <w:b w:val="0"/>
                <w:bCs w:val="0"/>
              </w:rPr>
            </w:pPr>
            <w:r w:rsidRPr="009635B3">
              <w:rPr>
                <w:color w:val="000000" w:themeColor="text1"/>
              </w:rPr>
              <w:t>Stakeholders noted that, while there is a reference to Closing the Gap in the NHRA, priority actions are not specifically identified or driven through the NHRA, with little evidence that</w:t>
            </w:r>
            <w:r w:rsidRPr="004D4841">
              <w:rPr>
                <w:color w:val="000000" w:themeColor="text1"/>
              </w:rPr>
              <w:t xml:space="preserve"> </w:t>
            </w:r>
            <w:r w:rsidRPr="009635B3">
              <w:t>current funding and governance mechanisms are addressing the issues of access and equity for First Nations</w:t>
            </w:r>
            <w:r w:rsidR="00C156CD">
              <w:t>’</w:t>
            </w:r>
            <w:r w:rsidRPr="009635B3">
              <w:t xml:space="preserve"> people.</w:t>
            </w:r>
            <w:r w:rsidRPr="00126CD6">
              <w:rPr>
                <w:b w:val="0"/>
                <w:bCs w:val="0"/>
              </w:rPr>
              <w:t xml:space="preserve"> </w:t>
            </w:r>
            <w:r w:rsidRPr="009635B3">
              <w:t xml:space="preserve">This is disproportionately felt in rural and regional settings, where access to necessary and culturally responsive health services is impacted by </w:t>
            </w:r>
            <w:r>
              <w:t>often insufficient access to</w:t>
            </w:r>
            <w:r w:rsidRPr="009635B3">
              <w:t xml:space="preserve"> primary care.</w:t>
            </w:r>
            <w:r w:rsidRPr="00126CD6">
              <w:rPr>
                <w:b w:val="0"/>
                <w:bCs w:val="0"/>
              </w:rPr>
              <w:t xml:space="preserve"> </w:t>
            </w:r>
          </w:p>
          <w:p w14:paraId="154F9138" w14:textId="7ADF865E" w:rsidR="00EC7971" w:rsidRDefault="00EC7971" w:rsidP="00C10B26">
            <w:pPr>
              <w:pStyle w:val="Summarytable"/>
            </w:pPr>
            <w:r w:rsidRPr="00126CD6">
              <w:rPr>
                <w:b w:val="0"/>
                <w:bCs w:val="0"/>
              </w:rPr>
              <w:t xml:space="preserve">The absence of culturally relevant indicators in </w:t>
            </w:r>
            <w:r>
              <w:rPr>
                <w:b w:val="0"/>
                <w:bCs w:val="0"/>
              </w:rPr>
              <w:t>the</w:t>
            </w:r>
            <w:r>
              <w:t xml:space="preserve"> </w:t>
            </w:r>
            <w:r w:rsidRPr="00B825CD">
              <w:rPr>
                <w:b w:val="0"/>
                <w:bCs w:val="0"/>
              </w:rPr>
              <w:t>Australian Health Performance Framework</w:t>
            </w:r>
            <w:r>
              <w:rPr>
                <w:b w:val="0"/>
                <w:bCs w:val="0"/>
              </w:rPr>
              <w:t xml:space="preserve"> (AHPF) </w:t>
            </w:r>
            <w:r w:rsidRPr="00126CD6">
              <w:rPr>
                <w:b w:val="0"/>
                <w:bCs w:val="0"/>
              </w:rPr>
              <w:t>fails to capture the experience of First Nations</w:t>
            </w:r>
            <w:r w:rsidR="00C156CD">
              <w:rPr>
                <w:b w:val="0"/>
                <w:bCs w:val="0"/>
              </w:rPr>
              <w:t>’</w:t>
            </w:r>
            <w:r w:rsidRPr="00126CD6">
              <w:rPr>
                <w:b w:val="0"/>
                <w:bCs w:val="0"/>
              </w:rPr>
              <w:t xml:space="preserve"> people within the health system. </w:t>
            </w:r>
            <w:r>
              <w:rPr>
                <w:b w:val="0"/>
                <w:bCs w:val="0"/>
              </w:rPr>
              <w:t>A reported</w:t>
            </w:r>
            <w:r w:rsidRPr="00126CD6">
              <w:rPr>
                <w:b w:val="0"/>
                <w:bCs w:val="0"/>
              </w:rPr>
              <w:t xml:space="preserve"> lack of collaboration between the </w:t>
            </w:r>
            <w:r>
              <w:rPr>
                <w:b w:val="0"/>
                <w:bCs w:val="0"/>
              </w:rPr>
              <w:t xml:space="preserve">broader health </w:t>
            </w:r>
            <w:r w:rsidRPr="00126CD6">
              <w:rPr>
                <w:b w:val="0"/>
                <w:bCs w:val="0"/>
              </w:rPr>
              <w:t xml:space="preserve">sector and ACCHOs, along with the unclear articulation of their role </w:t>
            </w:r>
            <w:r w:rsidR="00754D29" w:rsidRPr="00126CD6">
              <w:rPr>
                <w:b w:val="0"/>
                <w:bCs w:val="0"/>
              </w:rPr>
              <w:t xml:space="preserve">in </w:t>
            </w:r>
            <w:r w:rsidR="00754D29">
              <w:rPr>
                <w:b w:val="0"/>
                <w:bCs w:val="0"/>
              </w:rPr>
              <w:t>NHRA</w:t>
            </w:r>
            <w:r w:rsidR="00B713A4">
              <w:rPr>
                <w:b w:val="0"/>
                <w:bCs w:val="0"/>
              </w:rPr>
              <w:t xml:space="preserve"> governance</w:t>
            </w:r>
            <w:r w:rsidRPr="00126CD6">
              <w:rPr>
                <w:b w:val="0"/>
                <w:bCs w:val="0"/>
              </w:rPr>
              <w:t xml:space="preserve">, </w:t>
            </w:r>
            <w:r>
              <w:rPr>
                <w:b w:val="0"/>
                <w:bCs w:val="0"/>
              </w:rPr>
              <w:t>contributes to a lack of coordination and sense of mistrust in the Agreement’s capacity to deliver for First Nations</w:t>
            </w:r>
            <w:r w:rsidR="00C156CD">
              <w:rPr>
                <w:b w:val="0"/>
                <w:bCs w:val="0"/>
              </w:rPr>
              <w:t xml:space="preserve">’ </w:t>
            </w:r>
            <w:r w:rsidR="001E4B68">
              <w:rPr>
                <w:b w:val="0"/>
                <w:bCs w:val="0"/>
              </w:rPr>
              <w:t>communities</w:t>
            </w:r>
            <w:r w:rsidRPr="00126CD6">
              <w:rPr>
                <w:b w:val="0"/>
                <w:bCs w:val="0"/>
              </w:rPr>
              <w:t>.</w:t>
            </w:r>
          </w:p>
        </w:tc>
      </w:tr>
    </w:tbl>
    <w:p w14:paraId="3F70BBB4" w14:textId="77777777" w:rsidR="008F2044" w:rsidRDefault="008F2044" w:rsidP="008F2044">
      <w:pPr>
        <w:pStyle w:val="Heading3"/>
        <w:spacing w:before="120"/>
      </w:pPr>
      <w:bookmarkStart w:id="126" w:name="_Toc143291672"/>
      <w:r>
        <w:t>Identified issues</w:t>
      </w:r>
      <w:bookmarkEnd w:id="126"/>
      <w:r>
        <w:t xml:space="preserve"> </w:t>
      </w:r>
    </w:p>
    <w:p w14:paraId="62DDC78C" w14:textId="77777777" w:rsidR="008F2044" w:rsidRPr="00CE26D9" w:rsidRDefault="008F2044" w:rsidP="008F2044">
      <w:r>
        <w:t xml:space="preserve">The key issues identified </w:t>
      </w:r>
      <w:r w:rsidR="00F07946">
        <w:t xml:space="preserve">by stakeholders </w:t>
      </w:r>
      <w:r>
        <w:t>as part of this theme were:</w:t>
      </w:r>
    </w:p>
    <w:p w14:paraId="713D39EC" w14:textId="2F63B5A5" w:rsidR="008546F3" w:rsidRPr="00CD088B" w:rsidRDefault="00AD4DBD" w:rsidP="00410B5E">
      <w:pPr>
        <w:pStyle w:val="Longdotpoints"/>
        <w:keepLines/>
        <w:ind w:left="567" w:hanging="357"/>
      </w:pPr>
      <w:r>
        <w:t>I</w:t>
      </w:r>
      <w:r w:rsidR="008546F3">
        <w:t>nstitutional r</w:t>
      </w:r>
      <w:r w:rsidR="008546F3" w:rsidRPr="00CD088B">
        <w:t>acism and a lack of cultural safety in hospitals affect both treatment outcomes and the likelihood of accessing care when it is needed. As a proxy indicator for cultural safety in hospitals, the proportion of First Nations</w:t>
      </w:r>
      <w:r w:rsidR="00C156CD">
        <w:t>’</w:t>
      </w:r>
      <w:r w:rsidR="008546F3" w:rsidRPr="00CD088B">
        <w:t xml:space="preserve"> people who left or were discharged from hospital against medical advice in 2020-21 was 4.4 times </w:t>
      </w:r>
      <w:r w:rsidR="008546F3">
        <w:t>higher</w:t>
      </w:r>
      <w:r w:rsidR="008546F3" w:rsidRPr="00CD088B">
        <w:t xml:space="preserve"> than </w:t>
      </w:r>
      <w:r w:rsidR="008546F3" w:rsidRPr="00410B5E">
        <w:t xml:space="preserve">for </w:t>
      </w:r>
      <w:r w:rsidRPr="00410B5E">
        <w:t xml:space="preserve">non-Indigenous </w:t>
      </w:r>
      <w:r w:rsidR="008546F3" w:rsidRPr="00410B5E">
        <w:t>Australians. Additionally, the difference in median waiting time in elective surgery between First Nations</w:t>
      </w:r>
      <w:r w:rsidR="00C156CD" w:rsidRPr="00410B5E">
        <w:t>’</w:t>
      </w:r>
      <w:r w:rsidR="008546F3" w:rsidRPr="00CD088B">
        <w:t xml:space="preserve"> people compared to </w:t>
      </w:r>
      <w:r>
        <w:t>non-Indigenous</w:t>
      </w:r>
      <w:r w:rsidRPr="00CD088B">
        <w:t xml:space="preserve"> </w:t>
      </w:r>
      <w:r w:rsidR="008546F3" w:rsidRPr="00CD088B">
        <w:t xml:space="preserve">Australians has increased from 4 days in 2012-13 to 11 days in 2021-22. </w:t>
      </w:r>
    </w:p>
    <w:p w14:paraId="54E3FA6F" w14:textId="7D25C8E1" w:rsidR="008546F3" w:rsidRPr="00CD088B" w:rsidRDefault="008546F3" w:rsidP="00431A49">
      <w:pPr>
        <w:pStyle w:val="Longdotpoints"/>
        <w:ind w:left="567"/>
      </w:pPr>
      <w:r w:rsidRPr="00CD088B">
        <w:t>The role of ACCHOs is not articulated or embedded within local and broader governance arrangements within the NHRA</w:t>
      </w:r>
      <w:r>
        <w:t xml:space="preserve">, detracting from the ability of </w:t>
      </w:r>
      <w:r w:rsidR="004C4CF3">
        <w:t>community-controlled</w:t>
      </w:r>
      <w:r>
        <w:t xml:space="preserve"> organisations to participate in local commissioning and service design</w:t>
      </w:r>
      <w:r w:rsidRPr="00CD088B">
        <w:t xml:space="preserve">. </w:t>
      </w:r>
    </w:p>
    <w:p w14:paraId="490B5D26" w14:textId="77777777" w:rsidR="00A2434C" w:rsidRPr="00A2434C" w:rsidRDefault="00A2434C" w:rsidP="00431A49">
      <w:pPr>
        <w:pStyle w:val="Longdotpoints"/>
        <w:ind w:left="567"/>
      </w:pPr>
      <w:r w:rsidRPr="00A2434C">
        <w:t>There was a perception that the current pricing framework did not adequately reflect the challenge, especially in remote settings, of delivering sufficient, quality and culturally responsive services, and existing adjustments are outweighed by the impact of urban populations where there is readier access to services.</w:t>
      </w:r>
    </w:p>
    <w:p w14:paraId="54015910" w14:textId="45688B79" w:rsidR="00BB7554" w:rsidRDefault="008546F3" w:rsidP="00431A49">
      <w:pPr>
        <w:pStyle w:val="Longdotpoints"/>
        <w:ind w:left="567"/>
      </w:pPr>
      <w:r>
        <w:t>It was noted that t</w:t>
      </w:r>
      <w:r w:rsidRPr="00CD088B">
        <w:t xml:space="preserve">he </w:t>
      </w:r>
      <w:r w:rsidR="00A94122">
        <w:t>I</w:t>
      </w:r>
      <w:r w:rsidRPr="00CD088B">
        <w:t xml:space="preserve">ndigenous adjustment in the national funding model accounts for legitimate and unavoidable costs, reflected in the data after the service has been delivered. The adjustment </w:t>
      </w:r>
      <w:r>
        <w:t>does not adequately reflect</w:t>
      </w:r>
      <w:r w:rsidRPr="00CD088B">
        <w:t xml:space="preserve"> the cost of care that objectively should have been sought or provided, and funds entities in arrears rather than front-loading appropriate investment in health, including prevention services.</w:t>
      </w:r>
      <w:r>
        <w:t xml:space="preserve"> The same applies for the remoteness adjustment.</w:t>
      </w:r>
    </w:p>
    <w:p w14:paraId="52C2A7FB" w14:textId="77777777" w:rsidR="00BB7554" w:rsidRDefault="00BB7554" w:rsidP="00431A49">
      <w:pPr>
        <w:pStyle w:val="Longdotpoints"/>
        <w:ind w:left="567"/>
      </w:pPr>
      <w:r>
        <w:t>Stakeholders noted that the AHPF data</w:t>
      </w:r>
      <w:r w:rsidRPr="00CD088B">
        <w:t xml:space="preserve"> does not include culturally relevant indicators that capture First Nations</w:t>
      </w:r>
      <w:r w:rsidR="001026F4">
        <w:t>’</w:t>
      </w:r>
      <w:r w:rsidRPr="00CD088B">
        <w:t xml:space="preserve"> people</w:t>
      </w:r>
      <w:r w:rsidR="00754D29">
        <w:t>’</w:t>
      </w:r>
      <w:r w:rsidRPr="00CD088B">
        <w:t>s experiences of the health system</w:t>
      </w:r>
      <w:r>
        <w:t xml:space="preserve"> and that</w:t>
      </w:r>
      <w:r w:rsidRPr="00CD088B">
        <w:t xml:space="preserve"> </w:t>
      </w:r>
      <w:r w:rsidR="00E36CAE">
        <w:t>culturally</w:t>
      </w:r>
      <w:r w:rsidR="00F953A9">
        <w:t xml:space="preserve"> </w:t>
      </w:r>
      <w:r w:rsidR="00E36CAE">
        <w:t>appropriate</w:t>
      </w:r>
      <w:r w:rsidRPr="00CD088B">
        <w:t xml:space="preserve"> models of health tracking may be </w:t>
      </w:r>
      <w:r w:rsidR="00E36CAE">
        <w:t>required</w:t>
      </w:r>
      <w:r w:rsidRPr="00CD088B">
        <w:t xml:space="preserve">. </w:t>
      </w:r>
    </w:p>
    <w:p w14:paraId="1D6925B5" w14:textId="634D958C" w:rsidR="005F7BCE" w:rsidRPr="007A6E54" w:rsidRDefault="00B32195" w:rsidP="00431A49">
      <w:pPr>
        <w:pStyle w:val="Longdotpoints"/>
        <w:ind w:left="567"/>
      </w:pPr>
      <w:r>
        <w:t xml:space="preserve">Poor </w:t>
      </w:r>
      <w:r w:rsidR="002F30B2">
        <w:t xml:space="preserve">levels of </w:t>
      </w:r>
      <w:r>
        <w:t xml:space="preserve">access </w:t>
      </w:r>
      <w:r w:rsidR="00A94122">
        <w:t xml:space="preserve">to care </w:t>
      </w:r>
      <w:r>
        <w:t>by First Nations people</w:t>
      </w:r>
      <w:r w:rsidR="00FB7285">
        <w:t xml:space="preserve"> across the </w:t>
      </w:r>
      <w:r w:rsidR="00C368AA">
        <w:t xml:space="preserve">broader </w:t>
      </w:r>
      <w:r w:rsidR="00FB7285">
        <w:t>health system</w:t>
      </w:r>
      <w:r w:rsidR="00693285">
        <w:t xml:space="preserve"> was identified</w:t>
      </w:r>
      <w:r w:rsidR="00C368AA">
        <w:t xml:space="preserve">. </w:t>
      </w:r>
      <w:r w:rsidR="006118BD">
        <w:t xml:space="preserve">A particular area of concern was appropriate primary care </w:t>
      </w:r>
      <w:r w:rsidR="00726163">
        <w:t xml:space="preserve">for those with long-term health challenges who also </w:t>
      </w:r>
      <w:r w:rsidR="00C368AA">
        <w:t>interact with</w:t>
      </w:r>
      <w:r w:rsidR="00726163">
        <w:t xml:space="preserve"> the prison system and juvenile detention</w:t>
      </w:r>
      <w:r w:rsidR="008D33BE">
        <w:t>, an issue currently being considered by the Commonwealth, States and Territories</w:t>
      </w:r>
      <w:r w:rsidR="002F30B2">
        <w:t xml:space="preserve"> through the </w:t>
      </w:r>
      <w:r w:rsidR="002F30B2" w:rsidRPr="00407659">
        <w:rPr>
          <w:i/>
          <w:iCs/>
        </w:rPr>
        <w:t xml:space="preserve">National Aboriginal and Torres Strait Islander </w:t>
      </w:r>
      <w:r w:rsidR="004E7686" w:rsidRPr="00407659">
        <w:rPr>
          <w:i/>
          <w:iCs/>
        </w:rPr>
        <w:t>Health Collaboration</w:t>
      </w:r>
      <w:r w:rsidR="00D428DC">
        <w:t>.</w:t>
      </w:r>
    </w:p>
    <w:p w14:paraId="10B33AFA" w14:textId="77777777" w:rsidR="008F2044" w:rsidRDefault="008F2044" w:rsidP="008F2044">
      <w:pPr>
        <w:pStyle w:val="Heading3"/>
      </w:pPr>
      <w:bookmarkStart w:id="127" w:name="_Toc143291673"/>
      <w:r>
        <w:t>Strengths</w:t>
      </w:r>
      <w:bookmarkEnd w:id="127"/>
      <w:r>
        <w:t xml:space="preserve"> </w:t>
      </w:r>
    </w:p>
    <w:p w14:paraId="46EA46C9" w14:textId="77777777" w:rsidR="008F2044" w:rsidRDefault="008F2044" w:rsidP="00CC7F3C">
      <w:pPr>
        <w:pStyle w:val="Longdotpoints"/>
        <w:numPr>
          <w:ilvl w:val="0"/>
          <w:numId w:val="0"/>
        </w:numPr>
      </w:pPr>
      <w:r>
        <w:t xml:space="preserve">Some of the </w:t>
      </w:r>
      <w:r w:rsidR="000B692B">
        <w:t xml:space="preserve">strengths </w:t>
      </w:r>
      <w:r>
        <w:t xml:space="preserve">identified </w:t>
      </w:r>
      <w:r w:rsidR="000B692B">
        <w:t xml:space="preserve">by stakeholders </w:t>
      </w:r>
      <w:r>
        <w:t>include:</w:t>
      </w:r>
    </w:p>
    <w:p w14:paraId="24AA6F2D" w14:textId="4AAEAE14" w:rsidR="005C0EDB" w:rsidRPr="00D11F44" w:rsidRDefault="005C0EDB" w:rsidP="00431A49">
      <w:pPr>
        <w:pStyle w:val="Longdotpoints"/>
        <w:ind w:left="567"/>
      </w:pPr>
      <w:r w:rsidRPr="00715287">
        <w:t>The Addendum recognises ongoing barriers to improving health equity for priority population groups, however there is opportunity to further strengthen the focus on First Nations</w:t>
      </w:r>
      <w:r w:rsidR="001026F4">
        <w:t xml:space="preserve">’ </w:t>
      </w:r>
      <w:r w:rsidRPr="00715287">
        <w:t>perspectives</w:t>
      </w:r>
      <w:r w:rsidR="00FD02B1">
        <w:t xml:space="preserve"> (see </w:t>
      </w:r>
      <w:r w:rsidR="00B713A4">
        <w:t>Case Study</w:t>
      </w:r>
      <w:r w:rsidR="00FD02B1">
        <w:t>: S</w:t>
      </w:r>
      <w:r w:rsidR="00B552E3">
        <w:t>outh Australian</w:t>
      </w:r>
      <w:r w:rsidR="00FD02B1">
        <w:t xml:space="preserve"> Aboriginal Mental Health and Wellbeing Centre)</w:t>
      </w:r>
      <w:r w:rsidRPr="00715287">
        <w:t>.</w:t>
      </w:r>
    </w:p>
    <w:p w14:paraId="3977E93D" w14:textId="7EF6701B" w:rsidR="008D1662" w:rsidRPr="00D11F44" w:rsidRDefault="008D1662" w:rsidP="00431A49">
      <w:pPr>
        <w:pStyle w:val="Longdotpoints"/>
        <w:ind w:left="567"/>
      </w:pPr>
      <w:r>
        <w:t xml:space="preserve">The </w:t>
      </w:r>
      <w:r w:rsidR="00DD6A73">
        <w:t xml:space="preserve">pricing and </w:t>
      </w:r>
      <w:r>
        <w:t>funding model</w:t>
      </w:r>
      <w:r w:rsidRPr="008D1662">
        <w:t xml:space="preserve"> </w:t>
      </w:r>
      <w:r w:rsidR="00DD6A73">
        <w:t>includes</w:t>
      </w:r>
      <w:r w:rsidRPr="008D1662">
        <w:t xml:space="preserve"> adjustments </w:t>
      </w:r>
      <w:r w:rsidR="001C0230">
        <w:t xml:space="preserve">relating to </w:t>
      </w:r>
      <w:r w:rsidR="00A57304">
        <w:t>I</w:t>
      </w:r>
      <w:r w:rsidR="00B713A4" w:rsidRPr="008D1662">
        <w:t>ndigen</w:t>
      </w:r>
      <w:r w:rsidR="00B713A4">
        <w:t>eity</w:t>
      </w:r>
      <w:r w:rsidR="00B713A4" w:rsidRPr="008D1662">
        <w:t xml:space="preserve"> </w:t>
      </w:r>
      <w:r w:rsidRPr="008D1662">
        <w:t>and remoteness (both residence and place of service)</w:t>
      </w:r>
      <w:r w:rsidR="001C0230">
        <w:t xml:space="preserve"> however</w:t>
      </w:r>
      <w:r w:rsidRPr="008D1662">
        <w:t xml:space="preserve"> the nature of the NEP as an average diminishes the impact in remote service settings.</w:t>
      </w:r>
    </w:p>
    <w:tbl>
      <w:tblPr>
        <w:tblStyle w:val="TableGrid"/>
        <w:tblW w:w="0" w:type="auto"/>
        <w:tblBorders>
          <w:top w:val="dotted" w:sz="4" w:space="0" w:color="0097A9" w:themeColor="accent5"/>
          <w:left w:val="dotted" w:sz="4" w:space="0" w:color="0097A9" w:themeColor="accent5"/>
          <w:bottom w:val="dotted" w:sz="4" w:space="0" w:color="0097A9" w:themeColor="accent5"/>
          <w:right w:val="dotted" w:sz="4" w:space="0" w:color="0097A9" w:themeColor="accent5"/>
        </w:tblBorders>
        <w:tblLook w:val="04A0" w:firstRow="1" w:lastRow="0" w:firstColumn="1" w:lastColumn="0" w:noHBand="0" w:noVBand="1"/>
      </w:tblPr>
      <w:tblGrid>
        <w:gridCol w:w="10456"/>
      </w:tblGrid>
      <w:tr w:rsidR="00EC7971" w14:paraId="525524E0" w14:textId="77777777" w:rsidTr="001E118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83BA579" w14:textId="1FBC11B8" w:rsidR="00EC7971" w:rsidRPr="00BB2C81" w:rsidRDefault="00EC7971" w:rsidP="00C10B26">
            <w:pPr>
              <w:pStyle w:val="Summarytable"/>
              <w:rPr>
                <w:color w:val="00707E" w:themeColor="accent5" w:themeShade="BF"/>
              </w:rPr>
            </w:pPr>
            <w:r w:rsidRPr="00875087">
              <w:rPr>
                <w:noProof/>
                <w:color w:val="00707E" w:themeColor="accent5" w:themeShade="BF"/>
              </w:rPr>
              <w:drawing>
                <wp:inline distT="0" distB="0" distL="0" distR="0" wp14:anchorId="6D7B23CF" wp14:editId="7AE08070">
                  <wp:extent cx="270000" cy="270000"/>
                  <wp:effectExtent l="0" t="0" r="0" b="0"/>
                  <wp:docPr id="47" name="Graphic 47" descr="P942C1T1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descr="P942C1T19#yIS1">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70000" cy="270000"/>
                          </a:xfrm>
                          <a:prstGeom prst="rect">
                            <a:avLst/>
                          </a:prstGeom>
                        </pic:spPr>
                      </pic:pic>
                    </a:graphicData>
                  </a:graphic>
                </wp:inline>
              </w:drawing>
            </w:r>
            <w:r w:rsidRPr="00875087">
              <w:rPr>
                <w:color w:val="00707E" w:themeColor="accent5" w:themeShade="BF"/>
              </w:rPr>
              <w:t>Case study:</w:t>
            </w:r>
            <w:r w:rsidRPr="00BB2C81">
              <w:rPr>
                <w:color w:val="00707E" w:themeColor="accent5" w:themeShade="BF"/>
              </w:rPr>
              <w:t xml:space="preserve"> </w:t>
            </w:r>
            <w:r w:rsidR="00B552E3" w:rsidRPr="00B552E3">
              <w:rPr>
                <w:b w:val="0"/>
                <w:bCs w:val="0"/>
                <w:color w:val="00707E" w:themeColor="accent5" w:themeShade="BF"/>
              </w:rPr>
              <w:t>South Australian</w:t>
            </w:r>
            <w:r>
              <w:rPr>
                <w:b w:val="0"/>
                <w:bCs w:val="0"/>
                <w:color w:val="00707E" w:themeColor="accent5" w:themeShade="BF"/>
              </w:rPr>
              <w:t xml:space="preserve"> Aboriginal Mental Health and Wellbeing Centre</w:t>
            </w:r>
          </w:p>
          <w:p w14:paraId="3347E468" w14:textId="426585F6" w:rsidR="00EC7971" w:rsidRPr="00194D65" w:rsidRDefault="00EC7971" w:rsidP="00C10B26">
            <w:pPr>
              <w:pStyle w:val="Summarytable"/>
              <w:rPr>
                <w:b w:val="0"/>
                <w:bCs w:val="0"/>
              </w:rPr>
            </w:pPr>
            <w:r w:rsidRPr="00194D65">
              <w:rPr>
                <w:b w:val="0"/>
                <w:bCs w:val="0"/>
              </w:rPr>
              <w:t xml:space="preserve">The </w:t>
            </w:r>
            <w:r w:rsidR="00B552E3" w:rsidRPr="00B552E3">
              <w:rPr>
                <w:b w:val="0"/>
                <w:bCs w:val="0"/>
              </w:rPr>
              <w:t>South Australian</w:t>
            </w:r>
            <w:r w:rsidRPr="00194D65">
              <w:rPr>
                <w:b w:val="0"/>
                <w:bCs w:val="0"/>
              </w:rPr>
              <w:t xml:space="preserve"> Aboriginal Mental Health and Wellbeing Centre aims to enhance its presence by becoming a member of the main organisation for South Australian Aboriginal Community Controlled Health Services within the</w:t>
            </w:r>
            <w:r w:rsidR="00B552E3">
              <w:t xml:space="preserve"> </w:t>
            </w:r>
            <w:r w:rsidR="00B552E3" w:rsidRPr="00B552E3">
              <w:rPr>
                <w:b w:val="0"/>
                <w:bCs w:val="0"/>
              </w:rPr>
              <w:t xml:space="preserve">South Australian </w:t>
            </w:r>
            <w:r w:rsidRPr="00194D65">
              <w:rPr>
                <w:b w:val="0"/>
                <w:bCs w:val="0"/>
              </w:rPr>
              <w:t xml:space="preserve">Joint Health Planning and Commissioning Committee. This move is expected to amplify the visibility of various initiatives and lead to the creation and testing of innovative reforms. These changes are designed to ensure they effectively address the specific requirements of </w:t>
            </w:r>
            <w:r w:rsidR="00846912" w:rsidRPr="00846912">
              <w:rPr>
                <w:b w:val="0"/>
                <w:bCs w:val="0"/>
              </w:rPr>
              <w:t>First Nations</w:t>
            </w:r>
            <w:r w:rsidR="001026F4">
              <w:rPr>
                <w:b w:val="0"/>
                <w:bCs w:val="0"/>
              </w:rPr>
              <w:t>’</w:t>
            </w:r>
            <w:r w:rsidR="00846912" w:rsidRPr="00846912">
              <w:rPr>
                <w:b w:val="0"/>
                <w:bCs w:val="0"/>
              </w:rPr>
              <w:t xml:space="preserve"> </w:t>
            </w:r>
            <w:r w:rsidR="001026F4">
              <w:rPr>
                <w:b w:val="0"/>
                <w:bCs w:val="0"/>
              </w:rPr>
              <w:t>p</w:t>
            </w:r>
            <w:r w:rsidR="00846912" w:rsidRPr="00846912">
              <w:rPr>
                <w:b w:val="0"/>
                <w:bCs w:val="0"/>
              </w:rPr>
              <w:t>eople</w:t>
            </w:r>
            <w:r w:rsidRPr="00194D65">
              <w:rPr>
                <w:b w:val="0"/>
                <w:bCs w:val="0"/>
              </w:rPr>
              <w:t>.</w:t>
            </w:r>
          </w:p>
          <w:p w14:paraId="68122E43" w14:textId="29E2A165" w:rsidR="00EC7971" w:rsidRPr="00194D65" w:rsidRDefault="00EC7971" w:rsidP="00C10B26">
            <w:pPr>
              <w:pStyle w:val="Summarytable"/>
              <w:rPr>
                <w:b w:val="0"/>
                <w:bCs w:val="0"/>
              </w:rPr>
            </w:pPr>
            <w:r w:rsidRPr="00194D65">
              <w:rPr>
                <w:b w:val="0"/>
                <w:bCs w:val="0"/>
              </w:rPr>
              <w:t xml:space="preserve">To support the establishment and operation of a new Aboriginal Mental Health and Wellbeing Centre, co-funding totalling $5.4 million from both South Australia and the Commonwealth has been allocated. The Centre is projected to become operational </w:t>
            </w:r>
            <w:r w:rsidR="00B713A4">
              <w:rPr>
                <w:b w:val="0"/>
                <w:bCs w:val="0"/>
              </w:rPr>
              <w:t>in</w:t>
            </w:r>
            <w:r w:rsidR="00B713A4" w:rsidRPr="00194D65">
              <w:rPr>
                <w:b w:val="0"/>
                <w:bCs w:val="0"/>
              </w:rPr>
              <w:t xml:space="preserve"> </w:t>
            </w:r>
            <w:r w:rsidRPr="00194D65">
              <w:rPr>
                <w:b w:val="0"/>
                <w:bCs w:val="0"/>
              </w:rPr>
              <w:t xml:space="preserve">2023-24. Its primary objective is to enhance access to mental health and wellbeing services that are culturally sensitive and interdisciplinary in nature. This effort aims to foster better integration of services and to cater to the needs of </w:t>
            </w:r>
            <w:r w:rsidR="003068AE" w:rsidRPr="003068AE">
              <w:rPr>
                <w:b w:val="0"/>
                <w:bCs w:val="0"/>
              </w:rPr>
              <w:t>First Nations</w:t>
            </w:r>
            <w:r w:rsidR="001026F4">
              <w:rPr>
                <w:b w:val="0"/>
                <w:bCs w:val="0"/>
              </w:rPr>
              <w:t>’</w:t>
            </w:r>
            <w:r w:rsidR="003068AE" w:rsidRPr="003068AE">
              <w:rPr>
                <w:b w:val="0"/>
                <w:bCs w:val="0"/>
              </w:rPr>
              <w:t xml:space="preserve"> </w:t>
            </w:r>
            <w:r w:rsidR="001026F4">
              <w:rPr>
                <w:b w:val="0"/>
                <w:bCs w:val="0"/>
              </w:rPr>
              <w:t>p</w:t>
            </w:r>
            <w:r w:rsidR="003068AE" w:rsidRPr="003068AE">
              <w:rPr>
                <w:b w:val="0"/>
                <w:bCs w:val="0"/>
              </w:rPr>
              <w:t>eople</w:t>
            </w:r>
            <w:r w:rsidRPr="00194D65">
              <w:rPr>
                <w:b w:val="0"/>
                <w:bCs w:val="0"/>
              </w:rPr>
              <w:t>.</w:t>
            </w:r>
          </w:p>
          <w:p w14:paraId="1C85C14B" w14:textId="176E5DF8" w:rsidR="00EC7971" w:rsidRPr="003578B9" w:rsidRDefault="00EC7971" w:rsidP="00C10B26">
            <w:pPr>
              <w:pStyle w:val="Summarytable"/>
              <w:rPr>
                <w:b w:val="0"/>
                <w:bCs w:val="0"/>
              </w:rPr>
            </w:pPr>
            <w:r w:rsidRPr="00194D65">
              <w:rPr>
                <w:b w:val="0"/>
                <w:bCs w:val="0"/>
              </w:rPr>
              <w:t xml:space="preserve">Collaboration between the Commonwealth and South Australia will play a key role in shaping these coordinated and culturally appropriate mental health and wellbeing services for </w:t>
            </w:r>
            <w:r w:rsidR="003068AE" w:rsidRPr="003068AE">
              <w:rPr>
                <w:b w:val="0"/>
                <w:bCs w:val="0"/>
              </w:rPr>
              <w:t>First Nations</w:t>
            </w:r>
            <w:r w:rsidR="001026F4">
              <w:rPr>
                <w:b w:val="0"/>
                <w:bCs w:val="0"/>
              </w:rPr>
              <w:t>’</w:t>
            </w:r>
            <w:r w:rsidR="003068AE" w:rsidRPr="003068AE">
              <w:rPr>
                <w:b w:val="0"/>
                <w:bCs w:val="0"/>
              </w:rPr>
              <w:t xml:space="preserve"> </w:t>
            </w:r>
            <w:r w:rsidR="001026F4">
              <w:rPr>
                <w:b w:val="0"/>
                <w:bCs w:val="0"/>
              </w:rPr>
              <w:t>p</w:t>
            </w:r>
            <w:r w:rsidR="003068AE" w:rsidRPr="003068AE">
              <w:rPr>
                <w:b w:val="0"/>
                <w:bCs w:val="0"/>
              </w:rPr>
              <w:t>eople</w:t>
            </w:r>
            <w:r w:rsidRPr="00194D65">
              <w:rPr>
                <w:b w:val="0"/>
                <w:bCs w:val="0"/>
              </w:rPr>
              <w:t xml:space="preserve">. This collaborative process will involve consultation with Aboriginal Community Controlled Health Services, members of </w:t>
            </w:r>
            <w:r w:rsidR="003068AE" w:rsidRPr="003068AE">
              <w:rPr>
                <w:b w:val="0"/>
                <w:bCs w:val="0"/>
              </w:rPr>
              <w:t>First Nations</w:t>
            </w:r>
            <w:r w:rsidR="001026F4">
              <w:rPr>
                <w:b w:val="0"/>
                <w:bCs w:val="0"/>
              </w:rPr>
              <w:t>’</w:t>
            </w:r>
            <w:r w:rsidR="003068AE" w:rsidRPr="003068AE">
              <w:rPr>
                <w:b w:val="0"/>
                <w:bCs w:val="0"/>
              </w:rPr>
              <w:t xml:space="preserve"> </w:t>
            </w:r>
            <w:r w:rsidR="0029618C">
              <w:rPr>
                <w:b w:val="0"/>
                <w:bCs w:val="0"/>
              </w:rPr>
              <w:t>communities</w:t>
            </w:r>
            <w:r w:rsidRPr="00194D65">
              <w:rPr>
                <w:b w:val="0"/>
                <w:bCs w:val="0"/>
              </w:rPr>
              <w:t>, and other Indigenous health organisations</w:t>
            </w:r>
            <w:r w:rsidRPr="00796511">
              <w:rPr>
                <w:b w:val="0"/>
                <w:bCs w:val="0"/>
              </w:rPr>
              <w:t>.</w:t>
            </w:r>
          </w:p>
        </w:tc>
      </w:tr>
    </w:tbl>
    <w:p w14:paraId="27747BEB" w14:textId="06C93A10" w:rsidR="00FC5181" w:rsidRDefault="008176ED" w:rsidP="001F41D7">
      <w:pPr>
        <w:pStyle w:val="Heading2"/>
        <w:pageBreakBefore/>
      </w:pPr>
      <w:bookmarkStart w:id="128" w:name="_Toc143291674"/>
      <w:r>
        <w:rPr>
          <w:noProof/>
        </w:rPr>
        <w:drawing>
          <wp:anchor distT="0" distB="0" distL="114300" distR="114300" simplePos="0" relativeHeight="251649024" behindDoc="0" locked="0" layoutInCell="1" allowOverlap="1" wp14:anchorId="2D124B4F" wp14:editId="480CA31E">
            <wp:simplePos x="0" y="0"/>
            <wp:positionH relativeFrom="column">
              <wp:posOffset>5824665</wp:posOffset>
            </wp:positionH>
            <wp:positionV relativeFrom="paragraph">
              <wp:posOffset>-62230</wp:posOffset>
            </wp:positionV>
            <wp:extent cx="834118" cy="776092"/>
            <wp:effectExtent l="0" t="0" r="4445" b="5080"/>
            <wp:wrapNone/>
            <wp:docPr id="52379495" name="Picture 52379495" descr="P94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9495" name="Picture 52379495" descr="P947#y1">
                      <a:extLst>
                        <a:ext uri="{C183D7F6-B498-43B3-948B-1728B52AA6E4}">
                          <adec:decorative xmlns:adec="http://schemas.microsoft.com/office/drawing/2017/decorative" val="1"/>
                        </a:ext>
                      </a:extLst>
                    </pic:cNvPr>
                    <pic:cNvPicPr/>
                  </pic:nvPicPr>
                  <pic:blipFill>
                    <a:blip r:embed="rId62">
                      <a:extLst>
                        <a:ext uri="{28A0092B-C50C-407E-A947-70E740481C1C}">
                          <a14:useLocalDpi xmlns:a14="http://schemas.microsoft.com/office/drawing/2010/main" val="0"/>
                        </a:ext>
                      </a:extLst>
                    </a:blip>
                    <a:stretch>
                      <a:fillRect/>
                    </a:stretch>
                  </pic:blipFill>
                  <pic:spPr>
                    <a:xfrm>
                      <a:off x="0" y="0"/>
                      <a:ext cx="834118" cy="776092"/>
                    </a:xfrm>
                    <a:prstGeom prst="rect">
                      <a:avLst/>
                    </a:prstGeom>
                  </pic:spPr>
                </pic:pic>
              </a:graphicData>
            </a:graphic>
            <wp14:sizeRelH relativeFrom="page">
              <wp14:pctWidth>0</wp14:pctWidth>
            </wp14:sizeRelH>
            <wp14:sizeRelV relativeFrom="page">
              <wp14:pctHeight>0</wp14:pctHeight>
            </wp14:sizeRelV>
          </wp:anchor>
        </w:drawing>
      </w:r>
      <w:r w:rsidR="00FC5181">
        <w:t xml:space="preserve">Workforce </w:t>
      </w:r>
      <w:r w:rsidR="00845A4F">
        <w:t xml:space="preserve">and Digital Health </w:t>
      </w:r>
      <w:r w:rsidR="00FC5181">
        <w:t>as an enabler</w:t>
      </w:r>
      <w:bookmarkEnd w:id="128"/>
    </w:p>
    <w:p w14:paraId="4488B84E" w14:textId="2D2DDEE9" w:rsidR="00845A4F" w:rsidRPr="00845A4F" w:rsidRDefault="00845A4F" w:rsidP="00845A4F">
      <w:pPr>
        <w:pStyle w:val="Heading2un-numbered"/>
      </w:pPr>
      <w:r>
        <w:t xml:space="preserve">Part a) Workforce </w:t>
      </w:r>
    </w:p>
    <w:tbl>
      <w:tblPr>
        <w:tblStyle w:val="TableGrid"/>
        <w:tblW w:w="0" w:type="auto"/>
        <w:shd w:val="clear" w:color="auto" w:fill="F2F2F2" w:themeFill="background1" w:themeFillShade="F2"/>
        <w:tblLook w:val="04A0" w:firstRow="1" w:lastRow="0" w:firstColumn="1" w:lastColumn="0" w:noHBand="0" w:noVBand="1"/>
      </w:tblPr>
      <w:tblGrid>
        <w:gridCol w:w="10466"/>
      </w:tblGrid>
      <w:tr w:rsidR="00EC7971" w14:paraId="3C5A475D" w14:textId="77777777" w:rsidTr="00C10B26">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tcPr>
          <w:p w14:paraId="3AC2B858" w14:textId="7F438A46" w:rsidR="00EC7971" w:rsidRDefault="00EC7971" w:rsidP="00C10B26">
            <w:pPr>
              <w:pStyle w:val="Summarytable"/>
              <w:rPr>
                <w:color w:val="00707E" w:themeColor="accent5" w:themeShade="BF"/>
              </w:rPr>
            </w:pPr>
            <w:r>
              <w:rPr>
                <w:noProof/>
              </w:rPr>
              <w:drawing>
                <wp:inline distT="0" distB="0" distL="0" distR="0" wp14:anchorId="42B42489" wp14:editId="11AC3BC8">
                  <wp:extent cx="270000" cy="270000"/>
                  <wp:effectExtent l="0" t="0" r="0" b="0"/>
                  <wp:docPr id="2" name="Graphic 2" descr="P949C1T2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P949C1T20#yIS1">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70000" cy="270000"/>
                          </a:xfrm>
                          <a:prstGeom prst="rect">
                            <a:avLst/>
                          </a:prstGeom>
                        </pic:spPr>
                      </pic:pic>
                    </a:graphicData>
                  </a:graphic>
                </wp:inline>
              </w:drawing>
            </w:r>
            <w:r w:rsidRPr="00BB2C81">
              <w:rPr>
                <w:color w:val="00707E" w:themeColor="accent5" w:themeShade="BF"/>
              </w:rPr>
              <w:t>Summary</w:t>
            </w:r>
            <w:r>
              <w:rPr>
                <w:color w:val="00707E" w:themeColor="accent5" w:themeShade="BF"/>
              </w:rPr>
              <w:t xml:space="preserve"> of what we heard</w:t>
            </w:r>
            <w:r w:rsidRPr="00BB2C81">
              <w:rPr>
                <w:color w:val="00707E" w:themeColor="accent5" w:themeShade="BF"/>
              </w:rPr>
              <w:t xml:space="preserve">: </w:t>
            </w:r>
          </w:p>
          <w:p w14:paraId="5B26D6DE" w14:textId="77777777" w:rsidR="00EC7971" w:rsidRDefault="00EC7971" w:rsidP="00C10B26">
            <w:pPr>
              <w:pStyle w:val="Summarytable"/>
              <w:rPr>
                <w:color w:val="000000" w:themeColor="text1"/>
              </w:rPr>
            </w:pPr>
            <w:r w:rsidRPr="00605578">
              <w:rPr>
                <w:color w:val="000000" w:themeColor="text1"/>
              </w:rPr>
              <w:t>Access to a sufficient and skilled workforce is a critical enabler of health outcomes. At the time of the initial NHRA there was a national workforce agency with its own legislative basis, governance and functions. As a result, the NHRA does not strongly reference workforce challenges and strategies, to its detriment.</w:t>
            </w:r>
            <w:r w:rsidRPr="00D2289C">
              <w:rPr>
                <w:color w:val="000000" w:themeColor="text1"/>
              </w:rPr>
              <w:t xml:space="preserve"> </w:t>
            </w:r>
          </w:p>
          <w:p w14:paraId="7C0DE6C0" w14:textId="26A7E958" w:rsidR="00EC7971" w:rsidRPr="000904E6" w:rsidRDefault="00EC7971" w:rsidP="00C10B26">
            <w:pPr>
              <w:pStyle w:val="Summarytable"/>
              <w:rPr>
                <w:b w:val="0"/>
                <w:bCs w:val="0"/>
              </w:rPr>
            </w:pPr>
            <w:r w:rsidRPr="00C47984">
              <w:rPr>
                <w:color w:val="000000" w:themeColor="text1"/>
              </w:rPr>
              <w:t>Workforce pressures are multifaceted, with maldistribution across specialities and geographies, and barriers to clinicians working to the top of their scope of practice and across care systems. Coordinated national leadership and governance is needed to manage the impacts on services and public hospital financial sustainability</w:t>
            </w:r>
            <w:r>
              <w:rPr>
                <w:b w:val="0"/>
                <w:bCs w:val="0"/>
                <w:color w:val="000000" w:themeColor="text1"/>
              </w:rPr>
              <w:t xml:space="preserve"> and to ensure an integrated, multidisciplinary approach that gets the most out of the available workforce to improve patient outcomes</w:t>
            </w:r>
            <w:r w:rsidR="00AE73FD">
              <w:rPr>
                <w:b w:val="0"/>
                <w:bCs w:val="0"/>
                <w:color w:val="000000" w:themeColor="text1"/>
              </w:rPr>
              <w:t>.</w:t>
            </w:r>
          </w:p>
        </w:tc>
      </w:tr>
    </w:tbl>
    <w:p w14:paraId="6E709F1D" w14:textId="77777777" w:rsidR="00EC7971" w:rsidRDefault="00EC7971" w:rsidP="00EC7971">
      <w:pPr>
        <w:pStyle w:val="Heading3"/>
        <w:spacing w:before="120"/>
      </w:pPr>
      <w:bookmarkStart w:id="129" w:name="_Toc143291675"/>
      <w:r>
        <w:t xml:space="preserve">Identified issues </w:t>
      </w:r>
      <w:bookmarkEnd w:id="129"/>
    </w:p>
    <w:p w14:paraId="7194FDB0" w14:textId="77777777" w:rsidR="00AB08C2" w:rsidRPr="00CE26D9" w:rsidRDefault="00AB08C2" w:rsidP="00AB08C2">
      <w:r>
        <w:t xml:space="preserve">The key issues identified </w:t>
      </w:r>
      <w:r w:rsidR="00F07946">
        <w:t xml:space="preserve">by stakeholders </w:t>
      </w:r>
      <w:r>
        <w:t>as part of this theme were:</w:t>
      </w:r>
    </w:p>
    <w:p w14:paraId="7BD54757" w14:textId="0C7C9536" w:rsidR="004C66F0" w:rsidRDefault="004C66F0" w:rsidP="00431A49">
      <w:pPr>
        <w:pStyle w:val="Longdotpoints"/>
        <w:ind w:left="567"/>
      </w:pPr>
      <w:r>
        <w:t>Australia is experiencing workforce shortages and maldistribution in some professions and specialties (including Aboriginal Health</w:t>
      </w:r>
      <w:r w:rsidR="00C42EFE">
        <w:t xml:space="preserve"> Workers</w:t>
      </w:r>
      <w:r>
        <w:t xml:space="preserve">, Primary Care, Aged Care, Allied Health, Mental Health). Shortages occur for a variety of reasons, including COVID-19 increasing demand, the absence of a national approach to workforce supply, retention and training, and clinician burnout. The shortages in turn result in poorer patient outcomes, impact safety and quality, and result in long wait times and reduced service access. </w:t>
      </w:r>
    </w:p>
    <w:p w14:paraId="401EBEEE" w14:textId="422A26C4" w:rsidR="004C66F0" w:rsidRDefault="004C66F0" w:rsidP="00431A49">
      <w:pPr>
        <w:pStyle w:val="Longdotpoints"/>
        <w:ind w:left="567"/>
      </w:pPr>
      <w:r>
        <w:t>The shortage is compounded in rural and remote locations where recruitment and retention are impacted by location. Challenges in achieving and maintaining an appropriate geographical distribution and specialty mix within the healthcare workforce results in disproportionate service demands, service gaps and inefficiencies, affecting the quality of patient care and career satisfaction of healthcare providers. Higher wages are often necessary to attract a workforce in remote locations, resulting in upward cost pressure through competition across jurisdictions.</w:t>
      </w:r>
    </w:p>
    <w:p w14:paraId="768F80B5" w14:textId="77BC28B8" w:rsidR="004C66F0" w:rsidRDefault="004C66F0" w:rsidP="00431A49">
      <w:pPr>
        <w:pStyle w:val="Longdotpoints"/>
        <w:ind w:left="567"/>
      </w:pPr>
      <w:r>
        <w:t xml:space="preserve">Ageing populations and increased rates of chronic disease have seen an increasing demand for primary care. At the same time, there is a fall in the proportion of doctors training as GPs and an ageing GP workforce. </w:t>
      </w:r>
      <w:r w:rsidR="00EC7971">
        <w:t xml:space="preserve">Nationally, the proportion of final-year medical students listing </w:t>
      </w:r>
      <w:r w:rsidR="006B5118">
        <w:t>GP</w:t>
      </w:r>
      <w:r w:rsidR="0029465C">
        <w:t xml:space="preserve"> </w:t>
      </w:r>
      <w:r>
        <w:t xml:space="preserve">as their first preference speciality was only </w:t>
      </w:r>
      <w:r w:rsidR="001A3966">
        <w:t>13.1</w:t>
      </w:r>
      <w:r>
        <w:t xml:space="preserve">% in </w:t>
      </w:r>
      <w:r w:rsidR="001A3966">
        <w:t>2022</w:t>
      </w:r>
      <w:r w:rsidR="003F5D51">
        <w:rPr>
          <w:rFonts w:ascii="ZWAdobeF" w:hAnsi="ZWAdobeF" w:cs="ZWAdobeF"/>
          <w:sz w:val="2"/>
          <w:szCs w:val="2"/>
        </w:rPr>
        <w:t>11F</w:t>
      </w:r>
      <w:r w:rsidR="001A3966">
        <w:rPr>
          <w:rStyle w:val="FootnoteReference"/>
        </w:rPr>
        <w:footnoteReference w:id="13"/>
      </w:r>
      <w:r w:rsidR="001100D9">
        <w:t>.</w:t>
      </w:r>
    </w:p>
    <w:p w14:paraId="7A498E32" w14:textId="3FA7539F" w:rsidR="00240338" w:rsidRPr="00240338" w:rsidRDefault="00240338" w:rsidP="00B726C2">
      <w:pPr>
        <w:pStyle w:val="Subdotpoint"/>
        <w:ind w:left="993" w:hanging="357"/>
        <w:contextualSpacing w:val="0"/>
      </w:pPr>
      <w:r w:rsidRPr="00240338">
        <w:t xml:space="preserve">The Western </w:t>
      </w:r>
      <w:r w:rsidR="00B552E3" w:rsidRPr="00B552E3">
        <w:t>New South Wales</w:t>
      </w:r>
      <w:r w:rsidRPr="00240338">
        <w:t xml:space="preserve"> PHN has estimated that 41 towns across the PHN footprint were at risk of not having a GP by 2030. </w:t>
      </w:r>
    </w:p>
    <w:p w14:paraId="72E10A79" w14:textId="2FC8165F" w:rsidR="00240338" w:rsidRPr="00240338" w:rsidRDefault="00240338" w:rsidP="00B726C2">
      <w:pPr>
        <w:pStyle w:val="Subdotpoint"/>
        <w:ind w:left="993"/>
      </w:pPr>
      <w:r w:rsidRPr="00240338">
        <w:t xml:space="preserve">Tasmania’s </w:t>
      </w:r>
      <w:r w:rsidRPr="00D16C69">
        <w:rPr>
          <w:i/>
          <w:iCs/>
        </w:rPr>
        <w:t>Health Workforce 2040 Strategy</w:t>
      </w:r>
      <w:r w:rsidR="00053EC3">
        <w:rPr>
          <w:i/>
          <w:iCs/>
        </w:rPr>
        <w:t xml:space="preserve"> </w:t>
      </w:r>
      <w:r w:rsidR="00053EC3" w:rsidRPr="00053EC3">
        <w:t>notes that</w:t>
      </w:r>
      <w:r w:rsidRPr="00240338">
        <w:t xml:space="preserve"> over 27</w:t>
      </w:r>
      <w:r w:rsidR="00C8214C">
        <w:t>%</w:t>
      </w:r>
      <w:r w:rsidRPr="00240338">
        <w:t xml:space="preserve"> of GPs in Tasmania are over the age of 60 years, with the average age of a GP being </w:t>
      </w:r>
      <w:r w:rsidR="00C8214C">
        <w:t>~</w:t>
      </w:r>
      <w:r w:rsidRPr="00240338">
        <w:t>54 years, which foreshadows an imminent worsening of workforce challenges</w:t>
      </w:r>
      <w:r w:rsidR="00B30016">
        <w:t xml:space="preserve"> in that State</w:t>
      </w:r>
      <w:r w:rsidRPr="00240338">
        <w:t xml:space="preserve">. </w:t>
      </w:r>
    </w:p>
    <w:p w14:paraId="3E5BBCF7" w14:textId="76566359" w:rsidR="00682BFF" w:rsidRDefault="00682BFF" w:rsidP="00431A49">
      <w:pPr>
        <w:pStyle w:val="Longdotpoints"/>
        <w:ind w:left="567"/>
      </w:pPr>
      <w:r>
        <w:t>More broadly, the decline in GPs nationally is resulting in a medical staff shortfall in primary care, with up to 70% of primary healthcare positions occupied by agency nursing and visiting medical officers. Workforce pressures are contributing to high system costs despite increased vacancies and leave utilisation</w:t>
      </w:r>
      <w:r w:rsidR="00CB6083">
        <w:t>, with</w:t>
      </w:r>
      <w:r>
        <w:t xml:space="preserve"> increased reliance on agency and locum staff to fill vacancies </w:t>
      </w:r>
      <w:r w:rsidR="00CB6083">
        <w:t>and</w:t>
      </w:r>
      <w:r>
        <w:t xml:space="preserve"> cover leave. </w:t>
      </w:r>
    </w:p>
    <w:p w14:paraId="606D370E" w14:textId="3594FCDF" w:rsidR="00240338" w:rsidRPr="00240338" w:rsidRDefault="00682BFF" w:rsidP="00431A49">
      <w:pPr>
        <w:pStyle w:val="Longdotpoints"/>
        <w:ind w:left="567"/>
      </w:pPr>
      <w:r>
        <w:t>There are barriers to enabling clinicians to work to the top of scope and across care systems due to restrictive regulations, resistance to divert</w:t>
      </w:r>
      <w:r w:rsidR="00B7586A">
        <w:t>ing</w:t>
      </w:r>
      <w:r>
        <w:t xml:space="preserve"> from existing/current traditional roles, funding arrangements and training gaps. In addition, regulatory requirements and immigration processes inhibit the timely and effective employment of overseas-trained professionals, and there is an increase in the number of people leaving the public </w:t>
      </w:r>
      <w:r w:rsidR="00B30016">
        <w:t xml:space="preserve">sector </w:t>
      </w:r>
      <w:r>
        <w:t>workforce due to labour market competition.</w:t>
      </w:r>
    </w:p>
    <w:p w14:paraId="58E6006E" w14:textId="77777777" w:rsidR="00AB08C2" w:rsidRDefault="00AB08C2" w:rsidP="00AB08C2">
      <w:pPr>
        <w:pStyle w:val="Heading3"/>
      </w:pPr>
      <w:bookmarkStart w:id="130" w:name="_Toc143291676"/>
      <w:bookmarkStart w:id="131" w:name="_Ref144812087"/>
      <w:bookmarkStart w:id="132" w:name="_Ref145599251"/>
      <w:r>
        <w:t>Strengths</w:t>
      </w:r>
      <w:bookmarkEnd w:id="130"/>
      <w:bookmarkEnd w:id="131"/>
      <w:bookmarkEnd w:id="132"/>
      <w:r>
        <w:t xml:space="preserve"> </w:t>
      </w:r>
    </w:p>
    <w:p w14:paraId="0AAB6ED4" w14:textId="77777777" w:rsidR="001F41D7" w:rsidRDefault="001F41D7" w:rsidP="00CC7F3C">
      <w:pPr>
        <w:pStyle w:val="Longdotpoints"/>
        <w:numPr>
          <w:ilvl w:val="0"/>
          <w:numId w:val="0"/>
        </w:numPr>
      </w:pPr>
      <w:r>
        <w:t>Some of the strengths identified by stakeholders include:</w:t>
      </w:r>
    </w:p>
    <w:p w14:paraId="6DC77FF2" w14:textId="77777777" w:rsidR="0045584B" w:rsidRDefault="001E6A58" w:rsidP="00431A49">
      <w:pPr>
        <w:pStyle w:val="Longdotpoints"/>
        <w:ind w:left="567"/>
      </w:pPr>
      <w:r w:rsidRPr="001E6A58">
        <w:t>All jurisdictions have acknowledged significant challenges related to their workforce and are implementing health workforce strategies, including</w:t>
      </w:r>
      <w:r w:rsidR="0045584B">
        <w:t>:</w:t>
      </w:r>
    </w:p>
    <w:p w14:paraId="19846B51" w14:textId="6B2E4E5B" w:rsidR="009627EA" w:rsidRDefault="009627EA" w:rsidP="00EC7971">
      <w:pPr>
        <w:pStyle w:val="Subdotpoint"/>
        <w:ind w:left="993" w:hanging="357"/>
        <w:contextualSpacing w:val="0"/>
      </w:pPr>
      <w:r w:rsidRPr="00650E28">
        <w:t>Address</w:t>
      </w:r>
      <w:r w:rsidR="00927B83" w:rsidRPr="00650E28">
        <w:t>ing</w:t>
      </w:r>
      <w:r w:rsidRPr="00650E28">
        <w:t xml:space="preserve"> the </w:t>
      </w:r>
      <w:r w:rsidR="00DE08A3" w:rsidRPr="00650E28">
        <w:t>geographic maldistribution of health professionals</w:t>
      </w:r>
      <w:r w:rsidR="00707151" w:rsidRPr="00EB1258">
        <w:rPr>
          <w:i/>
          <w:iCs/>
        </w:rPr>
        <w:t>:</w:t>
      </w:r>
      <w:r w:rsidR="00DE08A3">
        <w:t xml:space="preserve"> </w:t>
      </w:r>
      <w:r w:rsidR="00B30016">
        <w:t>by</w:t>
      </w:r>
      <w:r w:rsidR="00710AF4" w:rsidRPr="00710AF4">
        <w:t xml:space="preserve"> providing financial incentives for health professionals to work in these areas, and developing new models of care that can be delivered more efficiently in rural and remote settings.</w:t>
      </w:r>
    </w:p>
    <w:p w14:paraId="0815B468" w14:textId="6F69ED28" w:rsidR="00EC7971" w:rsidRDefault="00EC7971" w:rsidP="00EC7971">
      <w:pPr>
        <w:pStyle w:val="Subdotpoint"/>
        <w:ind w:left="993" w:hanging="357"/>
        <w:contextualSpacing w:val="0"/>
      </w:pPr>
      <w:r w:rsidRPr="00650E28">
        <w:rPr>
          <w:iCs/>
        </w:rPr>
        <w:t>Improving the diversity of the health workforce:</w:t>
      </w:r>
      <w:r>
        <w:t xml:space="preserve"> </w:t>
      </w:r>
      <w:r w:rsidR="00B30016">
        <w:t>by</w:t>
      </w:r>
      <w:r w:rsidRPr="009B33E9">
        <w:t xml:space="preserve"> increasing the number of </w:t>
      </w:r>
      <w:r w:rsidR="00291C83" w:rsidRPr="00291C83">
        <w:t>First Nations</w:t>
      </w:r>
      <w:r w:rsidR="001026F4">
        <w:t>’</w:t>
      </w:r>
      <w:r w:rsidR="00291C83" w:rsidRPr="00291C83">
        <w:t xml:space="preserve"> </w:t>
      </w:r>
      <w:r>
        <w:t xml:space="preserve">health </w:t>
      </w:r>
      <w:r w:rsidRPr="009B33E9">
        <w:t xml:space="preserve">professionals and recruiting more health workers from culturally and linguistically diverse </w:t>
      </w:r>
      <w:r>
        <w:t xml:space="preserve">(CALD) </w:t>
      </w:r>
      <w:r w:rsidRPr="009B33E9">
        <w:t>backgrounds.</w:t>
      </w:r>
    </w:p>
    <w:p w14:paraId="43B6B32D" w14:textId="4140F791" w:rsidR="009B33E9" w:rsidRDefault="0060399F" w:rsidP="00EC7971">
      <w:pPr>
        <w:pStyle w:val="Subdotpoint"/>
        <w:ind w:left="993" w:hanging="357"/>
        <w:contextualSpacing w:val="0"/>
      </w:pPr>
      <w:r w:rsidRPr="00650E28">
        <w:rPr>
          <w:iCs/>
        </w:rPr>
        <w:t>Attracting and retaining health professionals</w:t>
      </w:r>
      <w:r w:rsidR="006A5508" w:rsidRPr="006A5508">
        <w:rPr>
          <w:i/>
          <w:iCs/>
        </w:rPr>
        <w:t>:</w:t>
      </w:r>
      <w:r>
        <w:t xml:space="preserve"> </w:t>
      </w:r>
      <w:r w:rsidR="00B30016">
        <w:t>by</w:t>
      </w:r>
      <w:r w:rsidR="002C17DE" w:rsidRPr="002C17DE">
        <w:t xml:space="preserve"> improving working conditions, providing more flexible work arrangements and addressing the issue of burnout.</w:t>
      </w:r>
    </w:p>
    <w:p w14:paraId="5304A46E" w14:textId="11450C50" w:rsidR="0060399F" w:rsidRDefault="0060399F" w:rsidP="00EC7971">
      <w:pPr>
        <w:pStyle w:val="Subdotpoint"/>
        <w:ind w:left="993" w:hanging="357"/>
        <w:contextualSpacing w:val="0"/>
      </w:pPr>
      <w:r w:rsidRPr="00650E28">
        <w:rPr>
          <w:iCs/>
        </w:rPr>
        <w:t>Upskilling and reskilling the health</w:t>
      </w:r>
      <w:r w:rsidRPr="00F70AD0">
        <w:rPr>
          <w:i/>
        </w:rPr>
        <w:t xml:space="preserve"> </w:t>
      </w:r>
      <w:r w:rsidRPr="00650E28">
        <w:rPr>
          <w:iCs/>
        </w:rPr>
        <w:t>workforce</w:t>
      </w:r>
      <w:r w:rsidR="00F70AD0" w:rsidRPr="00F70AD0">
        <w:rPr>
          <w:i/>
          <w:iCs/>
        </w:rPr>
        <w:t>:</w:t>
      </w:r>
      <w:r>
        <w:t xml:space="preserve"> </w:t>
      </w:r>
      <w:r w:rsidR="00B30016">
        <w:t>by</w:t>
      </w:r>
      <w:r w:rsidR="00782975" w:rsidRPr="00782975">
        <w:t xml:space="preserve"> providing financial assistance for training and developing new training programs that are tailored to the needs of the health workforce.</w:t>
      </w:r>
    </w:p>
    <w:p w14:paraId="7424FD0E" w14:textId="6962D5B0" w:rsidR="0060399F" w:rsidRDefault="0060399F" w:rsidP="00EC7971">
      <w:pPr>
        <w:pStyle w:val="Subdotpoint"/>
        <w:ind w:left="993" w:hanging="357"/>
        <w:contextualSpacing w:val="0"/>
      </w:pPr>
      <w:r w:rsidRPr="00650E28">
        <w:rPr>
          <w:iCs/>
        </w:rPr>
        <w:t>Strengthening the health workforce planning process</w:t>
      </w:r>
      <w:r w:rsidR="00F70AD0" w:rsidRPr="00F70AD0">
        <w:rPr>
          <w:i/>
          <w:iCs/>
        </w:rPr>
        <w:t>:</w:t>
      </w:r>
      <w:r w:rsidR="00782975">
        <w:t xml:space="preserve"> </w:t>
      </w:r>
      <w:r w:rsidR="00B30016">
        <w:t xml:space="preserve">by </w:t>
      </w:r>
      <w:r w:rsidR="00782975" w:rsidRPr="00782975">
        <w:t>developing long-term workforce plans and coordinating the planning efforts of different stakeholders.</w:t>
      </w:r>
    </w:p>
    <w:p w14:paraId="6D0FC5CE" w14:textId="2F3FDCDE" w:rsidR="008E12CC" w:rsidRDefault="008E12CC" w:rsidP="00431A49">
      <w:pPr>
        <w:pStyle w:val="Longdotpoints"/>
        <w:ind w:left="567"/>
      </w:pPr>
      <w:r>
        <w:t xml:space="preserve">The HCEF Health Workforce Taskforce and the </w:t>
      </w:r>
      <w:r w:rsidR="00B30016" w:rsidRPr="00650E28">
        <w:rPr>
          <w:i/>
          <w:iCs/>
        </w:rPr>
        <w:t>I</w:t>
      </w:r>
      <w:r w:rsidRPr="00650E28">
        <w:rPr>
          <w:i/>
          <w:iCs/>
        </w:rPr>
        <w:t xml:space="preserve">ndependent </w:t>
      </w:r>
      <w:r w:rsidR="00B30016" w:rsidRPr="00650E28">
        <w:rPr>
          <w:i/>
          <w:iCs/>
        </w:rPr>
        <w:t>R</w:t>
      </w:r>
      <w:r w:rsidRPr="00650E28">
        <w:rPr>
          <w:i/>
          <w:iCs/>
        </w:rPr>
        <w:t xml:space="preserve">eview of </w:t>
      </w:r>
      <w:r w:rsidR="00B30016" w:rsidRPr="00650E28">
        <w:rPr>
          <w:i/>
          <w:iCs/>
        </w:rPr>
        <w:t>O</w:t>
      </w:r>
      <w:r w:rsidRPr="00650E28">
        <w:rPr>
          <w:i/>
          <w:iCs/>
        </w:rPr>
        <w:t xml:space="preserve">verseas </w:t>
      </w:r>
      <w:r w:rsidR="00B30016" w:rsidRPr="00650E28">
        <w:rPr>
          <w:i/>
          <w:iCs/>
        </w:rPr>
        <w:t>H</w:t>
      </w:r>
      <w:r w:rsidRPr="00650E28">
        <w:rPr>
          <w:i/>
          <w:iCs/>
        </w:rPr>
        <w:t xml:space="preserve">ealth </w:t>
      </w:r>
      <w:r w:rsidR="00B30016" w:rsidRPr="00650E28">
        <w:rPr>
          <w:i/>
          <w:iCs/>
        </w:rPr>
        <w:t>P</w:t>
      </w:r>
      <w:r w:rsidRPr="00650E28">
        <w:rPr>
          <w:i/>
          <w:iCs/>
        </w:rPr>
        <w:t xml:space="preserve">ractitioner </w:t>
      </w:r>
      <w:r w:rsidR="00B30016" w:rsidRPr="00650E28">
        <w:rPr>
          <w:i/>
          <w:iCs/>
        </w:rPr>
        <w:t>R</w:t>
      </w:r>
      <w:r w:rsidRPr="00650E28">
        <w:rPr>
          <w:i/>
          <w:iCs/>
        </w:rPr>
        <w:t xml:space="preserve">egulatory </w:t>
      </w:r>
      <w:r w:rsidR="00B30016" w:rsidRPr="00650E28">
        <w:rPr>
          <w:i/>
          <w:iCs/>
        </w:rPr>
        <w:t>S</w:t>
      </w:r>
      <w:r w:rsidRPr="00650E28">
        <w:rPr>
          <w:i/>
          <w:iCs/>
        </w:rPr>
        <w:t>ettings</w:t>
      </w:r>
      <w:r>
        <w:t xml:space="preserve"> are </w:t>
      </w:r>
      <w:r w:rsidR="00B30016">
        <w:t xml:space="preserve">considering </w:t>
      </w:r>
      <w:r>
        <w:t>domestic and international workforce supply respectively. This is likely to identify new options to address workforce shortages and distribution issues across specialisations and geographical location.</w:t>
      </w:r>
    </w:p>
    <w:p w14:paraId="11245897" w14:textId="1F84BF81" w:rsidR="008E12CC" w:rsidRDefault="008E12CC" w:rsidP="00431A49">
      <w:pPr>
        <w:pStyle w:val="Longdotpoints"/>
        <w:ind w:left="567"/>
      </w:pPr>
      <w:r>
        <w:t xml:space="preserve">The Single Employer Model </w:t>
      </w:r>
      <w:r w:rsidR="00344F2A">
        <w:t>trials for GP registrars</w:t>
      </w:r>
      <w:r>
        <w:t xml:space="preserve"> is an innovative approach to </w:t>
      </w:r>
      <w:r w:rsidR="00344F2A">
        <w:t xml:space="preserve">address </w:t>
      </w:r>
      <w:r>
        <w:t xml:space="preserve">the ongoing recruitment and retention issues of Australia’s </w:t>
      </w:r>
      <w:r w:rsidR="00344F2A">
        <w:t>GP Registrar</w:t>
      </w:r>
      <w:r>
        <w:t xml:space="preserve"> workforce which is a major challenge for regional, rural and remote communities. Further information is provided in the </w:t>
      </w:r>
      <w:r w:rsidR="00B30016">
        <w:t xml:space="preserve">Case Study </w:t>
      </w:r>
      <w:r w:rsidR="00050864">
        <w:t xml:space="preserve">in section </w:t>
      </w:r>
      <w:r w:rsidR="00050864">
        <w:fldChar w:fldCharType="begin" w:fldLock="1"/>
      </w:r>
      <w:r w:rsidR="00050864">
        <w:instrText xml:space="preserve"> REF _Ref147667999 \w \h </w:instrText>
      </w:r>
      <w:r w:rsidR="00050864">
        <w:fldChar w:fldCharType="separate"/>
      </w:r>
      <w:r w:rsidR="00FA10A4">
        <w:t>5.8</w:t>
      </w:r>
      <w:r w:rsidR="00050864">
        <w:fldChar w:fldCharType="end"/>
      </w:r>
      <w:r>
        <w:t>.</w:t>
      </w:r>
    </w:p>
    <w:p w14:paraId="3A6749EF" w14:textId="31BCDF9C" w:rsidR="00DF7CF9" w:rsidRDefault="008E12CC" w:rsidP="00431A49">
      <w:pPr>
        <w:pStyle w:val="Longdotpoints"/>
        <w:ind w:left="567"/>
      </w:pPr>
      <w:r>
        <w:t>The Strengthening Medicare reforms are investing in systems that increase support for the primary care workforce to meet evolving needs as the population ages and rates of chronic disease and mental illness rise, encouraging multidisciplinary team-based care and empowering staff to work to their full of scope of practice</w:t>
      </w:r>
      <w:r w:rsidR="00114F49" w:rsidRPr="00114F49">
        <w:t>.</w:t>
      </w:r>
    </w:p>
    <w:p w14:paraId="3764E749" w14:textId="5637481B" w:rsidR="00FC5181" w:rsidRDefault="008176ED" w:rsidP="00FD1061">
      <w:pPr>
        <w:pStyle w:val="Heading2un-numbered"/>
        <w:pageBreakBefore/>
      </w:pPr>
      <w:bookmarkStart w:id="133" w:name="_Toc143291677"/>
      <w:r>
        <w:rPr>
          <w:noProof/>
        </w:rPr>
        <w:drawing>
          <wp:anchor distT="0" distB="0" distL="114300" distR="114300" simplePos="0" relativeHeight="251654144" behindDoc="0" locked="0" layoutInCell="1" allowOverlap="1" wp14:anchorId="2CBEFE1A" wp14:editId="27DA8D31">
            <wp:simplePos x="0" y="0"/>
            <wp:positionH relativeFrom="column">
              <wp:posOffset>5830380</wp:posOffset>
            </wp:positionH>
            <wp:positionV relativeFrom="paragraph">
              <wp:posOffset>-62865</wp:posOffset>
            </wp:positionV>
            <wp:extent cx="833755" cy="775970"/>
            <wp:effectExtent l="0" t="0" r="4445" b="5080"/>
            <wp:wrapNone/>
            <wp:docPr id="52379496" name="Picture 52379496" descr="P97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9496" name="Picture 52379496" descr="P973#y1">
                      <a:extLst>
                        <a:ext uri="{C183D7F6-B498-43B3-948B-1728B52AA6E4}">
                          <adec:decorative xmlns:adec="http://schemas.microsoft.com/office/drawing/2017/decorative" val="1"/>
                        </a:ext>
                      </a:extLst>
                    </pic:cNvPr>
                    <pic:cNvPicPr/>
                  </pic:nvPicPr>
                  <pic:blipFill>
                    <a:blip r:embed="rId62">
                      <a:extLst>
                        <a:ext uri="{28A0092B-C50C-407E-A947-70E740481C1C}">
                          <a14:useLocalDpi xmlns:a14="http://schemas.microsoft.com/office/drawing/2010/main" val="0"/>
                        </a:ext>
                      </a:extLst>
                    </a:blip>
                    <a:stretch>
                      <a:fillRect/>
                    </a:stretch>
                  </pic:blipFill>
                  <pic:spPr>
                    <a:xfrm>
                      <a:off x="0" y="0"/>
                      <a:ext cx="833755" cy="775970"/>
                    </a:xfrm>
                    <a:prstGeom prst="rect">
                      <a:avLst/>
                    </a:prstGeom>
                  </pic:spPr>
                </pic:pic>
              </a:graphicData>
            </a:graphic>
            <wp14:sizeRelH relativeFrom="page">
              <wp14:pctWidth>0</wp14:pctWidth>
            </wp14:sizeRelH>
            <wp14:sizeRelV relativeFrom="page">
              <wp14:pctHeight>0</wp14:pctHeight>
            </wp14:sizeRelV>
          </wp:anchor>
        </w:drawing>
      </w:r>
      <w:r w:rsidR="00FD1061">
        <w:t xml:space="preserve">Part b) </w:t>
      </w:r>
      <w:r w:rsidR="00FC5181">
        <w:t>Digital health as an enabler</w:t>
      </w:r>
      <w:bookmarkEnd w:id="133"/>
      <w:r w:rsidR="00FC5181">
        <w:t xml:space="preserve"> </w:t>
      </w:r>
    </w:p>
    <w:tbl>
      <w:tblPr>
        <w:tblStyle w:val="TableGrid"/>
        <w:tblW w:w="0" w:type="auto"/>
        <w:shd w:val="clear" w:color="auto" w:fill="F2F2F2" w:themeFill="background1" w:themeFillShade="F2"/>
        <w:tblLook w:val="04A0" w:firstRow="1" w:lastRow="0" w:firstColumn="1" w:lastColumn="0" w:noHBand="0" w:noVBand="1"/>
      </w:tblPr>
      <w:tblGrid>
        <w:gridCol w:w="10466"/>
      </w:tblGrid>
      <w:tr w:rsidR="00EC7971" w14:paraId="1A59C45A" w14:textId="77777777" w:rsidTr="00C10B26">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tcPr>
          <w:p w14:paraId="3509AEB1" w14:textId="30CD66E5" w:rsidR="00EC7971" w:rsidRDefault="00EC7971" w:rsidP="00C10B26">
            <w:pPr>
              <w:pStyle w:val="Summarytable"/>
              <w:rPr>
                <w:color w:val="00707E" w:themeColor="accent5" w:themeShade="BF"/>
              </w:rPr>
            </w:pPr>
            <w:r>
              <w:rPr>
                <w:noProof/>
              </w:rPr>
              <w:drawing>
                <wp:inline distT="0" distB="0" distL="0" distR="0" wp14:anchorId="7117B23E" wp14:editId="177E1B23">
                  <wp:extent cx="270000" cy="270000"/>
                  <wp:effectExtent l="0" t="0" r="0" b="0"/>
                  <wp:docPr id="15" name="Graphic 15" descr="P974C1T2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P974C1T21#yIS1">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70000" cy="270000"/>
                          </a:xfrm>
                          <a:prstGeom prst="rect">
                            <a:avLst/>
                          </a:prstGeom>
                        </pic:spPr>
                      </pic:pic>
                    </a:graphicData>
                  </a:graphic>
                </wp:inline>
              </w:drawing>
            </w:r>
            <w:r w:rsidRPr="00BB2C81">
              <w:rPr>
                <w:color w:val="00707E" w:themeColor="accent5" w:themeShade="BF"/>
              </w:rPr>
              <w:t>Summary</w:t>
            </w:r>
            <w:r>
              <w:rPr>
                <w:color w:val="00707E" w:themeColor="accent5" w:themeShade="BF"/>
              </w:rPr>
              <w:t xml:space="preserve"> of what we heard</w:t>
            </w:r>
            <w:r w:rsidRPr="00BB2C81">
              <w:rPr>
                <w:color w:val="00707E" w:themeColor="accent5" w:themeShade="BF"/>
              </w:rPr>
              <w:t xml:space="preserve">: </w:t>
            </w:r>
          </w:p>
          <w:p w14:paraId="4F7F879A" w14:textId="71686793" w:rsidR="00EC7971" w:rsidRDefault="00EC7971" w:rsidP="00C10B26">
            <w:pPr>
              <w:pStyle w:val="Summarytable"/>
              <w:rPr>
                <w:b w:val="0"/>
                <w:bCs w:val="0"/>
              </w:rPr>
            </w:pPr>
            <w:r w:rsidRPr="00605578">
              <w:t xml:space="preserve">There is broad agreement on the value of </w:t>
            </w:r>
            <w:r>
              <w:t>having ready access to</w:t>
            </w:r>
            <w:r w:rsidRPr="00605578">
              <w:t xml:space="preserve"> comprehensive </w:t>
            </w:r>
            <w:r w:rsidR="002C24B0">
              <w:t xml:space="preserve">patient </w:t>
            </w:r>
            <w:r w:rsidRPr="00605578">
              <w:t>health information at the point of care, with digital health viewed as integral to delivering patient centred care.</w:t>
            </w:r>
            <w:r w:rsidRPr="007744A2">
              <w:rPr>
                <w:b w:val="0"/>
                <w:bCs w:val="0"/>
              </w:rPr>
              <w:t xml:space="preserve"> </w:t>
            </w:r>
          </w:p>
          <w:p w14:paraId="6A820DD6" w14:textId="7530933D" w:rsidR="00EC7971" w:rsidRDefault="00EC7971" w:rsidP="00C10B26">
            <w:pPr>
              <w:pStyle w:val="Summarytable"/>
            </w:pPr>
            <w:r w:rsidRPr="007744A2">
              <w:rPr>
                <w:b w:val="0"/>
                <w:bCs w:val="0"/>
              </w:rPr>
              <w:t xml:space="preserve">The health system is experiencing increasing expectations from patients and providers, with Australians displaying a higher desire to utilise digital health tools </w:t>
            </w:r>
            <w:r w:rsidR="00B30016">
              <w:rPr>
                <w:b w:val="0"/>
                <w:bCs w:val="0"/>
              </w:rPr>
              <w:t>to access</w:t>
            </w:r>
            <w:r w:rsidRPr="007744A2">
              <w:rPr>
                <w:b w:val="0"/>
                <w:bCs w:val="0"/>
              </w:rPr>
              <w:t xml:space="preserve"> their personal health information. However, the current ability to draw together a ‘single view’ </w:t>
            </w:r>
            <w:r w:rsidR="001F58E3">
              <w:rPr>
                <w:b w:val="0"/>
                <w:bCs w:val="0"/>
              </w:rPr>
              <w:t>of a patient and their experience</w:t>
            </w:r>
            <w:r w:rsidRPr="007744A2">
              <w:rPr>
                <w:b w:val="0"/>
                <w:bCs w:val="0"/>
              </w:rPr>
              <w:t xml:space="preserve"> is hampered by the lack of system interoperability across the health system, and there is little within the NHRA to incentivise the health sector to commit to supporting digital health solutions.</w:t>
            </w:r>
          </w:p>
        </w:tc>
      </w:tr>
    </w:tbl>
    <w:p w14:paraId="00CE82F9" w14:textId="77777777" w:rsidR="007744A2" w:rsidRDefault="007744A2" w:rsidP="007744A2">
      <w:pPr>
        <w:pStyle w:val="Heading3"/>
        <w:spacing w:before="120"/>
      </w:pPr>
      <w:bookmarkStart w:id="134" w:name="_Toc143291678"/>
      <w:r>
        <w:t>Identified issues</w:t>
      </w:r>
      <w:bookmarkEnd w:id="134"/>
      <w:r>
        <w:t xml:space="preserve"> </w:t>
      </w:r>
    </w:p>
    <w:p w14:paraId="0D832882" w14:textId="77777777" w:rsidR="00BD165D" w:rsidRPr="00CE26D9" w:rsidRDefault="00BD165D" w:rsidP="00BD165D">
      <w:r>
        <w:t xml:space="preserve">The key issues identified </w:t>
      </w:r>
      <w:r w:rsidR="00F07946">
        <w:t xml:space="preserve">by stakeholders </w:t>
      </w:r>
      <w:r>
        <w:t>as part of this theme were:</w:t>
      </w:r>
    </w:p>
    <w:p w14:paraId="7BB5B07B" w14:textId="62DF90D7" w:rsidR="007A6E54" w:rsidRPr="007A6E54" w:rsidRDefault="007A6E54" w:rsidP="00E751AF">
      <w:pPr>
        <w:pStyle w:val="Longdotpoints"/>
        <w:ind w:left="567"/>
      </w:pPr>
      <w:r w:rsidRPr="007A6E54">
        <w:t xml:space="preserve">The NHRA lacks adequate funding mechanisms to enable and incentivise digital care services. Digital health technologies are redefining care pathways, but the costs are not adequately known and captured in the current funding model. Initiatives such as digital Front Door, virtual acute care services, Hospital in the Home and Remote Patient Monitoring, will all require </w:t>
      </w:r>
      <w:r w:rsidR="006A2604">
        <w:t>information and communications technology (</w:t>
      </w:r>
      <w:r w:rsidRPr="007A6E54">
        <w:t>ICT</w:t>
      </w:r>
      <w:r w:rsidR="006A2604">
        <w:t>)</w:t>
      </w:r>
      <w:r w:rsidRPr="007A6E54">
        <w:t xml:space="preserve"> and digital infrastructure (including information management and cyber security) to support delivery.</w:t>
      </w:r>
    </w:p>
    <w:p w14:paraId="04405F4D" w14:textId="638D8584" w:rsidR="007A6E54" w:rsidRPr="007A6E54" w:rsidRDefault="007A6E54" w:rsidP="00E751AF">
      <w:pPr>
        <w:pStyle w:val="Longdotpoints"/>
        <w:ind w:left="567"/>
      </w:pPr>
      <w:r w:rsidRPr="007A6E54">
        <w:t xml:space="preserve">Digital health plays a crucial role in providing patient-centred care. Both patients and providers are increasingly expecting more from the health system, and there is broad agreement on the value of accessing comprehensive health information about patients across the health sector at the point of care, to support more personalised care and better clinical decision making. Inflexibility of funding hinders the full potential of this integration. </w:t>
      </w:r>
    </w:p>
    <w:p w14:paraId="3494CB8A" w14:textId="0CBC8A9C" w:rsidR="007A6E54" w:rsidRPr="007A6E54" w:rsidRDefault="007E48BC" w:rsidP="00E751AF">
      <w:pPr>
        <w:pStyle w:val="Longdotpoints"/>
        <w:ind w:left="567"/>
      </w:pPr>
      <w:r w:rsidRPr="007E48BC">
        <w:t xml:space="preserve">Healthcare data remains siloed, largely driven by the lack of connected digital infrastructure, with data processing in rural and remote services </w:t>
      </w:r>
      <w:r w:rsidR="00B30016">
        <w:t>often</w:t>
      </w:r>
      <w:r w:rsidR="00B30016" w:rsidRPr="007E48BC">
        <w:t xml:space="preserve"> </w:t>
      </w:r>
      <w:r w:rsidRPr="007E48BC">
        <w:t xml:space="preserve">highly manual and </w:t>
      </w:r>
      <w:r w:rsidR="005A7536" w:rsidRPr="007E48BC">
        <w:t>paper based</w:t>
      </w:r>
      <w:r w:rsidRPr="007E48BC">
        <w:t xml:space="preserve">. This is limiting the ability to view and track the full patient journey across the system, and between services, due to a lack of interoperability, </w:t>
      </w:r>
      <w:r w:rsidR="00B30016">
        <w:t>the absence</w:t>
      </w:r>
      <w:r w:rsidRPr="007E48BC">
        <w:t xml:space="preserve"> of cohesive standards for electronic health records, </w:t>
      </w:r>
      <w:r w:rsidR="00B30016">
        <w:t>and</w:t>
      </w:r>
      <w:r w:rsidRPr="007E48BC">
        <w:t xml:space="preserve"> low public trust in data collection and sharing. The inability to access and use accurate and timely data to inform </w:t>
      </w:r>
      <w:r w:rsidR="00B30016">
        <w:t>clinical decisions</w:t>
      </w:r>
      <w:r w:rsidR="00B30016" w:rsidRPr="007E48BC">
        <w:t xml:space="preserve"> </w:t>
      </w:r>
      <w:r w:rsidR="00B30016">
        <w:t>impacts on outcomes</w:t>
      </w:r>
      <w:r w:rsidRPr="007E48BC">
        <w:t xml:space="preserve"> and causes inefficiencies</w:t>
      </w:r>
      <w:r w:rsidR="007A6E54" w:rsidRPr="007A6E54">
        <w:t xml:space="preserve">. </w:t>
      </w:r>
    </w:p>
    <w:p w14:paraId="4B513A4F" w14:textId="22EC6115" w:rsidR="007A6E54" w:rsidRPr="007A6E54" w:rsidRDefault="00B31EE0" w:rsidP="00E751AF">
      <w:pPr>
        <w:pStyle w:val="Longdotpoints"/>
        <w:ind w:left="567"/>
      </w:pPr>
      <w:r>
        <w:t>T</w:t>
      </w:r>
      <w:r w:rsidR="007A6E54" w:rsidRPr="007A6E54">
        <w:t xml:space="preserve">he </w:t>
      </w:r>
      <w:r w:rsidR="007A6E54" w:rsidRPr="004D6427">
        <w:rPr>
          <w:i/>
          <w:iCs/>
        </w:rPr>
        <w:t>National Digital Health Strategy</w:t>
      </w:r>
      <w:r w:rsidR="007A6E54" w:rsidRPr="007A6E54">
        <w:t xml:space="preserve">, </w:t>
      </w:r>
      <w:r w:rsidR="006523A9" w:rsidRPr="008412DE">
        <w:rPr>
          <w:i/>
          <w:iCs/>
        </w:rPr>
        <w:t>Inter</w:t>
      </w:r>
      <w:r w:rsidR="00FD61E1" w:rsidRPr="008412DE">
        <w:rPr>
          <w:i/>
          <w:iCs/>
        </w:rPr>
        <w:t>-</w:t>
      </w:r>
      <w:r w:rsidR="007A53B0">
        <w:rPr>
          <w:i/>
          <w:iCs/>
        </w:rPr>
        <w:t>g</w:t>
      </w:r>
      <w:r w:rsidR="007A53B0" w:rsidRPr="008412DE">
        <w:rPr>
          <w:i/>
          <w:iCs/>
        </w:rPr>
        <w:t xml:space="preserve">overnmental </w:t>
      </w:r>
      <w:r w:rsidR="00FD61E1" w:rsidRPr="008412DE">
        <w:rPr>
          <w:i/>
          <w:iCs/>
        </w:rPr>
        <w:t xml:space="preserve">Agreement </w:t>
      </w:r>
      <w:r w:rsidR="007A53B0">
        <w:rPr>
          <w:i/>
          <w:iCs/>
        </w:rPr>
        <w:t xml:space="preserve">2023-2027 </w:t>
      </w:r>
      <w:r w:rsidR="00FD61E1" w:rsidRPr="008412DE">
        <w:rPr>
          <w:i/>
          <w:iCs/>
        </w:rPr>
        <w:t>(</w:t>
      </w:r>
      <w:r w:rsidR="007A6E54" w:rsidRPr="008412DE">
        <w:rPr>
          <w:i/>
          <w:iCs/>
        </w:rPr>
        <w:t>IGA on National Digital Health</w:t>
      </w:r>
      <w:r w:rsidR="00FB03C0">
        <w:rPr>
          <w:i/>
          <w:iCs/>
        </w:rPr>
        <w:t>)</w:t>
      </w:r>
      <w:r w:rsidR="007A6E54" w:rsidRPr="007A6E54">
        <w:t xml:space="preserve"> and </w:t>
      </w:r>
      <w:r w:rsidR="007A6E54" w:rsidRPr="004D6427">
        <w:rPr>
          <w:i/>
          <w:iCs/>
        </w:rPr>
        <w:t>Connecting Australian Healthcare - National Healthcare Interoperability Plan</w:t>
      </w:r>
      <w:r w:rsidR="007A6E54" w:rsidRPr="007A6E54">
        <w:t xml:space="preserve"> </w:t>
      </w:r>
      <w:r w:rsidR="00FB03C0" w:rsidRPr="00D46D26">
        <w:rPr>
          <w:i/>
          <w:iCs/>
        </w:rPr>
        <w:t>2023-2028 (the Interoperability Plan)</w:t>
      </w:r>
      <w:r w:rsidR="00FB03C0">
        <w:t xml:space="preserve"> </w:t>
      </w:r>
      <w:r w:rsidR="007A6E54" w:rsidRPr="007A6E54">
        <w:t>reflect the intended objectives and priorities of the NHRA</w:t>
      </w:r>
      <w:r>
        <w:t xml:space="preserve">. </w:t>
      </w:r>
      <w:r w:rsidR="003B3CC4">
        <w:t>However,</w:t>
      </w:r>
      <w:r w:rsidR="007A6E54" w:rsidRPr="007A6E54">
        <w:t xml:space="preserve"> the </w:t>
      </w:r>
      <w:r w:rsidR="003B3CC4">
        <w:t>objective and actions of these Agreements and Plans are not embedded in</w:t>
      </w:r>
      <w:r w:rsidR="007A6E54" w:rsidRPr="007A6E54">
        <w:t xml:space="preserve"> the NHRA</w:t>
      </w:r>
      <w:r>
        <w:t xml:space="preserve">, </w:t>
      </w:r>
      <w:r w:rsidR="003B3CC4">
        <w:t>impeding the development of incentives for</w:t>
      </w:r>
      <w:r w:rsidR="007A6E54" w:rsidRPr="007A6E54">
        <w:t xml:space="preserve"> the health sector to commit to supporting digital health solutions within hospitals and at transition </w:t>
      </w:r>
      <w:r w:rsidR="00B30016">
        <w:t>points</w:t>
      </w:r>
      <w:r w:rsidR="007A6E54" w:rsidRPr="007A6E54">
        <w:t xml:space="preserve">. </w:t>
      </w:r>
    </w:p>
    <w:p w14:paraId="0636C5FD" w14:textId="77777777" w:rsidR="003B3CC4" w:rsidRPr="007A6E54" w:rsidRDefault="003B3CC4" w:rsidP="00E751AF">
      <w:pPr>
        <w:pStyle w:val="Longdotpoints"/>
        <w:ind w:left="567"/>
      </w:pPr>
      <w:r>
        <w:t>The</w:t>
      </w:r>
      <w:r w:rsidRPr="007A6E54">
        <w:t xml:space="preserve"> increasing costs of evolving requirements for healthcare to be digitally enabled, such as Artificial Intelligence and machine learning to support real time patient care and virtual healthcare provision</w:t>
      </w:r>
      <w:r>
        <w:t xml:space="preserve"> are not adequately reflected in funding arrangements</w:t>
      </w:r>
      <w:r w:rsidRPr="007A6E54">
        <w:t xml:space="preserve">. Given this is a complex area involving rapid implementation of ICT solutions, the cost data used for pricing may not reflect the ongoing and enduring costs associated with contemporary ICT infrastructure. </w:t>
      </w:r>
    </w:p>
    <w:p w14:paraId="7E5633DA" w14:textId="77777777" w:rsidR="003B3CC4" w:rsidRPr="007A6E54" w:rsidRDefault="003B3CC4" w:rsidP="00E751AF">
      <w:pPr>
        <w:pStyle w:val="Longdotpoints"/>
        <w:ind w:left="567"/>
      </w:pPr>
      <w:r w:rsidRPr="007A6E54">
        <w:t xml:space="preserve">The NHRA does not include information about digital health literacy which is a determinant of health and required for communities, patients and clinicians to understand why and how care can be digitally enhanced. </w:t>
      </w:r>
    </w:p>
    <w:p w14:paraId="4C103432" w14:textId="77777777" w:rsidR="007744A2" w:rsidRDefault="007744A2" w:rsidP="007744A2">
      <w:pPr>
        <w:pStyle w:val="Heading3"/>
      </w:pPr>
      <w:bookmarkStart w:id="135" w:name="_Toc143291679"/>
      <w:r>
        <w:t>Strengths</w:t>
      </w:r>
      <w:bookmarkEnd w:id="135"/>
      <w:r>
        <w:t xml:space="preserve"> </w:t>
      </w:r>
    </w:p>
    <w:p w14:paraId="24AF41B3" w14:textId="77777777" w:rsidR="001F41D7" w:rsidRDefault="001F41D7" w:rsidP="00CC7F3C">
      <w:pPr>
        <w:pStyle w:val="Longdotpoints"/>
        <w:numPr>
          <w:ilvl w:val="0"/>
          <w:numId w:val="0"/>
        </w:numPr>
      </w:pPr>
      <w:r>
        <w:t>Some of the strengths identified by stakeholders include:</w:t>
      </w:r>
    </w:p>
    <w:p w14:paraId="72783A34" w14:textId="3319CEA8" w:rsidR="00D11F44" w:rsidRPr="00D11F44" w:rsidRDefault="00D11F44" w:rsidP="00CC7F3C">
      <w:pPr>
        <w:pStyle w:val="Longdotpoints"/>
        <w:ind w:left="567"/>
      </w:pPr>
      <w:r w:rsidRPr="00D11F44">
        <w:t xml:space="preserve">Schedule F (Interfaces between Health, Disability and Aged Care Systems) of the NHRA Addendum sets out all governments’ commitment to improve patient outcomes at transition points of care. This provides a practical launch point to introduce and integrate digital health solutions </w:t>
      </w:r>
      <w:r w:rsidR="00B30016">
        <w:t>in a</w:t>
      </w:r>
      <w:r w:rsidRPr="00D11F44">
        <w:t xml:space="preserve"> future NHRA. </w:t>
      </w:r>
    </w:p>
    <w:p w14:paraId="095DD65A" w14:textId="60A36285" w:rsidR="00D11F44" w:rsidRPr="00D11F44" w:rsidRDefault="00D11F44" w:rsidP="00CC7F3C">
      <w:pPr>
        <w:pStyle w:val="Longdotpoints"/>
        <w:ind w:left="567"/>
      </w:pPr>
      <w:r w:rsidRPr="00D11F44">
        <w:t>The COVID-19 pandemic response provided opportunities to innovate, accelerating the use of digital health and telehealth which are now being embedded systematically by governments</w:t>
      </w:r>
      <w:r w:rsidR="00F82CCF">
        <w:t xml:space="preserve"> (see </w:t>
      </w:r>
      <w:r w:rsidR="00B30016">
        <w:t>Case Study</w:t>
      </w:r>
      <w:r w:rsidR="00F82CCF">
        <w:t>: W</w:t>
      </w:r>
      <w:r w:rsidR="00B552E3">
        <w:t>estern Australia</w:t>
      </w:r>
      <w:r w:rsidR="00F82CCF">
        <w:t xml:space="preserve"> Virtual Emergency Department)</w:t>
      </w:r>
      <w:r w:rsidRPr="00D11F44">
        <w:t xml:space="preserve">. </w:t>
      </w:r>
    </w:p>
    <w:p w14:paraId="6FF4FF1A" w14:textId="77777777" w:rsidR="00B11B75" w:rsidRDefault="006C26CB" w:rsidP="00CC7F3C">
      <w:pPr>
        <w:pStyle w:val="Longdotpoints"/>
        <w:ind w:left="567"/>
      </w:pPr>
      <w:r>
        <w:t xml:space="preserve">The former </w:t>
      </w:r>
      <w:r w:rsidRPr="005A7536">
        <w:rPr>
          <w:i/>
          <w:iCs/>
        </w:rPr>
        <w:t>2017-22 National Digital Health Strategy</w:t>
      </w:r>
      <w:r>
        <w:t xml:space="preserve"> set the foundations to fundamentally shift Australia towards greater use of digital systems. Building on those achievements, the 2023-28 strategy</w:t>
      </w:r>
      <w:r w:rsidR="00F168AB">
        <w:t xml:space="preserve"> sets the roadmap for </w:t>
      </w:r>
      <w:r w:rsidR="00112897">
        <w:t xml:space="preserve">the Commonwealth, </w:t>
      </w:r>
      <w:r w:rsidR="009110F5">
        <w:t>S</w:t>
      </w:r>
      <w:r w:rsidR="00112897" w:rsidRPr="00B11B75">
        <w:t xml:space="preserve">tate and </w:t>
      </w:r>
      <w:r w:rsidR="009110F5">
        <w:t>T</w:t>
      </w:r>
      <w:r w:rsidR="00112897" w:rsidRPr="00B11B75">
        <w:t>erritory governments and other partners to</w:t>
      </w:r>
      <w:r w:rsidRPr="00B11B75">
        <w:t xml:space="preserve"> </w:t>
      </w:r>
      <w:r w:rsidR="00112897" w:rsidRPr="00B11B75">
        <w:t xml:space="preserve">collaboratively </w:t>
      </w:r>
      <w:r w:rsidRPr="00B11B75">
        <w:t>harness the unprecedented availability of digital technology and data to ensure people have the right information at the right time.</w:t>
      </w:r>
    </w:p>
    <w:p w14:paraId="24EB826E" w14:textId="75341023" w:rsidR="0075459D" w:rsidRPr="00B11B75" w:rsidRDefault="00ED79E8" w:rsidP="00CC7F3C">
      <w:pPr>
        <w:pStyle w:val="Longdotpoints"/>
        <w:ind w:left="567"/>
      </w:pPr>
      <w:r w:rsidRPr="00B11B75">
        <w:t xml:space="preserve">The </w:t>
      </w:r>
      <w:r w:rsidR="00A61633" w:rsidRPr="00B11B75">
        <w:t>ADHA</w:t>
      </w:r>
      <w:r w:rsidR="00B406EA" w:rsidRPr="00B11B75">
        <w:t xml:space="preserve"> </w:t>
      </w:r>
      <w:r w:rsidR="00F630F9" w:rsidRPr="00B11B75">
        <w:t>plays a key role in connecting Australians to a modern healthcare system that ensure</w:t>
      </w:r>
      <w:r w:rsidR="00F630F9">
        <w:t xml:space="preserve"> they can access the care they need, when and where they need it</w:t>
      </w:r>
      <w:r w:rsidR="00B406EA">
        <w:t xml:space="preserve">. </w:t>
      </w:r>
      <w:r w:rsidR="00475E20">
        <w:t>T</w:t>
      </w:r>
      <w:r w:rsidR="00C57FDB">
        <w:t xml:space="preserve">he </w:t>
      </w:r>
      <w:r w:rsidR="00B12865" w:rsidRPr="005A7536">
        <w:rPr>
          <w:i/>
          <w:iCs/>
        </w:rPr>
        <w:t>IGA</w:t>
      </w:r>
      <w:r w:rsidR="00C57FDB" w:rsidRPr="005A7536">
        <w:rPr>
          <w:i/>
          <w:iCs/>
        </w:rPr>
        <w:t xml:space="preserve"> on National Digital Health</w:t>
      </w:r>
      <w:r w:rsidR="003F4A45">
        <w:t xml:space="preserve">, a shared investment commitment between the Commonwealth and the </w:t>
      </w:r>
      <w:r w:rsidR="00415636">
        <w:t>S</w:t>
      </w:r>
      <w:r w:rsidR="003F4A45">
        <w:t xml:space="preserve">tates and </w:t>
      </w:r>
      <w:r w:rsidR="00415636">
        <w:t>T</w:t>
      </w:r>
      <w:r w:rsidR="003F4A45">
        <w:t>erritories,</w:t>
      </w:r>
      <w:r w:rsidR="003B038F">
        <w:t xml:space="preserve"> has </w:t>
      </w:r>
      <w:r w:rsidR="009C1B10">
        <w:t>been renewed for four years from 2023-24</w:t>
      </w:r>
      <w:r w:rsidR="00B11B75">
        <w:t xml:space="preserve">. The IGA ensures </w:t>
      </w:r>
      <w:r w:rsidR="00001A9D">
        <w:t xml:space="preserve">funding to the ADHA </w:t>
      </w:r>
      <w:r w:rsidR="002E3FC0">
        <w:t>to enable interoperability and the flow of health information across care settings to support high quality care and the efficiency, effectiveness, and sustainability of the health system.</w:t>
      </w:r>
      <w:r w:rsidR="00EF074B">
        <w:t xml:space="preserve"> The IGA also funds the ADHA to deliver a range of national digital services that contribute to minimising the pressure on hospitals and supporting Australia’s health reform objectives.</w:t>
      </w:r>
    </w:p>
    <w:tbl>
      <w:tblPr>
        <w:tblStyle w:val="TableGrid"/>
        <w:tblW w:w="0" w:type="auto"/>
        <w:tblBorders>
          <w:top w:val="dotted" w:sz="4" w:space="0" w:color="0097A9" w:themeColor="accent5"/>
          <w:left w:val="dotted" w:sz="4" w:space="0" w:color="0097A9" w:themeColor="accent5"/>
          <w:bottom w:val="dotted" w:sz="4" w:space="0" w:color="0097A9" w:themeColor="accent5"/>
          <w:right w:val="dotted" w:sz="4" w:space="0" w:color="0097A9" w:themeColor="accent5"/>
        </w:tblBorders>
        <w:tblLook w:val="04A0" w:firstRow="1" w:lastRow="0" w:firstColumn="1" w:lastColumn="0" w:noHBand="0" w:noVBand="1"/>
      </w:tblPr>
      <w:tblGrid>
        <w:gridCol w:w="10456"/>
      </w:tblGrid>
      <w:tr w:rsidR="00EC7971" w14:paraId="546F339B" w14:textId="77777777" w:rsidTr="001E118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9F784B5" w14:textId="313BD3CF" w:rsidR="00EC7971" w:rsidRPr="00BB2C81" w:rsidRDefault="00EC7971" w:rsidP="00C10B26">
            <w:pPr>
              <w:pStyle w:val="Summarytable"/>
              <w:rPr>
                <w:color w:val="00707E" w:themeColor="accent5" w:themeShade="BF"/>
              </w:rPr>
            </w:pPr>
            <w:r w:rsidRPr="007E5E8F">
              <w:rPr>
                <w:noProof/>
                <w:color w:val="00707E" w:themeColor="accent5" w:themeShade="BF"/>
              </w:rPr>
              <w:drawing>
                <wp:inline distT="0" distB="0" distL="0" distR="0" wp14:anchorId="55993F7A" wp14:editId="5BE3B906">
                  <wp:extent cx="270000" cy="270000"/>
                  <wp:effectExtent l="0" t="0" r="0" b="0"/>
                  <wp:docPr id="16" name="Graphic 16" descr="P992C1T2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992C1T22#yIS1">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70000" cy="270000"/>
                          </a:xfrm>
                          <a:prstGeom prst="rect">
                            <a:avLst/>
                          </a:prstGeom>
                        </pic:spPr>
                      </pic:pic>
                    </a:graphicData>
                  </a:graphic>
                </wp:inline>
              </w:drawing>
            </w:r>
            <w:r w:rsidRPr="007E5E8F">
              <w:rPr>
                <w:color w:val="00707E" w:themeColor="accent5" w:themeShade="BF"/>
              </w:rPr>
              <w:t>Case study:</w:t>
            </w:r>
            <w:r w:rsidRPr="00BB2C81">
              <w:rPr>
                <w:color w:val="00707E" w:themeColor="accent5" w:themeShade="BF"/>
              </w:rPr>
              <w:t xml:space="preserve"> </w:t>
            </w:r>
            <w:r w:rsidR="00B552E3" w:rsidRPr="00B552E3">
              <w:rPr>
                <w:b w:val="0"/>
                <w:bCs w:val="0"/>
                <w:color w:val="00707E" w:themeColor="accent5" w:themeShade="BF"/>
              </w:rPr>
              <w:t>Western Australia</w:t>
            </w:r>
            <w:r w:rsidRPr="006E2414">
              <w:rPr>
                <w:b w:val="0"/>
                <w:bCs w:val="0"/>
                <w:color w:val="00707E" w:themeColor="accent5" w:themeShade="BF"/>
              </w:rPr>
              <w:t xml:space="preserve"> Virtual </w:t>
            </w:r>
            <w:r w:rsidRPr="00D6405F">
              <w:rPr>
                <w:b w:val="0"/>
                <w:bCs w:val="0"/>
                <w:color w:val="00707E" w:themeColor="accent5" w:themeShade="BF"/>
              </w:rPr>
              <w:t xml:space="preserve">Emergency Department </w:t>
            </w:r>
            <w:r w:rsidRPr="006E2414">
              <w:rPr>
                <w:b w:val="0"/>
                <w:bCs w:val="0"/>
                <w:color w:val="00707E" w:themeColor="accent5" w:themeShade="BF"/>
              </w:rPr>
              <w:t>(WAVED)</w:t>
            </w:r>
          </w:p>
          <w:p w14:paraId="27AB1049" w14:textId="71CDBE2C" w:rsidR="00EC7971" w:rsidRPr="00116E35" w:rsidRDefault="003B5EB3" w:rsidP="00C10B26">
            <w:pPr>
              <w:pStyle w:val="Summarytable"/>
              <w:rPr>
                <w:b w:val="0"/>
                <w:bCs w:val="0"/>
              </w:rPr>
            </w:pPr>
            <w:r>
              <w:rPr>
                <w:b w:val="0"/>
                <w:bCs w:val="0"/>
              </w:rPr>
              <w:t xml:space="preserve">The </w:t>
            </w:r>
            <w:r w:rsidR="00B552E3" w:rsidRPr="00B552E3">
              <w:rPr>
                <w:b w:val="0"/>
                <w:bCs w:val="0"/>
              </w:rPr>
              <w:t>Western Australia</w:t>
            </w:r>
            <w:r>
              <w:rPr>
                <w:b w:val="0"/>
                <w:bCs w:val="0"/>
              </w:rPr>
              <w:t xml:space="preserve"> Virtual Emergency Department </w:t>
            </w:r>
            <w:r w:rsidR="00EC7971" w:rsidRPr="00116E35">
              <w:rPr>
                <w:b w:val="0"/>
                <w:bCs w:val="0"/>
              </w:rPr>
              <w:t xml:space="preserve">will give patients the option of being seen virtually in the comfort of their own home when safe and appropriate to do so, rather than waiting in an ED. The partnership between the </w:t>
            </w:r>
            <w:r w:rsidR="00B552E3" w:rsidRPr="00B552E3">
              <w:rPr>
                <w:b w:val="0"/>
                <w:bCs w:val="0"/>
              </w:rPr>
              <w:t>Western Australia</w:t>
            </w:r>
            <w:r w:rsidR="00EC7971" w:rsidRPr="00116E35">
              <w:rPr>
                <w:b w:val="0"/>
                <w:bCs w:val="0"/>
              </w:rPr>
              <w:t xml:space="preserve"> Department of Health, Health Service Providers (HSPs) and St John </w:t>
            </w:r>
            <w:r w:rsidR="00B552E3" w:rsidRPr="00B552E3">
              <w:rPr>
                <w:b w:val="0"/>
                <w:bCs w:val="0"/>
              </w:rPr>
              <w:t>Western Australia</w:t>
            </w:r>
            <w:r w:rsidR="00EC7971" w:rsidRPr="00116E35">
              <w:rPr>
                <w:b w:val="0"/>
                <w:bCs w:val="0"/>
              </w:rPr>
              <w:t xml:space="preserve"> will provide patients with clinically appropriate alternative care options within their community using virtual specialist emergency medical care and help reduce physical </w:t>
            </w:r>
            <w:r w:rsidR="00EC7971">
              <w:rPr>
                <w:b w:val="0"/>
                <w:bCs w:val="0"/>
              </w:rPr>
              <w:t>ED</w:t>
            </w:r>
            <w:r w:rsidR="00EC7971" w:rsidRPr="00116E35">
              <w:rPr>
                <w:b w:val="0"/>
                <w:bCs w:val="0"/>
              </w:rPr>
              <w:t xml:space="preserve"> presentations and hospital admissions, easing the pressure on hospitals. </w:t>
            </w:r>
          </w:p>
          <w:p w14:paraId="40FD6742" w14:textId="090BDDD9" w:rsidR="00EC7971" w:rsidRPr="003578B9" w:rsidRDefault="004E4296" w:rsidP="00C10B26">
            <w:pPr>
              <w:pStyle w:val="Summarytable"/>
              <w:rPr>
                <w:b w:val="0"/>
                <w:bCs w:val="0"/>
              </w:rPr>
            </w:pPr>
            <w:r>
              <w:rPr>
                <w:b w:val="0"/>
                <w:bCs w:val="0"/>
              </w:rPr>
              <w:t xml:space="preserve">The next phase </w:t>
            </w:r>
            <w:r w:rsidR="00A57149">
              <w:rPr>
                <w:b w:val="0"/>
                <w:bCs w:val="0"/>
              </w:rPr>
              <w:t xml:space="preserve">of this initiative, </w:t>
            </w:r>
            <w:r w:rsidRPr="004E4296">
              <w:rPr>
                <w:b w:val="0"/>
                <w:bCs w:val="0"/>
              </w:rPr>
              <w:t>aiming to be operational before the end of 2023</w:t>
            </w:r>
            <w:r w:rsidR="00A57149">
              <w:rPr>
                <w:b w:val="0"/>
                <w:bCs w:val="0"/>
              </w:rPr>
              <w:t>,</w:t>
            </w:r>
            <w:r w:rsidRPr="004E4296">
              <w:rPr>
                <w:b w:val="0"/>
                <w:bCs w:val="0"/>
              </w:rPr>
              <w:t xml:space="preserve"> will require rapid development of a new platform to connect HSP-based virtual medicine pathways and support a centralised secondary triage service</w:t>
            </w:r>
            <w:r w:rsidR="00EC7971" w:rsidRPr="00116E35">
              <w:rPr>
                <w:b w:val="0"/>
                <w:bCs w:val="0"/>
              </w:rPr>
              <w:t>.</w:t>
            </w:r>
          </w:p>
        </w:tc>
      </w:tr>
    </w:tbl>
    <w:p w14:paraId="491B98F9" w14:textId="3519E652" w:rsidR="00EC7971" w:rsidRDefault="00C4374F" w:rsidP="00EC7971">
      <w:pPr>
        <w:pStyle w:val="Heading2"/>
        <w:pageBreakBefore/>
      </w:pPr>
      <w:bookmarkStart w:id="136" w:name="_Toc143291680"/>
      <w:r>
        <w:rPr>
          <w:noProof/>
        </w:rPr>
        <w:drawing>
          <wp:anchor distT="0" distB="0" distL="114300" distR="114300" simplePos="0" relativeHeight="251659264" behindDoc="0" locked="0" layoutInCell="1" allowOverlap="1" wp14:anchorId="707EA8FF" wp14:editId="06675BBC">
            <wp:simplePos x="0" y="0"/>
            <wp:positionH relativeFrom="column">
              <wp:posOffset>5836095</wp:posOffset>
            </wp:positionH>
            <wp:positionV relativeFrom="paragraph">
              <wp:posOffset>-74295</wp:posOffset>
            </wp:positionV>
            <wp:extent cx="822490" cy="809330"/>
            <wp:effectExtent l="0" t="0" r="0" b="0"/>
            <wp:wrapNone/>
            <wp:docPr id="52379498" name="Picture 52379498" descr="P99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9498" name="Picture 52379498" descr="P996#y1">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822490" cy="809330"/>
                    </a:xfrm>
                    <a:prstGeom prst="rect">
                      <a:avLst/>
                    </a:prstGeom>
                  </pic:spPr>
                </pic:pic>
              </a:graphicData>
            </a:graphic>
            <wp14:sizeRelH relativeFrom="page">
              <wp14:pctWidth>0</wp14:pctWidth>
            </wp14:sizeRelH>
            <wp14:sizeRelV relativeFrom="page">
              <wp14:pctHeight>0</wp14:pctHeight>
            </wp14:sizeRelV>
          </wp:anchor>
        </w:drawing>
      </w:r>
      <w:r w:rsidR="00EC7971">
        <w:t>Measuring success</w:t>
      </w:r>
      <w:bookmarkEnd w:id="136"/>
    </w:p>
    <w:tbl>
      <w:tblPr>
        <w:tblStyle w:val="TableGrid"/>
        <w:tblW w:w="0" w:type="auto"/>
        <w:shd w:val="clear" w:color="auto" w:fill="F2F2F2" w:themeFill="background1" w:themeFillShade="F2"/>
        <w:tblLook w:val="04A0" w:firstRow="1" w:lastRow="0" w:firstColumn="1" w:lastColumn="0" w:noHBand="0" w:noVBand="1"/>
      </w:tblPr>
      <w:tblGrid>
        <w:gridCol w:w="10466"/>
      </w:tblGrid>
      <w:tr w:rsidR="00EC7971" w14:paraId="32D1DD06" w14:textId="77777777" w:rsidTr="00C10B26">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tcPr>
          <w:p w14:paraId="42C8763A" w14:textId="35C62E49" w:rsidR="00EC7971" w:rsidRDefault="00EC7971" w:rsidP="00C10B26">
            <w:pPr>
              <w:pStyle w:val="Summarytable"/>
              <w:rPr>
                <w:color w:val="00707E" w:themeColor="accent5" w:themeShade="BF"/>
              </w:rPr>
            </w:pPr>
            <w:r>
              <w:rPr>
                <w:noProof/>
              </w:rPr>
              <w:drawing>
                <wp:inline distT="0" distB="0" distL="0" distR="0" wp14:anchorId="6EA6A103" wp14:editId="4A3DF492">
                  <wp:extent cx="270000" cy="270000"/>
                  <wp:effectExtent l="0" t="0" r="0" b="0"/>
                  <wp:docPr id="27" name="Graphic 27" descr="P997C1T2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P997C1T23#yIS1">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70000" cy="270000"/>
                          </a:xfrm>
                          <a:prstGeom prst="rect">
                            <a:avLst/>
                          </a:prstGeom>
                        </pic:spPr>
                      </pic:pic>
                    </a:graphicData>
                  </a:graphic>
                </wp:inline>
              </w:drawing>
            </w:r>
            <w:r w:rsidRPr="00BB2C81">
              <w:rPr>
                <w:color w:val="00707E" w:themeColor="accent5" w:themeShade="BF"/>
              </w:rPr>
              <w:t>Summary</w:t>
            </w:r>
            <w:r>
              <w:rPr>
                <w:color w:val="00707E" w:themeColor="accent5" w:themeShade="BF"/>
              </w:rPr>
              <w:t xml:space="preserve"> of what we heard</w:t>
            </w:r>
            <w:r w:rsidRPr="00BB2C81">
              <w:rPr>
                <w:color w:val="00707E" w:themeColor="accent5" w:themeShade="BF"/>
              </w:rPr>
              <w:t xml:space="preserve">: </w:t>
            </w:r>
          </w:p>
          <w:p w14:paraId="1F6C6CE2" w14:textId="11406704" w:rsidR="00EC7971" w:rsidRDefault="00EC7971" w:rsidP="00C10B26">
            <w:pPr>
              <w:pStyle w:val="Summarytable"/>
              <w:rPr>
                <w:b w:val="0"/>
                <w:bCs w:val="0"/>
              </w:rPr>
            </w:pPr>
            <w:r w:rsidRPr="00BD5804">
              <w:rPr>
                <w:color w:val="000000" w:themeColor="text1"/>
              </w:rPr>
              <w:t>Measuring the performance of the health system, understanding future pressures</w:t>
            </w:r>
            <w:r>
              <w:rPr>
                <w:color w:val="000000" w:themeColor="text1"/>
              </w:rPr>
              <w:t>,</w:t>
            </w:r>
            <w:r w:rsidRPr="00BD5804">
              <w:rPr>
                <w:color w:val="000000" w:themeColor="text1"/>
              </w:rPr>
              <w:t xml:space="preserve"> and the capacity of the system to respond to these </w:t>
            </w:r>
            <w:r>
              <w:rPr>
                <w:color w:val="000000" w:themeColor="text1"/>
              </w:rPr>
              <w:t>pressures</w:t>
            </w:r>
            <w:r w:rsidR="003B5EB3">
              <w:rPr>
                <w:color w:val="000000" w:themeColor="text1"/>
              </w:rPr>
              <w:t>,</w:t>
            </w:r>
            <w:r>
              <w:rPr>
                <w:color w:val="000000" w:themeColor="text1"/>
              </w:rPr>
              <w:t xml:space="preserve"> </w:t>
            </w:r>
            <w:r w:rsidRPr="00BD5804">
              <w:rPr>
                <w:color w:val="000000" w:themeColor="text1"/>
              </w:rPr>
              <w:t>is essential to a well operating NHRA. While there are mechanisms in the Agreement to track performance, there is insufficient understanding and ownership of thes</w:t>
            </w:r>
            <w:r>
              <w:rPr>
                <w:color w:val="000000" w:themeColor="text1"/>
              </w:rPr>
              <w:t xml:space="preserve">e performance mechanisms </w:t>
            </w:r>
            <w:r w:rsidRPr="00BD5804">
              <w:rPr>
                <w:color w:val="000000" w:themeColor="text1"/>
              </w:rPr>
              <w:t>and they are not used as a proactive monitoring and planning tool.</w:t>
            </w:r>
            <w:r w:rsidRPr="00155585">
              <w:rPr>
                <w:b w:val="0"/>
                <w:bCs w:val="0"/>
                <w:color w:val="000000" w:themeColor="text1"/>
              </w:rPr>
              <w:t xml:space="preserve"> </w:t>
            </w:r>
            <w:r w:rsidRPr="00514FFF">
              <w:rPr>
                <w:b w:val="0"/>
                <w:bCs w:val="0"/>
              </w:rPr>
              <w:t xml:space="preserve">The NHRA lacks an overarching governing body, robust business rules and a shared </w:t>
            </w:r>
            <w:r>
              <w:rPr>
                <w:b w:val="0"/>
                <w:bCs w:val="0"/>
              </w:rPr>
              <w:t>understanding of performance that can guide future planning, the design and</w:t>
            </w:r>
            <w:r w:rsidRPr="00514FFF">
              <w:rPr>
                <w:b w:val="0"/>
                <w:bCs w:val="0"/>
              </w:rPr>
              <w:t xml:space="preserve"> implementation of highest priority healthcare interventions</w:t>
            </w:r>
            <w:r>
              <w:rPr>
                <w:b w:val="0"/>
                <w:bCs w:val="0"/>
              </w:rPr>
              <w:t xml:space="preserve"> and immediate responses.  </w:t>
            </w:r>
          </w:p>
          <w:p w14:paraId="1D99DD77" w14:textId="77777777" w:rsidR="00EC7971" w:rsidRDefault="00EC7971" w:rsidP="00C10B26">
            <w:pPr>
              <w:pStyle w:val="Summarytable"/>
            </w:pPr>
            <w:r>
              <w:rPr>
                <w:b w:val="0"/>
                <w:bCs w:val="0"/>
              </w:rPr>
              <w:t>There was limited evidence of</w:t>
            </w:r>
            <w:r w:rsidRPr="00514FFF">
              <w:rPr>
                <w:b w:val="0"/>
                <w:bCs w:val="0"/>
              </w:rPr>
              <w:t xml:space="preserve"> regular assessment against key performance measures to monitor progress against </w:t>
            </w:r>
            <w:r>
              <w:rPr>
                <w:b w:val="0"/>
                <w:bCs w:val="0"/>
              </w:rPr>
              <w:t>NHRA</w:t>
            </w:r>
            <w:r w:rsidRPr="00514FFF">
              <w:rPr>
                <w:b w:val="0"/>
                <w:bCs w:val="0"/>
              </w:rPr>
              <w:t xml:space="preserve"> objectives.</w:t>
            </w:r>
          </w:p>
        </w:tc>
      </w:tr>
    </w:tbl>
    <w:p w14:paraId="3818EAE6" w14:textId="77777777" w:rsidR="00606676" w:rsidRDefault="00606676" w:rsidP="00606676">
      <w:pPr>
        <w:pStyle w:val="Heading3"/>
        <w:spacing w:before="120"/>
      </w:pPr>
      <w:bookmarkStart w:id="137" w:name="_Toc143291681"/>
      <w:r>
        <w:t>Identified issues</w:t>
      </w:r>
      <w:bookmarkEnd w:id="137"/>
      <w:r>
        <w:t xml:space="preserve"> </w:t>
      </w:r>
    </w:p>
    <w:p w14:paraId="2EF84A7B" w14:textId="77777777" w:rsidR="00606676" w:rsidRPr="00CE26D9" w:rsidRDefault="00606676" w:rsidP="00606676">
      <w:r>
        <w:t xml:space="preserve">The key issues identified </w:t>
      </w:r>
      <w:r w:rsidR="00F07946">
        <w:t xml:space="preserve">by stakeholders </w:t>
      </w:r>
      <w:r>
        <w:t>as part of this theme were:</w:t>
      </w:r>
    </w:p>
    <w:p w14:paraId="064E0AC2" w14:textId="77777777" w:rsidR="001E1AD2" w:rsidRPr="001E1AD2" w:rsidRDefault="001E1AD2" w:rsidP="00E751AF">
      <w:pPr>
        <w:pStyle w:val="Longdotpoints"/>
        <w:ind w:left="567"/>
      </w:pPr>
      <w:r w:rsidRPr="001E1AD2">
        <w:t>There is a lack of an overarching governing body, robust business rules and principles to support a shared vision and understanding</w:t>
      </w:r>
      <w:r w:rsidR="002B6B66">
        <w:t xml:space="preserve"> of the performance of the health system</w:t>
      </w:r>
      <w:r w:rsidRPr="001E1AD2">
        <w:t xml:space="preserve">, drive implementation of highest priority healthcare interventions, and conduct regular assessment against key performance measures to monitor progress against reform objectives. </w:t>
      </w:r>
    </w:p>
    <w:p w14:paraId="7AFF5F2F" w14:textId="35C479FF" w:rsidR="00445B79" w:rsidRPr="001E1AD2" w:rsidRDefault="00445B79" w:rsidP="00E751AF">
      <w:pPr>
        <w:pStyle w:val="Longdotpoints"/>
        <w:ind w:left="567"/>
      </w:pPr>
      <w:r>
        <w:t xml:space="preserve">The </w:t>
      </w:r>
      <w:r w:rsidR="00B61D95" w:rsidRPr="00B61D95">
        <w:t xml:space="preserve">Australian Commission on Safety and Quality in Health Care </w:t>
      </w:r>
      <w:r w:rsidR="00B61D95">
        <w:t>(</w:t>
      </w:r>
      <w:r>
        <w:t>ACSQHC</w:t>
      </w:r>
      <w:r w:rsidR="00B61D95">
        <w:t>)</w:t>
      </w:r>
      <w:r>
        <w:t xml:space="preserve"> and IHACPA have</w:t>
      </w:r>
      <w:r w:rsidR="008261C4">
        <w:t xml:space="preserve"> </w:t>
      </w:r>
      <w:r w:rsidR="001031F3">
        <w:t>data, expertise</w:t>
      </w:r>
      <w:r w:rsidR="00C519F4">
        <w:t xml:space="preserve"> and capabilities that are critical to the development, </w:t>
      </w:r>
      <w:r w:rsidR="00463DA7">
        <w:t>monitoring, and evaluation of the performance of the health system.</w:t>
      </w:r>
      <w:r w:rsidR="001031F3">
        <w:t xml:space="preserve"> However, the</w:t>
      </w:r>
      <w:r w:rsidR="00C56024">
        <w:t xml:space="preserve"> curren</w:t>
      </w:r>
      <w:r w:rsidR="00557A57">
        <w:t>t governance arrangements</w:t>
      </w:r>
      <w:r w:rsidR="00ED5F9E">
        <w:t xml:space="preserve"> do not</w:t>
      </w:r>
      <w:r w:rsidR="00557A57">
        <w:t xml:space="preserve"> </w:t>
      </w:r>
      <w:r w:rsidR="00155C5B">
        <w:t>encourage active</w:t>
      </w:r>
      <w:r w:rsidR="00ED5F9E">
        <w:t xml:space="preserve"> and regular</w:t>
      </w:r>
      <w:r w:rsidR="00155C5B">
        <w:t xml:space="preserve"> involvement of</w:t>
      </w:r>
      <w:r w:rsidR="00EB0901">
        <w:t xml:space="preserve"> the ACSQHC or IHACPA </w:t>
      </w:r>
      <w:r w:rsidR="00DE6117">
        <w:t xml:space="preserve">in national health policy </w:t>
      </w:r>
      <w:r w:rsidR="00A6108F">
        <w:t>issues</w:t>
      </w:r>
      <w:r w:rsidR="00ED5F9E">
        <w:t>.</w:t>
      </w:r>
    </w:p>
    <w:p w14:paraId="31F37C72" w14:textId="274A7A0B" w:rsidR="001E1AD2" w:rsidRPr="001E1AD2" w:rsidRDefault="001E1AD2" w:rsidP="00E751AF">
      <w:pPr>
        <w:pStyle w:val="Longdotpoints"/>
        <w:ind w:left="567"/>
      </w:pPr>
      <w:r w:rsidRPr="001E1AD2">
        <w:t>A nationally consistent</w:t>
      </w:r>
      <w:r w:rsidR="002C23D1">
        <w:t xml:space="preserve"> framework and</w:t>
      </w:r>
      <w:r w:rsidR="00697BA6">
        <w:t xml:space="preserve"> underpinning</w:t>
      </w:r>
      <w:r w:rsidRPr="001E1AD2">
        <w:t xml:space="preserve"> dataset</w:t>
      </w:r>
      <w:r w:rsidR="00892DA2">
        <w:t xml:space="preserve"> to measure performance</w:t>
      </w:r>
      <w:r w:rsidRPr="001E1AD2">
        <w:t xml:space="preserve"> is a known gap</w:t>
      </w:r>
      <w:r w:rsidR="00FC5386">
        <w:t xml:space="preserve"> (see </w:t>
      </w:r>
      <w:r w:rsidR="003B5EB3">
        <w:t>Observation</w:t>
      </w:r>
      <w:r w:rsidR="00FC5386">
        <w:t>: Australian Health Performance Framework)</w:t>
      </w:r>
      <w:r w:rsidRPr="001E1AD2">
        <w:t>. The absence of</w:t>
      </w:r>
      <w:r w:rsidR="00697BA6">
        <w:t xml:space="preserve"> the</w:t>
      </w:r>
      <w:r w:rsidRPr="001E1AD2">
        <w:t xml:space="preserve"> quantification of benefits constrains the ability to make informed investment decisions. </w:t>
      </w:r>
    </w:p>
    <w:p w14:paraId="64F9EA51" w14:textId="6F38B1EA" w:rsidR="00AC6248" w:rsidRDefault="00BD2A7D" w:rsidP="00E751AF">
      <w:pPr>
        <w:pStyle w:val="Longdotpoints"/>
        <w:ind w:left="567"/>
      </w:pPr>
      <w:r>
        <w:t>Current performance metrics in the AHPF are largely focused on activity, with insufficient reporting on the consumer experience or outcome measures including for vulnerable populations.</w:t>
      </w:r>
    </w:p>
    <w:p w14:paraId="629F1B83" w14:textId="6D0E4781" w:rsidR="00AC6248" w:rsidRDefault="00AC6248" w:rsidP="00E751AF">
      <w:pPr>
        <w:pStyle w:val="Longdotpoints"/>
        <w:ind w:left="567"/>
      </w:pPr>
      <w:r>
        <w:t>Available data does not provide full visibility of the operation of the current health system, with limited visibility of the drivers or barriers to health system performance and efficiency</w:t>
      </w:r>
      <w:r w:rsidR="00524EAD">
        <w:t xml:space="preserve"> (</w:t>
      </w:r>
      <w:r w:rsidR="003B5EB3">
        <w:t>see O</w:t>
      </w:r>
      <w:r w:rsidR="00524EAD">
        <w:t>bservation: Hospital Acquired Complication reforms)</w:t>
      </w:r>
      <w:r>
        <w:t xml:space="preserve">. For example, stakeholders reported that the impact and value from public health and prevention is not prioritised and does not include the wider determinants of health, health improvement, health protection, public health and premature mortality factors. </w:t>
      </w:r>
    </w:p>
    <w:p w14:paraId="0CEF549F" w14:textId="77777777" w:rsidR="00AC6248" w:rsidRDefault="00AC6248" w:rsidP="00E751AF">
      <w:pPr>
        <w:pStyle w:val="Longdotpoints"/>
        <w:ind w:left="567"/>
      </w:pPr>
      <w:r>
        <w:t xml:space="preserve">There is a perception that data-sharing is one-way, with jurisdictions reporting a lack of access to Commonwealth record-level data including MBS and PBS data, NDIS, Australian Immunisation Register (AIR) and aged care bed availability information to drive greater insights, clinical service planning, data linkage and joint commissioning. </w:t>
      </w:r>
    </w:p>
    <w:p w14:paraId="548E1E0B" w14:textId="77777777" w:rsidR="001E1AD2" w:rsidRDefault="00AC6248" w:rsidP="00E751AF">
      <w:pPr>
        <w:pStyle w:val="Longdotpoints"/>
        <w:ind w:left="567"/>
      </w:pPr>
      <w:r>
        <w:t>There is insufficient incentive to prioritise improvements in digital health infrastructure to support data collection and national reporting, despite the potential for this to inform evidence-based decision making and support person-centric healthcare</w:t>
      </w:r>
      <w:r w:rsidR="001E1AD2" w:rsidRPr="001E1AD2">
        <w:t xml:space="preserve">. </w:t>
      </w:r>
    </w:p>
    <w:tbl>
      <w:tblPr>
        <w:tblStyle w:val="TableGrid"/>
        <w:tblW w:w="0" w:type="auto"/>
        <w:tblBorders>
          <w:top w:val="dashSmallGap" w:sz="4" w:space="0" w:color="8496B0" w:themeColor="text2" w:themeTint="99"/>
          <w:left w:val="dashSmallGap" w:sz="4" w:space="0" w:color="8496B0" w:themeColor="text2" w:themeTint="99"/>
          <w:bottom w:val="dashSmallGap" w:sz="4" w:space="0" w:color="8496B0" w:themeColor="text2" w:themeTint="99"/>
          <w:right w:val="dashSmallGap" w:sz="4" w:space="0" w:color="8496B0" w:themeColor="text2" w:themeTint="99"/>
        </w:tblBorders>
        <w:tblLook w:val="04A0" w:firstRow="1" w:lastRow="0" w:firstColumn="1" w:lastColumn="0" w:noHBand="0" w:noVBand="1"/>
      </w:tblPr>
      <w:tblGrid>
        <w:gridCol w:w="10456"/>
      </w:tblGrid>
      <w:tr w:rsidR="00EC7971" w14:paraId="0CA4301F" w14:textId="77777777" w:rsidTr="00622DDB">
        <w:trPr>
          <w:cnfStyle w:val="100000000000" w:firstRow="1" w:lastRow="0" w:firstColumn="0" w:lastColumn="0" w:oddVBand="0" w:evenVBand="0" w:oddHBand="0" w:evenHBand="0" w:firstRowFirstColumn="0" w:firstRowLastColumn="0" w:lastRowFirstColumn="0" w:lastRowLastColumn="0"/>
        </w:trPr>
        <w:tc>
          <w:tcPr>
            <w:tcW w:w="1046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B23745E" w14:textId="2C40B77F" w:rsidR="00EC7971" w:rsidRPr="000A1FFF" w:rsidRDefault="000A1FFF" w:rsidP="00C10B26">
            <w:pPr>
              <w:pStyle w:val="Summarytable"/>
              <w:rPr>
                <w:b w:val="0"/>
                <w:color w:val="8496B0" w:themeColor="text2" w:themeTint="99"/>
              </w:rPr>
            </w:pPr>
            <w:r w:rsidRPr="007E5E8F">
              <w:rPr>
                <w:noProof/>
                <w:color w:val="8496B0" w:themeColor="text2" w:themeTint="99"/>
                <w:lang w:val="en-GB"/>
              </w:rPr>
              <w:drawing>
                <wp:inline distT="0" distB="0" distL="0" distR="0" wp14:anchorId="510DA83A" wp14:editId="4B520A52">
                  <wp:extent cx="270000" cy="270000"/>
                  <wp:effectExtent l="0" t="0" r="0" b="0"/>
                  <wp:docPr id="52" name="Graphic 52" descr="P1010C1T2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P1010C1T24#yIS1">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70000" cy="270000"/>
                          </a:xfrm>
                          <a:prstGeom prst="rect">
                            <a:avLst/>
                          </a:prstGeom>
                        </pic:spPr>
                      </pic:pic>
                    </a:graphicData>
                  </a:graphic>
                </wp:inline>
              </w:drawing>
            </w:r>
            <w:r w:rsidRPr="007E6224">
              <w:rPr>
                <w:color w:val="5B708F"/>
              </w:rPr>
              <w:t>Observation</w:t>
            </w:r>
            <w:r w:rsidR="00EC7971" w:rsidRPr="007E6224">
              <w:rPr>
                <w:color w:val="5B708F"/>
              </w:rPr>
              <w:t xml:space="preserve">: </w:t>
            </w:r>
            <w:r w:rsidR="00EC7971" w:rsidRPr="007E6224">
              <w:rPr>
                <w:b w:val="0"/>
                <w:color w:val="5B708F"/>
              </w:rPr>
              <w:t xml:space="preserve">Australian </w:t>
            </w:r>
            <w:r w:rsidR="00925D7C" w:rsidRPr="007E6224">
              <w:rPr>
                <w:b w:val="0"/>
                <w:color w:val="5B708F"/>
              </w:rPr>
              <w:t>health performance framework</w:t>
            </w:r>
          </w:p>
          <w:p w14:paraId="4A343B53" w14:textId="45A3DB9C" w:rsidR="00EC7971" w:rsidRDefault="001D6318" w:rsidP="00352DC9">
            <w:pPr>
              <w:pStyle w:val="Summarytable"/>
              <w:ind w:right="101"/>
              <w:rPr>
                <w:b w:val="0"/>
                <w:bCs w:val="0"/>
              </w:rPr>
            </w:pPr>
            <w:r>
              <w:rPr>
                <w:b w:val="0"/>
                <w:bCs w:val="0"/>
              </w:rPr>
              <w:t xml:space="preserve">Although </w:t>
            </w:r>
            <w:r w:rsidR="00352DC9" w:rsidRPr="00670BCE">
              <w:rPr>
                <w:b w:val="0"/>
                <w:bCs w:val="0"/>
              </w:rPr>
              <w:t>reporting requirements</w:t>
            </w:r>
            <w:r w:rsidR="00352DC9">
              <w:rPr>
                <w:b w:val="0"/>
                <w:bCs w:val="0"/>
              </w:rPr>
              <w:t xml:space="preserve"> and </w:t>
            </w:r>
            <w:r w:rsidR="00EC7971" w:rsidRPr="00670BCE">
              <w:rPr>
                <w:b w:val="0"/>
                <w:bCs w:val="0"/>
              </w:rPr>
              <w:t xml:space="preserve">indicator specifications </w:t>
            </w:r>
            <w:r w:rsidR="00925D7C">
              <w:rPr>
                <w:b w:val="0"/>
                <w:bCs w:val="0"/>
              </w:rPr>
              <w:t xml:space="preserve">introduced in 2011 </w:t>
            </w:r>
            <w:r w:rsidR="00EC7971" w:rsidRPr="00670BCE">
              <w:rPr>
                <w:b w:val="0"/>
                <w:bCs w:val="0"/>
              </w:rPr>
              <w:t>have been reviewed over the decade since their development, the reasons why the data should be collected and reported, and whether the indicators remain contemporary in the current digital environment, have not been evaluated.</w:t>
            </w:r>
            <w:r w:rsidR="00EC7971">
              <w:rPr>
                <w:b w:val="0"/>
                <w:bCs w:val="0"/>
              </w:rPr>
              <w:t xml:space="preserve"> As a result, the </w:t>
            </w:r>
            <w:r w:rsidR="00982DE6">
              <w:rPr>
                <w:b w:val="0"/>
                <w:bCs w:val="0"/>
              </w:rPr>
              <w:t xml:space="preserve">current </w:t>
            </w:r>
            <w:r w:rsidR="00EC7971" w:rsidRPr="00BC74C1">
              <w:rPr>
                <w:b w:val="0"/>
                <w:bCs w:val="0"/>
              </w:rPr>
              <w:t>AHPF</w:t>
            </w:r>
            <w:r w:rsidR="00EC7971">
              <w:rPr>
                <w:b w:val="0"/>
                <w:bCs w:val="0"/>
              </w:rPr>
              <w:t xml:space="preserve"> may</w:t>
            </w:r>
            <w:r w:rsidR="00EC7971" w:rsidRPr="00BC74C1">
              <w:rPr>
                <w:b w:val="0"/>
                <w:bCs w:val="0"/>
              </w:rPr>
              <w:t xml:space="preserve"> not prov</w:t>
            </w:r>
            <w:r w:rsidR="00EC7971">
              <w:rPr>
                <w:b w:val="0"/>
                <w:bCs w:val="0"/>
              </w:rPr>
              <w:t xml:space="preserve">e to be </w:t>
            </w:r>
            <w:r w:rsidR="00EC7971" w:rsidRPr="00BC74C1">
              <w:rPr>
                <w:b w:val="0"/>
                <w:bCs w:val="0"/>
              </w:rPr>
              <w:t>useful in tracking the overall progress of the system and as a tool for planning and performance monitoring</w:t>
            </w:r>
            <w:r w:rsidR="00EC7971">
              <w:rPr>
                <w:b w:val="0"/>
                <w:bCs w:val="0"/>
              </w:rPr>
              <w:t>.</w:t>
            </w:r>
          </w:p>
          <w:p w14:paraId="50D4BEAF" w14:textId="77777777" w:rsidR="00EC7971" w:rsidRPr="003578B9" w:rsidRDefault="00EC7971" w:rsidP="00C10B26">
            <w:pPr>
              <w:pStyle w:val="Summarytable"/>
              <w:ind w:right="101"/>
              <w:rPr>
                <w:b w:val="0"/>
                <w:bCs w:val="0"/>
              </w:rPr>
            </w:pPr>
            <w:r>
              <w:rPr>
                <w:b w:val="0"/>
                <w:bCs w:val="0"/>
              </w:rPr>
              <w:t>Reporting</w:t>
            </w:r>
            <w:r w:rsidRPr="003306DD">
              <w:rPr>
                <w:b w:val="0"/>
                <w:bCs w:val="0"/>
              </w:rPr>
              <w:t xml:space="preserve"> </w:t>
            </w:r>
            <w:r>
              <w:rPr>
                <w:b w:val="0"/>
                <w:bCs w:val="0"/>
              </w:rPr>
              <w:t>tends to</w:t>
            </w:r>
            <w:r w:rsidRPr="003306DD">
              <w:rPr>
                <w:b w:val="0"/>
                <w:bCs w:val="0"/>
              </w:rPr>
              <w:t xml:space="preserve"> focus on activity </w:t>
            </w:r>
            <w:r>
              <w:rPr>
                <w:b w:val="0"/>
                <w:bCs w:val="0"/>
              </w:rPr>
              <w:t xml:space="preserve">and outputs </w:t>
            </w:r>
            <w:r w:rsidRPr="003306DD">
              <w:rPr>
                <w:b w:val="0"/>
                <w:bCs w:val="0"/>
              </w:rPr>
              <w:t>and does not talk to patient experience</w:t>
            </w:r>
            <w:r>
              <w:rPr>
                <w:b w:val="0"/>
                <w:bCs w:val="0"/>
              </w:rPr>
              <w:t xml:space="preserve"> or outcomes</w:t>
            </w:r>
            <w:r w:rsidRPr="003306DD">
              <w:rPr>
                <w:b w:val="0"/>
                <w:bCs w:val="0"/>
              </w:rPr>
              <w:t>. For example,</w:t>
            </w:r>
            <w:r>
              <w:rPr>
                <w:b w:val="0"/>
                <w:bCs w:val="0"/>
              </w:rPr>
              <w:t xml:space="preserve"> reported data on access to E</w:t>
            </w:r>
            <w:r w:rsidRPr="00E751AF">
              <w:rPr>
                <w:b w:val="0"/>
                <w:bCs w:val="0"/>
              </w:rPr>
              <w:t>Ds</w:t>
            </w:r>
            <w:r>
              <w:rPr>
                <w:b w:val="0"/>
                <w:bCs w:val="0"/>
              </w:rPr>
              <w:t xml:space="preserve"> is not always a reflection of what is happening in practice, with patients transferred from the ED to a Short Stay Unit reported as seen within the recommended period, when their time in ED is in effect continuing. In addition, indicators tend to be lag rather than </w:t>
            </w:r>
            <w:r w:rsidRPr="00525C01">
              <w:rPr>
                <w:b w:val="0"/>
                <w:bCs w:val="0"/>
              </w:rPr>
              <w:t>lead indicators</w:t>
            </w:r>
            <w:r>
              <w:rPr>
                <w:b w:val="0"/>
                <w:bCs w:val="0"/>
              </w:rPr>
              <w:t>. R</w:t>
            </w:r>
            <w:r w:rsidRPr="00314288">
              <w:rPr>
                <w:b w:val="0"/>
                <w:bCs w:val="0"/>
              </w:rPr>
              <w:t>eform</w:t>
            </w:r>
            <w:r>
              <w:rPr>
                <w:b w:val="0"/>
                <w:bCs w:val="0"/>
              </w:rPr>
              <w:t>ed indicators</w:t>
            </w:r>
            <w:r w:rsidRPr="00314288">
              <w:rPr>
                <w:b w:val="0"/>
                <w:bCs w:val="0"/>
              </w:rPr>
              <w:t xml:space="preserve"> need to connect</w:t>
            </w:r>
            <w:r>
              <w:rPr>
                <w:b w:val="0"/>
                <w:bCs w:val="0"/>
              </w:rPr>
              <w:t xml:space="preserve"> to</w:t>
            </w:r>
            <w:r w:rsidRPr="00314288">
              <w:rPr>
                <w:b w:val="0"/>
                <w:bCs w:val="0"/>
              </w:rPr>
              <w:t xml:space="preserve"> clinical behaviour and decision-making</w:t>
            </w:r>
            <w:r>
              <w:rPr>
                <w:b w:val="0"/>
                <w:bCs w:val="0"/>
              </w:rPr>
              <w:t>.</w:t>
            </w:r>
          </w:p>
        </w:tc>
      </w:tr>
    </w:tbl>
    <w:p w14:paraId="11D6C1FF" w14:textId="77777777" w:rsidR="00596E12" w:rsidRDefault="00596E12" w:rsidP="00CC7F3C">
      <w:pPr>
        <w:pStyle w:val="Longdotpoints"/>
        <w:numPr>
          <w:ilvl w:val="0"/>
          <w:numId w:val="0"/>
        </w:numPr>
        <w:ind w:left="360"/>
      </w:pPr>
    </w:p>
    <w:p w14:paraId="76DD17F8" w14:textId="77777777" w:rsidR="00606676" w:rsidRDefault="00606676" w:rsidP="00606676">
      <w:pPr>
        <w:pStyle w:val="Heading3"/>
      </w:pPr>
      <w:bookmarkStart w:id="138" w:name="_Toc143291682"/>
      <w:r>
        <w:t>Strengths</w:t>
      </w:r>
      <w:bookmarkEnd w:id="138"/>
      <w:r>
        <w:t xml:space="preserve"> </w:t>
      </w:r>
    </w:p>
    <w:p w14:paraId="1AED781C" w14:textId="77777777" w:rsidR="001F41D7" w:rsidRDefault="001F41D7" w:rsidP="00CC7F3C">
      <w:pPr>
        <w:pStyle w:val="Longdotpoints"/>
        <w:numPr>
          <w:ilvl w:val="0"/>
          <w:numId w:val="0"/>
        </w:numPr>
      </w:pPr>
      <w:r>
        <w:t>Some of the strengths identified by stakeholders include:</w:t>
      </w:r>
    </w:p>
    <w:p w14:paraId="23259D1F" w14:textId="440EC0E8" w:rsidR="00A2027F" w:rsidRPr="00A2027F" w:rsidRDefault="00A2027F" w:rsidP="00E751AF">
      <w:pPr>
        <w:pStyle w:val="Longdotpoints"/>
        <w:ind w:left="567"/>
      </w:pPr>
      <w:r w:rsidRPr="00A2027F">
        <w:t xml:space="preserve">The Addendum provides for “a consolidated set of whole of system performance indicators that are drawn from the Australian Health Performance Framework”, to enable system-wide reporting. The continued inclusion of this in the Addendum indicates the need/relevance across all jurisdictions, as a foundational basis from which to work. This includes </w:t>
      </w:r>
      <w:r w:rsidR="00CA507B">
        <w:t xml:space="preserve">to </w:t>
      </w:r>
      <w:r w:rsidRPr="00A2027F">
        <w:t>“develop</w:t>
      </w:r>
      <w:r w:rsidR="00CA507B">
        <w:t xml:space="preserve"> </w:t>
      </w:r>
      <w:r w:rsidRPr="00A2027F">
        <w:t>health, primary care, aged care and disability interface performance indicators and an associated data collection”.</w:t>
      </w:r>
    </w:p>
    <w:p w14:paraId="750964A8" w14:textId="77777777" w:rsidR="000C2011" w:rsidRPr="008718DF" w:rsidRDefault="005136E8" w:rsidP="00E751AF">
      <w:pPr>
        <w:pStyle w:val="Longdotpoints"/>
        <w:ind w:left="567"/>
      </w:pPr>
      <w:r w:rsidRPr="005136E8">
        <w:t>There are initiatives underway to close the gap on access to Commonwealth record-level data, such as the Multi-Agency Data Integration Project (MADIP) through the Australian Bureau of Statistics (ABS)</w:t>
      </w:r>
      <w:r w:rsidR="0087601F">
        <w:t>.</w:t>
      </w:r>
    </w:p>
    <w:p w14:paraId="04677C4B" w14:textId="77777777" w:rsidR="006F1670" w:rsidRDefault="006F1670" w:rsidP="00E751AF">
      <w:pPr>
        <w:pStyle w:val="Longdotpoints"/>
        <w:ind w:left="567"/>
      </w:pPr>
      <w:r>
        <w:t>IHACPA has</w:t>
      </w:r>
      <w:r w:rsidR="001F7A66">
        <w:t xml:space="preserve"> develop</w:t>
      </w:r>
      <w:r w:rsidR="006F2C13">
        <w:t>ed</w:t>
      </w:r>
      <w:r w:rsidR="001F7A66">
        <w:t xml:space="preserve"> significant technical expertise and </w:t>
      </w:r>
      <w:r w:rsidR="007274CC">
        <w:t>a large repository of activity and cost data for Australian public hospitals over</w:t>
      </w:r>
      <w:r w:rsidR="00AA44EF">
        <w:t xml:space="preserve"> the last decade that can be </w:t>
      </w:r>
      <w:r w:rsidR="009C14F7">
        <w:t>leveraged to</w:t>
      </w:r>
      <w:r w:rsidR="00BF1164">
        <w:t xml:space="preserve"> identify system and service performance improvements and efficiencies.</w:t>
      </w:r>
    </w:p>
    <w:p w14:paraId="1117F515" w14:textId="77777777" w:rsidR="00BF1164" w:rsidRPr="008718DF" w:rsidRDefault="0001587C" w:rsidP="00E751AF">
      <w:pPr>
        <w:pStyle w:val="Longdotpoints"/>
        <w:ind w:left="567"/>
      </w:pPr>
      <w:r>
        <w:t xml:space="preserve">ACSQHC </w:t>
      </w:r>
      <w:r w:rsidR="006F2C13">
        <w:t>has developed</w:t>
      </w:r>
      <w:r w:rsidR="00C05AEA">
        <w:t xml:space="preserve"> key </w:t>
      </w:r>
      <w:r w:rsidR="00546AD1">
        <w:t xml:space="preserve">capabilities and expertise in safety and quality measures, clinical governance, integrated </w:t>
      </w:r>
      <w:r w:rsidR="002A0B47">
        <w:t>care,</w:t>
      </w:r>
      <w:r w:rsidR="00546AD1">
        <w:t xml:space="preserve"> and transitions of care</w:t>
      </w:r>
      <w:r w:rsidR="00474806">
        <w:t xml:space="preserve">. There is significant potential to leverage the ACSQHC’s capabilities and expertise </w:t>
      </w:r>
      <w:r w:rsidR="002F6DD1">
        <w:t xml:space="preserve">in the development, monitoring and reporting of </w:t>
      </w:r>
      <w:r w:rsidR="00D33276">
        <w:t>health care safety and quality performance and outcomes.</w:t>
      </w:r>
    </w:p>
    <w:tbl>
      <w:tblPr>
        <w:tblStyle w:val="TableGrid"/>
        <w:tblW w:w="0" w:type="auto"/>
        <w:tblBorders>
          <w:top w:val="dashSmallGap" w:sz="4" w:space="0" w:color="8496B0" w:themeColor="text2" w:themeTint="99"/>
          <w:left w:val="dashSmallGap" w:sz="4" w:space="0" w:color="8496B0" w:themeColor="text2" w:themeTint="99"/>
          <w:bottom w:val="dashSmallGap" w:sz="4" w:space="0" w:color="8496B0" w:themeColor="text2" w:themeTint="99"/>
          <w:right w:val="dashSmallGap" w:sz="4" w:space="0" w:color="8496B0" w:themeColor="text2" w:themeTint="99"/>
        </w:tblBorders>
        <w:tblLook w:val="04A0" w:firstRow="1" w:lastRow="0" w:firstColumn="1" w:lastColumn="0" w:noHBand="0" w:noVBand="1"/>
      </w:tblPr>
      <w:tblGrid>
        <w:gridCol w:w="10456"/>
      </w:tblGrid>
      <w:tr w:rsidR="00EC7971" w14:paraId="63224118" w14:textId="77777777" w:rsidTr="00622DD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F21E412" w14:textId="17053CD8" w:rsidR="00EC7971" w:rsidRPr="00D11010" w:rsidRDefault="00D11010" w:rsidP="00C10B26">
            <w:pPr>
              <w:pStyle w:val="Summarytable"/>
              <w:rPr>
                <w:color w:val="8496B0" w:themeColor="text2" w:themeTint="99"/>
              </w:rPr>
            </w:pPr>
            <w:r w:rsidRPr="007E5E8F">
              <w:rPr>
                <w:noProof/>
                <w:color w:val="8496B0" w:themeColor="text2" w:themeTint="99"/>
                <w:lang w:val="en-GB"/>
              </w:rPr>
              <w:drawing>
                <wp:inline distT="0" distB="0" distL="0" distR="0" wp14:anchorId="7A1828EF" wp14:editId="0FACB23B">
                  <wp:extent cx="270000" cy="270000"/>
                  <wp:effectExtent l="0" t="0" r="0" b="0"/>
                  <wp:docPr id="53" name="Graphic 53" descr="P1021C1T25#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P1021C1T25#yIS1">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70000" cy="270000"/>
                          </a:xfrm>
                          <a:prstGeom prst="rect">
                            <a:avLst/>
                          </a:prstGeom>
                        </pic:spPr>
                      </pic:pic>
                    </a:graphicData>
                  </a:graphic>
                </wp:inline>
              </w:drawing>
            </w:r>
            <w:r w:rsidRPr="007E6224">
              <w:rPr>
                <w:color w:val="5B708F"/>
              </w:rPr>
              <w:t>Observation</w:t>
            </w:r>
            <w:r w:rsidR="00EC7971" w:rsidRPr="007E6224">
              <w:rPr>
                <w:color w:val="5B708F"/>
              </w:rPr>
              <w:t xml:space="preserve">: </w:t>
            </w:r>
            <w:r w:rsidR="00EC7971" w:rsidRPr="007E6224">
              <w:rPr>
                <w:b w:val="0"/>
                <w:color w:val="5B708F"/>
              </w:rPr>
              <w:t>Hospital Acquired Complication (HAC) reforms</w:t>
            </w:r>
            <w:r w:rsidR="00EC7971" w:rsidRPr="007E6224">
              <w:rPr>
                <w:color w:val="5B708F"/>
              </w:rPr>
              <w:t xml:space="preserve"> </w:t>
            </w:r>
          </w:p>
          <w:p w14:paraId="32375E48" w14:textId="0DE81610" w:rsidR="00EC7971" w:rsidRDefault="00EC7971" w:rsidP="00C10B26">
            <w:pPr>
              <w:pStyle w:val="Summarytable"/>
              <w:ind w:right="107"/>
              <w:rPr>
                <w:b w:val="0"/>
                <w:bCs w:val="0"/>
              </w:rPr>
            </w:pPr>
            <w:r w:rsidRPr="00B0009F">
              <w:rPr>
                <w:b w:val="0"/>
                <w:bCs w:val="0"/>
              </w:rPr>
              <w:t>ACSQHC was tasked with measuring sentinel events, HAC</w:t>
            </w:r>
            <w:r>
              <w:rPr>
                <w:b w:val="0"/>
                <w:bCs w:val="0"/>
              </w:rPr>
              <w:t>s</w:t>
            </w:r>
            <w:r w:rsidRPr="00B0009F">
              <w:rPr>
                <w:b w:val="0"/>
                <w:bCs w:val="0"/>
              </w:rPr>
              <w:t xml:space="preserve"> and </w:t>
            </w:r>
            <w:r w:rsidR="0068587B">
              <w:rPr>
                <w:b w:val="0"/>
                <w:bCs w:val="0"/>
              </w:rPr>
              <w:t>Avoidable Hospital Readmissions (</w:t>
            </w:r>
            <w:r w:rsidRPr="00B0009F">
              <w:rPr>
                <w:b w:val="0"/>
                <w:bCs w:val="0"/>
              </w:rPr>
              <w:t>AHR</w:t>
            </w:r>
            <w:r>
              <w:rPr>
                <w:b w:val="0"/>
                <w:bCs w:val="0"/>
              </w:rPr>
              <w:t>s</w:t>
            </w:r>
            <w:r w:rsidR="0068587B">
              <w:rPr>
                <w:b w:val="0"/>
                <w:bCs w:val="0"/>
              </w:rPr>
              <w:t>)</w:t>
            </w:r>
            <w:r w:rsidRPr="00B0009F">
              <w:rPr>
                <w:b w:val="0"/>
                <w:bCs w:val="0"/>
              </w:rPr>
              <w:t xml:space="preserve"> as part of the </w:t>
            </w:r>
            <w:r w:rsidRPr="00650E28">
              <w:rPr>
                <w:b w:val="0"/>
                <w:bCs w:val="0"/>
                <w:i/>
                <w:iCs/>
              </w:rPr>
              <w:t>NHRA 2017-2020 Addendum</w:t>
            </w:r>
            <w:r w:rsidRPr="00B0009F">
              <w:rPr>
                <w:b w:val="0"/>
                <w:bCs w:val="0"/>
              </w:rPr>
              <w:t>. Since implementation, there has been a decrease across HAC (-20%) and AHR (-11%).</w:t>
            </w:r>
          </w:p>
          <w:p w14:paraId="1128BE89" w14:textId="77777777" w:rsidR="00EC7971" w:rsidRPr="003578B9" w:rsidRDefault="00EC7971" w:rsidP="00C10B26">
            <w:pPr>
              <w:pStyle w:val="Summarytable"/>
              <w:ind w:right="107"/>
              <w:rPr>
                <w:b w:val="0"/>
                <w:bCs w:val="0"/>
              </w:rPr>
            </w:pPr>
            <w:r w:rsidRPr="000918B4">
              <w:rPr>
                <w:b w:val="0"/>
                <w:bCs w:val="0"/>
              </w:rPr>
              <w:t>The</w:t>
            </w:r>
            <w:r>
              <w:rPr>
                <w:b w:val="0"/>
                <w:bCs w:val="0"/>
              </w:rPr>
              <w:t>se</w:t>
            </w:r>
            <w:r w:rsidRPr="000918B4">
              <w:rPr>
                <w:b w:val="0"/>
                <w:bCs w:val="0"/>
              </w:rPr>
              <w:t xml:space="preserve"> HAC reforms</w:t>
            </w:r>
            <w:r>
              <w:rPr>
                <w:b w:val="0"/>
                <w:bCs w:val="0"/>
              </w:rPr>
              <w:t xml:space="preserve"> </w:t>
            </w:r>
            <w:r w:rsidRPr="000918B4">
              <w:rPr>
                <w:b w:val="0"/>
                <w:bCs w:val="0"/>
              </w:rPr>
              <w:t>are working toward national consistency and transparency of reporting and benchmarking, but overall, have not had a significant impact on quality and safety outcomes. Most of the measured improvement in HAC rates is due to improvements in data collection and the heightened profile of this indicator within health service clinical governance areas (all hospitals have established processes to review HACs). The HAC reforms do not connect to clinical behaviour and decision-making nor acknowledge the immediate impacts of strong demand growth and workforce pressures.</w:t>
            </w:r>
            <w:r>
              <w:rPr>
                <w:b w:val="0"/>
                <w:bCs w:val="0"/>
              </w:rPr>
              <w:t xml:space="preserve"> </w:t>
            </w:r>
          </w:p>
        </w:tc>
      </w:tr>
    </w:tbl>
    <w:p w14:paraId="34281FD1" w14:textId="4547D86F" w:rsidR="00EC7971" w:rsidRDefault="008D692B" w:rsidP="00EC7971">
      <w:pPr>
        <w:pStyle w:val="Heading2"/>
        <w:pageBreakBefore/>
      </w:pPr>
      <w:bookmarkStart w:id="139" w:name="_Ref143090530"/>
      <w:bookmarkStart w:id="140" w:name="_Ref143162050"/>
      <w:bookmarkStart w:id="141" w:name="_Toc143291683"/>
      <w:r>
        <w:rPr>
          <w:noProof/>
        </w:rPr>
        <w:drawing>
          <wp:anchor distT="0" distB="0" distL="114300" distR="114300" simplePos="0" relativeHeight="251664384" behindDoc="0" locked="0" layoutInCell="1" allowOverlap="1" wp14:anchorId="688B6E73" wp14:editId="4636E0FC">
            <wp:simplePos x="0" y="0"/>
            <wp:positionH relativeFrom="column">
              <wp:posOffset>5978970</wp:posOffset>
            </wp:positionH>
            <wp:positionV relativeFrom="paragraph">
              <wp:posOffset>-74295</wp:posOffset>
            </wp:positionV>
            <wp:extent cx="681841" cy="806408"/>
            <wp:effectExtent l="0" t="0" r="4445" b="0"/>
            <wp:wrapNone/>
            <wp:docPr id="52379503" name="Picture 52379503" descr="P102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9503" name="Picture 52379503" descr="P1025#y1">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681841" cy="806408"/>
                    </a:xfrm>
                    <a:prstGeom prst="rect">
                      <a:avLst/>
                    </a:prstGeom>
                  </pic:spPr>
                </pic:pic>
              </a:graphicData>
            </a:graphic>
            <wp14:sizeRelH relativeFrom="page">
              <wp14:pctWidth>0</wp14:pctWidth>
            </wp14:sizeRelH>
            <wp14:sizeRelV relativeFrom="page">
              <wp14:pctHeight>0</wp14:pctHeight>
            </wp14:sizeRelV>
          </wp:anchor>
        </w:drawing>
      </w:r>
      <w:r w:rsidR="00EC7971">
        <w:t>COVID-19</w:t>
      </w:r>
      <w:bookmarkEnd w:id="139"/>
      <w:bookmarkEnd w:id="140"/>
    </w:p>
    <w:tbl>
      <w:tblPr>
        <w:tblStyle w:val="TableGrid"/>
        <w:tblW w:w="0" w:type="auto"/>
        <w:shd w:val="clear" w:color="auto" w:fill="F2F2F2" w:themeFill="background1" w:themeFillShade="F2"/>
        <w:tblLook w:val="04A0" w:firstRow="1" w:lastRow="0" w:firstColumn="1" w:lastColumn="0" w:noHBand="0" w:noVBand="1"/>
      </w:tblPr>
      <w:tblGrid>
        <w:gridCol w:w="10466"/>
      </w:tblGrid>
      <w:tr w:rsidR="00EC7971" w14:paraId="13023186" w14:textId="77777777" w:rsidTr="00C10B26">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tcPr>
          <w:bookmarkEnd w:id="141"/>
          <w:p w14:paraId="02597690" w14:textId="7E9F21CB" w:rsidR="00EC7971" w:rsidRDefault="00EC7971" w:rsidP="00C10B26">
            <w:pPr>
              <w:pStyle w:val="Summarytable"/>
              <w:rPr>
                <w:color w:val="00707E" w:themeColor="accent5" w:themeShade="BF"/>
              </w:rPr>
            </w:pPr>
            <w:r>
              <w:rPr>
                <w:noProof/>
              </w:rPr>
              <w:drawing>
                <wp:inline distT="0" distB="0" distL="0" distR="0" wp14:anchorId="0089FEE7" wp14:editId="36EF5A86">
                  <wp:extent cx="270000" cy="270000"/>
                  <wp:effectExtent l="0" t="0" r="0" b="0"/>
                  <wp:docPr id="61" name="Graphic 61" descr="P1026C1T2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descr="P1026C1T26#yIS1">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70000" cy="270000"/>
                          </a:xfrm>
                          <a:prstGeom prst="rect">
                            <a:avLst/>
                          </a:prstGeom>
                        </pic:spPr>
                      </pic:pic>
                    </a:graphicData>
                  </a:graphic>
                </wp:inline>
              </w:drawing>
            </w:r>
            <w:r w:rsidRPr="00BB2C81">
              <w:rPr>
                <w:color w:val="00707E" w:themeColor="accent5" w:themeShade="BF"/>
              </w:rPr>
              <w:t>Summary</w:t>
            </w:r>
            <w:r>
              <w:rPr>
                <w:color w:val="00707E" w:themeColor="accent5" w:themeShade="BF"/>
              </w:rPr>
              <w:t xml:space="preserve"> of what we heard</w:t>
            </w:r>
            <w:r w:rsidRPr="00BB2C81">
              <w:rPr>
                <w:color w:val="00707E" w:themeColor="accent5" w:themeShade="BF"/>
              </w:rPr>
              <w:t xml:space="preserve">: </w:t>
            </w:r>
          </w:p>
          <w:p w14:paraId="3D26196D" w14:textId="53322870" w:rsidR="00EC7971" w:rsidRDefault="00EC7971" w:rsidP="00C10B26">
            <w:pPr>
              <w:pStyle w:val="Summarytable"/>
              <w:rPr>
                <w:b w:val="0"/>
                <w:bCs w:val="0"/>
              </w:rPr>
            </w:pPr>
            <w:r w:rsidRPr="00F310BF">
              <w:rPr>
                <w:color w:val="000000" w:themeColor="text1"/>
              </w:rPr>
              <w:t>While</w:t>
            </w:r>
            <w:r w:rsidRPr="004D6AA8">
              <w:rPr>
                <w:color w:val="000000" w:themeColor="text1"/>
              </w:rPr>
              <w:t xml:space="preserve"> </w:t>
            </w:r>
            <w:r w:rsidRPr="00F310BF">
              <w:t>COVID-19 highlighted some inflexibility in the NHRA when dealing with major disruptions, it also showed the capacity for the Commonwealth</w:t>
            </w:r>
            <w:r w:rsidR="00B8643A">
              <w:t>,</w:t>
            </w:r>
            <w:r w:rsidRPr="00F310BF">
              <w:t xml:space="preserve"> States</w:t>
            </w:r>
            <w:r w:rsidR="00B8643A">
              <w:t xml:space="preserve"> and </w:t>
            </w:r>
            <w:r w:rsidRPr="00F310BF">
              <w:t>Territories to come together quickly to develop new financing arrangements able to immediately respond to a system crisis.</w:t>
            </w:r>
            <w:r w:rsidRPr="009C0F00">
              <w:rPr>
                <w:b w:val="0"/>
                <w:bCs w:val="0"/>
              </w:rPr>
              <w:t xml:space="preserve"> </w:t>
            </w:r>
            <w:r w:rsidRPr="00A70E52">
              <w:t>Some of the features of the arrangements put in place may provide a model in the event of future disruption.</w:t>
            </w:r>
          </w:p>
          <w:p w14:paraId="79AA3D64" w14:textId="77777777" w:rsidR="00EC7971" w:rsidRDefault="00EC7971" w:rsidP="00C10B26">
            <w:pPr>
              <w:pStyle w:val="Summarytable"/>
            </w:pPr>
            <w:r w:rsidRPr="00C47984">
              <w:t>A key theme in consultation was the significant and enduring increases in health service costs as a result of COVID-19, predominantly felt after the period of the COVID-19 NPA, which expired in December 2022</w:t>
            </w:r>
            <w:r>
              <w:rPr>
                <w:b w:val="0"/>
                <w:bCs w:val="0"/>
              </w:rPr>
              <w:t>. Stakeholders expressed concern that</w:t>
            </w:r>
            <w:r w:rsidRPr="009C0F00">
              <w:rPr>
                <w:b w:val="0"/>
                <w:bCs w:val="0"/>
              </w:rPr>
              <w:t xml:space="preserve"> jurisdictions </w:t>
            </w:r>
            <w:r>
              <w:rPr>
                <w:b w:val="0"/>
                <w:bCs w:val="0"/>
              </w:rPr>
              <w:t>have borne significant</w:t>
            </w:r>
            <w:r w:rsidRPr="009C0F00">
              <w:rPr>
                <w:b w:val="0"/>
                <w:bCs w:val="0"/>
              </w:rPr>
              <w:t xml:space="preserve"> additional </w:t>
            </w:r>
            <w:r>
              <w:rPr>
                <w:b w:val="0"/>
                <w:bCs w:val="0"/>
              </w:rPr>
              <w:t>costs,</w:t>
            </w:r>
            <w:r w:rsidRPr="009C0F00">
              <w:rPr>
                <w:b w:val="0"/>
                <w:bCs w:val="0"/>
              </w:rPr>
              <w:t xml:space="preserve"> not </w:t>
            </w:r>
            <w:r>
              <w:rPr>
                <w:b w:val="0"/>
                <w:bCs w:val="0"/>
              </w:rPr>
              <w:t>yet</w:t>
            </w:r>
            <w:r w:rsidRPr="009C0F00">
              <w:rPr>
                <w:b w:val="0"/>
                <w:bCs w:val="0"/>
              </w:rPr>
              <w:t xml:space="preserve"> included in the NEP</w:t>
            </w:r>
            <w:r>
              <w:rPr>
                <w:b w:val="0"/>
                <w:bCs w:val="0"/>
              </w:rPr>
              <w:t>, across the supply chain,</w:t>
            </w:r>
            <w:r w:rsidRPr="009C0F00">
              <w:rPr>
                <w:b w:val="0"/>
                <w:bCs w:val="0"/>
              </w:rPr>
              <w:t xml:space="preserve"> higher acuity presentations due to deferred care during lockdowns</w:t>
            </w:r>
            <w:r>
              <w:rPr>
                <w:b w:val="0"/>
                <w:bCs w:val="0"/>
              </w:rPr>
              <w:t>, a backlog of elective surgery and w</w:t>
            </w:r>
            <w:r w:rsidRPr="009C0F00">
              <w:rPr>
                <w:b w:val="0"/>
                <w:bCs w:val="0"/>
              </w:rPr>
              <w:t xml:space="preserve">orkforce issues exacerbated by border closures and </w:t>
            </w:r>
            <w:r>
              <w:rPr>
                <w:b w:val="0"/>
                <w:bCs w:val="0"/>
              </w:rPr>
              <w:t>the</w:t>
            </w:r>
            <w:r w:rsidRPr="009C0F00">
              <w:rPr>
                <w:b w:val="0"/>
                <w:bCs w:val="0"/>
              </w:rPr>
              <w:t xml:space="preserve"> high demands placed on health professionals.</w:t>
            </w:r>
            <w:r>
              <w:rPr>
                <w:b w:val="0"/>
                <w:bCs w:val="0"/>
              </w:rPr>
              <w:t xml:space="preserve"> There was limited confidence that these pressures would reduce, and concern that there was a step change in acute care demand and workforce costs that would endure.</w:t>
            </w:r>
          </w:p>
        </w:tc>
      </w:tr>
    </w:tbl>
    <w:p w14:paraId="56328F76" w14:textId="73FD5090" w:rsidR="00EF6513" w:rsidRDefault="00EF6513" w:rsidP="00EF6513">
      <w:pPr>
        <w:pStyle w:val="Heading3"/>
        <w:spacing w:before="120"/>
      </w:pPr>
      <w:bookmarkStart w:id="142" w:name="_Toc143291684"/>
      <w:r>
        <w:t>Identified issues</w:t>
      </w:r>
      <w:bookmarkEnd w:id="142"/>
    </w:p>
    <w:p w14:paraId="6CB67B08" w14:textId="77777777" w:rsidR="00BD165D" w:rsidRPr="00CE26D9" w:rsidRDefault="00BD165D" w:rsidP="00BD165D">
      <w:r>
        <w:t xml:space="preserve">The key issues identified </w:t>
      </w:r>
      <w:r w:rsidR="00F07946">
        <w:t xml:space="preserve">by stakeholders </w:t>
      </w:r>
      <w:r>
        <w:t>as part of this theme were:</w:t>
      </w:r>
    </w:p>
    <w:p w14:paraId="2F9AC197" w14:textId="57DA1679" w:rsidR="00855293" w:rsidRPr="009C0F00" w:rsidRDefault="00855293" w:rsidP="00E751AF">
      <w:pPr>
        <w:pStyle w:val="Longdotpoints"/>
        <w:ind w:left="567"/>
      </w:pPr>
      <w:r w:rsidRPr="009C0F00">
        <w:t xml:space="preserve">COVID-19 showed </w:t>
      </w:r>
      <w:r>
        <w:t>a</w:t>
      </w:r>
      <w:r w:rsidRPr="009C0F00">
        <w:t xml:space="preserve"> lack of flexibility and agility in the NHRA to manage major disruptions to the health system</w:t>
      </w:r>
      <w:r w:rsidR="00AC7418">
        <w:t xml:space="preserve"> (see </w:t>
      </w:r>
      <w:r w:rsidR="003B5EB3">
        <w:t>O</w:t>
      </w:r>
      <w:r w:rsidR="00AC7418">
        <w:t>bservation: responding to COVID-19)</w:t>
      </w:r>
      <w:r w:rsidRPr="009C0F00">
        <w:t>.</w:t>
      </w:r>
    </w:p>
    <w:p w14:paraId="5F01960B" w14:textId="4BD24659" w:rsidR="00855293" w:rsidRPr="009C0F00" w:rsidRDefault="00855293" w:rsidP="00E751AF">
      <w:pPr>
        <w:pStyle w:val="Longdotpoints"/>
        <w:ind w:left="567"/>
      </w:pPr>
      <w:r w:rsidRPr="009C0F00">
        <w:t xml:space="preserve">COVID-19 has fundamentally changed the way hospital services operate to accommodate elevated infection prevention and control measures, with changes to the space utilisation, consumable management, and patient pathway design. These have </w:t>
      </w:r>
      <w:r>
        <w:t>contributed</w:t>
      </w:r>
      <w:r w:rsidRPr="009C0F00">
        <w:t xml:space="preserve"> to substantial and enduring increases in health service delivery costs. The cessation of the </w:t>
      </w:r>
      <w:r>
        <w:t>COVID-19 NPA</w:t>
      </w:r>
      <w:r w:rsidRPr="009C0F00">
        <w:t xml:space="preserve"> on 31 December 2022 means that the increased service delivery costs which have not been</w:t>
      </w:r>
      <w:r>
        <w:t>, or not yet been,</w:t>
      </w:r>
      <w:r w:rsidRPr="009C0F00">
        <w:t xml:space="preserve"> incorporated</w:t>
      </w:r>
      <w:r w:rsidR="00EF46A8">
        <w:t>,</w:t>
      </w:r>
      <w:r w:rsidRPr="009C0F00">
        <w:t xml:space="preserve"> into the NEP </w:t>
      </w:r>
      <w:r>
        <w:t>are</w:t>
      </w:r>
      <w:r w:rsidRPr="009C0F00">
        <w:t xml:space="preserve"> borne by jurisdictions.</w:t>
      </w:r>
    </w:p>
    <w:tbl>
      <w:tblPr>
        <w:tblStyle w:val="TableGrid"/>
        <w:tblW w:w="0" w:type="auto"/>
        <w:tblLayout w:type="fixed"/>
        <w:tblLook w:val="04A0" w:firstRow="1" w:lastRow="0" w:firstColumn="1" w:lastColumn="0" w:noHBand="0" w:noVBand="1"/>
      </w:tblPr>
      <w:tblGrid>
        <w:gridCol w:w="6930"/>
        <w:gridCol w:w="3536"/>
      </w:tblGrid>
      <w:tr w:rsidR="00AE047D" w14:paraId="5F54F0B4" w14:textId="77777777" w:rsidTr="00AE047D">
        <w:trPr>
          <w:cnfStyle w:val="100000000000" w:firstRow="1" w:lastRow="0" w:firstColumn="0" w:lastColumn="0" w:oddVBand="0" w:evenVBand="0" w:oddHBand="0" w:evenHBand="0" w:firstRowFirstColumn="0" w:firstRowLastColumn="0" w:lastRowFirstColumn="0" w:lastRowLastColumn="0"/>
        </w:trPr>
        <w:tc>
          <w:tcPr>
            <w:tcW w:w="6930" w:type="dxa"/>
            <w:tcMar>
              <w:top w:w="0" w:type="dxa"/>
            </w:tcMar>
          </w:tcPr>
          <w:p w14:paraId="22279375" w14:textId="77777777" w:rsidR="00AE047D" w:rsidRPr="009C0F00" w:rsidRDefault="00AE047D" w:rsidP="00AE047D">
            <w:pPr>
              <w:pStyle w:val="Longdotpoints"/>
              <w:ind w:left="562" w:right="288"/>
            </w:pPr>
            <w:r w:rsidRPr="009C0F00">
              <w:t>Hospitals have experienced increased acuity of presentations due to deferred care caused by COVID-19 lock down measures</w:t>
            </w:r>
            <w:r>
              <w:t>, including elective surgery backlogs</w:t>
            </w:r>
            <w:r w:rsidRPr="009C0F00">
              <w:t>.</w:t>
            </w:r>
          </w:p>
          <w:p w14:paraId="5163799F" w14:textId="7AFC5E63" w:rsidR="0008071D" w:rsidRDefault="00AE047D" w:rsidP="00AE047D">
            <w:pPr>
              <w:pStyle w:val="Longdotpoints"/>
              <w:ind w:left="562" w:right="288"/>
            </w:pPr>
            <w:r w:rsidRPr="009C0F00">
              <w:t xml:space="preserve">Workforce issues </w:t>
            </w:r>
            <w:r>
              <w:t>were</w:t>
            </w:r>
            <w:r w:rsidRPr="009C0F00">
              <w:t xml:space="preserve"> exacerbated by the closing of </w:t>
            </w:r>
            <w:r>
              <w:t>national,</w:t>
            </w:r>
            <w:r w:rsidRPr="009C0F00">
              <w:t xml:space="preserve"> State and Territory borders, impacting access to overseas trained medical providers. Many health professionals experienced burnout caused by the high demands of the pandemic and left the workforce. Rural and remote communities had reduced access to health services as visiting specialists withdrew or reduced services.</w:t>
            </w:r>
          </w:p>
        </w:tc>
        <w:tc>
          <w:tcPr>
            <w:tcW w:w="3536" w:type="dxa"/>
            <w:tcMar>
              <w:top w:w="0" w:type="dxa"/>
            </w:tcMar>
            <w:vAlign w:val="center"/>
          </w:tcPr>
          <w:p w14:paraId="0A905D38" w14:textId="44C48E62" w:rsidR="0008071D" w:rsidRPr="0008071D" w:rsidRDefault="0008071D" w:rsidP="0008071D">
            <w:pPr>
              <w:pStyle w:val="Pullout-QuoteGreen"/>
              <w:spacing w:after="120" w:line="216" w:lineRule="auto"/>
              <w:ind w:left="0"/>
              <w:rPr>
                <w:color w:val="007680"/>
              </w:rPr>
            </w:pPr>
            <w:r>
              <w:rPr>
                <w:color w:val="007680"/>
              </w:rPr>
              <w:t>“</w:t>
            </w:r>
            <w:r w:rsidRPr="00263696">
              <w:rPr>
                <w:color w:val="007680"/>
              </w:rPr>
              <w:t>COVID-19 has exposed the inadequacy of the NHRA to manage major health system disruption beyond business-as-usual activity</w:t>
            </w:r>
            <w:r>
              <w:rPr>
                <w:color w:val="007680"/>
              </w:rPr>
              <w:t>.”</w:t>
            </w:r>
          </w:p>
        </w:tc>
      </w:tr>
    </w:tbl>
    <w:p w14:paraId="06DF5D9F" w14:textId="77777777" w:rsidR="00EF6513" w:rsidRDefault="00EF6513" w:rsidP="00EF6513">
      <w:pPr>
        <w:pStyle w:val="Heading3"/>
      </w:pPr>
      <w:bookmarkStart w:id="143" w:name="_Toc143291685"/>
      <w:r>
        <w:t>Strengths</w:t>
      </w:r>
      <w:bookmarkEnd w:id="143"/>
      <w:r>
        <w:t xml:space="preserve"> </w:t>
      </w:r>
    </w:p>
    <w:p w14:paraId="421742E7" w14:textId="77777777" w:rsidR="001F41D7" w:rsidRDefault="001F41D7" w:rsidP="00CC7F3C">
      <w:pPr>
        <w:pStyle w:val="Longdotpoints"/>
        <w:numPr>
          <w:ilvl w:val="0"/>
          <w:numId w:val="0"/>
        </w:numPr>
      </w:pPr>
      <w:r>
        <w:t>Some of the strengths identified by stakeholders include:</w:t>
      </w:r>
    </w:p>
    <w:p w14:paraId="116E5CDB" w14:textId="71CFF49F" w:rsidR="00AB6F39" w:rsidRPr="00AB6F39" w:rsidRDefault="00AB6F39" w:rsidP="00E751AF">
      <w:pPr>
        <w:pStyle w:val="Longdotpoints"/>
        <w:ind w:left="567"/>
      </w:pPr>
      <w:r w:rsidRPr="00AB6F39">
        <w:t xml:space="preserve">COVID-19 created an impetus to innovate, particularly in care approaches and data sharing. </w:t>
      </w:r>
      <w:r w:rsidR="003B5EB3">
        <w:t>The</w:t>
      </w:r>
      <w:r w:rsidRPr="00AB6F39">
        <w:t xml:space="preserve"> adoption of digital health and telehealth care </w:t>
      </w:r>
      <w:r w:rsidR="003B5EB3">
        <w:t>has been</w:t>
      </w:r>
      <w:r w:rsidR="003B5EB3" w:rsidRPr="00AB6F39">
        <w:t xml:space="preserve"> </w:t>
      </w:r>
      <w:r w:rsidRPr="00AB6F39">
        <w:t xml:space="preserve">accelerated and </w:t>
      </w:r>
      <w:r w:rsidR="003B5EB3">
        <w:t>is</w:t>
      </w:r>
      <w:r w:rsidR="003B5EB3" w:rsidRPr="00AB6F39">
        <w:t xml:space="preserve"> </w:t>
      </w:r>
      <w:r w:rsidRPr="00AB6F39">
        <w:t>now being embedded systematically by governments.</w:t>
      </w:r>
    </w:p>
    <w:p w14:paraId="51ECF53B" w14:textId="5860A829" w:rsidR="00EF6513" w:rsidRDefault="00AB6F39" w:rsidP="00E751AF">
      <w:pPr>
        <w:pStyle w:val="Longdotpoints"/>
        <w:ind w:left="567"/>
      </w:pPr>
      <w:r w:rsidRPr="00AB6F39">
        <w:t xml:space="preserve">The </w:t>
      </w:r>
      <w:r w:rsidR="00234151">
        <w:t>COVID-19 NPA</w:t>
      </w:r>
      <w:r w:rsidRPr="00AB6F39">
        <w:t xml:space="preserve"> enabled provider agility and flexibility that supported innovation across the health sector. It was able to capture activities from a broader range of health services, including community health, </w:t>
      </w:r>
      <w:r w:rsidR="00B80A91">
        <w:t>and accelerated</w:t>
      </w:r>
      <w:r w:rsidR="00B80A91" w:rsidRPr="00AB6F39">
        <w:t xml:space="preserve"> </w:t>
      </w:r>
      <w:r w:rsidRPr="00AB6F39">
        <w:t xml:space="preserve">the development of integrated and collaborative care models across </w:t>
      </w:r>
      <w:r w:rsidR="00F432B3">
        <w:t>hospital</w:t>
      </w:r>
      <w:r w:rsidRPr="00AB6F39">
        <w:t xml:space="preserve"> and primary care.</w:t>
      </w:r>
      <w:r w:rsidR="0044454F" w:rsidRPr="0044454F">
        <w:rPr>
          <w:rFonts w:cstheme="minorHAnsi"/>
          <w:noProof/>
        </w:rPr>
        <w:t xml:space="preserve"> </w:t>
      </w:r>
    </w:p>
    <w:tbl>
      <w:tblPr>
        <w:tblStyle w:val="TableGrid"/>
        <w:tblW w:w="0" w:type="auto"/>
        <w:tblBorders>
          <w:top w:val="dashSmallGap" w:sz="4" w:space="0" w:color="8496B0" w:themeColor="text2" w:themeTint="99"/>
          <w:left w:val="dashSmallGap" w:sz="4" w:space="0" w:color="8496B0" w:themeColor="text2" w:themeTint="99"/>
          <w:bottom w:val="dashSmallGap" w:sz="4" w:space="0" w:color="8496B0" w:themeColor="text2" w:themeTint="99"/>
          <w:right w:val="dashSmallGap" w:sz="4" w:space="0" w:color="8496B0" w:themeColor="text2" w:themeTint="99"/>
        </w:tblBorders>
        <w:tblLook w:val="04A0" w:firstRow="1" w:lastRow="0" w:firstColumn="1" w:lastColumn="0" w:noHBand="0" w:noVBand="1"/>
      </w:tblPr>
      <w:tblGrid>
        <w:gridCol w:w="10456"/>
      </w:tblGrid>
      <w:tr w:rsidR="00EC7971" w14:paraId="5B398421" w14:textId="77777777" w:rsidTr="00622DDB">
        <w:trPr>
          <w:cnfStyle w:val="100000000000" w:firstRow="1" w:lastRow="0" w:firstColumn="0" w:lastColumn="0" w:oddVBand="0" w:evenVBand="0" w:oddHBand="0" w:evenHBand="0" w:firstRowFirstColumn="0" w:firstRowLastColumn="0" w:lastRowFirstColumn="0" w:lastRowLastColumn="0"/>
        </w:trPr>
        <w:tc>
          <w:tcPr>
            <w:tcW w:w="1046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A88B0B4" w14:textId="287F30A8" w:rsidR="00EC7971" w:rsidRPr="00D11010" w:rsidRDefault="00D11010" w:rsidP="00C10B26">
            <w:pPr>
              <w:pStyle w:val="Summarytable"/>
              <w:rPr>
                <w:color w:val="8496B0" w:themeColor="text2" w:themeTint="99"/>
              </w:rPr>
            </w:pPr>
            <w:r w:rsidRPr="000A32FE">
              <w:rPr>
                <w:noProof/>
                <w:color w:val="8496B0" w:themeColor="text2" w:themeTint="99"/>
                <w:lang w:val="en-GB"/>
              </w:rPr>
              <w:drawing>
                <wp:inline distT="0" distB="0" distL="0" distR="0" wp14:anchorId="4E068483" wp14:editId="00480546">
                  <wp:extent cx="270000" cy="270000"/>
                  <wp:effectExtent l="0" t="0" r="0" b="0"/>
                  <wp:docPr id="60" name="Graphic 60" descr="P1042C1T28#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60" descr="P1042C1T28#yIS1">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70000" cy="270000"/>
                          </a:xfrm>
                          <a:prstGeom prst="rect">
                            <a:avLst/>
                          </a:prstGeom>
                        </pic:spPr>
                      </pic:pic>
                    </a:graphicData>
                  </a:graphic>
                </wp:inline>
              </w:drawing>
            </w:r>
            <w:r w:rsidRPr="007E6224">
              <w:rPr>
                <w:color w:val="5B708F"/>
              </w:rPr>
              <w:t>Observation</w:t>
            </w:r>
            <w:r w:rsidR="00EC7971" w:rsidRPr="007E6224">
              <w:rPr>
                <w:color w:val="5B708F"/>
              </w:rPr>
              <w:t xml:space="preserve">: </w:t>
            </w:r>
            <w:r w:rsidR="00EC7971" w:rsidRPr="007E6224">
              <w:rPr>
                <w:b w:val="0"/>
                <w:color w:val="5B708F"/>
              </w:rPr>
              <w:t>Responding to COVID-19</w:t>
            </w:r>
          </w:p>
          <w:p w14:paraId="38EF9BD1" w14:textId="4D890912" w:rsidR="00EC7971" w:rsidRPr="003578B9" w:rsidRDefault="00EC7971" w:rsidP="00C10B26">
            <w:pPr>
              <w:pStyle w:val="Summarytable"/>
              <w:rPr>
                <w:b w:val="0"/>
                <w:bCs w:val="0"/>
              </w:rPr>
            </w:pPr>
            <w:r w:rsidRPr="00D225B7">
              <w:rPr>
                <w:b w:val="0"/>
                <w:bCs w:val="0"/>
              </w:rPr>
              <w:t xml:space="preserve">Governments swiftly established the COVID-19 NPA, in which the Commonwealth funded 50% of COVID-19 related hospital and public health costs. The COVID-19 NPA has expired and been replaced by a new National Partnership Agreement to cover ongoing vaccination and testing needs. However, certain public health costs are excluded from the national funding model as they are not covered through the NHRA. The backlog in planned care will be funded at </w:t>
            </w:r>
            <w:r w:rsidR="00EF46A8">
              <w:rPr>
                <w:b w:val="0"/>
                <w:bCs w:val="0"/>
              </w:rPr>
              <w:t>a</w:t>
            </w:r>
            <w:r w:rsidRPr="00D225B7">
              <w:rPr>
                <w:b w:val="0"/>
                <w:bCs w:val="0"/>
              </w:rPr>
              <w:t xml:space="preserve"> 45% growth rate within the 6.5% cap, </w:t>
            </w:r>
            <w:r w:rsidR="000F0E36">
              <w:rPr>
                <w:b w:val="0"/>
                <w:bCs w:val="0"/>
              </w:rPr>
              <w:t xml:space="preserve">potentially </w:t>
            </w:r>
            <w:r w:rsidRPr="00D225B7">
              <w:rPr>
                <w:b w:val="0"/>
                <w:bCs w:val="0"/>
              </w:rPr>
              <w:t>leaving jurisdictions with additional costs. The need for a separate funding agreement alongside the NHRA revealed a lack of flexibility to adapt to major health system shocks</w:t>
            </w:r>
            <w:r w:rsidRPr="00AB6F39">
              <w:rPr>
                <w:b w:val="0"/>
                <w:bCs w:val="0"/>
              </w:rPr>
              <w:t>.</w:t>
            </w:r>
          </w:p>
        </w:tc>
      </w:tr>
    </w:tbl>
    <w:p w14:paraId="0945B433" w14:textId="77777777" w:rsidR="00EC7971" w:rsidRDefault="00EC7971" w:rsidP="001D7407"/>
    <w:p w14:paraId="49A7E2D2" w14:textId="31B75500" w:rsidR="007D6E50" w:rsidRDefault="007D6E50" w:rsidP="001D7407">
      <w:pPr>
        <w:sectPr w:rsidR="007D6E50" w:rsidSect="00A86304">
          <w:headerReference w:type="even" r:id="rId65"/>
          <w:headerReference w:type="default" r:id="rId66"/>
          <w:headerReference w:type="first" r:id="rId67"/>
          <w:type w:val="continuous"/>
          <w:pgSz w:w="11906" w:h="16838" w:code="9"/>
          <w:pgMar w:top="1276" w:right="720" w:bottom="720" w:left="720" w:header="680" w:footer="425" w:gutter="0"/>
          <w:cols w:space="284"/>
          <w:docGrid w:linePitch="360"/>
        </w:sectPr>
      </w:pPr>
    </w:p>
    <w:p w14:paraId="7401CB43" w14:textId="07EFF513" w:rsidR="00AD2B0F" w:rsidRPr="00C0090D" w:rsidRDefault="00E943BF" w:rsidP="00452F12">
      <w:pPr>
        <w:pStyle w:val="Heading1"/>
      </w:pPr>
      <w:bookmarkStart w:id="144" w:name="_Toc148968352"/>
      <w:bookmarkStart w:id="145" w:name="_Toc143291686"/>
      <w:r>
        <w:t xml:space="preserve">Understanding the </w:t>
      </w:r>
      <w:r w:rsidR="00B215A4">
        <w:t>Health environment</w:t>
      </w:r>
      <w:bookmarkStart w:id="146" w:name="_Toc110000845"/>
      <w:bookmarkStart w:id="147" w:name="_Toc110000846"/>
      <w:bookmarkEnd w:id="144"/>
      <w:bookmarkEnd w:id="146"/>
      <w:bookmarkEnd w:id="147"/>
    </w:p>
    <w:p w14:paraId="59F8E846" w14:textId="4930A42A" w:rsidR="0069494E" w:rsidRPr="00D47C58" w:rsidRDefault="0069494E" w:rsidP="0069494E">
      <w:pPr>
        <w:pStyle w:val="Sectionintro"/>
      </w:pPr>
      <w:bookmarkStart w:id="148" w:name="_Toc143291687"/>
      <w:bookmarkEnd w:id="62"/>
      <w:bookmarkEnd w:id="145"/>
      <w:r>
        <w:t>This chapter presents the context in which the Australian health system operates. It notes societal and demographic changes and pressures since the NHRA was introduced and anticipates some future trends and challenges</w:t>
      </w:r>
      <w:r w:rsidRPr="00D47C58">
        <w:t xml:space="preserve">. </w:t>
      </w:r>
    </w:p>
    <w:tbl>
      <w:tblPr>
        <w:tblStyle w:val="TableGrid"/>
        <w:tblW w:w="0" w:type="auto"/>
        <w:tblLook w:val="04A0" w:firstRow="1" w:lastRow="0" w:firstColumn="1" w:lastColumn="0" w:noHBand="0" w:noVBand="1"/>
      </w:tblPr>
      <w:tblGrid>
        <w:gridCol w:w="5773"/>
        <w:gridCol w:w="4693"/>
      </w:tblGrid>
      <w:tr w:rsidR="00B71E88" w14:paraId="5DC4C9ED" w14:textId="77777777" w:rsidTr="00826894">
        <w:trPr>
          <w:cnfStyle w:val="100000000000" w:firstRow="1" w:lastRow="0" w:firstColumn="0" w:lastColumn="0" w:oddVBand="0" w:evenVBand="0" w:oddHBand="0" w:evenHBand="0" w:firstRowFirstColumn="0" w:firstRowLastColumn="0" w:lastRowFirstColumn="0" w:lastRowLastColumn="0"/>
        </w:trPr>
        <w:tc>
          <w:tcPr>
            <w:tcW w:w="609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171A99" w14:textId="77777777" w:rsidR="000040C8" w:rsidRDefault="000040C8" w:rsidP="000040C8">
            <w:pPr>
              <w:rPr>
                <w:rFonts w:cstheme="minorHAnsi"/>
                <w:b/>
                <w:bCs/>
              </w:rPr>
            </w:pPr>
            <w:r>
              <w:rPr>
                <w:rFonts w:cstheme="minorHAnsi"/>
                <w:b/>
                <w:bCs/>
              </w:rPr>
              <w:t xml:space="preserve">Australia’s health sector at a glance </w:t>
            </w:r>
          </w:p>
          <w:p w14:paraId="06646435" w14:textId="77777777" w:rsidR="000040C8" w:rsidRDefault="000040C8" w:rsidP="000040C8">
            <w:pPr>
              <w:rPr>
                <w:rFonts w:cstheme="minorHAnsi"/>
              </w:rPr>
            </w:pPr>
            <w:r>
              <w:rPr>
                <w:rFonts w:cstheme="minorHAnsi"/>
              </w:rPr>
              <w:t xml:space="preserve">Health services in Australia are delivered by public and private providers in a range of care settings. Universal access to health care, delivered through MBS, PBS and public hospitals are features of the Australian health care system, complemented by privately provided services and </w:t>
            </w:r>
            <w:r w:rsidRPr="00965326">
              <w:rPr>
                <w:rFonts w:cstheme="minorHAnsi"/>
              </w:rPr>
              <w:t>private health insurance</w:t>
            </w:r>
            <w:r>
              <w:rPr>
                <w:rFonts w:cstheme="minorHAnsi"/>
              </w:rPr>
              <w:t xml:space="preserve"> (PHI). </w:t>
            </w:r>
          </w:p>
          <w:p w14:paraId="54650C36" w14:textId="77777777" w:rsidR="000040C8" w:rsidRDefault="000040C8" w:rsidP="000040C8">
            <w:bookmarkStart w:id="149" w:name="_Hlk146634069"/>
            <w:r>
              <w:t>As well as managing the MBS and PBS, the Commonwealth Government leads the development of national health policy, contributing funds to States and Territories to support public hospital services, regulating private health insurance, providing oversight of PHNs, funding community-controlled Indigenous primary health care, funding and organising health services for veterans, and funding health and medical research.</w:t>
            </w:r>
          </w:p>
          <w:bookmarkEnd w:id="149"/>
          <w:p w14:paraId="3AECD2A7" w14:textId="4B71D9DE" w:rsidR="00B71E88" w:rsidRPr="000040C8" w:rsidRDefault="000040C8" w:rsidP="0069494E">
            <w:r>
              <w:t xml:space="preserve">State and Territory governments </w:t>
            </w:r>
            <w:r w:rsidR="00A74E32">
              <w:t xml:space="preserve">have </w:t>
            </w:r>
            <w:r>
              <w:t>responsibility for managing public hospitals within their jurisdictions. They regulate and license private hospitals, provide oversight of LHNs and deliver a range of community-based and primary health services. Additionally, they deliver preventive services such as cancer screening and immunisation programs, ambulance services, and handle health-related complaints.</w:t>
            </w:r>
          </w:p>
        </w:tc>
        <w:tc>
          <w:tcPr>
            <w:tcW w:w="437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499733" w14:textId="77777777" w:rsidR="000040C8" w:rsidRDefault="00B71E88" w:rsidP="00205D8D">
            <w:pPr>
              <w:ind w:left="153"/>
              <w:jc w:val="right"/>
              <w:rPr>
                <w:rFonts w:cstheme="minorHAnsi"/>
              </w:rPr>
            </w:pPr>
            <w:r>
              <w:rPr>
                <w:rFonts w:cstheme="minorHAnsi"/>
                <w:b/>
                <w:bCs/>
                <w:noProof/>
              </w:rPr>
              <w:drawing>
                <wp:inline distT="0" distB="0" distL="0" distR="0" wp14:anchorId="54E8CF39" wp14:editId="387288E4">
                  <wp:extent cx="2882900" cy="2915879"/>
                  <wp:effectExtent l="0" t="0" r="0" b="0"/>
                  <wp:docPr id="50" name="Picture 50" descr="P1053C2T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1053C2T29#yIS1"/>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26453" cy="2959930"/>
                          </a:xfrm>
                          <a:prstGeom prst="rect">
                            <a:avLst/>
                          </a:prstGeom>
                          <a:noFill/>
                        </pic:spPr>
                      </pic:pic>
                    </a:graphicData>
                  </a:graphic>
                </wp:inline>
              </w:drawing>
            </w:r>
          </w:p>
          <w:p w14:paraId="2A5A1AD9" w14:textId="07DDEE13" w:rsidR="00B71E88" w:rsidRPr="000040C8" w:rsidRDefault="000040C8" w:rsidP="00C2024B">
            <w:pPr>
              <w:pStyle w:val="Caption"/>
              <w:rPr>
                <w:rFonts w:cstheme="minorHAnsi"/>
                <w:noProof/>
                <w:sz w:val="20"/>
                <w:szCs w:val="20"/>
              </w:rPr>
            </w:pPr>
            <w:bookmarkStart w:id="150" w:name="_Toc148968389"/>
            <w:r>
              <w:t xml:space="preserve">Figure </w:t>
            </w:r>
            <w:r>
              <w:fldChar w:fldCharType="begin"/>
            </w:r>
            <w:r>
              <w:instrText xml:space="preserve"> SEQ Figure \* ARABIC </w:instrText>
            </w:r>
            <w:r>
              <w:fldChar w:fldCharType="separate"/>
            </w:r>
            <w:r w:rsidR="003F5D51">
              <w:rPr>
                <w:noProof/>
              </w:rPr>
              <w:t>11</w:t>
            </w:r>
            <w:r>
              <w:fldChar w:fldCharType="end"/>
            </w:r>
            <w:r>
              <w:t xml:space="preserve">: </w:t>
            </w:r>
            <w:r w:rsidRPr="008B6A28">
              <w:t>Australian health care landscape (adapted from Report on Government Services 2023 Report – Figure E.1)</w:t>
            </w:r>
            <w:bookmarkEnd w:id="150"/>
          </w:p>
        </w:tc>
      </w:tr>
    </w:tbl>
    <w:p w14:paraId="7920932B" w14:textId="77777777" w:rsidR="0069494E" w:rsidRDefault="0069494E" w:rsidP="0069494E">
      <w:bookmarkStart w:id="151" w:name="_Hlk146634044"/>
      <w:r>
        <w:t>Despite these distinct responsibilities, there are areas of shared responsibility between Commonwealth, State and Territory governments, including funding public hospital services, the education and training of health professionals, regulating health workforces, and improving the safety and quality of healthcare.</w:t>
      </w:r>
    </w:p>
    <w:bookmarkEnd w:id="151"/>
    <w:p w14:paraId="71BAC244" w14:textId="433A892C" w:rsidR="0069494E" w:rsidRPr="00311C29" w:rsidRDefault="0069494E" w:rsidP="0069494E">
      <w:r>
        <w:t>While government</w:t>
      </w:r>
      <w:r w:rsidR="00EF46A8">
        <w:t>s</w:t>
      </w:r>
      <w:r>
        <w:t xml:space="preserve"> lay the overarching framework for the healthcare system, the private sector significantly contributes by operating certain health services. This includes managing the operations of private hospitals, pharmacies, and many medical practices, as well as </w:t>
      </w:r>
      <w:r w:rsidR="00A74E32">
        <w:t xml:space="preserve">providing </w:t>
      </w:r>
      <w:r>
        <w:t>funding through PHI. There are 32 PHI providers registered with the Australian Prudential Regulation Authority (APRA)</w:t>
      </w:r>
      <w:r w:rsidR="003F5D51">
        <w:rPr>
          <w:rFonts w:ascii="ZWAdobeF" w:hAnsi="ZWAdobeF" w:cs="ZWAdobeF"/>
          <w:sz w:val="2"/>
          <w:szCs w:val="2"/>
        </w:rPr>
        <w:t>12F</w:t>
      </w:r>
      <w:r>
        <w:rPr>
          <w:rStyle w:val="FootnoteReference"/>
        </w:rPr>
        <w:footnoteReference w:id="14"/>
      </w:r>
      <w:r>
        <w:t xml:space="preserve">. In 2020-21, the ratio of total health spending in Australia in the public and private sectors </w:t>
      </w:r>
      <w:r w:rsidR="00A74E32">
        <w:t xml:space="preserve">was </w:t>
      </w:r>
      <w:r>
        <w:t>around 70% to 30%, respectively</w:t>
      </w:r>
      <w:r w:rsidR="003F5D51">
        <w:rPr>
          <w:rFonts w:ascii="ZWAdobeF" w:hAnsi="ZWAdobeF" w:cs="ZWAdobeF"/>
          <w:sz w:val="2"/>
          <w:szCs w:val="2"/>
        </w:rPr>
        <w:t>13F</w:t>
      </w:r>
      <w:r w:rsidR="007373D1">
        <w:rPr>
          <w:rStyle w:val="FootnoteReference"/>
        </w:rPr>
        <w:footnoteReference w:id="15"/>
      </w:r>
      <w:r>
        <w:t xml:space="preserve">. </w:t>
      </w:r>
    </w:p>
    <w:p w14:paraId="24BBAF67" w14:textId="37AD37A6" w:rsidR="0069494E" w:rsidRDefault="0069494E" w:rsidP="0069494E">
      <w:r>
        <w:t xml:space="preserve">In 2020-21, total health spending in Australia was distributed across the </w:t>
      </w:r>
      <w:r w:rsidR="00B31E41">
        <w:t xml:space="preserve">various </w:t>
      </w:r>
      <w:r>
        <w:t>health services</w:t>
      </w:r>
      <w:r w:rsidR="00B31E41" w:rsidRPr="00650E28">
        <w:t xml:space="preserve"> in the following ratios</w:t>
      </w:r>
      <w:r w:rsidR="003F5D51">
        <w:rPr>
          <w:rFonts w:ascii="ZWAdobeF" w:hAnsi="ZWAdobeF" w:cs="ZWAdobeF"/>
          <w:sz w:val="2"/>
          <w:szCs w:val="2"/>
        </w:rPr>
        <w:t>14F</w:t>
      </w:r>
      <w:r w:rsidR="00626319">
        <w:rPr>
          <w:rStyle w:val="FootnoteReference"/>
        </w:rPr>
        <w:footnoteReference w:id="16"/>
      </w:r>
      <w:r>
        <w:t>:</w:t>
      </w:r>
    </w:p>
    <w:p w14:paraId="4F44D045" w14:textId="77777777" w:rsidR="0069494E" w:rsidRDefault="0069494E" w:rsidP="00A850C3">
      <w:pPr>
        <w:pStyle w:val="ListParagraph"/>
        <w:numPr>
          <w:ilvl w:val="0"/>
          <w:numId w:val="64"/>
        </w:numPr>
      </w:pPr>
      <w:r>
        <w:t>40.6% on hospitals</w:t>
      </w:r>
    </w:p>
    <w:p w14:paraId="1DF6B658" w14:textId="77777777" w:rsidR="0069494E" w:rsidRDefault="0069494E" w:rsidP="00A850C3">
      <w:pPr>
        <w:pStyle w:val="ListParagraph"/>
        <w:numPr>
          <w:ilvl w:val="0"/>
          <w:numId w:val="64"/>
        </w:numPr>
      </w:pPr>
      <w:r>
        <w:t>33.2% on primary health care</w:t>
      </w:r>
    </w:p>
    <w:p w14:paraId="1CBE0831" w14:textId="77777777" w:rsidR="0069494E" w:rsidRDefault="0069494E" w:rsidP="00A850C3">
      <w:pPr>
        <w:pStyle w:val="ListParagraph"/>
        <w:numPr>
          <w:ilvl w:val="0"/>
          <w:numId w:val="64"/>
        </w:numPr>
      </w:pPr>
      <w:r>
        <w:t>10.9% on referred medical services</w:t>
      </w:r>
    </w:p>
    <w:p w14:paraId="414CF872" w14:textId="49EF2866" w:rsidR="0069494E" w:rsidRDefault="0069494E" w:rsidP="00A850C3">
      <w:pPr>
        <w:pStyle w:val="ListParagraph"/>
        <w:numPr>
          <w:ilvl w:val="0"/>
          <w:numId w:val="64"/>
        </w:numPr>
      </w:pPr>
      <w:r>
        <w:t>15.3% on other services, research and capital spending.</w:t>
      </w:r>
    </w:p>
    <w:p w14:paraId="40E4138B" w14:textId="77777777" w:rsidR="0069494E" w:rsidRPr="00D17A53" w:rsidRDefault="0069494E" w:rsidP="00E97016">
      <w:pPr>
        <w:rPr>
          <w:rFonts w:cstheme="minorHAnsi"/>
          <w:b/>
          <w:bCs/>
        </w:rPr>
      </w:pPr>
      <w:r w:rsidRPr="00D17A53">
        <w:rPr>
          <w:rFonts w:cstheme="minorHAnsi"/>
          <w:b/>
          <w:bCs/>
        </w:rPr>
        <w:t>Hospital care</w:t>
      </w:r>
    </w:p>
    <w:p w14:paraId="08CE8514" w14:textId="31C1EC57" w:rsidR="0069494E" w:rsidRPr="00D17A53" w:rsidRDefault="0069494E" w:rsidP="0069494E">
      <w:pPr>
        <w:rPr>
          <w:rFonts w:cstheme="minorHAnsi"/>
        </w:rPr>
      </w:pPr>
      <w:r>
        <w:t xml:space="preserve">Both public </w:t>
      </w:r>
      <w:r w:rsidRPr="00D17A53">
        <w:t>and private hospitals provide admitted, ED and non-admitted services.</w:t>
      </w:r>
      <w:r w:rsidRPr="00D17A53">
        <w:rPr>
          <w:rFonts w:cstheme="minorHAnsi"/>
        </w:rPr>
        <w:t xml:space="preserve"> </w:t>
      </w:r>
      <w:r w:rsidRPr="00D17A53">
        <w:t>The most recent data show that there were 6</w:t>
      </w:r>
      <w:r w:rsidR="00CB35D1">
        <w:t>40</w:t>
      </w:r>
      <w:r w:rsidRPr="00D17A53">
        <w:t xml:space="preserve"> private hospitals</w:t>
      </w:r>
      <w:r w:rsidR="00522C9C">
        <w:t xml:space="preserve"> </w:t>
      </w:r>
      <w:r w:rsidR="009536CB">
        <w:t>as at 11 October 2023</w:t>
      </w:r>
      <w:r w:rsidR="003F5D51">
        <w:rPr>
          <w:rFonts w:ascii="ZWAdobeF" w:hAnsi="ZWAdobeF" w:cs="ZWAdobeF"/>
          <w:sz w:val="2"/>
          <w:szCs w:val="2"/>
        </w:rPr>
        <w:t>15F</w:t>
      </w:r>
      <w:r w:rsidRPr="00D17A53">
        <w:rPr>
          <w:rStyle w:val="FootnoteReference"/>
        </w:rPr>
        <w:footnoteReference w:id="17"/>
      </w:r>
      <w:r w:rsidRPr="00D17A53">
        <w:t xml:space="preserve">. </w:t>
      </w:r>
      <w:r w:rsidRPr="00D17A53">
        <w:rPr>
          <w:rFonts w:cstheme="minorHAnsi"/>
        </w:rPr>
        <w:t>In 2021-22, 697 public hospitals in Australia handled</w:t>
      </w:r>
      <w:r w:rsidR="003F5D51">
        <w:rPr>
          <w:rFonts w:ascii="ZWAdobeF" w:hAnsi="ZWAdobeF" w:cs="ZWAdobeF"/>
          <w:sz w:val="2"/>
          <w:szCs w:val="2"/>
        </w:rPr>
        <w:t>16F</w:t>
      </w:r>
      <w:r>
        <w:rPr>
          <w:rStyle w:val="FootnoteReference"/>
          <w:rFonts w:cstheme="minorHAnsi"/>
        </w:rPr>
        <w:footnoteReference w:id="18"/>
      </w:r>
      <w:r w:rsidR="007748FD">
        <w:rPr>
          <w:rFonts w:cstheme="minorHAnsi"/>
        </w:rPr>
        <w:t>:</w:t>
      </w:r>
    </w:p>
    <w:p w14:paraId="75D411FA" w14:textId="5D91C267" w:rsidR="0069494E" w:rsidRDefault="0069494E" w:rsidP="00A850C3">
      <w:pPr>
        <w:pStyle w:val="ListBullet"/>
        <w:numPr>
          <w:ilvl w:val="0"/>
          <w:numId w:val="63"/>
        </w:numPr>
      </w:pPr>
      <w:r>
        <w:t>8.8 million ED presentations</w:t>
      </w:r>
    </w:p>
    <w:p w14:paraId="63C2891F" w14:textId="76EDBAED" w:rsidR="0069494E" w:rsidRDefault="0069494E" w:rsidP="00A850C3">
      <w:pPr>
        <w:pStyle w:val="ListBullet"/>
        <w:numPr>
          <w:ilvl w:val="0"/>
          <w:numId w:val="63"/>
        </w:numPr>
      </w:pPr>
      <w:r>
        <w:t xml:space="preserve">6.8 million hospitalisations </w:t>
      </w:r>
      <w:r w:rsidR="00B31E41">
        <w:t>across</w:t>
      </w:r>
      <w:r>
        <w:t xml:space="preserve"> 21.7 million days of patient care</w:t>
      </w:r>
    </w:p>
    <w:p w14:paraId="39135A48" w14:textId="14C97EDA" w:rsidR="0069494E" w:rsidRDefault="0069494E" w:rsidP="00A850C3">
      <w:pPr>
        <w:pStyle w:val="ListBullet"/>
        <w:numPr>
          <w:ilvl w:val="0"/>
          <w:numId w:val="63"/>
        </w:numPr>
        <w:spacing w:after="120"/>
        <w:ind w:left="714" w:hanging="357"/>
        <w:contextualSpacing w:val="0"/>
      </w:pPr>
      <w:r>
        <w:t>55.4 million non-admitted patient care service events for public patients.</w:t>
      </w:r>
    </w:p>
    <w:tbl>
      <w:tblPr>
        <w:tblStyle w:val="TableGrid"/>
        <w:tblW w:w="0" w:type="auto"/>
        <w:tblLook w:val="04A0" w:firstRow="1" w:lastRow="0" w:firstColumn="1" w:lastColumn="0" w:noHBand="0" w:noVBand="1"/>
      </w:tblPr>
      <w:tblGrid>
        <w:gridCol w:w="2127"/>
        <w:gridCol w:w="8329"/>
      </w:tblGrid>
      <w:tr w:rsidR="00435EA3" w14:paraId="25D1B971" w14:textId="77777777" w:rsidTr="00435EA3">
        <w:trPr>
          <w:cnfStyle w:val="100000000000" w:firstRow="1" w:lastRow="0" w:firstColumn="0" w:lastColumn="0" w:oddVBand="0" w:evenVBand="0" w:oddHBand="0" w:evenHBand="0" w:firstRowFirstColumn="0" w:firstRowLastColumn="0" w:lastRowFirstColumn="0" w:lastRowLastColumn="0"/>
        </w:trPr>
        <w:tc>
          <w:tcPr>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96F586" w14:textId="1A963705" w:rsidR="00435EA3" w:rsidRPr="00435EA3" w:rsidRDefault="00435EA3" w:rsidP="00435EA3">
            <w:pPr>
              <w:pStyle w:val="ListBullet"/>
              <w:numPr>
                <w:ilvl w:val="0"/>
                <w:numId w:val="0"/>
              </w:numPr>
              <w:spacing w:after="120"/>
              <w:rPr>
                <w:rFonts w:cstheme="minorHAnsi"/>
                <w:szCs w:val="20"/>
              </w:rPr>
            </w:pPr>
            <w:r w:rsidRPr="00555333">
              <w:rPr>
                <w:rFonts w:cstheme="minorHAnsi"/>
                <w:szCs w:val="20"/>
              </w:rPr>
              <w:t xml:space="preserve">In 2020–21, </w:t>
            </w:r>
            <w:r>
              <w:rPr>
                <w:rFonts w:cstheme="minorHAnsi"/>
                <w:szCs w:val="20"/>
              </w:rPr>
              <w:t>$70.5 billion was spent on p</w:t>
            </w:r>
            <w:r w:rsidRPr="00555333">
              <w:rPr>
                <w:rFonts w:cstheme="minorHAnsi"/>
                <w:szCs w:val="20"/>
              </w:rPr>
              <w:t>ublic hospitals</w:t>
            </w:r>
            <w:r w:rsidR="003F5D51">
              <w:rPr>
                <w:rFonts w:ascii="ZWAdobeF" w:hAnsi="ZWAdobeF" w:cs="ZWAdobeF"/>
                <w:sz w:val="2"/>
                <w:szCs w:val="2"/>
              </w:rPr>
              <w:t>17F</w:t>
            </w:r>
            <w:r w:rsidR="00DF21F4">
              <w:rPr>
                <w:rStyle w:val="FootnoteReference"/>
                <w:rFonts w:cstheme="minorHAnsi"/>
                <w:szCs w:val="20"/>
              </w:rPr>
              <w:footnoteReference w:id="19"/>
            </w:r>
            <w:r w:rsidRPr="00555333">
              <w:rPr>
                <w:rFonts w:cstheme="minorHAnsi"/>
                <w:szCs w:val="20"/>
              </w:rPr>
              <w:t xml:space="preserve"> ($2750 per </w:t>
            </w:r>
            <w:r w:rsidRPr="00955CFC">
              <w:rPr>
                <w:rFonts w:cstheme="minorHAnsi"/>
                <w:szCs w:val="20"/>
              </w:rPr>
              <w:t>capita)</w:t>
            </w:r>
            <w:r w:rsidR="00DF21F4" w:rsidRPr="00955CFC" w:rsidDel="004C3E40">
              <w:rPr>
                <w:rFonts w:cstheme="minorHAnsi"/>
                <w:szCs w:val="20"/>
                <w:vertAlign w:val="superscript"/>
              </w:rPr>
              <w:t xml:space="preserve"> </w:t>
            </w:r>
            <w:r>
              <w:rPr>
                <w:rFonts w:cstheme="minorHAnsi"/>
                <w:szCs w:val="20"/>
              </w:rPr>
              <w:t>– public hospital spending by source of funds is illustrated in</w:t>
            </w:r>
            <w:r w:rsidR="00982761">
              <w:rPr>
                <w:rFonts w:cstheme="minorHAnsi"/>
                <w:szCs w:val="20"/>
              </w:rPr>
              <w:t xml:space="preserve"> </w:t>
            </w:r>
            <w:r w:rsidR="00982761">
              <w:rPr>
                <w:rFonts w:cstheme="minorHAnsi"/>
                <w:szCs w:val="20"/>
              </w:rPr>
              <w:fldChar w:fldCharType="begin" w:fldLock="1"/>
            </w:r>
            <w:r w:rsidR="00982761">
              <w:rPr>
                <w:rFonts w:cstheme="minorHAnsi"/>
                <w:szCs w:val="20"/>
              </w:rPr>
              <w:instrText xml:space="preserve"> REF _Ref148605964 \h </w:instrText>
            </w:r>
            <w:r w:rsidR="00982761">
              <w:rPr>
                <w:rFonts w:cstheme="minorHAnsi"/>
                <w:szCs w:val="20"/>
              </w:rPr>
            </w:r>
            <w:r w:rsidR="00982761">
              <w:rPr>
                <w:rFonts w:cstheme="minorHAnsi"/>
                <w:szCs w:val="20"/>
              </w:rPr>
              <w:fldChar w:fldCharType="separate"/>
            </w:r>
            <w:r w:rsidR="00FA10A4">
              <w:t xml:space="preserve">Figure </w:t>
            </w:r>
            <w:r w:rsidR="00FA10A4">
              <w:rPr>
                <w:noProof/>
              </w:rPr>
              <w:t>12</w:t>
            </w:r>
            <w:r w:rsidR="00982761">
              <w:rPr>
                <w:rFonts w:cstheme="minorHAnsi"/>
                <w:szCs w:val="20"/>
              </w:rPr>
              <w:fldChar w:fldCharType="end"/>
            </w:r>
            <w:r>
              <w:rPr>
                <w:rFonts w:cstheme="minorHAnsi"/>
                <w:szCs w:val="20"/>
              </w:rPr>
              <w:t xml:space="preserve">. </w:t>
            </w:r>
            <w:r w:rsidRPr="00955CFC">
              <w:rPr>
                <w:rFonts w:cstheme="minorHAnsi"/>
                <w:szCs w:val="20"/>
              </w:rPr>
              <w:t>Over</w:t>
            </w:r>
            <w:r w:rsidRPr="00E036BD">
              <w:rPr>
                <w:rFonts w:cstheme="minorHAnsi"/>
                <w:szCs w:val="20"/>
              </w:rPr>
              <w:t xml:space="preserve"> the 10-year</w:t>
            </w:r>
            <w:r>
              <w:rPr>
                <w:rFonts w:cstheme="minorHAnsi"/>
                <w:szCs w:val="20"/>
              </w:rPr>
              <w:t xml:space="preserve"> period to 2020-21, overall public hospital </w:t>
            </w:r>
            <w:r w:rsidRPr="0036422F">
              <w:rPr>
                <w:rFonts w:cstheme="minorHAnsi"/>
                <w:szCs w:val="20"/>
              </w:rPr>
              <w:t>spending increased in real terms by 3.6% on average per year</w:t>
            </w:r>
            <w:r w:rsidR="003F5D51">
              <w:rPr>
                <w:rFonts w:ascii="ZWAdobeF" w:hAnsi="ZWAdobeF" w:cs="ZWAdobeF"/>
                <w:sz w:val="2"/>
                <w:szCs w:val="2"/>
              </w:rPr>
              <w:t>18F</w:t>
            </w:r>
            <w:r w:rsidR="009F08A2">
              <w:rPr>
                <w:rStyle w:val="FootnoteReference"/>
                <w:rFonts w:cstheme="minorHAnsi"/>
                <w:szCs w:val="20"/>
              </w:rPr>
              <w:footnoteReference w:id="20"/>
            </w:r>
            <w:r w:rsidRPr="0036422F">
              <w:rPr>
                <w:rFonts w:cstheme="minorHAnsi"/>
                <w:szCs w:val="20"/>
              </w:rPr>
              <w:t>.</w:t>
            </w:r>
          </w:p>
        </w:tc>
        <w:tc>
          <w:tcPr>
            <w:tcW w:w="83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9EE1FE" w14:textId="40F143AA" w:rsidR="00435EA3" w:rsidRDefault="00435EA3" w:rsidP="00CF3D3A">
            <w:pPr>
              <w:jc w:val="right"/>
            </w:pPr>
            <w:r>
              <w:rPr>
                <w:rFonts w:cstheme="minorHAnsi"/>
                <w:noProof/>
              </w:rPr>
              <w:drawing>
                <wp:inline distT="0" distB="0" distL="0" distR="0" wp14:anchorId="6949BBD8" wp14:editId="739C285A">
                  <wp:extent cx="5174615" cy="2124075"/>
                  <wp:effectExtent l="0" t="0" r="6985" b="0"/>
                  <wp:docPr id="1115524930" name="Chart 1115524930" descr="P1069C2T30#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95610DC" w14:textId="4DA9B80C" w:rsidR="00435EA3" w:rsidRPr="00435EA3" w:rsidRDefault="00435EA3" w:rsidP="00C2024B">
            <w:pPr>
              <w:pStyle w:val="Caption"/>
              <w:rPr>
                <w:noProof/>
                <w:sz w:val="20"/>
                <w:szCs w:val="17"/>
              </w:rPr>
            </w:pPr>
            <w:bookmarkStart w:id="152" w:name="_Ref148605964"/>
            <w:bookmarkStart w:id="153" w:name="_Toc148968390"/>
            <w:r>
              <w:t xml:space="preserve">Figure </w:t>
            </w:r>
            <w:r>
              <w:fldChar w:fldCharType="begin"/>
            </w:r>
            <w:r>
              <w:instrText xml:space="preserve"> SEQ Figure \* ARABIC </w:instrText>
            </w:r>
            <w:r>
              <w:fldChar w:fldCharType="separate"/>
            </w:r>
            <w:r w:rsidR="003F5D51">
              <w:rPr>
                <w:noProof/>
              </w:rPr>
              <w:t>12</w:t>
            </w:r>
            <w:r>
              <w:fldChar w:fldCharType="end"/>
            </w:r>
            <w:bookmarkEnd w:id="152"/>
            <w:r>
              <w:t>: Public hospital spending by source of funds, constant prices, 2010-11 to 2020-21</w:t>
            </w:r>
            <w:bookmarkEnd w:id="153"/>
          </w:p>
        </w:tc>
      </w:tr>
    </w:tbl>
    <w:p w14:paraId="320CA6ED" w14:textId="77777777" w:rsidR="0069494E" w:rsidRPr="003515EB" w:rsidRDefault="0069494E" w:rsidP="0069494E">
      <w:pPr>
        <w:rPr>
          <w:rFonts w:cstheme="minorHAnsi"/>
          <w:b/>
        </w:rPr>
      </w:pPr>
      <w:r w:rsidRPr="003515EB">
        <w:rPr>
          <w:rFonts w:cstheme="minorHAnsi"/>
          <w:b/>
        </w:rPr>
        <w:t>Primary health care, specialist, and diagnostic services</w:t>
      </w:r>
    </w:p>
    <w:p w14:paraId="2A6C9C21" w14:textId="0FC98A78" w:rsidR="0069494E" w:rsidRDefault="0069494E" w:rsidP="0069494E">
      <w:pPr>
        <w:rPr>
          <w:rFonts w:cstheme="minorHAnsi"/>
        </w:rPr>
      </w:pPr>
      <w:r w:rsidRPr="00F76044">
        <w:rPr>
          <w:rFonts w:cstheme="minorHAnsi"/>
        </w:rPr>
        <w:t xml:space="preserve">Primary care is </w:t>
      </w:r>
      <w:r>
        <w:rPr>
          <w:rFonts w:cstheme="minorHAnsi"/>
        </w:rPr>
        <w:t xml:space="preserve">generally accepted as </w:t>
      </w:r>
      <w:r w:rsidRPr="00F76044">
        <w:rPr>
          <w:rFonts w:cstheme="minorHAnsi"/>
        </w:rPr>
        <w:t xml:space="preserve">the cornerstone of a well-functioning healthcare system. </w:t>
      </w:r>
      <w:r>
        <w:rPr>
          <w:rFonts w:cstheme="minorHAnsi"/>
        </w:rPr>
        <w:t xml:space="preserve">By focusing on proactive measures and addressing health concerns at their initial stages, primary care (delivered by GPs, </w:t>
      </w:r>
      <w:r w:rsidR="00B31E41">
        <w:rPr>
          <w:rFonts w:cstheme="minorHAnsi"/>
        </w:rPr>
        <w:t>nurses</w:t>
      </w:r>
      <w:r>
        <w:rPr>
          <w:rFonts w:cstheme="minorHAnsi"/>
        </w:rPr>
        <w:t xml:space="preserve">, </w:t>
      </w:r>
      <w:r w:rsidR="00E03F3E" w:rsidRPr="00E03F3E">
        <w:rPr>
          <w:rFonts w:cstheme="minorHAnsi"/>
        </w:rPr>
        <w:t>Aboriginal and Torres Strait Islander Health</w:t>
      </w:r>
      <w:r w:rsidR="00E03F3E">
        <w:rPr>
          <w:rFonts w:cstheme="minorHAnsi"/>
        </w:rPr>
        <w:t xml:space="preserve"> </w:t>
      </w:r>
      <w:r>
        <w:rPr>
          <w:rFonts w:cstheme="minorHAnsi"/>
        </w:rPr>
        <w:t xml:space="preserve">services, and allied health providers) can prevent the escalation of illnesses and the need for more costly interventions that are typically performed in hospitals. </w:t>
      </w:r>
      <w:r>
        <w:t>Primary health care may be delivered in a range of settings, including aged care, disability support and the community. In 2021-22</w:t>
      </w:r>
      <w:r>
        <w:rPr>
          <w:rFonts w:cstheme="minorHAnsi"/>
        </w:rPr>
        <w:t xml:space="preserve">, around 90% of Australians saw a GP and there were approximately 270 million </w:t>
      </w:r>
      <w:r w:rsidR="00A74E32">
        <w:rPr>
          <w:rFonts w:cstheme="minorHAnsi"/>
        </w:rPr>
        <w:t>MBS-subsidised</w:t>
      </w:r>
      <w:r>
        <w:rPr>
          <w:rFonts w:cstheme="minorHAnsi"/>
        </w:rPr>
        <w:t xml:space="preserve"> primary care services, including 189 million GP attendances and 25 million allied health attendances</w:t>
      </w:r>
      <w:bookmarkStart w:id="154" w:name="_Ref144979214"/>
      <w:r w:rsidR="003F5D51">
        <w:rPr>
          <w:rFonts w:ascii="ZWAdobeF" w:hAnsi="ZWAdobeF" w:cs="ZWAdobeF"/>
          <w:sz w:val="2"/>
          <w:szCs w:val="2"/>
        </w:rPr>
        <w:t>19F</w:t>
      </w:r>
      <w:r>
        <w:rPr>
          <w:rStyle w:val="FootnoteReference"/>
          <w:rFonts w:cstheme="minorHAnsi"/>
        </w:rPr>
        <w:footnoteReference w:id="21"/>
      </w:r>
      <w:bookmarkEnd w:id="154"/>
      <w:r>
        <w:rPr>
          <w:rFonts w:cstheme="minorHAnsi"/>
        </w:rPr>
        <w:t>.</w:t>
      </w:r>
    </w:p>
    <w:tbl>
      <w:tblPr>
        <w:tblStyle w:val="TableGrid"/>
        <w:tblW w:w="0" w:type="auto"/>
        <w:tblLook w:val="04A0" w:firstRow="1" w:lastRow="0" w:firstColumn="1" w:lastColumn="0" w:noHBand="0" w:noVBand="1"/>
      </w:tblPr>
      <w:tblGrid>
        <w:gridCol w:w="2977"/>
        <w:gridCol w:w="7489"/>
      </w:tblGrid>
      <w:tr w:rsidR="00596DB4" w14:paraId="546D8F58" w14:textId="77777777" w:rsidTr="00596DB4">
        <w:trPr>
          <w:cnfStyle w:val="100000000000" w:firstRow="1" w:lastRow="0" w:firstColumn="0" w:lastColumn="0" w:oddVBand="0" w:evenVBand="0" w:oddHBand="0" w:evenHBand="0" w:firstRowFirstColumn="0" w:firstRowLastColumn="0" w:lastRowFirstColumn="0" w:lastRowLastColumn="0"/>
        </w:trPr>
        <w:tc>
          <w:tcPr>
            <w:tcW w:w="2977" w:type="dxa"/>
          </w:tcPr>
          <w:p w14:paraId="39478916" w14:textId="50E22F02" w:rsidR="00596DB4" w:rsidRPr="00596DB4" w:rsidRDefault="00596DB4" w:rsidP="00596DB4">
            <w:pPr>
              <w:pStyle w:val="Pullout-QuoteGreen"/>
              <w:spacing w:after="120" w:line="216" w:lineRule="auto"/>
              <w:ind w:left="0"/>
              <w:rPr>
                <w:i w:val="0"/>
                <w:iCs/>
                <w:color w:val="007680"/>
                <w:sz w:val="20"/>
              </w:rPr>
            </w:pPr>
            <w:r>
              <w:rPr>
                <w:color w:val="007680"/>
              </w:rPr>
              <w:t>O</w:t>
            </w:r>
            <w:r w:rsidRPr="00865B14">
              <w:rPr>
                <w:color w:val="007680"/>
              </w:rPr>
              <w:t xml:space="preserve">ne average hospital admission </w:t>
            </w:r>
            <w:r>
              <w:rPr>
                <w:color w:val="007680"/>
              </w:rPr>
              <w:t>is</w:t>
            </w:r>
            <w:r w:rsidRPr="00865B14">
              <w:rPr>
                <w:color w:val="007680"/>
              </w:rPr>
              <w:t xml:space="preserve"> over $1000 more expensive than a patient seeing their GP for 20 minutes twice a week for an entire year</w:t>
            </w:r>
            <w:r>
              <w:rPr>
                <w:color w:val="007680"/>
              </w:rPr>
              <w:t>.</w:t>
            </w:r>
          </w:p>
        </w:tc>
        <w:tc>
          <w:tcPr>
            <w:tcW w:w="7489" w:type="dxa"/>
          </w:tcPr>
          <w:p w14:paraId="06271689" w14:textId="41D1D44B" w:rsidR="00596DB4" w:rsidRPr="00E416B3" w:rsidRDefault="00596DB4" w:rsidP="00596DB4">
            <w:pPr>
              <w:rPr>
                <w:rFonts w:cstheme="minorHAnsi"/>
              </w:rPr>
            </w:pPr>
            <w:r>
              <w:t xml:space="preserve">Specialists typically engage with patients who have received a referral from a primary healthcare practitioner. They provide diagnostic and treatment services in a specific area of medicine both within and outside hospital settings. In 2021-22, </w:t>
            </w:r>
            <w:r w:rsidR="00DB585F">
              <w:t>a total of</w:t>
            </w:r>
            <w:r>
              <w:t xml:space="preserve"> 25.6 million MBS-subsidised referred medical specialist consultations </w:t>
            </w:r>
            <w:r w:rsidR="00DB585F">
              <w:t xml:space="preserve">were </w:t>
            </w:r>
            <w:r>
              <w:t>provided to 8.1 million Australians</w:t>
            </w:r>
            <w:r w:rsidR="003F5D51">
              <w:rPr>
                <w:rFonts w:ascii="ZWAdobeF" w:hAnsi="ZWAdobeF" w:cs="ZWAdobeF"/>
                <w:sz w:val="2"/>
                <w:szCs w:val="2"/>
              </w:rPr>
              <w:t>20F</w:t>
            </w:r>
            <w:r w:rsidR="009C2C07">
              <w:rPr>
                <w:rStyle w:val="FootnoteReference"/>
              </w:rPr>
              <w:footnoteReference w:id="22"/>
            </w:r>
            <w:r>
              <w:t xml:space="preserve">. </w:t>
            </w:r>
          </w:p>
          <w:p w14:paraId="0862E165" w14:textId="29CA0BA7" w:rsidR="00596DB4" w:rsidRPr="00596DB4" w:rsidRDefault="00596DB4" w:rsidP="0069494E">
            <w:r>
              <w:t xml:space="preserve">Pathology, diagnostic imaging and other diagnostic services are essential to assist health practitioners to diagnose and monitor a patient’s illness or injury. In 2020–21, </w:t>
            </w:r>
            <w:r w:rsidR="00DB585F">
              <w:t>a total</w:t>
            </w:r>
            <w:r w:rsidR="00EB25C2">
              <w:t xml:space="preserve"> of 204.1 million MBS-subsidised pathology tests, imaging scans and a range of diagnostic services were delivered to </w:t>
            </w:r>
            <w:r>
              <w:t>69% of Australians</w:t>
            </w:r>
            <w:r w:rsidR="003F5D51">
              <w:rPr>
                <w:rFonts w:ascii="ZWAdobeF" w:hAnsi="ZWAdobeF" w:cs="ZWAdobeF"/>
                <w:sz w:val="2"/>
                <w:szCs w:val="2"/>
              </w:rPr>
              <w:t>21F</w:t>
            </w:r>
            <w:r>
              <w:rPr>
                <w:rStyle w:val="FootnoteReference"/>
              </w:rPr>
              <w:footnoteReference w:id="23"/>
            </w:r>
            <w:r>
              <w:t>.</w:t>
            </w:r>
          </w:p>
        </w:tc>
      </w:tr>
    </w:tbl>
    <w:p w14:paraId="4F89FC81" w14:textId="40026943" w:rsidR="0069494E" w:rsidRDefault="0069494E" w:rsidP="0069494E">
      <w:pPr>
        <w:rPr>
          <w:rFonts w:cstheme="minorHAnsi"/>
        </w:rPr>
      </w:pPr>
      <w:r w:rsidRPr="009F5568">
        <w:rPr>
          <w:rFonts w:cstheme="minorHAnsi"/>
        </w:rPr>
        <w:t xml:space="preserve">Primary care is a more cost-effective form of intervention than hospital care, with one average hospital admission </w:t>
      </w:r>
      <w:r w:rsidR="000D56BF">
        <w:rPr>
          <w:rFonts w:cstheme="minorHAnsi"/>
        </w:rPr>
        <w:t>around</w:t>
      </w:r>
      <w:r w:rsidRPr="009F5568">
        <w:rPr>
          <w:rFonts w:cstheme="minorHAnsi"/>
        </w:rPr>
        <w:t xml:space="preserve"> $1000 more expensive than a patient seeing their GP for 20 minutes twice a week for an entire year</w:t>
      </w:r>
      <w:r w:rsidR="003F5D51">
        <w:rPr>
          <w:rFonts w:ascii="ZWAdobeF" w:hAnsi="ZWAdobeF" w:cs="ZWAdobeF"/>
          <w:sz w:val="2"/>
          <w:szCs w:val="2"/>
        </w:rPr>
        <w:t>22F</w:t>
      </w:r>
      <w:r>
        <w:rPr>
          <w:rStyle w:val="FootnoteReference"/>
          <w:rFonts w:cstheme="minorHAnsi"/>
        </w:rPr>
        <w:footnoteReference w:id="24"/>
      </w:r>
      <w:r w:rsidRPr="009F5568">
        <w:rPr>
          <w:rFonts w:cstheme="minorHAnsi"/>
          <w:vertAlign w:val="superscript"/>
        </w:rPr>
        <w:t>,</w:t>
      </w:r>
      <w:r w:rsidR="003F5D51">
        <w:rPr>
          <w:rFonts w:ascii="ZWAdobeF" w:hAnsi="ZWAdobeF" w:cs="ZWAdobeF"/>
          <w:sz w:val="2"/>
          <w:szCs w:val="2"/>
        </w:rPr>
        <w:t>23F</w:t>
      </w:r>
      <w:r>
        <w:rPr>
          <w:rStyle w:val="FootnoteReference"/>
          <w:rFonts w:cstheme="minorHAnsi"/>
        </w:rPr>
        <w:footnoteReference w:id="25"/>
      </w:r>
      <w:r w:rsidRPr="009F5568">
        <w:rPr>
          <w:rFonts w:cstheme="minorHAnsi"/>
        </w:rPr>
        <w:t xml:space="preserve">. In a similar vein, managing more complex patients in the community for some or </w:t>
      </w:r>
      <w:r>
        <w:rPr>
          <w:rFonts w:cstheme="minorHAnsi"/>
        </w:rPr>
        <w:t xml:space="preserve">all </w:t>
      </w:r>
      <w:r w:rsidR="00BA3DF3">
        <w:rPr>
          <w:rFonts w:cstheme="minorHAnsi"/>
        </w:rPr>
        <w:t xml:space="preserve">of </w:t>
      </w:r>
      <w:r>
        <w:rPr>
          <w:rFonts w:cstheme="minorHAnsi"/>
        </w:rPr>
        <w:t>an</w:t>
      </w:r>
      <w:r w:rsidRPr="009F5568">
        <w:rPr>
          <w:rFonts w:cstheme="minorHAnsi"/>
        </w:rPr>
        <w:t xml:space="preserve"> acute episode can reduce costs and improve outcomes</w:t>
      </w:r>
      <w:r w:rsidR="003F5D51">
        <w:rPr>
          <w:rFonts w:ascii="ZWAdobeF" w:hAnsi="ZWAdobeF" w:cs="ZWAdobeF"/>
          <w:sz w:val="2"/>
          <w:szCs w:val="2"/>
        </w:rPr>
        <w:t>24F</w:t>
      </w:r>
      <w:r>
        <w:rPr>
          <w:rStyle w:val="FootnoteReference"/>
          <w:rFonts w:cstheme="minorHAnsi"/>
        </w:rPr>
        <w:footnoteReference w:id="26"/>
      </w:r>
      <w:r w:rsidRPr="009F5568">
        <w:rPr>
          <w:rFonts w:cstheme="minorHAnsi"/>
        </w:rPr>
        <w:t>.</w:t>
      </w:r>
      <w:r>
        <w:rPr>
          <w:rFonts w:cstheme="minorHAnsi"/>
        </w:rPr>
        <w:t xml:space="preserve"> </w:t>
      </w:r>
    </w:p>
    <w:p w14:paraId="7BA8BAD9" w14:textId="6DE45142" w:rsidR="0069494E" w:rsidRDefault="0069494E" w:rsidP="0069494E">
      <w:pPr>
        <w:pStyle w:val="ListBullet"/>
        <w:numPr>
          <w:ilvl w:val="0"/>
          <w:numId w:val="0"/>
        </w:numPr>
        <w:spacing w:after="120"/>
        <w:contextualSpacing w:val="0"/>
        <w:rPr>
          <w:b/>
          <w:bCs/>
        </w:rPr>
      </w:pPr>
      <w:r>
        <w:rPr>
          <w:b/>
          <w:bCs/>
        </w:rPr>
        <w:t>A</w:t>
      </w:r>
      <w:r w:rsidRPr="00FC7D8E">
        <w:rPr>
          <w:b/>
          <w:bCs/>
        </w:rPr>
        <w:t>ustralia’s health expenditure</w:t>
      </w:r>
    </w:p>
    <w:p w14:paraId="13151CCF" w14:textId="378CF7A6" w:rsidR="0069494E" w:rsidRDefault="0069494E" w:rsidP="0069494E">
      <w:pPr>
        <w:rPr>
          <w:rFonts w:cstheme="minorHAnsi"/>
        </w:rPr>
      </w:pPr>
      <w:r>
        <w:rPr>
          <w:rFonts w:cstheme="minorHAnsi"/>
        </w:rPr>
        <w:t>In 2020-21, $73.4 billion was spent on primary health care and $89.7 billion was spent on hospitals</w:t>
      </w:r>
      <w:r w:rsidR="003F5D51">
        <w:rPr>
          <w:rFonts w:ascii="ZWAdobeF" w:hAnsi="ZWAdobeF" w:cs="ZWAdobeF"/>
          <w:sz w:val="2"/>
          <w:szCs w:val="2"/>
        </w:rPr>
        <w:t>25F</w:t>
      </w:r>
      <w:r w:rsidR="002E036F">
        <w:rPr>
          <w:rStyle w:val="FootnoteReference"/>
          <w:rFonts w:cstheme="minorHAnsi"/>
        </w:rPr>
        <w:footnoteReference w:id="27"/>
      </w:r>
      <w:r w:rsidR="00B31E41" w:rsidRPr="002C6CD0">
        <w:rPr>
          <w:rFonts w:cstheme="minorHAnsi"/>
        </w:rPr>
        <w:t>,</w:t>
      </w:r>
      <w:r w:rsidR="00B31E41">
        <w:rPr>
          <w:rFonts w:cstheme="minorHAnsi"/>
          <w:vertAlign w:val="superscript"/>
        </w:rPr>
        <w:t xml:space="preserve"> </w:t>
      </w:r>
      <w:r w:rsidR="00B31E41" w:rsidRPr="00650E28">
        <w:rPr>
          <w:rFonts w:cstheme="minorHAnsi"/>
        </w:rPr>
        <w:t>across private and public settings</w:t>
      </w:r>
      <w:r>
        <w:rPr>
          <w:rFonts w:cstheme="minorHAnsi"/>
        </w:rPr>
        <w:t>.</w:t>
      </w:r>
    </w:p>
    <w:tbl>
      <w:tblPr>
        <w:tblStyle w:val="TableGrid"/>
        <w:tblW w:w="0" w:type="auto"/>
        <w:tblLook w:val="04A0" w:firstRow="1" w:lastRow="0" w:firstColumn="1" w:lastColumn="0" w:noHBand="0" w:noVBand="1"/>
      </w:tblPr>
      <w:tblGrid>
        <w:gridCol w:w="7230"/>
        <w:gridCol w:w="3236"/>
      </w:tblGrid>
      <w:tr w:rsidR="002A16A8" w14:paraId="5FC7A2E5" w14:textId="77777777" w:rsidTr="00CF3D3A">
        <w:trPr>
          <w:cnfStyle w:val="100000000000" w:firstRow="1" w:lastRow="0" w:firstColumn="0" w:lastColumn="0" w:oddVBand="0" w:evenVBand="0" w:oddHBand="0" w:evenHBand="0" w:firstRowFirstColumn="0" w:firstRowLastColumn="0" w:lastRowFirstColumn="0" w:lastRowLastColumn="0"/>
        </w:trPr>
        <w:tc>
          <w:tcPr>
            <w:tcW w:w="703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55B374" w14:textId="742B5CCF" w:rsidR="00CF3D3A" w:rsidRPr="00C754F3" w:rsidRDefault="00CF3D3A" w:rsidP="0069494E">
            <w:pPr>
              <w:rPr>
                <w:noProof/>
                <w:color w:val="A26000"/>
              </w:rPr>
            </w:pPr>
            <w:r w:rsidRPr="00C754F3">
              <w:rPr>
                <w:noProof/>
                <w:color w:val="A26000"/>
              </w:rPr>
              <w:drawing>
                <wp:inline distT="0" distB="0" distL="0" distR="0" wp14:anchorId="3E946903" wp14:editId="328EE081">
                  <wp:extent cx="4591050" cy="2105025"/>
                  <wp:effectExtent l="0" t="0" r="0" b="0"/>
                  <wp:docPr id="1115524934" name="Chart 1115524934" descr="P1081C1T32#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F892AC1" w14:textId="2DAA7DFD" w:rsidR="002A16A8" w:rsidRPr="00CF3D3A" w:rsidRDefault="00CF3D3A" w:rsidP="00C2024B">
            <w:pPr>
              <w:pStyle w:val="Caption"/>
              <w:rPr>
                <w:noProof/>
                <w:sz w:val="20"/>
                <w:szCs w:val="17"/>
              </w:rPr>
            </w:pPr>
            <w:bookmarkStart w:id="155" w:name="_Ref146707929"/>
            <w:bookmarkStart w:id="156" w:name="_Toc148968391"/>
            <w:r>
              <w:t xml:space="preserve">Figure </w:t>
            </w:r>
            <w:r>
              <w:fldChar w:fldCharType="begin"/>
            </w:r>
            <w:r>
              <w:instrText xml:space="preserve"> SEQ Figure \* ARABIC </w:instrText>
            </w:r>
            <w:r>
              <w:fldChar w:fldCharType="separate"/>
            </w:r>
            <w:r w:rsidR="003F5D51">
              <w:rPr>
                <w:noProof/>
              </w:rPr>
              <w:t>13</w:t>
            </w:r>
            <w:r>
              <w:fldChar w:fldCharType="end"/>
            </w:r>
            <w:bookmarkEnd w:id="155"/>
            <w:r>
              <w:t>: Proportion of total health spending in 2020-21 by funding source, current prices</w:t>
            </w:r>
            <w:bookmarkEnd w:id="156"/>
          </w:p>
        </w:tc>
        <w:tc>
          <w:tcPr>
            <w:tcW w:w="34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3A331C" w14:textId="360559A5" w:rsidR="002A16A8" w:rsidRDefault="00CF3D3A" w:rsidP="0069494E">
            <w:r>
              <w:t xml:space="preserve">Australia spent an </w:t>
            </w:r>
            <w:r w:rsidRPr="00B50A37">
              <w:t>estimated</w:t>
            </w:r>
            <w:r>
              <w:t xml:space="preserve"> $220.9 billion on health goods and services in 2020-21, equivalent to $8617 per capita</w:t>
            </w:r>
            <w:bookmarkStart w:id="157" w:name="_Ref144977618"/>
            <w:r w:rsidR="003F5D51">
              <w:rPr>
                <w:rFonts w:ascii="ZWAdobeF" w:hAnsi="ZWAdobeF" w:cs="ZWAdobeF"/>
                <w:sz w:val="2"/>
                <w:szCs w:val="2"/>
              </w:rPr>
              <w:t>26F</w:t>
            </w:r>
            <w:r>
              <w:rPr>
                <w:rStyle w:val="FootnoteReference"/>
              </w:rPr>
              <w:footnoteReference w:id="28"/>
            </w:r>
            <w:bookmarkEnd w:id="157"/>
            <w:r>
              <w:t xml:space="preserve">, comprising $156 billion from government sources and $64.9 billion from non-government sources. </w:t>
            </w:r>
            <w:r>
              <w:fldChar w:fldCharType="begin" w:fldLock="1"/>
            </w:r>
            <w:r>
              <w:instrText xml:space="preserve"> REF _Ref146707929 \h </w:instrText>
            </w:r>
            <w:r>
              <w:fldChar w:fldCharType="separate"/>
            </w:r>
            <w:r w:rsidR="00FA10A4">
              <w:t xml:space="preserve">Figure </w:t>
            </w:r>
            <w:r w:rsidR="00FA10A4">
              <w:rPr>
                <w:noProof/>
              </w:rPr>
              <w:t>13</w:t>
            </w:r>
            <w:r>
              <w:fldChar w:fldCharType="end"/>
            </w:r>
            <w:r>
              <w:t xml:space="preserve"> shows the proportion of total health spending in 2020-21 by the various funding sources.</w:t>
            </w:r>
          </w:p>
        </w:tc>
      </w:tr>
      <w:tr w:rsidR="00CF3D3A" w14:paraId="411B3040" w14:textId="77777777" w:rsidTr="00CF3D3A">
        <w:tc>
          <w:tcPr>
            <w:tcW w:w="7030" w:type="dxa"/>
          </w:tcPr>
          <w:p w14:paraId="1494E0E3" w14:textId="77777777" w:rsidR="00CF3D3A" w:rsidRDefault="00CF3D3A" w:rsidP="00CF3D3A">
            <w:pPr>
              <w:rPr>
                <w:noProof/>
              </w:rPr>
            </w:pPr>
            <w:r>
              <w:rPr>
                <w:noProof/>
              </w:rPr>
              <w:drawing>
                <wp:inline distT="0" distB="0" distL="0" distR="0" wp14:anchorId="05ED3202" wp14:editId="1BFE2717">
                  <wp:extent cx="4418330" cy="1875790"/>
                  <wp:effectExtent l="0" t="0" r="1270" b="0"/>
                  <wp:docPr id="1115524937" name="Chart 1115524937" descr="P1085C3T32#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D064397" w14:textId="61AB77EC" w:rsidR="00CF3D3A" w:rsidRPr="00CF3D3A" w:rsidRDefault="00CF3D3A" w:rsidP="00C2024B">
            <w:pPr>
              <w:pStyle w:val="Caption"/>
              <w:rPr>
                <w:noProof/>
                <w:sz w:val="20"/>
                <w:szCs w:val="17"/>
              </w:rPr>
            </w:pPr>
            <w:bookmarkStart w:id="158" w:name="_Ref145018167"/>
            <w:bookmarkStart w:id="159" w:name="_Toc148968392"/>
            <w:r>
              <w:t xml:space="preserve">Figure </w:t>
            </w:r>
            <w:r>
              <w:fldChar w:fldCharType="begin"/>
            </w:r>
            <w:r>
              <w:instrText xml:space="preserve"> SEQ Figure \* ARABIC </w:instrText>
            </w:r>
            <w:r>
              <w:fldChar w:fldCharType="separate"/>
            </w:r>
            <w:r w:rsidR="003F5D51">
              <w:rPr>
                <w:noProof/>
              </w:rPr>
              <w:t>14</w:t>
            </w:r>
            <w:r>
              <w:fldChar w:fldCharType="end"/>
            </w:r>
            <w:bookmarkEnd w:id="158"/>
            <w:r>
              <w:t>: Ratio of Australia’s total health expenditure to GDP, current prices, 2010-11 to 2020-21</w:t>
            </w:r>
            <w:bookmarkEnd w:id="159"/>
          </w:p>
        </w:tc>
        <w:tc>
          <w:tcPr>
            <w:tcW w:w="3426" w:type="dxa"/>
          </w:tcPr>
          <w:p w14:paraId="345BCED9" w14:textId="064CED94" w:rsidR="00CF3D3A" w:rsidRDefault="00CF3D3A" w:rsidP="0069494E">
            <w:r w:rsidRPr="009948E8">
              <w:t xml:space="preserve">In 2020-21, total health spending </w:t>
            </w:r>
            <w:r>
              <w:t xml:space="preserve">(from government and non-government sources) </w:t>
            </w:r>
            <w:r w:rsidRPr="009948E8">
              <w:t>represented 10.7% of Australia’s gross domestic product (GDP), a</w:t>
            </w:r>
            <w:r>
              <w:t>n</w:t>
            </w:r>
            <w:r w:rsidRPr="009948E8">
              <w:t xml:space="preserve"> 0.5 percentage point increase from 2019-20</w:t>
            </w:r>
            <w:r w:rsidR="003F5D51">
              <w:rPr>
                <w:rFonts w:ascii="ZWAdobeF" w:hAnsi="ZWAdobeF" w:cs="ZWAdobeF"/>
                <w:sz w:val="2"/>
                <w:szCs w:val="2"/>
              </w:rPr>
              <w:t>27F</w:t>
            </w:r>
            <w:r w:rsidR="000B7BBE">
              <w:rPr>
                <w:rStyle w:val="FootnoteReference"/>
              </w:rPr>
              <w:footnoteReference w:id="29"/>
            </w:r>
            <w:r w:rsidRPr="009948E8">
              <w:t xml:space="preserve"> (see</w:t>
            </w:r>
            <w:r>
              <w:t xml:space="preserve"> </w:t>
            </w:r>
            <w:r>
              <w:fldChar w:fldCharType="begin" w:fldLock="1"/>
            </w:r>
            <w:r>
              <w:instrText xml:space="preserve"> REF _Ref145018167 \h </w:instrText>
            </w:r>
            <w:r>
              <w:fldChar w:fldCharType="separate"/>
            </w:r>
            <w:r w:rsidR="00FA10A4">
              <w:t xml:space="preserve">Figure </w:t>
            </w:r>
            <w:r w:rsidR="00FA10A4">
              <w:rPr>
                <w:noProof/>
              </w:rPr>
              <w:t>14</w:t>
            </w:r>
            <w:r>
              <w:fldChar w:fldCharType="end"/>
            </w:r>
            <w:r w:rsidRPr="009948E8">
              <w:t>).</w:t>
            </w:r>
          </w:p>
        </w:tc>
      </w:tr>
    </w:tbl>
    <w:p w14:paraId="15F4D664" w14:textId="50430A0D" w:rsidR="0069494E" w:rsidRDefault="0069494E" w:rsidP="0069494E">
      <w:r>
        <w:t xml:space="preserve">Australia’s overall government health spending accounts for 8.2% of the country’s GDP, </w:t>
      </w:r>
      <w:r w:rsidR="002426B7">
        <w:t xml:space="preserve">placing Australia </w:t>
      </w:r>
      <w:r>
        <w:t xml:space="preserve">thirteenth among </w:t>
      </w:r>
      <w:r w:rsidRPr="0049676E">
        <w:t xml:space="preserve">Organisation for Economic Co-operation and Development </w:t>
      </w:r>
      <w:r>
        <w:t xml:space="preserve">(OECD) countries (see </w:t>
      </w:r>
      <w:r>
        <w:fldChar w:fldCharType="begin" w:fldLock="1"/>
      </w:r>
      <w:r>
        <w:instrText xml:space="preserve"> REF _Ref146707969 \h </w:instrText>
      </w:r>
      <w:r>
        <w:fldChar w:fldCharType="separate"/>
      </w:r>
      <w:r w:rsidR="00FA10A4">
        <w:t xml:space="preserve">Figure </w:t>
      </w:r>
      <w:r w:rsidR="00FA10A4">
        <w:rPr>
          <w:noProof/>
        </w:rPr>
        <w:t>15</w:t>
      </w:r>
      <w:r>
        <w:fldChar w:fldCharType="end"/>
      </w:r>
      <w:r>
        <w:t>)</w:t>
      </w:r>
      <w:r w:rsidR="003F5D51">
        <w:rPr>
          <w:rFonts w:ascii="ZWAdobeF" w:hAnsi="ZWAdobeF" w:cs="ZWAdobeF"/>
          <w:sz w:val="2"/>
          <w:szCs w:val="2"/>
        </w:rPr>
        <w:t>28F</w:t>
      </w:r>
      <w:r>
        <w:rPr>
          <w:rStyle w:val="FootnoteReference"/>
        </w:rPr>
        <w:footnoteReference w:id="30"/>
      </w:r>
      <w:r>
        <w:t>.</w:t>
      </w:r>
    </w:p>
    <w:p w14:paraId="1A5CA5B2" w14:textId="344CE3F3" w:rsidR="00CF3D3A" w:rsidRDefault="00CF3D3A" w:rsidP="0069494E">
      <w:r>
        <w:rPr>
          <w:noProof/>
        </w:rPr>
        <w:drawing>
          <wp:inline distT="0" distB="0" distL="0" distR="0" wp14:anchorId="04D1BF51" wp14:editId="337E92EC">
            <wp:extent cx="6429375" cy="2152650"/>
            <wp:effectExtent l="0" t="0" r="0" b="0"/>
            <wp:docPr id="1115524940" name="Chart 1115524940" descr="P1090#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599E91F" w14:textId="6360C930" w:rsidR="00CF3D3A" w:rsidRPr="004A2ADF" w:rsidRDefault="00CF3D3A" w:rsidP="00C2024B">
      <w:pPr>
        <w:pStyle w:val="Caption"/>
        <w:rPr>
          <w:noProof/>
          <w:sz w:val="20"/>
          <w:szCs w:val="20"/>
        </w:rPr>
      </w:pPr>
      <w:bookmarkStart w:id="160" w:name="_Ref146707969"/>
      <w:bookmarkStart w:id="161" w:name="_Toc148968393"/>
      <w:r>
        <w:t xml:space="preserve">Figure </w:t>
      </w:r>
      <w:r>
        <w:fldChar w:fldCharType="begin"/>
      </w:r>
      <w:r>
        <w:instrText xml:space="preserve"> SEQ Figure \* ARABIC </w:instrText>
      </w:r>
      <w:r>
        <w:fldChar w:fldCharType="separate"/>
      </w:r>
      <w:r w:rsidR="003F5D51">
        <w:rPr>
          <w:noProof/>
        </w:rPr>
        <w:t>15</w:t>
      </w:r>
      <w:r>
        <w:rPr>
          <w:noProof/>
        </w:rPr>
        <w:fldChar w:fldCharType="end"/>
      </w:r>
      <w:bookmarkEnd w:id="160"/>
      <w:r>
        <w:t xml:space="preserve"> : </w:t>
      </w:r>
      <w:r w:rsidRPr="00F81663">
        <w:t>Government health expenditure across OECD countries</w:t>
      </w:r>
      <w:r>
        <w:t>, 2021</w:t>
      </w:r>
      <w:bookmarkEnd w:id="161"/>
    </w:p>
    <w:p w14:paraId="6CD18388" w14:textId="6A750028" w:rsidR="0069494E" w:rsidRPr="00305970" w:rsidRDefault="0069494E" w:rsidP="00135E76">
      <w:pPr>
        <w:rPr>
          <w:i/>
          <w:iCs/>
          <w:u w:val="single"/>
        </w:rPr>
      </w:pPr>
      <w:r w:rsidRPr="00305970">
        <w:rPr>
          <w:i/>
          <w:iCs/>
          <w:u w:val="single"/>
        </w:rPr>
        <w:t>Commonwealth, State and Territory health expenditure</w:t>
      </w:r>
    </w:p>
    <w:p w14:paraId="3CAFE401" w14:textId="1B76147C" w:rsidR="0069494E" w:rsidRPr="00022A1D" w:rsidRDefault="0069494E" w:rsidP="00135E76">
      <w:r>
        <w:t xml:space="preserve">In 2020-21, the Commonwealth Government’s $94.4 billion in health spending </w:t>
      </w:r>
      <w:r w:rsidR="00F0676F">
        <w:t xml:space="preserve">represented </w:t>
      </w:r>
      <w:r>
        <w:t>14.3% of its expenses</w:t>
      </w:r>
      <w:r w:rsidR="003F5D51">
        <w:rPr>
          <w:rFonts w:ascii="ZWAdobeF" w:hAnsi="ZWAdobeF" w:cs="ZWAdobeF"/>
          <w:sz w:val="2"/>
          <w:szCs w:val="2"/>
        </w:rPr>
        <w:t>29F</w:t>
      </w:r>
      <w:r w:rsidR="00A92168">
        <w:rPr>
          <w:rStyle w:val="FootnoteReference"/>
        </w:rPr>
        <w:footnoteReference w:id="31"/>
      </w:r>
      <w:r w:rsidRPr="005C7D89">
        <w:t>.</w:t>
      </w:r>
      <w:r>
        <w:t xml:space="preserve"> Decreases in health expenditure as a proportion of all Commonwealth Government expenses </w:t>
      </w:r>
      <w:r w:rsidR="00721E88">
        <w:t>over the two years</w:t>
      </w:r>
      <w:r>
        <w:t xml:space="preserve"> 2019</w:t>
      </w:r>
      <w:r w:rsidR="00721E88">
        <w:t xml:space="preserve"> to </w:t>
      </w:r>
      <w:r>
        <w:t xml:space="preserve">2021 </w:t>
      </w:r>
      <w:r w:rsidR="00B31E41">
        <w:t>has seen a drop in this</w:t>
      </w:r>
      <w:r>
        <w:t xml:space="preserve"> ratio </w:t>
      </w:r>
      <w:r w:rsidR="00B31E41">
        <w:t xml:space="preserve">to </w:t>
      </w:r>
      <w:r>
        <w:t xml:space="preserve">well below pre-pandemic levels, which indicates that the growth in health spending has been slower than other areas of Commonwealth Government spending, noting the significant impact on spending of </w:t>
      </w:r>
      <w:r w:rsidR="00CF77B2">
        <w:t xml:space="preserve">COVID-19 related </w:t>
      </w:r>
      <w:r>
        <w:t xml:space="preserve">initiatives such as JobKeeper. By contrast, </w:t>
      </w:r>
      <w:r w:rsidRPr="008E1678">
        <w:t xml:space="preserve">the ratio of </w:t>
      </w:r>
      <w:r>
        <w:t>S</w:t>
      </w:r>
      <w:r w:rsidRPr="008E1678">
        <w:t xml:space="preserve">tate and </w:t>
      </w:r>
      <w:r>
        <w:t>T</w:t>
      </w:r>
      <w:r w:rsidRPr="008E1678">
        <w:t xml:space="preserve">erritory government health spending to total government expenses was 17.4%, approximately 0.4 percentage points higher than in </w:t>
      </w:r>
      <w:r w:rsidRPr="00C0570A">
        <w:t>2019–20</w:t>
      </w:r>
      <w:r w:rsidR="003F5D51">
        <w:rPr>
          <w:rFonts w:ascii="ZWAdobeF" w:hAnsi="ZWAdobeF" w:cs="ZWAdobeF"/>
          <w:sz w:val="2"/>
          <w:szCs w:val="2"/>
        </w:rPr>
        <w:t>30F</w:t>
      </w:r>
      <w:r w:rsidR="00943CBA">
        <w:rPr>
          <w:rStyle w:val="FootnoteReference"/>
        </w:rPr>
        <w:footnoteReference w:id="32"/>
      </w:r>
      <w:r w:rsidRPr="00C0570A">
        <w:t>.</w:t>
      </w:r>
    </w:p>
    <w:p w14:paraId="794A2B6C" w14:textId="1BFCA999" w:rsidR="0069494E" w:rsidRDefault="0069494E" w:rsidP="0069494E">
      <w:pPr>
        <w:rPr>
          <w:rFonts w:cstheme="minorHAnsi"/>
        </w:rPr>
      </w:pPr>
      <w:r>
        <w:rPr>
          <w:rFonts w:cstheme="minorHAnsi"/>
        </w:rPr>
        <w:t>The recently released</w:t>
      </w:r>
      <w:r w:rsidR="00B31E41">
        <w:rPr>
          <w:rFonts w:cstheme="minorHAnsi"/>
        </w:rPr>
        <w:t xml:space="preserve"> </w:t>
      </w:r>
      <w:r w:rsidR="00B31E41" w:rsidRPr="00650E28">
        <w:rPr>
          <w:rFonts w:cstheme="minorHAnsi"/>
          <w:i/>
          <w:iCs/>
        </w:rPr>
        <w:t>2023</w:t>
      </w:r>
      <w:r>
        <w:rPr>
          <w:rFonts w:cstheme="minorHAnsi"/>
        </w:rPr>
        <w:t xml:space="preserve"> </w:t>
      </w:r>
      <w:r w:rsidRPr="00650E28">
        <w:rPr>
          <w:rFonts w:cstheme="minorHAnsi"/>
          <w:i/>
          <w:iCs/>
        </w:rPr>
        <w:t>Intergenerational Report</w:t>
      </w:r>
      <w:r w:rsidR="003F5D51">
        <w:rPr>
          <w:rFonts w:ascii="ZWAdobeF" w:hAnsi="ZWAdobeF" w:cs="ZWAdobeF"/>
          <w:iCs/>
          <w:sz w:val="2"/>
          <w:szCs w:val="2"/>
        </w:rPr>
        <w:t>31F</w:t>
      </w:r>
      <w:r w:rsidR="009E4CCE">
        <w:rPr>
          <w:rStyle w:val="FootnoteReference"/>
          <w:rFonts w:cstheme="minorHAnsi"/>
          <w:i/>
          <w:iCs/>
        </w:rPr>
        <w:footnoteReference w:id="33"/>
      </w:r>
      <w:r>
        <w:rPr>
          <w:rFonts w:cstheme="minorHAnsi"/>
        </w:rPr>
        <w:t xml:space="preserve"> has highlighted pressure on the sustainability of Australian Government health spending. Sustainability concerns are shared by States and Territories in terms of the pressures on their own budgets.</w:t>
      </w:r>
      <w:r w:rsidRPr="00FB1471">
        <w:rPr>
          <w:rFonts w:cstheme="minorHAnsi"/>
        </w:rPr>
        <w:t xml:space="preserve"> </w:t>
      </w:r>
    </w:p>
    <w:p w14:paraId="2D70CEE3" w14:textId="4703102C" w:rsidR="0069494E" w:rsidRDefault="0069494E" w:rsidP="0069494E">
      <w:pPr>
        <w:rPr>
          <w:rFonts w:cstheme="minorHAnsi"/>
          <w:noProof/>
        </w:rPr>
      </w:pPr>
      <w:r>
        <w:rPr>
          <w:rFonts w:cstheme="minorHAnsi"/>
        </w:rPr>
        <w:t>The Commonwealth Government’s health spending is projected to increase by 2 percentage points of GDP in the next 40 years from 4.2% of GDP in 2022-23 to 6.2% of GDP in 2062-63</w:t>
      </w:r>
      <w:r w:rsidR="003F5D51">
        <w:rPr>
          <w:rFonts w:ascii="ZWAdobeF" w:hAnsi="ZWAdobeF" w:cs="ZWAdobeF"/>
          <w:sz w:val="2"/>
          <w:szCs w:val="2"/>
        </w:rPr>
        <w:t>32F</w:t>
      </w:r>
      <w:r w:rsidR="00C17EB1">
        <w:rPr>
          <w:rStyle w:val="FootnoteReference"/>
          <w:rFonts w:cstheme="minorHAnsi"/>
        </w:rPr>
        <w:footnoteReference w:id="34"/>
      </w:r>
      <w:r>
        <w:rPr>
          <w:rFonts w:cstheme="minorHAnsi"/>
        </w:rPr>
        <w:t xml:space="preserve">. This projected growth is primarily attributed to a growing </w:t>
      </w:r>
      <w:r w:rsidR="00F0676F">
        <w:rPr>
          <w:rFonts w:cstheme="minorHAnsi"/>
        </w:rPr>
        <w:t xml:space="preserve">and </w:t>
      </w:r>
      <w:r>
        <w:rPr>
          <w:rFonts w:cstheme="minorHAnsi"/>
        </w:rPr>
        <w:t>ageing population, and the cost of new technologies, treatments and improvements in care quality. Over the medium term, hospital expenditure is projected to be the fastest growing component of Commonwealth government health expenditure, increasing by 35% from $950 per capita in 2022-23 to $1300 per capita in 2033-34. MBS expenditure is also expected to grow significantly, increasing by 25% from around $1050 per capita in 2022-23 to $1300 per capita in 2033-34.</w:t>
      </w:r>
      <w:r w:rsidRPr="00F3546B">
        <w:rPr>
          <w:rFonts w:cstheme="minorHAnsi"/>
          <w:noProof/>
        </w:rPr>
        <w:t xml:space="preserve"> </w:t>
      </w:r>
    </w:p>
    <w:tbl>
      <w:tblPr>
        <w:tblStyle w:val="TableGrid"/>
        <w:tblW w:w="0" w:type="auto"/>
        <w:tblLayout w:type="fixed"/>
        <w:tblLook w:val="04A0" w:firstRow="1" w:lastRow="0" w:firstColumn="1" w:lastColumn="0" w:noHBand="0" w:noVBand="1"/>
      </w:tblPr>
      <w:tblGrid>
        <w:gridCol w:w="3686"/>
        <w:gridCol w:w="6780"/>
      </w:tblGrid>
      <w:tr w:rsidR="00A43EB0" w14:paraId="3A8AEFC5" w14:textId="77777777" w:rsidTr="00A43EB0">
        <w:trPr>
          <w:cnfStyle w:val="100000000000" w:firstRow="1" w:lastRow="0" w:firstColumn="0" w:lastColumn="0" w:oddVBand="0" w:evenVBand="0" w:oddHBand="0" w:evenHBand="0" w:firstRowFirstColumn="0" w:firstRowLastColumn="0" w:lastRowFirstColumn="0" w:lastRowLastColumn="0"/>
        </w:trPr>
        <w:tc>
          <w:tcPr>
            <w:tcW w:w="3686" w:type="dxa"/>
          </w:tcPr>
          <w:p w14:paraId="5DCC904F" w14:textId="5B904DA9" w:rsidR="00A43EB0" w:rsidRDefault="00A43EB0" w:rsidP="0069494E">
            <w:pPr>
              <w:rPr>
                <w:rFonts w:cstheme="minorHAnsi"/>
              </w:rPr>
            </w:pPr>
            <w:r>
              <w:rPr>
                <w:rFonts w:cstheme="minorHAnsi"/>
              </w:rPr>
              <w:t xml:space="preserve">Under the NHRA, the Commonwealth Government contributes to the cost of operating public hospitals. An explicit goal of the national funding model is to increase the Commonwealth’s share of public hospital funding for the purpose of ensuring a more financially sustainable public health system. In 2022-23, the Commonwealth Government contributed $25.8 billion under the NHRA, a 97% increase from the $13.1 billion </w:t>
            </w:r>
            <w:r w:rsidRPr="00F3546B">
              <w:rPr>
                <w:rFonts w:cstheme="minorHAnsi"/>
              </w:rPr>
              <w:t>contribution in 2012-13 (</w:t>
            </w:r>
            <w:r>
              <w:rPr>
                <w:rFonts w:cstheme="minorHAnsi"/>
              </w:rPr>
              <w:t xml:space="preserve">See </w:t>
            </w:r>
            <w:r>
              <w:rPr>
                <w:rFonts w:cstheme="minorHAnsi"/>
              </w:rPr>
              <w:fldChar w:fldCharType="begin" w:fldLock="1"/>
            </w:r>
            <w:r>
              <w:rPr>
                <w:rFonts w:cstheme="minorHAnsi"/>
              </w:rPr>
              <w:instrText xml:space="preserve"> REF _Ref146708570 \h  \* MERGEFORMAT </w:instrText>
            </w:r>
            <w:r>
              <w:rPr>
                <w:rFonts w:cstheme="minorHAnsi"/>
              </w:rPr>
            </w:r>
            <w:r>
              <w:rPr>
                <w:rFonts w:cstheme="minorHAnsi"/>
              </w:rPr>
              <w:fldChar w:fldCharType="separate"/>
            </w:r>
            <w:r w:rsidR="00FA10A4">
              <w:t xml:space="preserve">Figure </w:t>
            </w:r>
            <w:r w:rsidR="00FA10A4">
              <w:rPr>
                <w:noProof/>
              </w:rPr>
              <w:t>16</w:t>
            </w:r>
            <w:r>
              <w:rPr>
                <w:rFonts w:cstheme="minorHAnsi"/>
              </w:rPr>
              <w:fldChar w:fldCharType="end"/>
            </w:r>
            <w:r w:rsidRPr="00F3546B">
              <w:rPr>
                <w:rFonts w:cstheme="minorHAnsi"/>
              </w:rPr>
              <w:t>)</w:t>
            </w:r>
            <w:r w:rsidR="003F5D51">
              <w:rPr>
                <w:rFonts w:ascii="ZWAdobeF" w:hAnsi="ZWAdobeF" w:cs="ZWAdobeF"/>
                <w:sz w:val="2"/>
                <w:szCs w:val="2"/>
              </w:rPr>
              <w:t>33F</w:t>
            </w:r>
            <w:r w:rsidRPr="00F3546B">
              <w:rPr>
                <w:rStyle w:val="FootnoteReference"/>
                <w:rFonts w:cstheme="minorHAnsi"/>
              </w:rPr>
              <w:footnoteReference w:id="35"/>
            </w:r>
            <w:r w:rsidRPr="00F3546B">
              <w:rPr>
                <w:rFonts w:cstheme="minorHAnsi"/>
              </w:rPr>
              <w:t xml:space="preserve">. </w:t>
            </w:r>
          </w:p>
        </w:tc>
        <w:tc>
          <w:tcPr>
            <w:tcW w:w="6780" w:type="dxa"/>
          </w:tcPr>
          <w:p w14:paraId="0C7CD961" w14:textId="045C3428" w:rsidR="00A43EB0" w:rsidRDefault="00A43EB0" w:rsidP="0069494E">
            <w:pPr>
              <w:rPr>
                <w:rFonts w:cstheme="minorHAnsi"/>
              </w:rPr>
            </w:pPr>
            <w:r>
              <w:rPr>
                <w:rFonts w:cstheme="minorHAnsi"/>
                <w:noProof/>
              </w:rPr>
              <w:drawing>
                <wp:inline distT="0" distB="0" distL="0" distR="0" wp14:anchorId="60499AF3" wp14:editId="7C92C79F">
                  <wp:extent cx="4222115" cy="2263775"/>
                  <wp:effectExtent l="0" t="0" r="6985" b="3175"/>
                  <wp:docPr id="1115524943" name="Chart 1115524943" descr="P1097C2T33#yIS1">
                    <a:extLst xmlns:a="http://schemas.openxmlformats.org/drawingml/2006/main">
                      <a:ext uri="{147F2762-F138-4A5C-976F-8EAC2B608ADB}">
                        <a16:predDERef xmlns:a16="http://schemas.microsoft.com/office/drawing/2014/main" pred="{1FA812E3-77ED-BC45-9756-BBE1ADB4FE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BC909D5" w14:textId="5E6AFC28" w:rsidR="00A43EB0" w:rsidRPr="00A43EB0" w:rsidRDefault="00A43EB0" w:rsidP="00C2024B">
            <w:pPr>
              <w:pStyle w:val="Caption"/>
              <w:rPr>
                <w:noProof/>
                <w:sz w:val="20"/>
                <w:szCs w:val="20"/>
              </w:rPr>
            </w:pPr>
            <w:bookmarkStart w:id="162" w:name="_Ref146708570"/>
            <w:bookmarkStart w:id="163" w:name="_Toc148968394"/>
            <w:r>
              <w:t xml:space="preserve">Figure </w:t>
            </w:r>
            <w:r>
              <w:fldChar w:fldCharType="begin"/>
            </w:r>
            <w:r>
              <w:instrText xml:space="preserve"> SEQ Figure \* ARABIC </w:instrText>
            </w:r>
            <w:r>
              <w:fldChar w:fldCharType="separate"/>
            </w:r>
            <w:r w:rsidR="003F5D51">
              <w:rPr>
                <w:noProof/>
              </w:rPr>
              <w:t>16</w:t>
            </w:r>
            <w:r>
              <w:fldChar w:fldCharType="end"/>
            </w:r>
            <w:bookmarkEnd w:id="162"/>
            <w:r>
              <w:t xml:space="preserve">: </w:t>
            </w:r>
            <w:r w:rsidRPr="005E343A">
              <w:t xml:space="preserve">Commonwealth NHRA funding to </w:t>
            </w:r>
            <w:r>
              <w:t>S</w:t>
            </w:r>
            <w:r w:rsidRPr="005E343A">
              <w:t xml:space="preserve">tates and </w:t>
            </w:r>
            <w:r>
              <w:t>T</w:t>
            </w:r>
            <w:r w:rsidRPr="005E343A">
              <w:t>erritories 2012-13 to 202</w:t>
            </w:r>
            <w:r>
              <w:t>2-23</w:t>
            </w:r>
            <w:bookmarkEnd w:id="163"/>
          </w:p>
        </w:tc>
      </w:tr>
      <w:tr w:rsidR="00A43EB0" w14:paraId="3938A6C7" w14:textId="77777777" w:rsidTr="00A43EB0">
        <w:tc>
          <w:tcPr>
            <w:tcW w:w="3686" w:type="dxa"/>
          </w:tcPr>
          <w:p w14:paraId="69352398" w14:textId="79E373A5" w:rsidR="00A43EB0" w:rsidRDefault="00A43EB0" w:rsidP="0069494E">
            <w:pPr>
              <w:rPr>
                <w:rFonts w:cstheme="minorHAnsi"/>
                <w:noProof/>
              </w:rPr>
            </w:pPr>
            <w:r>
              <w:rPr>
                <w:rFonts w:cstheme="minorHAnsi"/>
              </w:rPr>
              <w:t>The national Commonwealth Contribution Rate</w:t>
            </w:r>
            <w:r w:rsidR="003B1DE5">
              <w:rPr>
                <w:rFonts w:cstheme="minorHAnsi"/>
              </w:rPr>
              <w:t xml:space="preserve"> (CCR)</w:t>
            </w:r>
            <w:r>
              <w:rPr>
                <w:rFonts w:cstheme="minorHAnsi"/>
              </w:rPr>
              <w:t>, a metric defined in the NHRA that measures the value of the Commonwealth’s NHRA funding as a proportion of total efficient hospital prices, has increased from 33.7% in 2013-14 to 40.3% in 2022-23 across all States and Territories</w:t>
            </w:r>
            <w:r w:rsidR="003B1DE5">
              <w:rPr>
                <w:rFonts w:cstheme="minorHAnsi"/>
              </w:rPr>
              <w:t>. S</w:t>
            </w:r>
            <w:r>
              <w:rPr>
                <w:rFonts w:cstheme="minorHAnsi"/>
              </w:rPr>
              <w:t>ignificant variation between individual States and Territories</w:t>
            </w:r>
            <w:r w:rsidR="003B1DE5">
              <w:rPr>
                <w:rFonts w:cstheme="minorHAnsi"/>
              </w:rPr>
              <w:t>’ CCRs have</w:t>
            </w:r>
            <w:r>
              <w:rPr>
                <w:rFonts w:cstheme="minorHAnsi"/>
              </w:rPr>
              <w:t xml:space="preserve"> </w:t>
            </w:r>
            <w:r w:rsidR="003B1DE5">
              <w:rPr>
                <w:rFonts w:cstheme="minorHAnsi"/>
              </w:rPr>
              <w:t xml:space="preserve">narrowed </w:t>
            </w:r>
            <w:r>
              <w:rPr>
                <w:rFonts w:cstheme="minorHAnsi"/>
              </w:rPr>
              <w:t xml:space="preserve">but </w:t>
            </w:r>
            <w:r w:rsidR="003B1DE5">
              <w:rPr>
                <w:rFonts w:cstheme="minorHAnsi"/>
              </w:rPr>
              <w:t xml:space="preserve">are </w:t>
            </w:r>
            <w:r>
              <w:rPr>
                <w:rFonts w:cstheme="minorHAnsi"/>
              </w:rPr>
              <w:t>still present as shown in the whisker plots (</w:t>
            </w:r>
            <w:r>
              <w:rPr>
                <w:rFonts w:cstheme="minorHAnsi"/>
              </w:rPr>
              <w:fldChar w:fldCharType="begin" w:fldLock="1"/>
            </w:r>
            <w:r>
              <w:rPr>
                <w:rFonts w:cstheme="minorHAnsi"/>
              </w:rPr>
              <w:instrText xml:space="preserve"> REF _Ref146231634 \h </w:instrText>
            </w:r>
            <w:r>
              <w:rPr>
                <w:rFonts w:cstheme="minorHAnsi"/>
              </w:rPr>
            </w:r>
            <w:r>
              <w:rPr>
                <w:rFonts w:cstheme="minorHAnsi"/>
              </w:rPr>
              <w:fldChar w:fldCharType="separate"/>
            </w:r>
            <w:r w:rsidR="00FA10A4">
              <w:t xml:space="preserve">Figure </w:t>
            </w:r>
            <w:r w:rsidR="00FA10A4">
              <w:rPr>
                <w:noProof/>
              </w:rPr>
              <w:t>17</w:t>
            </w:r>
            <w:r>
              <w:rPr>
                <w:rFonts w:cstheme="minorHAnsi"/>
              </w:rPr>
              <w:fldChar w:fldCharType="end"/>
            </w:r>
            <w:r>
              <w:rPr>
                <w:rFonts w:cstheme="minorHAnsi"/>
              </w:rPr>
              <w:t>).</w:t>
            </w:r>
            <w:r w:rsidRPr="00AC66F2">
              <w:rPr>
                <w:rFonts w:cstheme="minorHAnsi"/>
                <w:noProof/>
              </w:rPr>
              <w:t xml:space="preserve"> </w:t>
            </w:r>
            <w:r w:rsidRPr="000B1D9F">
              <w:rPr>
                <w:noProof/>
              </w:rPr>
              <w:t xml:space="preserve"> </w:t>
            </w:r>
          </w:p>
        </w:tc>
        <w:tc>
          <w:tcPr>
            <w:tcW w:w="6780" w:type="dxa"/>
          </w:tcPr>
          <w:p w14:paraId="71694DD7" w14:textId="23E633CA" w:rsidR="00A43EB0" w:rsidRDefault="00A43EB0" w:rsidP="0069494E">
            <w:pPr>
              <w:rPr>
                <w:rFonts w:cstheme="minorHAnsi"/>
                <w:noProof/>
              </w:rPr>
            </w:pPr>
            <w:r>
              <w:rPr>
                <w:noProof/>
              </w:rPr>
              <w:drawing>
                <wp:anchor distT="0" distB="0" distL="114300" distR="114300" simplePos="0" relativeHeight="251706368" behindDoc="0" locked="0" layoutInCell="1" allowOverlap="1" wp14:anchorId="568FE9E4" wp14:editId="4C213AF3">
                  <wp:simplePos x="0" y="0"/>
                  <wp:positionH relativeFrom="column">
                    <wp:posOffset>2783840</wp:posOffset>
                  </wp:positionH>
                  <wp:positionV relativeFrom="paragraph">
                    <wp:posOffset>2039620</wp:posOffset>
                  </wp:positionV>
                  <wp:extent cx="1022200" cy="125970"/>
                  <wp:effectExtent l="0" t="0" r="0" b="0"/>
                  <wp:wrapNone/>
                  <wp:docPr id="481345114" name="Picture 481345114" descr="P1101C4T33#y1">
                    <a:extLst xmlns:a="http://schemas.openxmlformats.org/drawingml/2006/main">
                      <a:ext uri="{FF2B5EF4-FFF2-40B4-BE49-F238E27FC236}">
                        <a16:creationId xmlns:a16="http://schemas.microsoft.com/office/drawing/2014/main" id="{2AB89449-8843-1E43-3110-BD58772CFB3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45114" name="Picture 481345114" descr="P1101C4T33#y1">
                            <a:extLst>
                              <a:ext uri="{FF2B5EF4-FFF2-40B4-BE49-F238E27FC236}">
                                <a16:creationId xmlns:a16="http://schemas.microsoft.com/office/drawing/2014/main" id="{2AB89449-8843-1E43-3110-BD58772CFB3A}"/>
                              </a:ext>
                              <a:ext uri="{C183D7F6-B498-43B3-948B-1728B52AA6E4}">
                                <adec:decorative xmlns:adec="http://schemas.microsoft.com/office/drawing/2017/decorative" val="1"/>
                              </a:ext>
                            </a:extLst>
                          </pic:cNvPr>
                          <pic:cNvPicPr>
                            <a:picLocks noChangeAspect="1"/>
                          </pic:cNvPicPr>
                        </pic:nvPicPr>
                        <pic:blipFill>
                          <a:blip r:embed="rId74"/>
                          <a:stretch>
                            <a:fillRect/>
                          </a:stretch>
                        </pic:blipFill>
                        <pic:spPr>
                          <a:xfrm>
                            <a:off x="0" y="0"/>
                            <a:ext cx="1022200" cy="125970"/>
                          </a:xfrm>
                          <a:prstGeom prst="rect">
                            <a:avLst/>
                          </a:prstGeom>
                        </pic:spPr>
                      </pic:pic>
                    </a:graphicData>
                  </a:graphic>
                </wp:anchor>
              </w:drawing>
            </w:r>
            <w:r>
              <w:rPr>
                <w:rFonts w:cstheme="minorHAnsi"/>
                <w:noProof/>
              </w:rPr>
              <w:drawing>
                <wp:inline distT="0" distB="0" distL="0" distR="0" wp14:anchorId="25D51CEE" wp14:editId="361F798E">
                  <wp:extent cx="4257675" cy="2273935"/>
                  <wp:effectExtent l="0" t="0" r="0" b="0"/>
                  <wp:docPr id="1115524946" name="Chart 1115524946" descr="P1101C4T33#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6A37E7F" w14:textId="3984843D" w:rsidR="00A43EB0" w:rsidRPr="00A43EB0" w:rsidRDefault="00A43EB0" w:rsidP="00C2024B">
            <w:pPr>
              <w:pStyle w:val="Caption"/>
              <w:rPr>
                <w:noProof/>
                <w:sz w:val="20"/>
                <w:szCs w:val="20"/>
              </w:rPr>
            </w:pPr>
            <w:bookmarkStart w:id="164" w:name="_Ref146231634"/>
            <w:bookmarkStart w:id="165" w:name="_Toc148968395"/>
            <w:r>
              <w:t xml:space="preserve">Figure </w:t>
            </w:r>
            <w:r>
              <w:fldChar w:fldCharType="begin"/>
            </w:r>
            <w:r>
              <w:instrText xml:space="preserve"> SEQ Figure \* ARABIC </w:instrText>
            </w:r>
            <w:r>
              <w:fldChar w:fldCharType="separate"/>
            </w:r>
            <w:r w:rsidR="003F5D51">
              <w:rPr>
                <w:noProof/>
              </w:rPr>
              <w:t>17</w:t>
            </w:r>
            <w:r>
              <w:fldChar w:fldCharType="end"/>
            </w:r>
            <w:bookmarkEnd w:id="164"/>
            <w:r>
              <w:t xml:space="preserve">: </w:t>
            </w:r>
            <w:r w:rsidRPr="003A3E92">
              <w:t>Commonwealth Contribution Rate from 2013-14 to 2022-23</w:t>
            </w:r>
            <w:bookmarkEnd w:id="165"/>
          </w:p>
        </w:tc>
      </w:tr>
    </w:tbl>
    <w:p w14:paraId="43090EE5" w14:textId="5D8A0696" w:rsidR="0069494E" w:rsidRPr="000D5E39" w:rsidRDefault="0069494E" w:rsidP="0069494E">
      <w:pPr>
        <w:rPr>
          <w:rFonts w:cstheme="minorHAnsi"/>
          <w:b/>
          <w:bCs/>
          <w:szCs w:val="17"/>
        </w:rPr>
      </w:pPr>
      <w:r w:rsidRPr="007E44B2">
        <w:rPr>
          <w:rFonts w:cstheme="minorHAnsi"/>
          <w:b/>
          <w:bCs/>
        </w:rPr>
        <w:t xml:space="preserve">Life expectancy </w:t>
      </w:r>
    </w:p>
    <w:p w14:paraId="4D8D448D" w14:textId="016DDCC3" w:rsidR="0069494E" w:rsidRPr="00010592" w:rsidRDefault="0069494E" w:rsidP="0069494E">
      <w:pPr>
        <w:rPr>
          <w:rFonts w:cstheme="minorHAnsi"/>
        </w:rPr>
      </w:pPr>
      <w:r w:rsidRPr="00010592">
        <w:rPr>
          <w:rFonts w:cstheme="minorHAnsi"/>
        </w:rPr>
        <w:t xml:space="preserve">Australia’s healthcare system performs well </w:t>
      </w:r>
      <w:r>
        <w:rPr>
          <w:rFonts w:cstheme="minorHAnsi"/>
        </w:rPr>
        <w:t>compared</w:t>
      </w:r>
      <w:r w:rsidRPr="00010592">
        <w:rPr>
          <w:rFonts w:cstheme="minorHAnsi"/>
        </w:rPr>
        <w:t xml:space="preserve"> to international counterparts, as evidenced by its </w:t>
      </w:r>
      <w:r>
        <w:rPr>
          <w:rFonts w:cstheme="minorHAnsi"/>
        </w:rPr>
        <w:t>low infant mortality rate (3.3 deaths per 1000 live births) and high life expectancy</w:t>
      </w:r>
      <w:r w:rsidR="003F5D51">
        <w:rPr>
          <w:rFonts w:ascii="ZWAdobeF" w:hAnsi="ZWAdobeF" w:cs="ZWAdobeF"/>
          <w:sz w:val="2"/>
          <w:szCs w:val="2"/>
        </w:rPr>
        <w:t>34F</w:t>
      </w:r>
      <w:r>
        <w:rPr>
          <w:rStyle w:val="FootnoteReference"/>
          <w:rFonts w:cstheme="minorHAnsi"/>
        </w:rPr>
        <w:footnoteReference w:id="36"/>
      </w:r>
      <w:r w:rsidRPr="00010592">
        <w:rPr>
          <w:rFonts w:cstheme="minorHAnsi"/>
        </w:rPr>
        <w:t>. Australia has one of the highest life expectancies globally, reaching 83.2 years in 2021, ranking fifth among 38 other OECD countries</w:t>
      </w:r>
      <w:r w:rsidR="003F5D51">
        <w:rPr>
          <w:rFonts w:ascii="ZWAdobeF" w:hAnsi="ZWAdobeF" w:cs="ZWAdobeF"/>
          <w:sz w:val="2"/>
          <w:szCs w:val="2"/>
        </w:rPr>
        <w:t>35F</w:t>
      </w:r>
      <w:r>
        <w:rPr>
          <w:rStyle w:val="FootnoteReference"/>
          <w:rFonts w:cstheme="minorHAnsi"/>
        </w:rPr>
        <w:footnoteReference w:id="37"/>
      </w:r>
      <w:r w:rsidRPr="00010592">
        <w:rPr>
          <w:rFonts w:cstheme="minorHAnsi"/>
        </w:rPr>
        <w:t xml:space="preserve">. Australia’s life expectancy can be attributed </w:t>
      </w:r>
      <w:r>
        <w:rPr>
          <w:rFonts w:cstheme="minorHAnsi"/>
        </w:rPr>
        <w:t xml:space="preserve">to </w:t>
      </w:r>
      <w:r w:rsidRPr="00010592">
        <w:rPr>
          <w:rFonts w:cstheme="minorHAnsi"/>
        </w:rPr>
        <w:t>advances in medical knowledge and technology, health care accessibility, enhanced living conditions and quality of life</w:t>
      </w:r>
      <w:r w:rsidR="003F5D51">
        <w:rPr>
          <w:rFonts w:ascii="ZWAdobeF" w:hAnsi="ZWAdobeF" w:cs="ZWAdobeF"/>
          <w:sz w:val="2"/>
          <w:szCs w:val="2"/>
        </w:rPr>
        <w:t>36F</w:t>
      </w:r>
      <w:r w:rsidRPr="00010592">
        <w:rPr>
          <w:rStyle w:val="FootnoteReference"/>
          <w:rFonts w:cstheme="minorHAnsi"/>
        </w:rPr>
        <w:footnoteReference w:id="38"/>
      </w:r>
      <w:r w:rsidRPr="00010592">
        <w:rPr>
          <w:rFonts w:cstheme="minorHAnsi"/>
        </w:rPr>
        <w:t>.</w:t>
      </w:r>
      <w:r>
        <w:rPr>
          <w:rFonts w:cstheme="minorHAnsi"/>
        </w:rPr>
        <w:t xml:space="preserve"> </w:t>
      </w:r>
    </w:p>
    <w:p w14:paraId="6EA4F504" w14:textId="749E7AE6" w:rsidR="0069494E" w:rsidRDefault="0069494E" w:rsidP="00253A55">
      <w:pPr>
        <w:keepNext/>
        <w:keepLines/>
        <w:rPr>
          <w:rFonts w:cstheme="minorHAnsi"/>
          <w:b/>
          <w:bCs/>
        </w:rPr>
      </w:pPr>
      <w:r w:rsidRPr="00990A75">
        <w:rPr>
          <w:rFonts w:cstheme="minorHAnsi"/>
          <w:b/>
          <w:bCs/>
        </w:rPr>
        <w:t>Chronic</w:t>
      </w:r>
      <w:r>
        <w:rPr>
          <w:rFonts w:cstheme="minorHAnsi"/>
          <w:b/>
          <w:bCs/>
        </w:rPr>
        <w:t xml:space="preserve"> and complex</w:t>
      </w:r>
      <w:r w:rsidRPr="00990A75">
        <w:rPr>
          <w:rFonts w:cstheme="minorHAnsi"/>
          <w:b/>
          <w:bCs/>
        </w:rPr>
        <w:t xml:space="preserve"> disease</w:t>
      </w:r>
      <w:r>
        <w:rPr>
          <w:rFonts w:cstheme="minorHAnsi"/>
          <w:b/>
          <w:bCs/>
        </w:rPr>
        <w:t>s</w:t>
      </w:r>
    </w:p>
    <w:tbl>
      <w:tblPr>
        <w:tblStyle w:val="TableGrid"/>
        <w:tblW w:w="0" w:type="auto"/>
        <w:tblLook w:val="04A0" w:firstRow="1" w:lastRow="0" w:firstColumn="1" w:lastColumn="0" w:noHBand="0" w:noVBand="1"/>
      </w:tblPr>
      <w:tblGrid>
        <w:gridCol w:w="1843"/>
        <w:gridCol w:w="8623"/>
      </w:tblGrid>
      <w:tr w:rsidR="001F519B" w14:paraId="4A10559A" w14:textId="77777777" w:rsidTr="00253A55">
        <w:trPr>
          <w:cnfStyle w:val="100000000000" w:firstRow="1" w:lastRow="0" w:firstColumn="0" w:lastColumn="0" w:oddVBand="0" w:evenVBand="0" w:oddHBand="0" w:evenHBand="0" w:firstRowFirstColumn="0" w:firstRowLastColumn="0" w:lastRowFirstColumn="0" w:lastRowLastColumn="0"/>
        </w:trPr>
        <w:tc>
          <w:tcPr>
            <w:tcW w:w="1843" w:type="dxa"/>
          </w:tcPr>
          <w:p w14:paraId="3D314A3A" w14:textId="5C4DFBA5" w:rsidR="001F519B" w:rsidRPr="001F519B" w:rsidRDefault="001F519B" w:rsidP="001F519B">
            <w:pPr>
              <w:keepNext/>
              <w:keepLines/>
              <w:rPr>
                <w:rFonts w:cstheme="minorHAnsi"/>
                <w:i/>
                <w:iCs/>
                <w:sz w:val="28"/>
                <w:szCs w:val="28"/>
              </w:rPr>
            </w:pPr>
            <w:r w:rsidRPr="001F519B">
              <w:rPr>
                <w:i/>
                <w:iCs/>
                <w:color w:val="007680"/>
                <w:sz w:val="28"/>
                <w:szCs w:val="28"/>
              </w:rPr>
              <w:t>Almost half of Australians (47%, or 11.6 million people) were estimated to have one or more chronic health conditions in 2020-21.</w:t>
            </w:r>
          </w:p>
        </w:tc>
        <w:tc>
          <w:tcPr>
            <w:tcW w:w="8623" w:type="dxa"/>
          </w:tcPr>
          <w:p w14:paraId="26F96E7C" w14:textId="5585331E" w:rsidR="001F519B" w:rsidRDefault="001F519B" w:rsidP="0069494E">
            <w:pPr>
              <w:rPr>
                <w:rFonts w:cstheme="minorHAnsi"/>
              </w:rPr>
            </w:pPr>
            <w:r w:rsidRPr="00423B1E">
              <w:rPr>
                <w:rFonts w:cstheme="minorHAnsi"/>
              </w:rPr>
              <w:t>While the average Australian is living longer and spending more years in full health without disease or injur</w:t>
            </w:r>
            <w:r>
              <w:rPr>
                <w:rFonts w:cstheme="minorHAnsi"/>
              </w:rPr>
              <w:t>y</w:t>
            </w:r>
            <w:r w:rsidRPr="00423B1E">
              <w:rPr>
                <w:rFonts w:cstheme="minorHAnsi"/>
              </w:rPr>
              <w:t xml:space="preserve">, more Australians are living with chronic </w:t>
            </w:r>
            <w:r>
              <w:rPr>
                <w:rFonts w:cstheme="minorHAnsi"/>
              </w:rPr>
              <w:t>disease, impacting their quality of life and capacity to participate in society</w:t>
            </w:r>
            <w:bookmarkStart w:id="166" w:name="_Ref144477683"/>
            <w:r w:rsidR="003F5D51">
              <w:rPr>
                <w:rFonts w:ascii="ZWAdobeF" w:hAnsi="ZWAdobeF" w:cs="ZWAdobeF"/>
                <w:sz w:val="2"/>
                <w:szCs w:val="2"/>
              </w:rPr>
              <w:t>37F</w:t>
            </w:r>
            <w:r w:rsidRPr="00423B1E">
              <w:rPr>
                <w:rStyle w:val="FootnoteReference"/>
                <w:rFonts w:cstheme="minorHAnsi"/>
              </w:rPr>
              <w:footnoteReference w:id="39"/>
            </w:r>
            <w:bookmarkEnd w:id="166"/>
            <w:r w:rsidRPr="00423B1E">
              <w:rPr>
                <w:rFonts w:cstheme="minorHAnsi"/>
              </w:rPr>
              <w:t>. Australian</w:t>
            </w:r>
            <w:r>
              <w:rPr>
                <w:rFonts w:cstheme="minorHAnsi"/>
              </w:rPr>
              <w:t>s spend an average of nearly eleven years in poor health, roughly equating to 13% of the typical lifespan</w:t>
            </w:r>
            <w:r w:rsidR="003F5D51">
              <w:rPr>
                <w:rFonts w:ascii="ZWAdobeF" w:hAnsi="ZWAdobeF" w:cs="ZWAdobeF"/>
                <w:sz w:val="2"/>
                <w:szCs w:val="2"/>
              </w:rPr>
              <w:t>38F</w:t>
            </w:r>
            <w:r>
              <w:rPr>
                <w:rStyle w:val="FootnoteReference"/>
                <w:rFonts w:cstheme="minorHAnsi"/>
              </w:rPr>
              <w:footnoteReference w:id="40"/>
            </w:r>
            <w:r>
              <w:rPr>
                <w:rFonts w:cstheme="minorHAnsi"/>
              </w:rPr>
              <w:t>.</w:t>
            </w:r>
            <w:r w:rsidRPr="00612668">
              <w:rPr>
                <w:rFonts w:cstheme="minorHAnsi"/>
              </w:rPr>
              <w:t xml:space="preserve"> </w:t>
            </w:r>
            <w:r>
              <w:rPr>
                <w:rFonts w:cstheme="minorHAnsi"/>
              </w:rPr>
              <w:t>The past 50 years has seen a rise in chronic disease prevalence across Australia, with 62% of Australia’s total disease burden in 2022 attributed to</w:t>
            </w:r>
            <w:r w:rsidRPr="00612668">
              <w:rPr>
                <w:rFonts w:cstheme="minorHAnsi"/>
              </w:rPr>
              <w:t xml:space="preserve"> cancer, musculoskeletal conditions, cardiovascular disease, mental health conditions and substance use disorders and neurological conditions</w:t>
            </w:r>
            <w:r w:rsidR="003F5D51">
              <w:rPr>
                <w:rFonts w:ascii="ZWAdobeF" w:hAnsi="ZWAdobeF" w:cs="ZWAdobeF"/>
                <w:sz w:val="2"/>
                <w:szCs w:val="2"/>
              </w:rPr>
              <w:t>39F</w:t>
            </w:r>
            <w:r>
              <w:rPr>
                <w:rStyle w:val="FootnoteReference"/>
                <w:rFonts w:cstheme="minorHAnsi"/>
              </w:rPr>
              <w:footnoteReference w:id="41"/>
            </w:r>
            <w:r w:rsidRPr="00612668">
              <w:rPr>
                <w:rFonts w:cstheme="minorHAnsi"/>
              </w:rPr>
              <w:t xml:space="preserve">. </w:t>
            </w:r>
            <w:r>
              <w:rPr>
                <w:rFonts w:cstheme="minorHAnsi"/>
              </w:rPr>
              <w:t>Almost half of Australians (</w:t>
            </w:r>
            <w:r w:rsidRPr="00612668">
              <w:rPr>
                <w:rFonts w:cstheme="minorHAnsi"/>
              </w:rPr>
              <w:t>47%</w:t>
            </w:r>
            <w:r>
              <w:rPr>
                <w:rFonts w:cstheme="minorHAnsi"/>
              </w:rPr>
              <w:t>, or 11.6 million people) were estimated to have</w:t>
            </w:r>
            <w:r w:rsidRPr="00612668">
              <w:rPr>
                <w:rFonts w:cstheme="minorHAnsi"/>
              </w:rPr>
              <w:t xml:space="preserve"> one or more chronic </w:t>
            </w:r>
            <w:r>
              <w:rPr>
                <w:rFonts w:cstheme="minorHAnsi"/>
              </w:rPr>
              <w:t xml:space="preserve">health </w:t>
            </w:r>
            <w:r w:rsidRPr="00612668">
              <w:rPr>
                <w:rFonts w:cstheme="minorHAnsi"/>
              </w:rPr>
              <w:t>condition</w:t>
            </w:r>
            <w:r w:rsidR="00EE367F">
              <w:rPr>
                <w:rFonts w:cstheme="minorHAnsi"/>
              </w:rPr>
              <w:t>s</w:t>
            </w:r>
            <w:r w:rsidRPr="00612668">
              <w:rPr>
                <w:rFonts w:cstheme="minorHAnsi"/>
              </w:rPr>
              <w:t xml:space="preserve"> in 20</w:t>
            </w:r>
            <w:r>
              <w:rPr>
                <w:rFonts w:cstheme="minorHAnsi"/>
              </w:rPr>
              <w:t>20</w:t>
            </w:r>
            <w:r w:rsidRPr="00612668">
              <w:rPr>
                <w:rFonts w:cstheme="minorHAnsi"/>
              </w:rPr>
              <w:t>-</w:t>
            </w:r>
            <w:r>
              <w:rPr>
                <w:rFonts w:cstheme="minorHAnsi"/>
              </w:rPr>
              <w:t>21</w:t>
            </w:r>
            <w:r w:rsidR="003F5D51">
              <w:rPr>
                <w:rFonts w:ascii="ZWAdobeF" w:hAnsi="ZWAdobeF" w:cs="ZWAdobeF"/>
                <w:sz w:val="2"/>
                <w:szCs w:val="2"/>
              </w:rPr>
              <w:t>40F</w:t>
            </w:r>
            <w:r>
              <w:rPr>
                <w:rStyle w:val="FootnoteReference"/>
                <w:rFonts w:cstheme="minorHAnsi"/>
              </w:rPr>
              <w:footnoteReference w:id="42"/>
            </w:r>
            <w:r>
              <w:rPr>
                <w:rFonts w:cstheme="minorHAnsi"/>
              </w:rPr>
              <w:t xml:space="preserve">. </w:t>
            </w:r>
            <w:r>
              <w:rPr>
                <w:rFonts w:cstheme="minorHAnsi"/>
              </w:rPr>
              <w:fldChar w:fldCharType="begin" w:fldLock="1"/>
            </w:r>
            <w:r>
              <w:rPr>
                <w:rFonts w:cstheme="minorHAnsi"/>
              </w:rPr>
              <w:instrText xml:space="preserve"> REF _Ref145051388 \h </w:instrText>
            </w:r>
            <w:r>
              <w:rPr>
                <w:rFonts w:cstheme="minorHAnsi"/>
              </w:rPr>
            </w:r>
            <w:r>
              <w:rPr>
                <w:rFonts w:cstheme="minorHAnsi"/>
              </w:rPr>
              <w:fldChar w:fldCharType="separate"/>
            </w:r>
            <w:r w:rsidR="00FA10A4">
              <w:t xml:space="preserve">Figure </w:t>
            </w:r>
            <w:r w:rsidR="00FA10A4">
              <w:rPr>
                <w:noProof/>
              </w:rPr>
              <w:t>18</w:t>
            </w:r>
            <w:r>
              <w:rPr>
                <w:rFonts w:cstheme="minorHAnsi"/>
              </w:rPr>
              <w:fldChar w:fldCharType="end"/>
            </w:r>
            <w:r>
              <w:rPr>
                <w:rFonts w:cstheme="minorHAnsi"/>
              </w:rPr>
              <w:t xml:space="preserve"> shows the prevalence of chronic conditions across age groups in 2020-21</w:t>
            </w:r>
            <w:r w:rsidRPr="00612668">
              <w:rPr>
                <w:rFonts w:cstheme="minorHAnsi"/>
              </w:rPr>
              <w:t>.</w:t>
            </w:r>
            <w:r>
              <w:rPr>
                <w:rFonts w:cstheme="minorHAnsi"/>
              </w:rPr>
              <w:t xml:space="preserve"> The escalating prevalence of chronic conditions has elevated the rate of multimorbidity, where individuals have two or more chronic health conditions, requiring more specialised and coordinated care across the health system</w:t>
            </w:r>
            <w:r w:rsidRPr="00612668">
              <w:rPr>
                <w:rFonts w:cstheme="minorHAnsi"/>
              </w:rPr>
              <w:t>.</w:t>
            </w:r>
            <w:r>
              <w:rPr>
                <w:rFonts w:cstheme="minorHAnsi"/>
              </w:rPr>
              <w:t xml:space="preserve"> Consequently, health care services face heightened demand and expenditure. In 2015-16, nearly half of all potentially preventable hospitalisations were attributed to chronic health conditions, with the impact of these potentially preventable hospitalisations estimated to cost the health system over $2.3 billion dollars</w:t>
            </w:r>
            <w:r w:rsidR="003F5D51">
              <w:rPr>
                <w:rFonts w:ascii="ZWAdobeF" w:hAnsi="ZWAdobeF" w:cs="ZWAdobeF"/>
                <w:sz w:val="2"/>
                <w:szCs w:val="2"/>
              </w:rPr>
              <w:t>41F</w:t>
            </w:r>
            <w:r>
              <w:rPr>
                <w:rStyle w:val="FootnoteReference"/>
                <w:rFonts w:cstheme="minorHAnsi"/>
              </w:rPr>
              <w:footnoteReference w:id="43"/>
            </w:r>
            <w:r>
              <w:rPr>
                <w:rFonts w:cstheme="minorHAnsi"/>
              </w:rPr>
              <w:t>. Over the next 40 years, the number of people aged 65 and over is projected to more than double and the number aged 85 and over more than triple, creating an ongoing economic and fiscal challenge</w:t>
            </w:r>
            <w:bookmarkStart w:id="167" w:name="_Ref146266556"/>
            <w:r w:rsidR="003F5D51">
              <w:rPr>
                <w:rFonts w:ascii="ZWAdobeF" w:hAnsi="ZWAdobeF" w:cs="ZWAdobeF"/>
                <w:sz w:val="2"/>
                <w:szCs w:val="2"/>
              </w:rPr>
              <w:t>42F</w:t>
            </w:r>
            <w:r>
              <w:rPr>
                <w:rStyle w:val="FootnoteReference"/>
                <w:rFonts w:cstheme="minorHAnsi"/>
              </w:rPr>
              <w:footnoteReference w:id="44"/>
            </w:r>
            <w:bookmarkEnd w:id="167"/>
            <w:r>
              <w:rPr>
                <w:rFonts w:cstheme="minorHAnsi"/>
              </w:rPr>
              <w:t>.</w:t>
            </w:r>
          </w:p>
        </w:tc>
      </w:tr>
    </w:tbl>
    <w:p w14:paraId="05BBFC1C" w14:textId="77777777" w:rsidR="00806E23" w:rsidRDefault="00806E23" w:rsidP="00806E23"/>
    <w:tbl>
      <w:tblPr>
        <w:tblStyle w:val="TableGrid"/>
        <w:tblW w:w="0" w:type="auto"/>
        <w:tblLook w:val="04A0" w:firstRow="1" w:lastRow="0" w:firstColumn="1" w:lastColumn="0" w:noHBand="0" w:noVBand="1"/>
      </w:tblPr>
      <w:tblGrid>
        <w:gridCol w:w="2694"/>
        <w:gridCol w:w="7762"/>
      </w:tblGrid>
      <w:tr w:rsidR="00806E23" w14:paraId="65EBF1A0" w14:textId="77777777" w:rsidTr="00F26329">
        <w:trPr>
          <w:cnfStyle w:val="100000000000" w:firstRow="1" w:lastRow="0" w:firstColumn="0" w:lastColumn="0" w:oddVBand="0" w:evenVBand="0" w:oddHBand="0" w:evenHBand="0" w:firstRowFirstColumn="0" w:firstRowLastColumn="0" w:lastRowFirstColumn="0" w:lastRowLastColumn="0"/>
        </w:trPr>
        <w:tc>
          <w:tcPr>
            <w:tcW w:w="2694" w:type="dxa"/>
          </w:tcPr>
          <w:p w14:paraId="23F5B2FE" w14:textId="77777777" w:rsidR="00806E23" w:rsidRPr="0024002C" w:rsidRDefault="00806E23" w:rsidP="00F26329">
            <w:pPr>
              <w:pStyle w:val="Pullout-QuoteGreen"/>
              <w:spacing w:after="120" w:line="216" w:lineRule="auto"/>
              <w:ind w:left="0"/>
              <w:rPr>
                <w:i w:val="0"/>
                <w:iCs/>
                <w:color w:val="007680"/>
                <w:sz w:val="20"/>
              </w:rPr>
            </w:pPr>
            <w:r>
              <w:rPr>
                <w:color w:val="007680"/>
              </w:rPr>
              <w:t xml:space="preserve">In 2015-16, nearly half of all potentially preventable hospitalisations were attributed to chronic health conditions and were estimated to cost the health system over </w:t>
            </w:r>
            <w:r w:rsidRPr="00133E4B">
              <w:rPr>
                <w:color w:val="007680"/>
              </w:rPr>
              <w:t>$2.3</w:t>
            </w:r>
            <w:r>
              <w:rPr>
                <w:color w:val="007680"/>
              </w:rPr>
              <w:t>b.</w:t>
            </w:r>
          </w:p>
        </w:tc>
        <w:tc>
          <w:tcPr>
            <w:tcW w:w="7762" w:type="dxa"/>
          </w:tcPr>
          <w:p w14:paraId="23E0728C" w14:textId="77777777" w:rsidR="00806E23" w:rsidRDefault="00806E23" w:rsidP="00F26329">
            <w:pPr>
              <w:rPr>
                <w:rFonts w:cstheme="minorHAnsi"/>
              </w:rPr>
            </w:pPr>
            <w:r>
              <w:rPr>
                <w:rFonts w:cstheme="minorHAnsi"/>
                <w:noProof/>
              </w:rPr>
              <w:drawing>
                <wp:inline distT="0" distB="0" distL="0" distR="0" wp14:anchorId="27A16D67" wp14:editId="15A33561">
                  <wp:extent cx="4681220" cy="1685925"/>
                  <wp:effectExtent l="0" t="0" r="5080" b="0"/>
                  <wp:docPr id="1115524949" name="Chart 1115524949" descr="P1112C2T35#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4972824" w14:textId="699540F9" w:rsidR="00806E23" w:rsidRPr="0024002C" w:rsidRDefault="00806E23" w:rsidP="00C2024B">
            <w:pPr>
              <w:pStyle w:val="Caption"/>
              <w:rPr>
                <w:noProof/>
                <w:color w:val="007680"/>
                <w:sz w:val="20"/>
                <w:szCs w:val="20"/>
              </w:rPr>
            </w:pPr>
            <w:bookmarkStart w:id="168" w:name="_Ref145051388"/>
            <w:bookmarkStart w:id="169" w:name="_Ref145051384"/>
            <w:bookmarkStart w:id="170" w:name="_Toc148968396"/>
            <w:r>
              <w:t xml:space="preserve">Figure </w:t>
            </w:r>
            <w:r>
              <w:fldChar w:fldCharType="begin"/>
            </w:r>
            <w:r>
              <w:instrText xml:space="preserve"> SEQ Figure \* ARABIC </w:instrText>
            </w:r>
            <w:r>
              <w:fldChar w:fldCharType="separate"/>
            </w:r>
            <w:r w:rsidR="003F5D51">
              <w:rPr>
                <w:noProof/>
              </w:rPr>
              <w:t>18</w:t>
            </w:r>
            <w:r>
              <w:fldChar w:fldCharType="end"/>
            </w:r>
            <w:bookmarkEnd w:id="168"/>
            <w:r>
              <w:t>: Proportion of people with selected chronic conditions by age</w:t>
            </w:r>
            <w:bookmarkEnd w:id="169"/>
            <w:bookmarkEnd w:id="170"/>
          </w:p>
        </w:tc>
      </w:tr>
    </w:tbl>
    <w:p w14:paraId="625828A5" w14:textId="78343401" w:rsidR="0069494E" w:rsidRPr="00EA198D" w:rsidRDefault="0069494E" w:rsidP="0069494E">
      <w:pPr>
        <w:spacing w:line="240" w:lineRule="atLeast"/>
        <w:rPr>
          <w:b/>
          <w:bCs/>
        </w:rPr>
      </w:pPr>
      <w:r w:rsidRPr="00EA198D">
        <w:rPr>
          <w:b/>
          <w:bCs/>
        </w:rPr>
        <w:t>Health</w:t>
      </w:r>
      <w:r>
        <w:rPr>
          <w:b/>
          <w:bCs/>
        </w:rPr>
        <w:t xml:space="preserve"> </w:t>
      </w:r>
      <w:r w:rsidRPr="00EA198D">
        <w:rPr>
          <w:b/>
          <w:bCs/>
        </w:rPr>
        <w:t>equity</w:t>
      </w:r>
      <w:r>
        <w:rPr>
          <w:b/>
          <w:bCs/>
        </w:rPr>
        <w:t xml:space="preserve"> for under-served populations</w:t>
      </w:r>
    </w:p>
    <w:p w14:paraId="7E0F3250" w14:textId="10F54E17" w:rsidR="00B81A44" w:rsidRDefault="00B81A44" w:rsidP="0069494E">
      <w:pPr>
        <w:rPr>
          <w:rFonts w:cstheme="minorHAnsi"/>
        </w:rPr>
      </w:pPr>
      <w:r>
        <w:rPr>
          <w:rFonts w:cstheme="minorHAnsi"/>
        </w:rPr>
        <w:t>Reductions in</w:t>
      </w:r>
      <w:r w:rsidRPr="003D4140">
        <w:rPr>
          <w:rFonts w:cstheme="minorHAnsi"/>
        </w:rPr>
        <w:t xml:space="preserve"> mortality rates have not been equitably shared across population groups. </w:t>
      </w:r>
      <w:r w:rsidRPr="003D4140">
        <w:t xml:space="preserve">Persistent disparities remain for </w:t>
      </w:r>
      <w:r>
        <w:t xml:space="preserve">First Nations, rural and remote, and migrant populations. Notably, a considerable gap in life expectancy remains between Indigenous and non-Indigenous Australians (refer </w:t>
      </w:r>
      <w:r>
        <w:fldChar w:fldCharType="begin" w:fldLock="1"/>
      </w:r>
      <w:r>
        <w:instrText xml:space="preserve"> REF _Ref146232732 \h </w:instrText>
      </w:r>
      <w:r>
        <w:fldChar w:fldCharType="separate"/>
      </w:r>
      <w:r w:rsidR="00FA10A4">
        <w:t xml:space="preserve">Figure </w:t>
      </w:r>
      <w:r w:rsidR="00FA10A4">
        <w:rPr>
          <w:noProof/>
        </w:rPr>
        <w:t>19</w:t>
      </w:r>
      <w:r>
        <w:fldChar w:fldCharType="end"/>
      </w:r>
      <w:r>
        <w:t>), with mortality rates consistently higher among Indigenous Australians across most causes of death. Recent data spanning 2016 to 2020, reveal an age-standardised mortality rate for Indigenous Australians nearly twice that of their non-Indigenous counterparts (960 versus 522 deaths per 100,000 population respectively)</w:t>
      </w:r>
      <w:bookmarkStart w:id="171" w:name="_Ref144478928"/>
      <w:r w:rsidR="003F5D51">
        <w:rPr>
          <w:rFonts w:ascii="ZWAdobeF" w:hAnsi="ZWAdobeF" w:cs="ZWAdobeF"/>
          <w:sz w:val="2"/>
          <w:szCs w:val="2"/>
        </w:rPr>
        <w:t>43F</w:t>
      </w:r>
      <w:r>
        <w:rPr>
          <w:rStyle w:val="FootnoteReference"/>
        </w:rPr>
        <w:footnoteReference w:id="45"/>
      </w:r>
      <w:bookmarkEnd w:id="171"/>
      <w:r>
        <w:t xml:space="preserve">. The health-adjusted life expectancy for males and females in 2015 in </w:t>
      </w:r>
      <w:r>
        <w:rPr>
          <w:i/>
          <w:iCs/>
        </w:rPr>
        <w:t>R</w:t>
      </w:r>
      <w:r w:rsidRPr="00AC2694">
        <w:rPr>
          <w:i/>
          <w:iCs/>
        </w:rPr>
        <w:t>emote and very remote</w:t>
      </w:r>
      <w:r>
        <w:t xml:space="preserve"> areas was 5.2 and 5.8 years shorter, respectively, than those in </w:t>
      </w:r>
      <w:r w:rsidRPr="00AC2694">
        <w:rPr>
          <w:i/>
          <w:iCs/>
        </w:rPr>
        <w:t>Major cities</w:t>
      </w:r>
      <w:r w:rsidR="003F5D51">
        <w:rPr>
          <w:rFonts w:ascii="ZWAdobeF" w:hAnsi="ZWAdobeF" w:cs="ZWAdobeF"/>
          <w:iCs/>
          <w:sz w:val="2"/>
          <w:szCs w:val="2"/>
        </w:rPr>
        <w:t>44F</w:t>
      </w:r>
      <w:r w:rsidR="00C054B7">
        <w:rPr>
          <w:rStyle w:val="FootnoteReference"/>
        </w:rPr>
        <w:footnoteReference w:id="46"/>
      </w:r>
      <w:r>
        <w:t>. During the COVID-19 pandemic, people who died of COVID-19 with an overseas country of birth had an age-standardised death rate close to three times higher than that of people born in Australia (6.8 versus 2.3 deaths per 100,000 population)</w:t>
      </w:r>
      <w:r w:rsidR="003F5D51">
        <w:rPr>
          <w:rFonts w:ascii="ZWAdobeF" w:hAnsi="ZWAdobeF" w:cs="ZWAdobeF"/>
          <w:sz w:val="2"/>
          <w:szCs w:val="2"/>
        </w:rPr>
        <w:t>45F</w:t>
      </w:r>
      <w:r>
        <w:rPr>
          <w:rStyle w:val="FootnoteReference"/>
        </w:rPr>
        <w:footnoteReference w:id="47"/>
      </w:r>
      <w:r>
        <w:t>.</w:t>
      </w:r>
    </w:p>
    <w:p w14:paraId="3E3D3F68" w14:textId="4EB63BB1" w:rsidR="00B81A44" w:rsidRDefault="00B81A44" w:rsidP="0069494E">
      <w:pPr>
        <w:rPr>
          <w:rFonts w:cstheme="minorHAnsi"/>
        </w:rPr>
      </w:pPr>
      <w:r>
        <w:rPr>
          <w:rFonts w:cstheme="minorHAnsi"/>
          <w:noProof/>
        </w:rPr>
        <w:drawing>
          <wp:inline distT="0" distB="0" distL="0" distR="0" wp14:anchorId="401CD702" wp14:editId="1F6F18CA">
            <wp:extent cx="5438775" cy="1362075"/>
            <wp:effectExtent l="0" t="0" r="0" b="0"/>
            <wp:docPr id="1115524952" name="Chart 1115524952" descr="P1117#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DCCDD72" w14:textId="5467883A" w:rsidR="00B81A44" w:rsidRPr="00E70219" w:rsidRDefault="00B81A44" w:rsidP="00C2024B">
      <w:pPr>
        <w:pStyle w:val="Caption"/>
        <w:rPr>
          <w:noProof/>
          <w:sz w:val="20"/>
          <w:szCs w:val="20"/>
        </w:rPr>
      </w:pPr>
      <w:bookmarkStart w:id="172" w:name="_Ref146232732"/>
      <w:bookmarkStart w:id="173" w:name="_Toc148968397"/>
      <w:r>
        <w:t xml:space="preserve">Figure </w:t>
      </w:r>
      <w:r>
        <w:fldChar w:fldCharType="begin"/>
      </w:r>
      <w:r>
        <w:instrText xml:space="preserve"> SEQ Figure \* ARABIC </w:instrText>
      </w:r>
      <w:r>
        <w:fldChar w:fldCharType="separate"/>
      </w:r>
      <w:r w:rsidR="003F5D51">
        <w:rPr>
          <w:noProof/>
        </w:rPr>
        <w:t>19</w:t>
      </w:r>
      <w:r>
        <w:rPr>
          <w:noProof/>
        </w:rPr>
        <w:fldChar w:fldCharType="end"/>
      </w:r>
      <w:bookmarkEnd w:id="172"/>
      <w:r>
        <w:t>: Life expectancy by Indigenous status and remoteness, 2015-2017</w:t>
      </w:r>
      <w:bookmarkEnd w:id="173"/>
    </w:p>
    <w:p w14:paraId="33B2932E" w14:textId="52A095C3" w:rsidR="0069494E" w:rsidRDefault="0069494E" w:rsidP="0069494E">
      <w:pPr>
        <w:rPr>
          <w:rFonts w:cstheme="minorHAnsi"/>
        </w:rPr>
      </w:pPr>
      <w:r>
        <w:t>While the reasons for health inequity are multifactorial, the lack of access to health care services has been identified as a contributing factor</w:t>
      </w:r>
      <w:r w:rsidR="003F5D51">
        <w:rPr>
          <w:rFonts w:ascii="ZWAdobeF" w:hAnsi="ZWAdobeF" w:cs="ZWAdobeF"/>
          <w:sz w:val="2"/>
          <w:szCs w:val="2"/>
        </w:rPr>
        <w:t>46F</w:t>
      </w:r>
      <w:r>
        <w:rPr>
          <w:rStyle w:val="FootnoteReference"/>
        </w:rPr>
        <w:footnoteReference w:id="48"/>
      </w:r>
      <w:r>
        <w:t>.</w:t>
      </w:r>
      <w:r w:rsidRPr="00FD04B7">
        <w:t xml:space="preserve"> </w:t>
      </w:r>
      <w:r w:rsidRPr="00FD04B7">
        <w:rPr>
          <w:rFonts w:cstheme="minorHAnsi"/>
        </w:rPr>
        <w:t xml:space="preserve">There is concern around future supply of rural, regional and remote </w:t>
      </w:r>
      <w:r>
        <w:rPr>
          <w:rFonts w:cstheme="minorHAnsi"/>
        </w:rPr>
        <w:t>primary care providers. For most health professionals including specialists, dentists, pharmacists, and other allied health professionals, there is a marked decline in the rate of clinical full-time equivalent practitioners per 100,000 population once outside major cities</w:t>
      </w:r>
      <w:r w:rsidR="00491E10">
        <w:rPr>
          <w:rFonts w:cstheme="minorHAnsi"/>
        </w:rPr>
        <w:t>,</w:t>
      </w:r>
      <w:r>
        <w:rPr>
          <w:rFonts w:cstheme="minorHAnsi"/>
        </w:rPr>
        <w:t xml:space="preserve"> with the notable exception of nurses and midwives</w:t>
      </w:r>
      <w:r w:rsidR="003F5D51">
        <w:rPr>
          <w:rFonts w:ascii="ZWAdobeF" w:hAnsi="ZWAdobeF" w:cs="ZWAdobeF"/>
          <w:sz w:val="2"/>
          <w:szCs w:val="2"/>
        </w:rPr>
        <w:t>47F</w:t>
      </w:r>
      <w:r>
        <w:rPr>
          <w:rStyle w:val="FootnoteReference"/>
          <w:rFonts w:cstheme="minorHAnsi"/>
        </w:rPr>
        <w:footnoteReference w:id="49"/>
      </w:r>
      <w:r>
        <w:rPr>
          <w:rFonts w:cstheme="minorHAnsi"/>
        </w:rPr>
        <w:t>. Data shows that people living in rural and remote areas have higher rates of hospitalisations, deaths, injury and have poorer access to, and use of, primary healthcare services, than people living in major cities</w:t>
      </w:r>
      <w:bookmarkStart w:id="174" w:name="_Ref144478878"/>
      <w:r w:rsidR="003F5D51">
        <w:rPr>
          <w:rFonts w:ascii="ZWAdobeF" w:hAnsi="ZWAdobeF" w:cs="ZWAdobeF"/>
          <w:sz w:val="2"/>
          <w:szCs w:val="2"/>
        </w:rPr>
        <w:t>48F</w:t>
      </w:r>
      <w:r>
        <w:rPr>
          <w:rStyle w:val="FootnoteReference"/>
          <w:rFonts w:cstheme="minorHAnsi"/>
        </w:rPr>
        <w:footnoteReference w:id="50"/>
      </w:r>
      <w:bookmarkEnd w:id="174"/>
      <w:r>
        <w:rPr>
          <w:rFonts w:cstheme="minorHAnsi"/>
        </w:rPr>
        <w:t>.</w:t>
      </w:r>
      <w:r w:rsidRPr="00FD04B7">
        <w:rPr>
          <w:rFonts w:cstheme="minorHAnsi"/>
        </w:rPr>
        <w:t xml:space="preserve"> </w:t>
      </w:r>
      <w:r>
        <w:rPr>
          <w:rFonts w:cstheme="minorHAnsi"/>
        </w:rPr>
        <w:t>In 2020, the potentially avoidable death rate for people living in very remote areas was more than double the rate of people living in major cities</w:t>
      </w:r>
      <w:r w:rsidRPr="00A14B9D">
        <w:rPr>
          <w:rFonts w:cstheme="minorHAnsi"/>
          <w:vertAlign w:val="superscript"/>
        </w:rPr>
        <w:fldChar w:fldCharType="begin"/>
      </w:r>
      <w:r w:rsidRPr="00A14B9D">
        <w:rPr>
          <w:rFonts w:cstheme="minorHAnsi"/>
          <w:vertAlign w:val="superscript"/>
        </w:rPr>
        <w:instrText xml:space="preserve"> NOTEREF _Ref144478928 \h </w:instrText>
      </w:r>
      <w:r>
        <w:rPr>
          <w:rFonts w:cstheme="minorHAnsi"/>
          <w:vertAlign w:val="superscript"/>
        </w:rPr>
        <w:instrText xml:space="preserve"> \* MERGEFORMAT </w:instrText>
      </w:r>
      <w:r w:rsidRPr="00A14B9D">
        <w:rPr>
          <w:rFonts w:cstheme="minorHAnsi"/>
          <w:vertAlign w:val="superscript"/>
        </w:rPr>
      </w:r>
      <w:r w:rsidRPr="00A14B9D">
        <w:rPr>
          <w:rFonts w:cstheme="minorHAnsi"/>
          <w:vertAlign w:val="superscript"/>
        </w:rPr>
        <w:fldChar w:fldCharType="separate"/>
      </w:r>
      <w:r w:rsidR="003F5D51">
        <w:rPr>
          <w:rFonts w:cstheme="minorHAnsi"/>
          <w:vertAlign w:val="superscript"/>
        </w:rPr>
        <w:t>44</w:t>
      </w:r>
      <w:r w:rsidRPr="00A14B9D">
        <w:rPr>
          <w:rFonts w:cstheme="minorHAnsi"/>
          <w:vertAlign w:val="superscript"/>
        </w:rPr>
        <w:fldChar w:fldCharType="end"/>
      </w:r>
      <w:r>
        <w:rPr>
          <w:rFonts w:cstheme="minorHAnsi"/>
        </w:rPr>
        <w:t xml:space="preserve">. </w:t>
      </w:r>
      <w:r w:rsidRPr="006E7A47">
        <w:rPr>
          <w:rFonts w:cstheme="minorHAnsi"/>
        </w:rPr>
        <w:t xml:space="preserve">Although three-quarters of </w:t>
      </w:r>
      <w:r>
        <w:rPr>
          <w:rFonts w:cstheme="minorHAnsi"/>
        </w:rPr>
        <w:t>First Nations’ populations</w:t>
      </w:r>
      <w:r w:rsidRPr="006E7A47">
        <w:rPr>
          <w:rFonts w:cstheme="minorHAnsi"/>
        </w:rPr>
        <w:t xml:space="preserve"> live in major cities and regional areas with access to mainstream health</w:t>
      </w:r>
      <w:r>
        <w:rPr>
          <w:rFonts w:cstheme="minorHAnsi"/>
        </w:rPr>
        <w:t xml:space="preserve"> </w:t>
      </w:r>
      <w:r w:rsidRPr="006E7A47">
        <w:rPr>
          <w:rFonts w:cstheme="minorHAnsi"/>
        </w:rPr>
        <w:t>care services, there are several areas in Australia where the Indigenous population has very limited access to both Indigenous-specific services and GP services in general</w:t>
      </w:r>
      <w:r w:rsidR="003F5D51">
        <w:rPr>
          <w:rFonts w:ascii="ZWAdobeF" w:hAnsi="ZWAdobeF" w:cs="ZWAdobeF"/>
          <w:sz w:val="2"/>
          <w:szCs w:val="2"/>
        </w:rPr>
        <w:t>49F</w:t>
      </w:r>
      <w:r>
        <w:rPr>
          <w:rStyle w:val="FootnoteReference"/>
          <w:rFonts w:cstheme="minorHAnsi"/>
        </w:rPr>
        <w:footnoteReference w:id="51"/>
      </w:r>
      <w:r>
        <w:rPr>
          <w:rFonts w:cstheme="minorHAnsi"/>
        </w:rPr>
        <w:t xml:space="preserve">. </w:t>
      </w:r>
    </w:p>
    <w:p w14:paraId="64C50AB9" w14:textId="39A08948" w:rsidR="0069494E" w:rsidRPr="001F605F" w:rsidRDefault="0069494E" w:rsidP="0069494E">
      <w:pPr>
        <w:rPr>
          <w:rFonts w:cstheme="minorHAnsi"/>
          <w:b/>
          <w:bCs/>
        </w:rPr>
      </w:pPr>
      <w:r w:rsidRPr="0015561F">
        <w:rPr>
          <w:rFonts w:cstheme="minorHAnsi"/>
          <w:b/>
          <w:bCs/>
        </w:rPr>
        <w:t>Access to primary care and community health services</w:t>
      </w:r>
    </w:p>
    <w:tbl>
      <w:tblPr>
        <w:tblStyle w:val="TableGrid"/>
        <w:tblW w:w="0" w:type="auto"/>
        <w:tblLook w:val="04A0" w:firstRow="1" w:lastRow="0" w:firstColumn="1" w:lastColumn="0" w:noHBand="0" w:noVBand="1"/>
      </w:tblPr>
      <w:tblGrid>
        <w:gridCol w:w="4395"/>
        <w:gridCol w:w="6071"/>
      </w:tblGrid>
      <w:tr w:rsidR="00026023" w14:paraId="3DBC45DF" w14:textId="77777777" w:rsidTr="00026023">
        <w:trPr>
          <w:cnfStyle w:val="100000000000" w:firstRow="1" w:lastRow="0" w:firstColumn="0" w:lastColumn="0" w:oddVBand="0" w:evenVBand="0" w:oddHBand="0" w:evenHBand="0" w:firstRowFirstColumn="0" w:firstRowLastColumn="0" w:lastRowFirstColumn="0" w:lastRowLastColumn="0"/>
        </w:trPr>
        <w:tc>
          <w:tcPr>
            <w:tcW w:w="4395" w:type="dxa"/>
          </w:tcPr>
          <w:p w14:paraId="7AE1CDF7" w14:textId="77777777" w:rsidR="00026023" w:rsidRDefault="00026023" w:rsidP="00026023">
            <w:pPr>
              <w:rPr>
                <w:rFonts w:cstheme="minorHAnsi"/>
              </w:rPr>
            </w:pPr>
            <w:r>
              <w:rPr>
                <w:rFonts w:cstheme="minorHAnsi"/>
              </w:rPr>
              <w:t xml:space="preserve">Accessible primary care is essential, both to enable access to early diagnosis, intervention, and management of health conditions and to support timely hospital discharge and outpatient management. Providing access to comprehensive care within the community, enables more expensive hospital settings to focus on those in genuine need of specialised treatment. </w:t>
            </w:r>
          </w:p>
          <w:p w14:paraId="07776250" w14:textId="7A9CE6CB" w:rsidR="00026023" w:rsidRDefault="00026023" w:rsidP="0069494E">
            <w:pPr>
              <w:rPr>
                <w:rFonts w:cstheme="minorHAnsi"/>
              </w:rPr>
            </w:pPr>
            <w:r>
              <w:rPr>
                <w:rFonts w:cstheme="minorHAnsi"/>
              </w:rPr>
              <w:t xml:space="preserve">Data suggests that the affordability of primary care services has been declining. In 2022-23, the proportion </w:t>
            </w:r>
            <w:r w:rsidR="00AB3F25">
              <w:rPr>
                <w:rFonts w:cstheme="minorHAnsi"/>
              </w:rPr>
              <w:t xml:space="preserve">of </w:t>
            </w:r>
            <w:r>
              <w:rPr>
                <w:rFonts w:cstheme="minorHAnsi"/>
              </w:rPr>
              <w:t xml:space="preserve">patients </w:t>
            </w:r>
            <w:r w:rsidR="004323B8">
              <w:rPr>
                <w:rFonts w:cstheme="minorHAnsi"/>
              </w:rPr>
              <w:t>att</w:t>
            </w:r>
            <w:r w:rsidR="00DB3F2D">
              <w:rPr>
                <w:rFonts w:cstheme="minorHAnsi"/>
              </w:rPr>
              <w:t>ending non-referred</w:t>
            </w:r>
            <w:r w:rsidR="004323B8">
              <w:rPr>
                <w:rFonts w:cstheme="minorHAnsi"/>
              </w:rPr>
              <w:t xml:space="preserve"> GP </w:t>
            </w:r>
            <w:r w:rsidR="00DB3F2D">
              <w:rPr>
                <w:rFonts w:cstheme="minorHAnsi"/>
              </w:rPr>
              <w:t>appointments</w:t>
            </w:r>
            <w:r w:rsidR="004323B8">
              <w:rPr>
                <w:rFonts w:cstheme="minorHAnsi"/>
              </w:rPr>
              <w:t xml:space="preserve"> </w:t>
            </w:r>
            <w:r>
              <w:rPr>
                <w:rFonts w:cstheme="minorHAnsi"/>
              </w:rPr>
              <w:t xml:space="preserve">who </w:t>
            </w:r>
            <w:r w:rsidR="00DB3F2D">
              <w:rPr>
                <w:rFonts w:cstheme="minorHAnsi"/>
              </w:rPr>
              <w:t xml:space="preserve">reported that they were </w:t>
            </w:r>
            <w:r>
              <w:rPr>
                <w:rFonts w:cstheme="minorHAnsi"/>
              </w:rPr>
              <w:t xml:space="preserve">always or usually bulk billed decreased from 89.0% to 77.3%, while the proportion </w:t>
            </w:r>
            <w:r w:rsidR="00E54CE6">
              <w:rPr>
                <w:rFonts w:cstheme="minorHAnsi"/>
              </w:rPr>
              <w:t xml:space="preserve">who </w:t>
            </w:r>
            <w:r w:rsidR="00DB3F2D">
              <w:rPr>
                <w:rFonts w:cstheme="minorHAnsi"/>
              </w:rPr>
              <w:t xml:space="preserve">reported they </w:t>
            </w:r>
            <w:r>
              <w:rPr>
                <w:rFonts w:cstheme="minorHAnsi"/>
              </w:rPr>
              <w:t>were never bulk billed increased from 4.2% to 10.5%</w:t>
            </w:r>
            <w:bookmarkStart w:id="175" w:name="_Ref144822504"/>
            <w:r w:rsidR="003F5D51">
              <w:rPr>
                <w:rFonts w:ascii="ZWAdobeF" w:hAnsi="ZWAdobeF" w:cs="ZWAdobeF"/>
                <w:sz w:val="2"/>
                <w:szCs w:val="2"/>
              </w:rPr>
              <w:t>50F</w:t>
            </w:r>
            <w:r>
              <w:rPr>
                <w:rStyle w:val="FootnoteReference"/>
                <w:rFonts w:cstheme="minorHAnsi"/>
              </w:rPr>
              <w:footnoteReference w:id="52"/>
            </w:r>
            <w:bookmarkEnd w:id="175"/>
            <w:r>
              <w:rPr>
                <w:rFonts w:cstheme="minorHAnsi"/>
              </w:rPr>
              <w:t xml:space="preserve">. Refer to </w:t>
            </w:r>
            <w:r>
              <w:rPr>
                <w:rFonts w:cstheme="minorHAnsi"/>
              </w:rPr>
              <w:fldChar w:fldCharType="begin" w:fldLock="1"/>
            </w:r>
            <w:r>
              <w:rPr>
                <w:rFonts w:cstheme="minorHAnsi"/>
              </w:rPr>
              <w:instrText xml:space="preserve"> REF _Ref145018774 \h </w:instrText>
            </w:r>
            <w:r>
              <w:rPr>
                <w:rFonts w:cstheme="minorHAnsi"/>
              </w:rPr>
            </w:r>
            <w:r>
              <w:rPr>
                <w:rFonts w:cstheme="minorHAnsi"/>
              </w:rPr>
              <w:fldChar w:fldCharType="separate"/>
            </w:r>
            <w:r w:rsidR="00FA10A4">
              <w:t xml:space="preserve">Figure </w:t>
            </w:r>
            <w:r w:rsidR="00FA10A4">
              <w:rPr>
                <w:noProof/>
              </w:rPr>
              <w:t>20</w:t>
            </w:r>
            <w:r>
              <w:rPr>
                <w:rFonts w:cstheme="minorHAnsi"/>
              </w:rPr>
              <w:fldChar w:fldCharType="end"/>
            </w:r>
            <w:r>
              <w:rPr>
                <w:rFonts w:cstheme="minorHAnsi"/>
              </w:rPr>
              <w:t>.</w:t>
            </w:r>
          </w:p>
        </w:tc>
        <w:tc>
          <w:tcPr>
            <w:tcW w:w="6071" w:type="dxa"/>
          </w:tcPr>
          <w:p w14:paraId="663D8D59" w14:textId="2F0A6D75" w:rsidR="00026023" w:rsidRPr="00205D8D" w:rsidRDefault="00A37590" w:rsidP="009B13CF">
            <w:pPr>
              <w:jc w:val="center"/>
              <w:rPr>
                <w:rFonts w:cstheme="minorHAnsi"/>
                <w:i/>
                <w:iCs/>
                <w:color w:val="808080" w:themeColor="background1" w:themeShade="80"/>
              </w:rPr>
            </w:pPr>
            <w:r w:rsidRPr="00E4510B">
              <w:rPr>
                <w:rFonts w:cstheme="minorHAnsi"/>
                <w:i/>
                <w:iCs/>
                <w:color w:val="53565A"/>
              </w:rPr>
              <w:t xml:space="preserve">How often </w:t>
            </w:r>
            <w:r w:rsidR="009F68EB" w:rsidRPr="00E4510B">
              <w:rPr>
                <w:rFonts w:cstheme="minorHAnsi"/>
                <w:i/>
                <w:iCs/>
                <w:color w:val="53565A"/>
              </w:rPr>
              <w:t>do patients report they are bulk billed for</w:t>
            </w:r>
            <w:r w:rsidRPr="00E4510B">
              <w:rPr>
                <w:rFonts w:cstheme="minorHAnsi"/>
                <w:i/>
                <w:iCs/>
                <w:color w:val="53565A"/>
              </w:rPr>
              <w:t xml:space="preserve"> GP non-referred attendance</w:t>
            </w:r>
            <w:r w:rsidR="009F68EB" w:rsidRPr="00E4510B">
              <w:rPr>
                <w:rFonts w:cstheme="minorHAnsi"/>
                <w:i/>
                <w:iCs/>
                <w:color w:val="53565A"/>
              </w:rPr>
              <w:t>s</w:t>
            </w:r>
            <w:r w:rsidRPr="00E4510B">
              <w:rPr>
                <w:rFonts w:cstheme="minorHAnsi"/>
                <w:i/>
                <w:iCs/>
                <w:color w:val="53565A"/>
              </w:rPr>
              <w:t>?</w:t>
            </w:r>
          </w:p>
          <w:p w14:paraId="68B4895E" w14:textId="60AE0674" w:rsidR="00A37590" w:rsidRDefault="00A37590" w:rsidP="00205D8D">
            <w:pPr>
              <w:jc w:val="right"/>
              <w:rPr>
                <w:rFonts w:cstheme="minorHAnsi"/>
              </w:rPr>
            </w:pPr>
            <w:r>
              <w:rPr>
                <w:rFonts w:cstheme="minorHAnsi"/>
                <w:noProof/>
              </w:rPr>
              <w:drawing>
                <wp:inline distT="0" distB="0" distL="0" distR="0" wp14:anchorId="0F3A755F" wp14:editId="50B58032">
                  <wp:extent cx="3235761" cy="1818005"/>
                  <wp:effectExtent l="0" t="0" r="3175" b="0"/>
                  <wp:docPr id="1115524941" name="Picture 1115524941" descr="P1124C2T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24941" name="Picture 1115524941" descr="P1124C2T36#yIS1"/>
                          <pic:cNvPicPr>
                            <a:picLocks noChangeAspect="1"/>
                          </pic:cNvPicPr>
                        </pic:nvPicPr>
                        <pic:blipFill rotWithShape="1">
                          <a:blip r:embed="rId78">
                            <a:extLst>
                              <a:ext uri="{28A0092B-C50C-407E-A947-70E740481C1C}">
                                <a14:useLocalDpi xmlns:a14="http://schemas.microsoft.com/office/drawing/2010/main" val="0"/>
                              </a:ext>
                            </a:extLst>
                          </a:blip>
                          <a:srcRect t="7734"/>
                          <a:stretch/>
                        </pic:blipFill>
                        <pic:spPr bwMode="auto">
                          <a:xfrm>
                            <a:off x="0" y="0"/>
                            <a:ext cx="3236595" cy="1818474"/>
                          </a:xfrm>
                          <a:prstGeom prst="rect">
                            <a:avLst/>
                          </a:prstGeom>
                          <a:ln>
                            <a:noFill/>
                          </a:ln>
                          <a:extLst>
                            <a:ext uri="{53640926-AAD7-44D8-BBD7-CCE9431645EC}">
                              <a14:shadowObscured xmlns:a14="http://schemas.microsoft.com/office/drawing/2010/main"/>
                            </a:ext>
                          </a:extLst>
                        </pic:spPr>
                      </pic:pic>
                    </a:graphicData>
                  </a:graphic>
                </wp:inline>
              </w:drawing>
            </w:r>
          </w:p>
          <w:p w14:paraId="0A035ABA" w14:textId="3DCB376B" w:rsidR="00026023" w:rsidRPr="00026023" w:rsidRDefault="00026023" w:rsidP="00C2024B">
            <w:pPr>
              <w:pStyle w:val="Caption"/>
              <w:rPr>
                <w:rFonts w:cstheme="minorHAnsi"/>
                <w:sz w:val="20"/>
                <w:szCs w:val="20"/>
              </w:rPr>
            </w:pPr>
            <w:bookmarkStart w:id="176" w:name="_Ref145018774"/>
            <w:bookmarkStart w:id="177" w:name="_Toc148968398"/>
            <w:r>
              <w:t xml:space="preserve">Figure </w:t>
            </w:r>
            <w:r>
              <w:fldChar w:fldCharType="begin"/>
            </w:r>
            <w:r>
              <w:instrText xml:space="preserve"> SEQ Figure \* ARABIC </w:instrText>
            </w:r>
            <w:r>
              <w:fldChar w:fldCharType="separate"/>
            </w:r>
            <w:r w:rsidR="003F5D51">
              <w:rPr>
                <w:noProof/>
              </w:rPr>
              <w:t>20</w:t>
            </w:r>
            <w:r>
              <w:fldChar w:fldCharType="end"/>
            </w:r>
            <w:bookmarkEnd w:id="176"/>
            <w:r>
              <w:t xml:space="preserve">: Proportion of patients </w:t>
            </w:r>
            <w:r w:rsidR="00D70664">
              <w:t>who report they are</w:t>
            </w:r>
            <w:r>
              <w:t xml:space="preserve"> bulked billed </w:t>
            </w:r>
            <w:r w:rsidR="00D70664">
              <w:t>for</w:t>
            </w:r>
            <w:r>
              <w:t xml:space="preserve"> GP </w:t>
            </w:r>
            <w:r w:rsidR="00D70664">
              <w:t>n</w:t>
            </w:r>
            <w:r>
              <w:t xml:space="preserve">on-referred </w:t>
            </w:r>
            <w:r w:rsidR="00D70664">
              <w:t>a</w:t>
            </w:r>
            <w:r>
              <w:t>ttendances</w:t>
            </w:r>
            <w:r w:rsidRPr="009502ED">
              <w:rPr>
                <w:vertAlign w:val="superscript"/>
              </w:rPr>
              <w:fldChar w:fldCharType="begin"/>
            </w:r>
            <w:r w:rsidRPr="009502ED">
              <w:rPr>
                <w:vertAlign w:val="superscript"/>
              </w:rPr>
              <w:instrText xml:space="preserve"> NOTEREF _Ref144822504 \h </w:instrText>
            </w:r>
            <w:r>
              <w:rPr>
                <w:vertAlign w:val="superscript"/>
              </w:rPr>
              <w:instrText xml:space="preserve"> \* MERGEFORMAT </w:instrText>
            </w:r>
            <w:r w:rsidRPr="009502ED">
              <w:rPr>
                <w:vertAlign w:val="superscript"/>
              </w:rPr>
            </w:r>
            <w:r w:rsidRPr="009502ED">
              <w:rPr>
                <w:vertAlign w:val="superscript"/>
              </w:rPr>
              <w:fldChar w:fldCharType="separate"/>
            </w:r>
            <w:r w:rsidR="003F5D51">
              <w:rPr>
                <w:vertAlign w:val="superscript"/>
              </w:rPr>
              <w:t>51</w:t>
            </w:r>
            <w:bookmarkEnd w:id="177"/>
            <w:r w:rsidRPr="009502ED">
              <w:rPr>
                <w:vertAlign w:val="superscript"/>
              </w:rPr>
              <w:fldChar w:fldCharType="end"/>
            </w:r>
          </w:p>
        </w:tc>
      </w:tr>
    </w:tbl>
    <w:p w14:paraId="45DBF6D7" w14:textId="704EE185" w:rsidR="0069494E" w:rsidRDefault="0069494E" w:rsidP="0069494E">
      <w:pPr>
        <w:rPr>
          <w:rFonts w:cstheme="minorHAnsi"/>
        </w:rPr>
      </w:pPr>
      <w:r>
        <w:rPr>
          <w:rFonts w:cstheme="minorHAnsi"/>
        </w:rPr>
        <w:t>In addition, Australians reported barriers to accessing primary care, predominantly related to timely availability of services and cost. According to a survey conducted by the ABS in 2021-22</w:t>
      </w:r>
      <w:r w:rsidR="003F5D51">
        <w:rPr>
          <w:rFonts w:ascii="ZWAdobeF" w:hAnsi="ZWAdobeF" w:cs="ZWAdobeF"/>
          <w:sz w:val="2"/>
          <w:szCs w:val="2"/>
        </w:rPr>
        <w:t>51F</w:t>
      </w:r>
      <w:r>
        <w:rPr>
          <w:rStyle w:val="FootnoteReference"/>
          <w:rFonts w:cstheme="minorHAnsi"/>
        </w:rPr>
        <w:footnoteReference w:id="53"/>
      </w:r>
      <w:r>
        <w:rPr>
          <w:rFonts w:cstheme="minorHAnsi"/>
        </w:rPr>
        <w:t>:</w:t>
      </w:r>
    </w:p>
    <w:p w14:paraId="22996395" w14:textId="77777777" w:rsidR="0069494E" w:rsidRDefault="0069494E" w:rsidP="00A850C3">
      <w:pPr>
        <w:pStyle w:val="ListParagraph"/>
        <w:numPr>
          <w:ilvl w:val="0"/>
          <w:numId w:val="62"/>
        </w:numPr>
        <w:rPr>
          <w:rFonts w:cstheme="minorHAnsi"/>
        </w:rPr>
      </w:pPr>
      <w:r>
        <w:rPr>
          <w:rFonts w:cstheme="minorHAnsi"/>
        </w:rPr>
        <w:t>24.8% of people delayed seeing a GP for reasons such as service availability or waiting time, an increase from 23.4% in 2017-18.</w:t>
      </w:r>
    </w:p>
    <w:p w14:paraId="718E1DEC" w14:textId="77777777" w:rsidR="0069494E" w:rsidRDefault="0069494E" w:rsidP="00A850C3">
      <w:pPr>
        <w:pStyle w:val="ListParagraph"/>
        <w:numPr>
          <w:ilvl w:val="0"/>
          <w:numId w:val="62"/>
        </w:numPr>
        <w:rPr>
          <w:rFonts w:cstheme="minorHAnsi"/>
        </w:rPr>
      </w:pPr>
      <w:r>
        <w:rPr>
          <w:rFonts w:cstheme="minorHAnsi"/>
        </w:rPr>
        <w:t>3.5% of people who needed to see a GP delayed or did not see a GP due to cost, a decrease from 4.0% in 2017-18.</w:t>
      </w:r>
    </w:p>
    <w:p w14:paraId="741EDBEB" w14:textId="77777777" w:rsidR="0069494E" w:rsidRDefault="0069494E" w:rsidP="00A850C3">
      <w:pPr>
        <w:pStyle w:val="ListParagraph"/>
        <w:numPr>
          <w:ilvl w:val="0"/>
          <w:numId w:val="62"/>
        </w:numPr>
        <w:rPr>
          <w:rFonts w:cstheme="minorHAnsi"/>
        </w:rPr>
      </w:pPr>
      <w:r>
        <w:rPr>
          <w:rFonts w:cstheme="minorHAnsi"/>
        </w:rPr>
        <w:t>23% of people felt they waited longer than acceptable for a GP appointment, an increase from 19.2% in 2017-18.</w:t>
      </w:r>
    </w:p>
    <w:p w14:paraId="5EE7C9DE" w14:textId="6888BA0E" w:rsidR="0069494E" w:rsidRPr="002033DE" w:rsidRDefault="0069494E" w:rsidP="00A850C3">
      <w:pPr>
        <w:pStyle w:val="ListParagraph"/>
        <w:numPr>
          <w:ilvl w:val="0"/>
          <w:numId w:val="62"/>
        </w:numPr>
        <w:rPr>
          <w:rFonts w:cstheme="minorHAnsi"/>
        </w:rPr>
      </w:pPr>
      <w:r>
        <w:rPr>
          <w:rFonts w:cstheme="minorHAnsi"/>
        </w:rPr>
        <w:t xml:space="preserve">3.9% of people with a long-term health condition who needed to see a GP delayed or did not see a GP due to cost. This was higher in regional </w:t>
      </w:r>
      <w:r w:rsidR="00DB3F2D">
        <w:rPr>
          <w:rFonts w:cstheme="minorHAnsi"/>
        </w:rPr>
        <w:t xml:space="preserve">and </w:t>
      </w:r>
      <w:r>
        <w:rPr>
          <w:rFonts w:cstheme="minorHAnsi"/>
        </w:rPr>
        <w:t>remote areas compared to those in major cities (5% and 3.1%, respectively).</w:t>
      </w:r>
    </w:p>
    <w:p w14:paraId="7D384175" w14:textId="1D2E9B30" w:rsidR="0069494E" w:rsidRPr="00083F5B" w:rsidRDefault="0069494E" w:rsidP="0069494E">
      <w:pPr>
        <w:rPr>
          <w:rFonts w:cstheme="minorHAnsi"/>
        </w:rPr>
      </w:pPr>
      <w:r>
        <w:rPr>
          <w:noProof/>
        </w:rPr>
        <w:t>The Commonwealth made a</w:t>
      </w:r>
      <w:r>
        <w:rPr>
          <w:rFonts w:cstheme="minorHAnsi"/>
        </w:rPr>
        <w:t xml:space="preserve"> $6.1 billion investment in the 2023-24 Federal Budget</w:t>
      </w:r>
      <w:r w:rsidR="003F5D51">
        <w:rPr>
          <w:rFonts w:ascii="ZWAdobeF" w:hAnsi="ZWAdobeF" w:cs="ZWAdobeF"/>
          <w:sz w:val="2"/>
          <w:szCs w:val="2"/>
        </w:rPr>
        <w:t>52F</w:t>
      </w:r>
      <w:r>
        <w:rPr>
          <w:rStyle w:val="FootnoteReference"/>
          <w:rFonts w:cstheme="minorHAnsi"/>
        </w:rPr>
        <w:footnoteReference w:id="54"/>
      </w:r>
      <w:r>
        <w:rPr>
          <w:rFonts w:cstheme="minorHAnsi"/>
        </w:rPr>
        <w:t xml:space="preserve"> to improve </w:t>
      </w:r>
      <w:r w:rsidR="00B51897">
        <w:rPr>
          <w:rFonts w:cstheme="minorHAnsi"/>
        </w:rPr>
        <w:t>access to</w:t>
      </w:r>
      <w:r>
        <w:rPr>
          <w:rFonts w:cstheme="minorHAnsi"/>
        </w:rPr>
        <w:t xml:space="preserve"> GP </w:t>
      </w:r>
      <w:r w:rsidR="00B51897">
        <w:rPr>
          <w:rFonts w:cstheme="minorHAnsi"/>
        </w:rPr>
        <w:t xml:space="preserve">and broader primary care </w:t>
      </w:r>
      <w:r>
        <w:rPr>
          <w:rFonts w:cstheme="minorHAnsi"/>
        </w:rPr>
        <w:t xml:space="preserve">services through increased bulk billing incentives, </w:t>
      </w:r>
      <w:r w:rsidR="00DB3F2D">
        <w:rPr>
          <w:rFonts w:cstheme="minorHAnsi"/>
        </w:rPr>
        <w:t xml:space="preserve">raising the </w:t>
      </w:r>
      <w:r>
        <w:rPr>
          <w:rFonts w:cstheme="minorHAnsi"/>
        </w:rPr>
        <w:t>Medicare indexation rate, support for longer telehealth items, and greater access to after-hours care as well as introducing a range of initiatives to improve management of chronic disease in the community.</w:t>
      </w:r>
    </w:p>
    <w:p w14:paraId="72341059" w14:textId="77777777" w:rsidR="0069494E" w:rsidRPr="00140D81" w:rsidRDefault="0069494E" w:rsidP="0069494E">
      <w:pPr>
        <w:keepNext/>
        <w:rPr>
          <w:rFonts w:cstheme="minorHAnsi"/>
          <w:b/>
          <w:bCs/>
        </w:rPr>
      </w:pPr>
      <w:r w:rsidRPr="00140D81">
        <w:rPr>
          <w:rFonts w:cstheme="minorHAnsi"/>
          <w:b/>
          <w:bCs/>
        </w:rPr>
        <w:t xml:space="preserve">Access </w:t>
      </w:r>
      <w:r>
        <w:rPr>
          <w:rFonts w:cstheme="minorHAnsi"/>
          <w:b/>
          <w:bCs/>
        </w:rPr>
        <w:t>and capacity of</w:t>
      </w:r>
      <w:r w:rsidRPr="00140D81">
        <w:rPr>
          <w:rFonts w:cstheme="minorHAnsi"/>
          <w:b/>
          <w:bCs/>
        </w:rPr>
        <w:t xml:space="preserve"> public hospital services</w:t>
      </w:r>
    </w:p>
    <w:p w14:paraId="5264276F" w14:textId="6D5B36EC" w:rsidR="0069494E" w:rsidRPr="00305970" w:rsidRDefault="0069494E" w:rsidP="0069494E">
      <w:pPr>
        <w:rPr>
          <w:rFonts w:cstheme="minorHAnsi"/>
          <w:i/>
          <w:iCs/>
          <w:u w:val="single"/>
        </w:rPr>
      </w:pPr>
      <w:r w:rsidRPr="00305970">
        <w:rPr>
          <w:rFonts w:cstheme="minorHAnsi"/>
          <w:i/>
          <w:iCs/>
          <w:u w:val="single"/>
        </w:rPr>
        <w:t>Population aged 65 or over</w:t>
      </w:r>
    </w:p>
    <w:tbl>
      <w:tblPr>
        <w:tblStyle w:val="TableGrid"/>
        <w:tblW w:w="0" w:type="auto"/>
        <w:tblLayout w:type="fixed"/>
        <w:tblLook w:val="04A0" w:firstRow="1" w:lastRow="0" w:firstColumn="1" w:lastColumn="0" w:noHBand="0" w:noVBand="1"/>
      </w:tblPr>
      <w:tblGrid>
        <w:gridCol w:w="4395"/>
        <w:gridCol w:w="6071"/>
      </w:tblGrid>
      <w:tr w:rsidR="00CA3EAD" w14:paraId="46495CFE" w14:textId="77777777" w:rsidTr="008B28BD">
        <w:trPr>
          <w:cnfStyle w:val="100000000000" w:firstRow="1" w:lastRow="0" w:firstColumn="0" w:lastColumn="0" w:oddVBand="0" w:evenVBand="0" w:oddHBand="0" w:evenHBand="0" w:firstRowFirstColumn="0" w:firstRowLastColumn="0" w:lastRowFirstColumn="0" w:lastRowLastColumn="0"/>
        </w:trPr>
        <w:tc>
          <w:tcPr>
            <w:tcW w:w="439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99618E" w14:textId="43E5C30B" w:rsidR="00CA3EAD" w:rsidRDefault="00CA3EAD" w:rsidP="0069494E">
            <w:pPr>
              <w:rPr>
                <w:rFonts w:cstheme="minorHAnsi"/>
              </w:rPr>
            </w:pPr>
            <w:r>
              <w:rPr>
                <w:rFonts w:cstheme="minorHAnsi"/>
              </w:rPr>
              <w:t>The number of available hospital beds per 1000 people aged 65 years or more is an important measure of public hospital capacity</w:t>
            </w:r>
            <w:r w:rsidR="000D487F">
              <w:rPr>
                <w:rFonts w:cstheme="minorHAnsi"/>
              </w:rPr>
              <w:t>.</w:t>
            </w:r>
            <w:r>
              <w:rPr>
                <w:rFonts w:cstheme="minorHAnsi"/>
              </w:rPr>
              <w:t xml:space="preserve"> </w:t>
            </w:r>
            <w:r w:rsidR="000D487F">
              <w:rPr>
                <w:rFonts w:cstheme="minorHAnsi"/>
              </w:rPr>
              <w:t xml:space="preserve">People </w:t>
            </w:r>
            <w:r>
              <w:rPr>
                <w:rFonts w:cstheme="minorHAnsi"/>
              </w:rPr>
              <w:t>aged 65 and over account for 50% of total admitted bed days</w:t>
            </w:r>
            <w:r w:rsidR="003F5D51">
              <w:rPr>
                <w:rFonts w:ascii="ZWAdobeF" w:hAnsi="ZWAdobeF" w:cs="ZWAdobeF"/>
                <w:sz w:val="2"/>
                <w:szCs w:val="2"/>
              </w:rPr>
              <w:t>53F</w:t>
            </w:r>
            <w:r>
              <w:rPr>
                <w:rStyle w:val="FootnoteReference"/>
                <w:rFonts w:cstheme="minorHAnsi"/>
              </w:rPr>
              <w:footnoteReference w:id="55"/>
            </w:r>
            <w:r>
              <w:rPr>
                <w:rFonts w:cstheme="minorHAnsi"/>
              </w:rPr>
              <w:t xml:space="preserve"> and </w:t>
            </w:r>
            <w:r w:rsidR="005417D9">
              <w:rPr>
                <w:rFonts w:cstheme="minorHAnsi"/>
              </w:rPr>
              <w:t xml:space="preserve">are </w:t>
            </w:r>
            <w:r>
              <w:rPr>
                <w:rFonts w:cstheme="minorHAnsi"/>
              </w:rPr>
              <w:t>admitted for 33% longer compared to all other age cohorts</w:t>
            </w:r>
            <w:r w:rsidR="003F5D51">
              <w:rPr>
                <w:rFonts w:ascii="ZWAdobeF" w:hAnsi="ZWAdobeF" w:cs="ZWAdobeF"/>
                <w:sz w:val="2"/>
                <w:szCs w:val="2"/>
              </w:rPr>
              <w:t>54F</w:t>
            </w:r>
            <w:r>
              <w:rPr>
                <w:rStyle w:val="FootnoteReference"/>
                <w:rFonts w:cstheme="minorHAnsi"/>
              </w:rPr>
              <w:footnoteReference w:id="56"/>
            </w:r>
            <w:r>
              <w:rPr>
                <w:rFonts w:cstheme="minorHAnsi"/>
              </w:rPr>
              <w:t>. The number of available public hospital beds per 1000 population aged 65 or over has declined from 18.6 to 14.8 between 2011-12 to 2020-21 (</w:t>
            </w:r>
            <w:r>
              <w:rPr>
                <w:rFonts w:cstheme="minorHAnsi"/>
              </w:rPr>
              <w:fldChar w:fldCharType="begin" w:fldLock="1"/>
            </w:r>
            <w:r>
              <w:rPr>
                <w:rFonts w:cstheme="minorHAnsi"/>
              </w:rPr>
              <w:instrText xml:space="preserve"> REF _Ref146537041 \h </w:instrText>
            </w:r>
            <w:r w:rsidR="008B28BD">
              <w:rPr>
                <w:rFonts w:cstheme="minorHAnsi"/>
              </w:rPr>
              <w:instrText xml:space="preserve"> \* MERGEFORMAT </w:instrText>
            </w:r>
            <w:r>
              <w:rPr>
                <w:rFonts w:cstheme="minorHAnsi"/>
              </w:rPr>
            </w:r>
            <w:r>
              <w:rPr>
                <w:rFonts w:cstheme="minorHAnsi"/>
              </w:rPr>
              <w:fldChar w:fldCharType="separate"/>
            </w:r>
            <w:r w:rsidR="00FA10A4">
              <w:t xml:space="preserve">Figure </w:t>
            </w:r>
            <w:r w:rsidR="00FA10A4">
              <w:rPr>
                <w:noProof/>
              </w:rPr>
              <w:t>21</w:t>
            </w:r>
            <w:r>
              <w:rPr>
                <w:rFonts w:cstheme="minorHAnsi"/>
              </w:rPr>
              <w:fldChar w:fldCharType="end"/>
            </w:r>
            <w:r>
              <w:rPr>
                <w:rFonts w:cstheme="minorHAnsi"/>
              </w:rPr>
              <w:t>). From 2016-17 to 2020-21 the number of ED presentations per 1000 population (for all age groups) requiring hospital admission increased by 3%. Over the same period the number of hospital beds per 1000 population decreased by 4%</w:t>
            </w:r>
            <w:r w:rsidR="003F5D51">
              <w:rPr>
                <w:rFonts w:ascii="ZWAdobeF" w:hAnsi="ZWAdobeF" w:cs="ZWAdobeF"/>
                <w:sz w:val="2"/>
                <w:szCs w:val="2"/>
              </w:rPr>
              <w:t>55F</w:t>
            </w:r>
            <w:r w:rsidR="001B3D31">
              <w:rPr>
                <w:rStyle w:val="FootnoteReference"/>
                <w:rFonts w:cstheme="minorHAnsi"/>
              </w:rPr>
              <w:footnoteReference w:id="57"/>
            </w:r>
            <w:r w:rsidR="001B3D31" w:rsidRPr="00E54CE6">
              <w:rPr>
                <w:rFonts w:cstheme="minorHAnsi"/>
                <w:vertAlign w:val="superscript"/>
              </w:rPr>
              <w:t>,</w:t>
            </w:r>
            <w:r w:rsidR="003F5D51">
              <w:rPr>
                <w:rFonts w:ascii="ZWAdobeF" w:hAnsi="ZWAdobeF" w:cs="ZWAdobeF"/>
                <w:sz w:val="2"/>
                <w:szCs w:val="2"/>
              </w:rPr>
              <w:t>56F</w:t>
            </w:r>
            <w:r w:rsidR="001B3D31">
              <w:rPr>
                <w:rStyle w:val="FootnoteReference"/>
                <w:rFonts w:cstheme="minorHAnsi"/>
              </w:rPr>
              <w:footnoteReference w:id="58"/>
            </w:r>
            <w:r w:rsidRPr="00D97F64">
              <w:rPr>
                <w:rFonts w:cstheme="minorHAnsi"/>
              </w:rPr>
              <w:t>.</w:t>
            </w:r>
            <w:r>
              <w:rPr>
                <w:rFonts w:cstheme="minorHAnsi"/>
              </w:rPr>
              <w:t xml:space="preserve"> </w:t>
            </w:r>
          </w:p>
          <w:p w14:paraId="66D6096D" w14:textId="7B60B3EF" w:rsidR="00034C51" w:rsidRPr="00034C51" w:rsidRDefault="00034C51" w:rsidP="00034C51">
            <w:pPr>
              <w:pStyle w:val="Pullout-QuoteGreen"/>
              <w:spacing w:after="120" w:line="216" w:lineRule="auto"/>
              <w:ind w:left="0"/>
              <w:rPr>
                <w:i w:val="0"/>
                <w:iCs/>
                <w:color w:val="007680"/>
                <w:sz w:val="20"/>
              </w:rPr>
            </w:pPr>
            <w:r>
              <w:rPr>
                <w:color w:val="007680"/>
              </w:rPr>
              <w:t>P</w:t>
            </w:r>
            <w:r w:rsidRPr="007412E2">
              <w:rPr>
                <w:color w:val="007680"/>
              </w:rPr>
              <w:t>eople aged 65</w:t>
            </w:r>
            <w:r>
              <w:rPr>
                <w:color w:val="007680"/>
              </w:rPr>
              <w:t xml:space="preserve">+ </w:t>
            </w:r>
            <w:r w:rsidRPr="007412E2">
              <w:rPr>
                <w:color w:val="007680"/>
              </w:rPr>
              <w:t>account for 50% of total admitted bed days and are admitted for 33% longer compared to all other age cohorts</w:t>
            </w:r>
            <w:r>
              <w:rPr>
                <w:color w:val="007680"/>
              </w:rPr>
              <w:t>.</w:t>
            </w:r>
          </w:p>
        </w:tc>
        <w:tc>
          <w:tcPr>
            <w:tcW w:w="60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C94373" w14:textId="072D43C9" w:rsidR="00CA3EAD" w:rsidRDefault="00CA3EAD" w:rsidP="0069494E">
            <w:pPr>
              <w:rPr>
                <w:rFonts w:cstheme="minorHAnsi"/>
              </w:rPr>
            </w:pPr>
            <w:r>
              <w:rPr>
                <w:noProof/>
              </w:rPr>
              <w:drawing>
                <wp:inline distT="0" distB="0" distL="0" distR="0" wp14:anchorId="6E8E218D" wp14:editId="70C04743">
                  <wp:extent cx="3949700" cy="1952625"/>
                  <wp:effectExtent l="0" t="0" r="0" b="0"/>
                  <wp:docPr id="1115524962" name="Chart 1115524962" descr="P1137C2T37#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C3487C5" w14:textId="6B92D873" w:rsidR="00CA3EAD" w:rsidRPr="00CA3EAD" w:rsidRDefault="00CA3EAD" w:rsidP="00C2024B">
            <w:pPr>
              <w:pStyle w:val="Caption"/>
              <w:rPr>
                <w:noProof/>
                <w:sz w:val="20"/>
                <w:szCs w:val="20"/>
              </w:rPr>
            </w:pPr>
            <w:bookmarkStart w:id="178" w:name="_Ref146537041"/>
            <w:bookmarkStart w:id="179" w:name="_Toc148968399"/>
            <w:r>
              <w:t xml:space="preserve">Figure </w:t>
            </w:r>
            <w:r>
              <w:fldChar w:fldCharType="begin"/>
            </w:r>
            <w:r>
              <w:instrText xml:space="preserve"> SEQ Figure \* ARABIC </w:instrText>
            </w:r>
            <w:r>
              <w:fldChar w:fldCharType="separate"/>
            </w:r>
            <w:r w:rsidR="003F5D51">
              <w:rPr>
                <w:noProof/>
              </w:rPr>
              <w:t>21</w:t>
            </w:r>
            <w:r>
              <w:fldChar w:fldCharType="end"/>
            </w:r>
            <w:bookmarkEnd w:id="178"/>
            <w:r>
              <w:t>: Number of available public hospital beds per 1000 population aged 65 or over</w:t>
            </w:r>
            <w:bookmarkEnd w:id="179"/>
          </w:p>
        </w:tc>
      </w:tr>
    </w:tbl>
    <w:p w14:paraId="0F70CA01" w14:textId="6C4FBA88" w:rsidR="0069494E" w:rsidRPr="00535D29" w:rsidRDefault="0069494E" w:rsidP="0069494E">
      <w:pPr>
        <w:rPr>
          <w:rFonts w:cstheme="minorHAnsi"/>
          <w:i/>
          <w:iCs/>
          <w:u w:val="single"/>
        </w:rPr>
      </w:pPr>
      <w:r w:rsidRPr="00535D29">
        <w:rPr>
          <w:rFonts w:cstheme="minorHAnsi"/>
          <w:i/>
          <w:iCs/>
          <w:u w:val="single"/>
        </w:rPr>
        <w:t xml:space="preserve">Access and capacity in </w:t>
      </w:r>
      <w:r>
        <w:rPr>
          <w:rFonts w:cstheme="minorHAnsi"/>
          <w:i/>
          <w:iCs/>
          <w:u w:val="single"/>
        </w:rPr>
        <w:t>EDs</w:t>
      </w:r>
    </w:p>
    <w:p w14:paraId="75023099" w14:textId="607848E6" w:rsidR="0069494E" w:rsidRDefault="0069494E" w:rsidP="0069494E">
      <w:pPr>
        <w:rPr>
          <w:rFonts w:cstheme="minorHAnsi"/>
        </w:rPr>
      </w:pPr>
      <w:r>
        <w:rPr>
          <w:rFonts w:cstheme="minorHAnsi"/>
        </w:rPr>
        <w:t>Access to a public hospital in-patient bed is a factor in the effective operation of emergency departments. When</w:t>
      </w:r>
      <w:r w:rsidR="00576921">
        <w:rPr>
          <w:rFonts w:cstheme="minorHAnsi"/>
        </w:rPr>
        <w:t xml:space="preserve"> a hospital is operating at capacity</w:t>
      </w:r>
      <w:r w:rsidR="00925E6F">
        <w:rPr>
          <w:rFonts w:cstheme="minorHAnsi"/>
        </w:rPr>
        <w:t>, there is no pathway to admit patients from the</w:t>
      </w:r>
      <w:r>
        <w:rPr>
          <w:rFonts w:cstheme="minorHAnsi"/>
        </w:rPr>
        <w:t xml:space="preserve"> ED</w:t>
      </w:r>
      <w:r w:rsidR="002556D6">
        <w:rPr>
          <w:rFonts w:cstheme="minorHAnsi"/>
        </w:rPr>
        <w:t>.</w:t>
      </w:r>
      <w:r>
        <w:rPr>
          <w:rFonts w:cstheme="minorHAnsi"/>
        </w:rPr>
        <w:t xml:space="preserve"> </w:t>
      </w:r>
      <w:r w:rsidR="002556D6">
        <w:rPr>
          <w:rFonts w:cstheme="minorHAnsi"/>
        </w:rPr>
        <w:t xml:space="preserve">Patients </w:t>
      </w:r>
      <w:r>
        <w:rPr>
          <w:rFonts w:cstheme="minorHAnsi"/>
        </w:rPr>
        <w:t xml:space="preserve">arriving by ambulance receive care from paramedics either in the ambulance or the hospital corridor (ambulance ramping) until there is an available bed and ED staff to </w:t>
      </w:r>
      <w:r w:rsidR="002556D6">
        <w:rPr>
          <w:rFonts w:cstheme="minorHAnsi"/>
        </w:rPr>
        <w:t xml:space="preserve">whom to </w:t>
      </w:r>
      <w:r w:rsidR="00B51897">
        <w:rPr>
          <w:rFonts w:cstheme="minorHAnsi"/>
        </w:rPr>
        <w:t xml:space="preserve">transfer </w:t>
      </w:r>
      <w:r>
        <w:rPr>
          <w:rFonts w:cstheme="minorHAnsi"/>
        </w:rPr>
        <w:t xml:space="preserve">care. The variability in the metrics used for reporting ambulance ramping among different </w:t>
      </w:r>
      <w:r w:rsidR="0001275B">
        <w:rPr>
          <w:rFonts w:cstheme="minorHAnsi"/>
        </w:rPr>
        <w:t>S</w:t>
      </w:r>
      <w:r>
        <w:rPr>
          <w:rFonts w:cstheme="minorHAnsi"/>
        </w:rPr>
        <w:t xml:space="preserve">tates and </w:t>
      </w:r>
      <w:r w:rsidR="0001275B">
        <w:rPr>
          <w:rFonts w:cstheme="minorHAnsi"/>
        </w:rPr>
        <w:t>T</w:t>
      </w:r>
      <w:r>
        <w:rPr>
          <w:rFonts w:cstheme="minorHAnsi"/>
        </w:rPr>
        <w:t xml:space="preserve">erritories create a challenge in assessing the extent of the problem at a national level. The AMA reports that longitudinal data demonstrates a consistent upward trend in the duration it takes to transfer a patient from the ambulance to the care of the hospital ED and </w:t>
      </w:r>
      <w:r w:rsidRPr="00DD321E">
        <w:rPr>
          <w:rFonts w:cstheme="minorHAnsi"/>
        </w:rPr>
        <w:t>has been overall increasing year</w:t>
      </w:r>
      <w:r>
        <w:rPr>
          <w:rFonts w:cstheme="minorHAnsi"/>
        </w:rPr>
        <w:t>-</w:t>
      </w:r>
      <w:r w:rsidRPr="00DD321E">
        <w:rPr>
          <w:rFonts w:cstheme="minorHAnsi"/>
        </w:rPr>
        <w:t>on</w:t>
      </w:r>
      <w:r>
        <w:rPr>
          <w:rFonts w:cstheme="minorHAnsi"/>
        </w:rPr>
        <w:t>-</w:t>
      </w:r>
      <w:r w:rsidRPr="00DD321E">
        <w:rPr>
          <w:rFonts w:cstheme="minorHAnsi"/>
        </w:rPr>
        <w:t>year</w:t>
      </w:r>
      <w:r w:rsidR="003F5D51">
        <w:rPr>
          <w:rFonts w:ascii="ZWAdobeF" w:hAnsi="ZWAdobeF" w:cs="ZWAdobeF"/>
          <w:sz w:val="2"/>
          <w:szCs w:val="2"/>
        </w:rPr>
        <w:t>57F</w:t>
      </w:r>
      <w:r>
        <w:rPr>
          <w:rStyle w:val="FootnoteReference"/>
          <w:rFonts w:cstheme="minorHAnsi"/>
        </w:rPr>
        <w:footnoteReference w:id="59"/>
      </w:r>
      <w:r>
        <w:rPr>
          <w:rFonts w:cstheme="minorHAnsi"/>
        </w:rPr>
        <w:t>.</w:t>
      </w:r>
    </w:p>
    <w:p w14:paraId="700F4C2C" w14:textId="44EDC93C" w:rsidR="0069494E" w:rsidRDefault="0069494E" w:rsidP="0069494E">
      <w:pPr>
        <w:pStyle w:val="ListParagraph"/>
        <w:ind w:left="0"/>
        <w:rPr>
          <w:rFonts w:cstheme="minorHAnsi"/>
        </w:rPr>
      </w:pPr>
      <w:r>
        <w:rPr>
          <w:rFonts w:cstheme="minorHAnsi"/>
        </w:rPr>
        <w:t xml:space="preserve">Demand for public hospital ED services continues to increase. The </w:t>
      </w:r>
      <w:r w:rsidRPr="000E22C5">
        <w:rPr>
          <w:rFonts w:cstheme="minorHAnsi"/>
        </w:rPr>
        <w:t xml:space="preserve">8.8 million presentations to </w:t>
      </w:r>
      <w:r>
        <w:rPr>
          <w:rFonts w:cstheme="minorHAnsi"/>
        </w:rPr>
        <w:t>EDs in 2020-21 represent 339 presentations per 1000 population, rising from 321 presentations per 1000 population in 2017-18, an increase of 1.4% per year. The</w:t>
      </w:r>
      <w:r w:rsidR="00E72AB5">
        <w:rPr>
          <w:rFonts w:cstheme="minorHAnsi"/>
        </w:rPr>
        <w:t xml:space="preserve"> level of</w:t>
      </w:r>
      <w:r>
        <w:rPr>
          <w:rFonts w:cstheme="minorHAnsi"/>
        </w:rPr>
        <w:t xml:space="preserve"> urgency of patients presenting to EDs is also increasing. From 2009-10 to 2021-22, the proportion of patients assigned to the three most urgent triage categories (resuscitation, emergency and urgent) increased from 42.8%</w:t>
      </w:r>
      <w:r w:rsidR="003F5D51">
        <w:rPr>
          <w:rFonts w:ascii="ZWAdobeF" w:hAnsi="ZWAdobeF" w:cs="ZWAdobeF"/>
          <w:sz w:val="2"/>
          <w:szCs w:val="2"/>
        </w:rPr>
        <w:t>58F</w:t>
      </w:r>
      <w:r>
        <w:rPr>
          <w:rStyle w:val="FootnoteReference"/>
          <w:rFonts w:cstheme="minorHAnsi"/>
        </w:rPr>
        <w:footnoteReference w:id="60"/>
      </w:r>
      <w:r>
        <w:rPr>
          <w:rFonts w:cstheme="minorHAnsi"/>
        </w:rPr>
        <w:t xml:space="preserve"> to 54.5%</w:t>
      </w:r>
      <w:r w:rsidR="003F5D51">
        <w:rPr>
          <w:rFonts w:ascii="ZWAdobeF" w:hAnsi="ZWAdobeF" w:cs="ZWAdobeF"/>
          <w:sz w:val="2"/>
          <w:szCs w:val="2"/>
        </w:rPr>
        <w:t>59F</w:t>
      </w:r>
      <w:r>
        <w:rPr>
          <w:rStyle w:val="FootnoteReference"/>
          <w:rFonts w:cstheme="minorHAnsi"/>
        </w:rPr>
        <w:footnoteReference w:id="61"/>
      </w:r>
      <w:r>
        <w:rPr>
          <w:rFonts w:cstheme="minorHAnsi"/>
        </w:rPr>
        <w:t xml:space="preserve">. </w:t>
      </w:r>
    </w:p>
    <w:p w14:paraId="15EA3816" w14:textId="714DD810" w:rsidR="0069494E" w:rsidRDefault="0069494E" w:rsidP="0069494E">
      <w:r>
        <w:t xml:space="preserve">The pressure on public hospital EDs is reflected in waiting and treatment times. The proportion of emergency patients seen within the </w:t>
      </w:r>
      <w:r w:rsidRPr="00E848D9">
        <w:t xml:space="preserve">clinically </w:t>
      </w:r>
      <w:r w:rsidRPr="00205D8D">
        <w:t xml:space="preserve">recommended timeframe, within </w:t>
      </w:r>
      <w:r w:rsidR="008B1745" w:rsidRPr="00205D8D">
        <w:t xml:space="preserve">the </w:t>
      </w:r>
      <w:r w:rsidRPr="00205D8D">
        <w:t xml:space="preserve">emergency triage category, decreased from 80% to </w:t>
      </w:r>
      <w:r w:rsidR="0011359E" w:rsidRPr="00205D8D">
        <w:t>6</w:t>
      </w:r>
      <w:r w:rsidR="0074633B" w:rsidRPr="00205D8D">
        <w:t>5</w:t>
      </w:r>
      <w:r w:rsidRPr="00205D8D">
        <w:t xml:space="preserve">% </w:t>
      </w:r>
      <w:r w:rsidR="00B51897" w:rsidRPr="00205D8D">
        <w:t xml:space="preserve">between </w:t>
      </w:r>
      <w:r w:rsidRPr="00205D8D">
        <w:t xml:space="preserve">2011-12 </w:t>
      </w:r>
      <w:r w:rsidR="00B51897" w:rsidRPr="00205D8D">
        <w:t xml:space="preserve">and </w:t>
      </w:r>
      <w:bookmarkStart w:id="181" w:name="_Ref144479510"/>
      <w:r w:rsidR="0011359E" w:rsidRPr="00205D8D">
        <w:t>2021-2</w:t>
      </w:r>
      <w:r w:rsidR="0011359E" w:rsidRPr="00E848D9">
        <w:t>2</w:t>
      </w:r>
      <w:r w:rsidR="003F5D51">
        <w:rPr>
          <w:rFonts w:ascii="ZWAdobeF" w:hAnsi="ZWAdobeF" w:cs="ZWAdobeF"/>
          <w:sz w:val="2"/>
          <w:szCs w:val="2"/>
        </w:rPr>
        <w:t>60F</w:t>
      </w:r>
      <w:r w:rsidRPr="00205D8D">
        <w:rPr>
          <w:rStyle w:val="FootnoteReference"/>
          <w:rFonts w:cstheme="minorHAnsi"/>
        </w:rPr>
        <w:footnoteReference w:id="62"/>
      </w:r>
      <w:bookmarkEnd w:id="181"/>
      <w:r w:rsidRPr="00205D8D">
        <w:t xml:space="preserve">. </w:t>
      </w:r>
    </w:p>
    <w:tbl>
      <w:tblPr>
        <w:tblStyle w:val="TableGrid"/>
        <w:tblW w:w="0" w:type="auto"/>
        <w:tblLook w:val="04A0" w:firstRow="1" w:lastRow="0" w:firstColumn="1" w:lastColumn="0" w:noHBand="0" w:noVBand="1"/>
      </w:tblPr>
      <w:tblGrid>
        <w:gridCol w:w="3675"/>
        <w:gridCol w:w="6781"/>
      </w:tblGrid>
      <w:tr w:rsidR="00034C51" w14:paraId="6D37A54C" w14:textId="77777777" w:rsidTr="00FA2566">
        <w:trPr>
          <w:cnfStyle w:val="100000000000" w:firstRow="1" w:lastRow="0" w:firstColumn="0" w:lastColumn="0" w:oddVBand="0" w:evenVBand="0" w:oddHBand="0" w:evenHBand="0" w:firstRowFirstColumn="0" w:firstRowLastColumn="0" w:lastRowFirstColumn="0" w:lastRowLastColumn="0"/>
        </w:trPr>
        <w:tc>
          <w:tcPr>
            <w:tcW w:w="36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C1EACC" w14:textId="4F68B0E3" w:rsidR="00034C51" w:rsidRDefault="004439E3" w:rsidP="0069494E">
            <w:r>
              <w:t xml:space="preserve">There has been an increase in the overall amount of time that patients tend to spend in </w:t>
            </w:r>
            <w:r w:rsidR="00C15B63">
              <w:t xml:space="preserve">the </w:t>
            </w:r>
            <w:r>
              <w:t xml:space="preserve">ED. </w:t>
            </w:r>
            <w:r w:rsidR="00E72AB5">
              <w:t>The</w:t>
            </w:r>
            <w:r w:rsidR="00CE1F55">
              <w:t xml:space="preserve"> proportion of people who completed their emergency presentation within four hours across all </w:t>
            </w:r>
            <w:r w:rsidR="00E72AB5">
              <w:t xml:space="preserve">triage </w:t>
            </w:r>
            <w:r w:rsidR="00CE1F55">
              <w:t xml:space="preserve">categories </w:t>
            </w:r>
            <w:r>
              <w:t>was in</w:t>
            </w:r>
            <w:r w:rsidR="00CE1F55">
              <w:t xml:space="preserve"> the range of 70-73% </w:t>
            </w:r>
            <w:r w:rsidR="002B1D32">
              <w:t xml:space="preserve">between </w:t>
            </w:r>
            <w:r w:rsidR="00862A71">
              <w:br/>
              <w:t>2013-14</w:t>
            </w:r>
            <w:r w:rsidR="00CE1F55">
              <w:t xml:space="preserve"> to 2018-19. However, it dropped significantly to 61% in 2021-22, </w:t>
            </w:r>
            <w:r w:rsidR="00C15B63">
              <w:t xml:space="preserve">probably related to </w:t>
            </w:r>
            <w:r w:rsidR="00CE1F55">
              <w:t xml:space="preserve">activity fluctuations </w:t>
            </w:r>
            <w:r w:rsidR="00C15B63">
              <w:t xml:space="preserve">due </w:t>
            </w:r>
            <w:r w:rsidR="00CE1F55">
              <w:t>to COVID-19 (</w:t>
            </w:r>
            <w:r w:rsidR="00CE1F55">
              <w:fldChar w:fldCharType="begin" w:fldLock="1"/>
            </w:r>
            <w:r w:rsidR="00CE1F55">
              <w:instrText xml:space="preserve"> REF _Ref146537084 \h </w:instrText>
            </w:r>
            <w:r w:rsidR="00212E73">
              <w:instrText xml:space="preserve"> \* MERGEFORMAT </w:instrText>
            </w:r>
            <w:r w:rsidR="00CE1F55">
              <w:fldChar w:fldCharType="separate"/>
            </w:r>
            <w:r w:rsidR="00FA10A4">
              <w:t xml:space="preserve">Figure </w:t>
            </w:r>
            <w:r w:rsidR="00FA10A4">
              <w:rPr>
                <w:noProof/>
              </w:rPr>
              <w:t>22</w:t>
            </w:r>
            <w:r w:rsidR="00CE1F55">
              <w:fldChar w:fldCharType="end"/>
            </w:r>
            <w:r w:rsidR="003F5D51">
              <w:rPr>
                <w:rFonts w:ascii="ZWAdobeF" w:hAnsi="ZWAdobeF" w:cs="ZWAdobeF"/>
                <w:sz w:val="2"/>
                <w:szCs w:val="2"/>
              </w:rPr>
              <w:t>61F</w:t>
            </w:r>
            <w:r w:rsidR="00C37086">
              <w:rPr>
                <w:rStyle w:val="FootnoteReference"/>
              </w:rPr>
              <w:footnoteReference w:id="63"/>
            </w:r>
            <w:r w:rsidR="00CE1F55">
              <w:t xml:space="preserve">). </w:t>
            </w:r>
            <w:r w:rsidR="00C702A1" w:rsidRPr="00C702A1">
              <w:t xml:space="preserve">90% of ED visits for patients </w:t>
            </w:r>
            <w:r w:rsidR="00241489">
              <w:t xml:space="preserve">who were </w:t>
            </w:r>
            <w:r w:rsidR="00C702A1" w:rsidRPr="00C702A1">
              <w:t>subsequently admitted to the hospital</w:t>
            </w:r>
            <w:r w:rsidR="00E83629">
              <w:t xml:space="preserve"> </w:t>
            </w:r>
            <w:r w:rsidR="006D6856">
              <w:t xml:space="preserve">were dealt </w:t>
            </w:r>
            <w:r w:rsidR="00E848D9">
              <w:t xml:space="preserve">with </w:t>
            </w:r>
            <w:r w:rsidR="006D6856">
              <w:t>with</w:t>
            </w:r>
            <w:r w:rsidR="00BD4DBF">
              <w:t>in</w:t>
            </w:r>
            <w:r w:rsidR="006D6856">
              <w:t xml:space="preserve"> </w:t>
            </w:r>
            <w:r w:rsidR="00BD4DBF" w:rsidRPr="00C702A1">
              <w:t>15 hours, 37 minutes in 2021–22</w:t>
            </w:r>
            <w:r w:rsidR="00BD4DBF">
              <w:t xml:space="preserve">, compared to </w:t>
            </w:r>
            <w:r w:rsidR="00C702A1" w:rsidRPr="00C702A1">
              <w:t>11 hours, 8 minutes in 2017–18</w:t>
            </w:r>
            <w:r w:rsidR="00BD4DBF">
              <w:t>.</w:t>
            </w:r>
            <w:bookmarkStart w:id="183" w:name="_Ref144472260"/>
            <w:r w:rsidR="003F5D51">
              <w:rPr>
                <w:rFonts w:ascii="ZWAdobeF" w:hAnsi="ZWAdobeF" w:cs="ZWAdobeF"/>
                <w:sz w:val="2"/>
                <w:szCs w:val="2"/>
              </w:rPr>
              <w:t>62F</w:t>
            </w:r>
            <w:r w:rsidR="00CE1F55">
              <w:rPr>
                <w:rStyle w:val="FootnoteReference"/>
                <w:rFonts w:cstheme="minorHAnsi"/>
              </w:rPr>
              <w:footnoteReference w:id="64"/>
            </w:r>
            <w:bookmarkEnd w:id="183"/>
            <w:r w:rsidR="00CE1F55">
              <w:t xml:space="preserve"> </w:t>
            </w:r>
          </w:p>
        </w:tc>
        <w:tc>
          <w:tcPr>
            <w:tcW w:w="67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E6FA50" w14:textId="0E4B06D9" w:rsidR="00034C51" w:rsidRDefault="00CE1F55" w:rsidP="00205D8D">
            <w:pPr>
              <w:jc w:val="right"/>
            </w:pPr>
            <w:r>
              <w:rPr>
                <w:noProof/>
              </w:rPr>
              <w:drawing>
                <wp:inline distT="0" distB="0" distL="0" distR="0" wp14:anchorId="6F52670E" wp14:editId="4CE84FC0">
                  <wp:extent cx="4301518" cy="1748790"/>
                  <wp:effectExtent l="0" t="0" r="3810" b="3810"/>
                  <wp:docPr id="1489793640" name="Chart 1489793640" descr="P1145C2T38#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2597703" w14:textId="3A702618" w:rsidR="00CE1F55" w:rsidRPr="00CE1F55" w:rsidRDefault="00CE1F55" w:rsidP="00C2024B">
            <w:pPr>
              <w:pStyle w:val="Caption"/>
              <w:rPr>
                <w:noProof/>
                <w:sz w:val="20"/>
                <w:szCs w:val="20"/>
              </w:rPr>
            </w:pPr>
            <w:bookmarkStart w:id="184" w:name="_Ref146537084"/>
            <w:bookmarkStart w:id="185" w:name="_Toc148968400"/>
            <w:r>
              <w:t xml:space="preserve">Figure </w:t>
            </w:r>
            <w:r>
              <w:fldChar w:fldCharType="begin"/>
            </w:r>
            <w:r>
              <w:instrText xml:space="preserve"> SEQ Figure \* ARABIC </w:instrText>
            </w:r>
            <w:r>
              <w:fldChar w:fldCharType="separate"/>
            </w:r>
            <w:r w:rsidR="003F5D51">
              <w:rPr>
                <w:noProof/>
              </w:rPr>
              <w:t>22</w:t>
            </w:r>
            <w:r>
              <w:fldChar w:fldCharType="end"/>
            </w:r>
            <w:bookmarkEnd w:id="184"/>
            <w:r>
              <w:t>: Proportion who depart the ED within 4 hours, average across all triage categories</w:t>
            </w:r>
            <w:bookmarkEnd w:id="185"/>
          </w:p>
        </w:tc>
      </w:tr>
    </w:tbl>
    <w:p w14:paraId="395F58BF" w14:textId="360D2EF4" w:rsidR="0069494E" w:rsidRPr="00535D29" w:rsidRDefault="0069494E" w:rsidP="0069494E">
      <w:pPr>
        <w:rPr>
          <w:i/>
          <w:iCs/>
          <w:u w:val="single"/>
        </w:rPr>
      </w:pPr>
      <w:r w:rsidRPr="00535D29">
        <w:rPr>
          <w:i/>
          <w:iCs/>
          <w:u w:val="single"/>
        </w:rPr>
        <w:t>Access and capacity of elective surgery services</w:t>
      </w:r>
    </w:p>
    <w:tbl>
      <w:tblPr>
        <w:tblStyle w:val="TableGrid"/>
        <w:tblW w:w="10495" w:type="dxa"/>
        <w:tblInd w:w="-5" w:type="dxa"/>
        <w:tblLook w:val="04A0" w:firstRow="1" w:lastRow="0" w:firstColumn="1" w:lastColumn="0" w:noHBand="0" w:noVBand="1"/>
      </w:tblPr>
      <w:tblGrid>
        <w:gridCol w:w="10495"/>
      </w:tblGrid>
      <w:tr w:rsidR="002B32C8" w14:paraId="2E794B98" w14:textId="77777777" w:rsidTr="002B32C8">
        <w:trPr>
          <w:cnfStyle w:val="100000000000" w:firstRow="1" w:lastRow="0" w:firstColumn="0" w:lastColumn="0" w:oddVBand="0" w:evenVBand="0" w:oddHBand="0" w:evenHBand="0" w:firstRowFirstColumn="0" w:firstRowLastColumn="0" w:lastRowFirstColumn="0" w:lastRowLastColumn="0"/>
        </w:trPr>
        <w:tc>
          <w:tcPr>
            <w:tcW w:w="10495" w:type="dxa"/>
          </w:tcPr>
          <w:p w14:paraId="65E025B2" w14:textId="3B600BB4" w:rsidR="002B32C8" w:rsidRDefault="002B32C8" w:rsidP="0069494E">
            <w:r>
              <w:rPr>
                <w:noProof/>
              </w:rPr>
              <w:drawing>
                <wp:inline distT="0" distB="0" distL="0" distR="0" wp14:anchorId="46F4641F" wp14:editId="190F8A96">
                  <wp:extent cx="5637474" cy="1836751"/>
                  <wp:effectExtent l="0" t="0" r="1905" b="0"/>
                  <wp:docPr id="1115524965" name="Chart 1115524965" descr="P1149C1T39#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DD34E8C" w14:textId="169828E7" w:rsidR="002B32C8" w:rsidRPr="00A779AB" w:rsidRDefault="002B32C8" w:rsidP="00C2024B">
            <w:pPr>
              <w:pStyle w:val="Caption"/>
              <w:rPr>
                <w:noProof/>
                <w:sz w:val="20"/>
                <w:szCs w:val="20"/>
              </w:rPr>
            </w:pPr>
            <w:bookmarkStart w:id="186" w:name="_Ref146732376"/>
            <w:bookmarkStart w:id="187" w:name="_Toc148968401"/>
            <w:r>
              <w:t xml:space="preserve">Figure </w:t>
            </w:r>
            <w:r>
              <w:fldChar w:fldCharType="begin"/>
            </w:r>
            <w:r>
              <w:instrText xml:space="preserve"> SEQ Figure \* ARABIC </w:instrText>
            </w:r>
            <w:r>
              <w:fldChar w:fldCharType="separate"/>
            </w:r>
            <w:r w:rsidR="003F5D51">
              <w:rPr>
                <w:noProof/>
              </w:rPr>
              <w:t>23</w:t>
            </w:r>
            <w:r>
              <w:fldChar w:fldCharType="end"/>
            </w:r>
            <w:bookmarkEnd w:id="186"/>
            <w:r>
              <w:t>: Proportion of patients waiting longer than the clinically recommended time for elective surgery by clinical category, 2012-22</w:t>
            </w:r>
            <w:bookmarkEnd w:id="187"/>
          </w:p>
        </w:tc>
      </w:tr>
    </w:tbl>
    <w:p w14:paraId="429B4C5B" w14:textId="7E56CF6D" w:rsidR="002B32C8" w:rsidRDefault="002B32C8" w:rsidP="0069494E">
      <w:r>
        <w:t>Another consequence of insufficient or inaccessible public hospital beds is the restriction on the number of patients who can be admitted for elective surgery. The average proportion of patients waiting longer than the clinically recommended time for elective surgery, across all categories, increased from 6.8% to 8.0% between 2016-2019</w:t>
      </w:r>
      <w:r w:rsidR="003F5D51">
        <w:rPr>
          <w:rFonts w:ascii="ZWAdobeF" w:hAnsi="ZWAdobeF" w:cs="ZWAdobeF"/>
          <w:sz w:val="2"/>
          <w:szCs w:val="2"/>
        </w:rPr>
        <w:t>63F</w:t>
      </w:r>
      <w:r>
        <w:rPr>
          <w:rStyle w:val="FootnoteReference"/>
        </w:rPr>
        <w:footnoteReference w:id="65"/>
      </w:r>
      <w:r>
        <w:t xml:space="preserve">. </w:t>
      </w:r>
    </w:p>
    <w:p w14:paraId="39804947" w14:textId="6E3A7360" w:rsidR="0069494E" w:rsidRDefault="0069494E" w:rsidP="0069494E">
      <w:r>
        <w:t>From 2019-2022, wait times for elective surgery increased significantly due to the COVID-19 restrictions on performing elective surgery and the resultant elective surgery backlog. The average proportion of patients waiting longer than the clinically recommended time for elective surgery, across all categories, was 19.5% in 2021-22 compared to 8% in 2018-19</w:t>
      </w:r>
      <w:r w:rsidRPr="00B312DA">
        <w:rPr>
          <w:vertAlign w:val="superscript"/>
        </w:rPr>
        <w:fldChar w:fldCharType="begin"/>
      </w:r>
      <w:r w:rsidRPr="00B312DA">
        <w:rPr>
          <w:vertAlign w:val="superscript"/>
        </w:rPr>
        <w:instrText xml:space="preserve"> NOTEREF _Ref144479510 \h  \* MERGEFORMAT </w:instrText>
      </w:r>
      <w:r w:rsidRPr="00B312DA">
        <w:rPr>
          <w:vertAlign w:val="superscript"/>
        </w:rPr>
      </w:r>
      <w:r w:rsidRPr="00B312DA">
        <w:rPr>
          <w:vertAlign w:val="superscript"/>
        </w:rPr>
        <w:fldChar w:fldCharType="separate"/>
      </w:r>
      <w:r w:rsidR="003F5D51">
        <w:rPr>
          <w:vertAlign w:val="superscript"/>
        </w:rPr>
        <w:t>61</w:t>
      </w:r>
      <w:r w:rsidRPr="00B312DA">
        <w:rPr>
          <w:vertAlign w:val="superscript"/>
        </w:rPr>
        <w:fldChar w:fldCharType="end"/>
      </w:r>
      <w:r>
        <w:rPr>
          <w:vertAlign w:val="superscript"/>
        </w:rPr>
        <w:t xml:space="preserve"> </w:t>
      </w:r>
      <w:r>
        <w:t>(refer to</w:t>
      </w:r>
      <w:r w:rsidR="00246A0B">
        <w:t xml:space="preserve"> </w:t>
      </w:r>
      <w:r w:rsidR="00246A0B">
        <w:fldChar w:fldCharType="begin" w:fldLock="1"/>
      </w:r>
      <w:r w:rsidR="00246A0B">
        <w:instrText xml:space="preserve"> REF _Ref146732376 \h </w:instrText>
      </w:r>
      <w:r w:rsidR="00246A0B">
        <w:fldChar w:fldCharType="separate"/>
      </w:r>
      <w:r w:rsidR="00FA10A4">
        <w:t xml:space="preserve">Figure </w:t>
      </w:r>
      <w:r w:rsidR="00FA10A4">
        <w:rPr>
          <w:noProof/>
        </w:rPr>
        <w:t>23</w:t>
      </w:r>
      <w:r w:rsidR="00246A0B">
        <w:fldChar w:fldCharType="end"/>
      </w:r>
      <w:r>
        <w:t>). Despite the backlog in elective surgery, the median waiting time for category 1 (most urgent) patients was 13 days, mirroring the levels observed prior to the pandemic</w:t>
      </w:r>
      <w:r w:rsidR="003F5D51">
        <w:rPr>
          <w:rFonts w:ascii="ZWAdobeF" w:hAnsi="ZWAdobeF" w:cs="ZWAdobeF"/>
          <w:sz w:val="2"/>
          <w:szCs w:val="2"/>
        </w:rPr>
        <w:t>64F</w:t>
      </w:r>
      <w:r w:rsidR="004B0ED4">
        <w:rPr>
          <w:rStyle w:val="FootnoteReference"/>
        </w:rPr>
        <w:footnoteReference w:id="66"/>
      </w:r>
      <w:r>
        <w:t xml:space="preserve">. A blockage in patient flows through </w:t>
      </w:r>
      <w:r w:rsidRPr="00A7795D">
        <w:t xml:space="preserve">the public hospital system </w:t>
      </w:r>
      <w:r>
        <w:t>can</w:t>
      </w:r>
      <w:r w:rsidRPr="00A7795D">
        <w:t xml:space="preserve"> result in delayed care and may lead to poorer patient outcomes, longer lengths of stay, and higher hospitalisation costs. The Australian College of Emergency Medicine notes that, in 2018-19, more than 522,500 ED patients experienced access block, which they estimated cost the health system $583 million (range of $222-$833</w:t>
      </w:r>
      <w:r>
        <w:t xml:space="preserve"> </w:t>
      </w:r>
      <w:r w:rsidRPr="00A7795D">
        <w:t>million)</w:t>
      </w:r>
      <w:r w:rsidR="003F5D51">
        <w:rPr>
          <w:rFonts w:ascii="ZWAdobeF" w:hAnsi="ZWAdobeF" w:cs="ZWAdobeF"/>
          <w:sz w:val="2"/>
          <w:szCs w:val="2"/>
        </w:rPr>
        <w:t>65F</w:t>
      </w:r>
      <w:r w:rsidRPr="00A7795D">
        <w:rPr>
          <w:rStyle w:val="FootnoteReference"/>
          <w:rFonts w:cstheme="minorHAnsi"/>
        </w:rPr>
        <w:footnoteReference w:id="67"/>
      </w:r>
      <w:r w:rsidRPr="00A7795D">
        <w:t>.</w:t>
      </w:r>
      <w:r>
        <w:t xml:space="preserve"> </w:t>
      </w:r>
    </w:p>
    <w:p w14:paraId="0987F3F3" w14:textId="011FA950" w:rsidR="0069494E" w:rsidRPr="00480F8C" w:rsidRDefault="0069494E" w:rsidP="0069494E">
      <w:pPr>
        <w:rPr>
          <w:i/>
          <w:iCs/>
          <w:u w:val="single"/>
        </w:rPr>
      </w:pPr>
      <w:r w:rsidRPr="00480F8C">
        <w:rPr>
          <w:i/>
          <w:iCs/>
          <w:u w:val="single"/>
        </w:rPr>
        <w:t>Public hospital interface issues that contribute to capacity constraints</w:t>
      </w:r>
    </w:p>
    <w:tbl>
      <w:tblPr>
        <w:tblStyle w:val="TableGrid"/>
        <w:tblW w:w="0" w:type="auto"/>
        <w:tblLook w:val="04A0" w:firstRow="1" w:lastRow="0" w:firstColumn="1" w:lastColumn="0" w:noHBand="0" w:noVBand="1"/>
      </w:tblPr>
      <w:tblGrid>
        <w:gridCol w:w="7655"/>
        <w:gridCol w:w="2801"/>
      </w:tblGrid>
      <w:tr w:rsidR="004071C1" w14:paraId="46C92FD0" w14:textId="77777777" w:rsidTr="00A71C1C">
        <w:trPr>
          <w:cnfStyle w:val="100000000000" w:firstRow="1" w:lastRow="0" w:firstColumn="0" w:lastColumn="0" w:oddVBand="0" w:evenVBand="0" w:oddHBand="0" w:evenHBand="0" w:firstRowFirstColumn="0" w:firstRowLastColumn="0" w:lastRowFirstColumn="0" w:lastRowLastColumn="0"/>
        </w:trPr>
        <w:tc>
          <w:tcPr>
            <w:tcW w:w="76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B5B3BB" w14:textId="5B887704" w:rsidR="004071C1" w:rsidRDefault="004071C1" w:rsidP="0069494E">
            <w:r>
              <w:t>Issues at the interface of public hospitals</w:t>
            </w:r>
            <w:r w:rsidR="00457714">
              <w:t xml:space="preserve"> and the </w:t>
            </w:r>
            <w:r>
              <w:t>primary care, aged care and disability sectors also contribute to available hospital bed capacity. When these sectors are unable to provide suitable accommodation or care when a patient is ready to be discharged and remains in hospital, it reduces overall hospital bed capacity, compromises patient flow, and delays patient treatment. As of 31 May 2023, the average duration between NDIS participants being medically ready for discharge and actual discharge is 26 days</w:t>
            </w:r>
            <w:r w:rsidR="003F5D51">
              <w:rPr>
                <w:rFonts w:ascii="ZWAdobeF" w:hAnsi="ZWAdobeF" w:cs="ZWAdobeF"/>
                <w:sz w:val="2"/>
                <w:szCs w:val="2"/>
              </w:rPr>
              <w:t>66F</w:t>
            </w:r>
            <w:r>
              <w:rPr>
                <w:rStyle w:val="FootnoteReference"/>
                <w:rFonts w:cstheme="minorHAnsi"/>
              </w:rPr>
              <w:footnoteReference w:id="68"/>
            </w:r>
            <w:r>
              <w:t xml:space="preserve">. In 2020-21, </w:t>
            </w:r>
            <w:r w:rsidRPr="0044217C">
              <w:t xml:space="preserve">there were a total of over 286,000 hospital patient days across Australia for </w:t>
            </w:r>
            <w:r>
              <w:t>eligible individuals</w:t>
            </w:r>
            <w:r w:rsidRPr="0044217C">
              <w:t xml:space="preserve"> waiting for residential age</w:t>
            </w:r>
            <w:r w:rsidRPr="000A5295">
              <w:t xml:space="preserve"> </w:t>
            </w:r>
            <w:r>
              <w:t>care</w:t>
            </w:r>
            <w:r w:rsidR="003F5D51">
              <w:rPr>
                <w:rFonts w:ascii="ZWAdobeF" w:hAnsi="ZWAdobeF" w:cs="ZWAdobeF"/>
                <w:sz w:val="2"/>
                <w:szCs w:val="2"/>
              </w:rPr>
              <w:t>67F</w:t>
            </w:r>
            <w:r w:rsidR="005C66D8">
              <w:rPr>
                <w:rStyle w:val="FootnoteReference"/>
              </w:rPr>
              <w:footnoteReference w:id="69"/>
            </w:r>
            <w:r>
              <w:t>. This translates</w:t>
            </w:r>
            <w:r w:rsidRPr="0044217C">
              <w:t xml:space="preserve"> to 9.2 hospital patient days per 1000 patient days</w:t>
            </w:r>
            <w:r>
              <w:t xml:space="preserve"> and represents a decade-long decline from 11.2 days in 2011-12</w:t>
            </w:r>
            <w:r w:rsidRPr="0044217C">
              <w:t>.</w:t>
            </w:r>
            <w:r w:rsidRPr="000A5295">
              <w:t xml:space="preserve"> </w:t>
            </w:r>
            <w:r>
              <w:t>The Review acknowledges that</w:t>
            </w:r>
            <w:r w:rsidR="00AE1644">
              <w:t>,</w:t>
            </w:r>
            <w:r>
              <w:t xml:space="preserve"> while the most recent publicly available national data indicates 9.2 hospital patient days, more recent </w:t>
            </w:r>
            <w:r w:rsidR="0001275B">
              <w:t>S</w:t>
            </w:r>
            <w:r>
              <w:t>tate</w:t>
            </w:r>
            <w:r w:rsidR="0001275B">
              <w:t xml:space="preserve"> and Territory</w:t>
            </w:r>
            <w:r>
              <w:t xml:space="preserve">-provided reporting suggests a notable </w:t>
            </w:r>
            <w:r w:rsidR="0063425B">
              <w:t xml:space="preserve">deterioration </w:t>
            </w:r>
            <w:r>
              <w:t xml:space="preserve">since that time. </w:t>
            </w:r>
            <w:r w:rsidRPr="0044217C">
              <w:t xml:space="preserve">When assessing this figure based on remoteness there was a significant variation </w:t>
            </w:r>
            <w:r>
              <w:t>when comparing</w:t>
            </w:r>
            <w:r w:rsidRPr="0044217C">
              <w:t xml:space="preserve"> major cities (7 hospital patient days per 1000 patient days) </w:t>
            </w:r>
            <w:r w:rsidR="00C62129">
              <w:t>to</w:t>
            </w:r>
            <w:r w:rsidRPr="0044217C">
              <w:t xml:space="preserve"> those in regional and remote settings (for example, 47.6 hospital patient days per 1000 patient days for the remote setting).</w:t>
            </w:r>
            <w:bookmarkStart w:id="189" w:name="_Ref146697133"/>
            <w:r w:rsidR="003F5D51">
              <w:rPr>
                <w:rFonts w:ascii="ZWAdobeF" w:hAnsi="ZWAdobeF" w:cs="ZWAdobeF"/>
                <w:sz w:val="2"/>
                <w:szCs w:val="2"/>
              </w:rPr>
              <w:t>68F</w:t>
            </w:r>
            <w:r>
              <w:rPr>
                <w:rStyle w:val="FootnoteReference"/>
              </w:rPr>
              <w:footnoteReference w:id="70"/>
            </w:r>
            <w:bookmarkEnd w:id="189"/>
          </w:p>
        </w:tc>
        <w:tc>
          <w:tcPr>
            <w:tcW w:w="28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BCD1CB" w14:textId="081EBEE7" w:rsidR="004071C1" w:rsidRPr="004071C1" w:rsidRDefault="004071C1" w:rsidP="004071C1">
            <w:pPr>
              <w:pStyle w:val="Pullout-QuoteGreen"/>
              <w:spacing w:after="120" w:line="216" w:lineRule="auto"/>
              <w:ind w:left="152"/>
              <w:rPr>
                <w:i w:val="0"/>
                <w:iCs/>
                <w:color w:val="007680"/>
                <w:sz w:val="20"/>
              </w:rPr>
            </w:pPr>
            <w:r>
              <w:rPr>
                <w:color w:val="007680"/>
              </w:rPr>
              <w:t>A</w:t>
            </w:r>
            <w:r w:rsidRPr="00D72CC5">
              <w:rPr>
                <w:color w:val="007680"/>
              </w:rPr>
              <w:t>verage duration between NDIS participants being medically ready for discharge and actual discharge is 26 days</w:t>
            </w:r>
            <w:r>
              <w:rPr>
                <w:color w:val="007680"/>
              </w:rPr>
              <w:t>.</w:t>
            </w:r>
          </w:p>
        </w:tc>
      </w:tr>
    </w:tbl>
    <w:p w14:paraId="6E85257F" w14:textId="77777777" w:rsidR="0069494E" w:rsidRPr="00EA02A2" w:rsidRDefault="0069494E" w:rsidP="0069494E">
      <w:pPr>
        <w:rPr>
          <w:rFonts w:cstheme="minorHAnsi"/>
          <w:b/>
          <w:bCs/>
        </w:rPr>
      </w:pPr>
      <w:r w:rsidRPr="00EA02A2">
        <w:rPr>
          <w:rFonts w:cstheme="minorHAnsi"/>
          <w:b/>
          <w:bCs/>
        </w:rPr>
        <w:t>Quality and safety in hospitals</w:t>
      </w:r>
    </w:p>
    <w:tbl>
      <w:tblPr>
        <w:tblStyle w:val="TableGrid"/>
        <w:tblW w:w="0" w:type="auto"/>
        <w:tblLook w:val="04A0" w:firstRow="1" w:lastRow="0" w:firstColumn="1" w:lastColumn="0" w:noHBand="0" w:noVBand="1"/>
      </w:tblPr>
      <w:tblGrid>
        <w:gridCol w:w="5096"/>
        <w:gridCol w:w="5370"/>
      </w:tblGrid>
      <w:tr w:rsidR="005D0DA9" w14:paraId="1F2052D9" w14:textId="77777777" w:rsidTr="005D0DA9">
        <w:trPr>
          <w:cnfStyle w:val="100000000000" w:firstRow="1" w:lastRow="0" w:firstColumn="0" w:lastColumn="0" w:oddVBand="0" w:evenVBand="0" w:oddHBand="0" w:evenHBand="0" w:firstRowFirstColumn="0" w:firstRowLastColumn="0" w:lastRowFirstColumn="0" w:lastRowLastColumn="0"/>
        </w:trPr>
        <w:tc>
          <w:tcPr>
            <w:tcW w:w="523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55415B" w14:textId="577D08DA" w:rsidR="005D0DA9" w:rsidRDefault="005D0DA9" w:rsidP="0069494E">
            <w:pPr>
              <w:rPr>
                <w:rFonts w:cstheme="minorHAnsi"/>
              </w:rPr>
            </w:pPr>
            <w:r w:rsidRPr="0011738D">
              <w:rPr>
                <w:rFonts w:cstheme="minorHAnsi"/>
              </w:rPr>
              <w:t>Australia’s health system is relatively safe and high performing compared to other countries</w:t>
            </w:r>
            <w:r>
              <w:rPr>
                <w:rFonts w:cstheme="minorHAnsi"/>
              </w:rPr>
              <w:t>.</w:t>
            </w:r>
            <w:r w:rsidRPr="0011738D">
              <w:rPr>
                <w:rFonts w:cstheme="minorHAnsi"/>
              </w:rPr>
              <w:t xml:space="preserve"> </w:t>
            </w:r>
            <w:r>
              <w:rPr>
                <w:rFonts w:cstheme="minorHAnsi"/>
              </w:rPr>
              <w:t>The OECD compiled data spanning several health care quality and outcome indicator areas, revealing that Australia consistently outperforms numerous OECD nations across many indicators. However, there remains specific areas for improvement</w:t>
            </w:r>
            <w:r w:rsidR="003F5D51">
              <w:rPr>
                <w:rFonts w:ascii="ZWAdobeF" w:hAnsi="ZWAdobeF" w:cs="ZWAdobeF"/>
                <w:sz w:val="2"/>
                <w:szCs w:val="2"/>
              </w:rPr>
              <w:t>69F</w:t>
            </w:r>
            <w:r>
              <w:rPr>
                <w:rStyle w:val="FootnoteReference"/>
                <w:rFonts w:cstheme="minorHAnsi"/>
              </w:rPr>
              <w:footnoteReference w:id="71"/>
            </w:r>
            <w:r w:rsidRPr="0011738D">
              <w:rPr>
                <w:rFonts w:cstheme="minorHAnsi"/>
              </w:rPr>
              <w:t xml:space="preserve">. </w:t>
            </w:r>
            <w:r>
              <w:rPr>
                <w:rFonts w:cstheme="minorHAnsi"/>
              </w:rPr>
              <w:t xml:space="preserve"> The </w:t>
            </w:r>
            <w:r w:rsidRPr="0011738D">
              <w:rPr>
                <w:rFonts w:cstheme="minorHAnsi"/>
              </w:rPr>
              <w:t xml:space="preserve">ACSQHC collects information on national measures of safety and quality and monitors appropriateness of care through the </w:t>
            </w:r>
            <w:r w:rsidRPr="00D16C69">
              <w:rPr>
                <w:rFonts w:cstheme="minorHAnsi"/>
                <w:i/>
                <w:iCs/>
              </w:rPr>
              <w:t>Australian Atlas of Healthcare Variation</w:t>
            </w:r>
            <w:r w:rsidRPr="0011738D">
              <w:rPr>
                <w:rFonts w:cstheme="minorHAnsi"/>
              </w:rPr>
              <w:t xml:space="preserve">. </w:t>
            </w:r>
            <w:r>
              <w:t xml:space="preserve">Admitted patient safety and quality data from </w:t>
            </w:r>
            <w:r w:rsidR="00021C40">
              <w:t xml:space="preserve">the </w:t>
            </w:r>
            <w:r>
              <w:t>AIHW shows that</w:t>
            </w:r>
            <w:r w:rsidR="00730B98">
              <w:t>,</w:t>
            </w:r>
            <w:r>
              <w:t xml:space="preserve"> from </w:t>
            </w:r>
            <w:r w:rsidR="005044A4">
              <w:br/>
              <w:t>2017-18</w:t>
            </w:r>
            <w:r w:rsidRPr="00EC3F33">
              <w:t xml:space="preserve"> to 2021-22</w:t>
            </w:r>
            <w:r w:rsidR="00730B98">
              <w:t>,</w:t>
            </w:r>
            <w:r w:rsidRPr="00EC3F33">
              <w:t xml:space="preserve"> the</w:t>
            </w:r>
            <w:r>
              <w:t xml:space="preserve"> rate of hospital acquired complication (HACs) decreased from 2.6 per 100 to 2.1 per 100 hospitalisations (See </w:t>
            </w:r>
            <w:r>
              <w:fldChar w:fldCharType="begin" w:fldLock="1"/>
            </w:r>
            <w:r>
              <w:instrText xml:space="preserve"> REF _Ref146708113 \h </w:instrText>
            </w:r>
            <w:r>
              <w:fldChar w:fldCharType="separate"/>
            </w:r>
            <w:r w:rsidR="00FA10A4">
              <w:t xml:space="preserve">Figure </w:t>
            </w:r>
            <w:r w:rsidR="00FA10A4">
              <w:rPr>
                <w:noProof/>
              </w:rPr>
              <w:t>24</w:t>
            </w:r>
            <w:r>
              <w:fldChar w:fldCharType="end"/>
            </w:r>
            <w:r>
              <w:t>). In the same period, rates of potentially preventable hospitalisations (PPHs) decreased from 27.9 per 1000 population to 23.1 per 1000 population, an annual average decrease of 4.7%</w:t>
            </w:r>
            <w:r w:rsidR="003F5D51">
              <w:rPr>
                <w:rFonts w:ascii="ZWAdobeF" w:hAnsi="ZWAdobeF" w:cs="ZWAdobeF"/>
                <w:sz w:val="2"/>
                <w:szCs w:val="2"/>
              </w:rPr>
              <w:t>70F</w:t>
            </w:r>
            <w:r>
              <w:rPr>
                <w:rStyle w:val="FootnoteReference"/>
              </w:rPr>
              <w:footnoteReference w:id="72"/>
            </w:r>
            <w:r>
              <w:t>.</w:t>
            </w:r>
            <w:r w:rsidRPr="002F5AE0">
              <w:t xml:space="preserve"> </w:t>
            </w:r>
            <w:r>
              <w:t xml:space="preserve">The </w:t>
            </w:r>
            <w:r w:rsidRPr="00650E28">
              <w:rPr>
                <w:i/>
                <w:iCs/>
              </w:rPr>
              <w:t>2017 NHRA Addendum</w:t>
            </w:r>
            <w:r>
              <w:t xml:space="preserve"> saw the </w:t>
            </w:r>
            <w:r w:rsidRPr="00705676">
              <w:t>introduction of safety and quality initiatives</w:t>
            </w:r>
            <w:r>
              <w:t xml:space="preserve"> and a focus on reducing unnecessary hospitalisations</w:t>
            </w:r>
            <w:r w:rsidR="00021C40">
              <w:t>,</w:t>
            </w:r>
            <w:r>
              <w:t xml:space="preserve"> which may have influenced improved performance in these metrics in recent years. </w:t>
            </w:r>
          </w:p>
        </w:tc>
        <w:tc>
          <w:tcPr>
            <w:tcW w:w="523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7A9A96" w14:textId="60892D74" w:rsidR="005D0DA9" w:rsidRDefault="005D0DA9" w:rsidP="0069494E">
            <w:pPr>
              <w:rPr>
                <w:rFonts w:cstheme="minorHAnsi"/>
              </w:rPr>
            </w:pPr>
            <w:r>
              <w:rPr>
                <w:noProof/>
              </w:rPr>
              <w:drawing>
                <wp:inline distT="0" distB="0" distL="0" distR="0" wp14:anchorId="09A1A77E" wp14:editId="480BA34F">
                  <wp:extent cx="3408680" cy="2428875"/>
                  <wp:effectExtent l="0" t="0" r="1270" b="0"/>
                  <wp:docPr id="1115524968" name="Chart 1115524968" descr="P1160C2T41#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EB9207D" w14:textId="5F213B7F" w:rsidR="005D0DA9" w:rsidRPr="005D0DA9" w:rsidRDefault="005D0DA9" w:rsidP="00C2024B">
            <w:pPr>
              <w:pStyle w:val="Caption"/>
              <w:rPr>
                <w:noProof/>
                <w:sz w:val="20"/>
                <w:szCs w:val="20"/>
              </w:rPr>
            </w:pPr>
            <w:bookmarkStart w:id="190" w:name="_Ref146708113"/>
            <w:bookmarkStart w:id="191" w:name="_Toc148968402"/>
            <w:r>
              <w:t xml:space="preserve">Figure </w:t>
            </w:r>
            <w:r>
              <w:fldChar w:fldCharType="begin"/>
            </w:r>
            <w:r>
              <w:instrText xml:space="preserve"> SEQ Figure \* ARABIC </w:instrText>
            </w:r>
            <w:r>
              <w:fldChar w:fldCharType="separate"/>
            </w:r>
            <w:r w:rsidR="003F5D51">
              <w:rPr>
                <w:noProof/>
              </w:rPr>
              <w:t>24</w:t>
            </w:r>
            <w:r>
              <w:fldChar w:fldCharType="end"/>
            </w:r>
            <w:bookmarkEnd w:id="190"/>
            <w:r>
              <w:t>: Rate of separations with a HAC, per 100 separations, 2012-2022</w:t>
            </w:r>
            <w:bookmarkEnd w:id="191"/>
          </w:p>
        </w:tc>
      </w:tr>
    </w:tbl>
    <w:p w14:paraId="6388BEA1" w14:textId="705D5248" w:rsidR="0069494E" w:rsidRDefault="0069494E" w:rsidP="0069494E">
      <w:r w:rsidRPr="002F5AE0">
        <w:t>In 2021-22, 73-80% of patients who used hospital services as an admitted patient reported that staff always spent enough time with them, always listened carefully, and always showed respect</w:t>
      </w:r>
      <w:bookmarkStart w:id="192" w:name="_Ref144479675"/>
      <w:r w:rsidR="003F5D51">
        <w:rPr>
          <w:rFonts w:ascii="ZWAdobeF" w:hAnsi="ZWAdobeF" w:cs="ZWAdobeF"/>
          <w:sz w:val="2"/>
          <w:szCs w:val="2"/>
        </w:rPr>
        <w:t>71F</w:t>
      </w:r>
      <w:r>
        <w:rPr>
          <w:rStyle w:val="FootnoteReference"/>
        </w:rPr>
        <w:footnoteReference w:id="73"/>
      </w:r>
      <w:bookmarkEnd w:id="192"/>
      <w:r>
        <w:t>. This level of patient experience has remained consistent since 2016-17. People living in outer regional, remote, and very remote areas reported more positive experiences with ED doctors and nurses compared to those living in major cities</w:t>
      </w:r>
      <w:r w:rsidRPr="006A426F">
        <w:rPr>
          <w:vertAlign w:val="superscript"/>
        </w:rPr>
        <w:fldChar w:fldCharType="begin"/>
      </w:r>
      <w:r w:rsidRPr="006A426F">
        <w:rPr>
          <w:vertAlign w:val="superscript"/>
        </w:rPr>
        <w:instrText xml:space="preserve"> NOTEREF _Ref144479675 \h  \* MERGEFORMAT </w:instrText>
      </w:r>
      <w:r w:rsidRPr="006A426F">
        <w:rPr>
          <w:vertAlign w:val="superscript"/>
        </w:rPr>
      </w:r>
      <w:r w:rsidRPr="006A426F">
        <w:rPr>
          <w:vertAlign w:val="superscript"/>
        </w:rPr>
        <w:fldChar w:fldCharType="separate"/>
      </w:r>
      <w:r w:rsidR="003F5D51">
        <w:rPr>
          <w:vertAlign w:val="superscript"/>
        </w:rPr>
        <w:t>72</w:t>
      </w:r>
      <w:r w:rsidRPr="006A426F">
        <w:rPr>
          <w:vertAlign w:val="superscript"/>
        </w:rPr>
        <w:fldChar w:fldCharType="end"/>
      </w:r>
      <w:r>
        <w:t>.</w:t>
      </w:r>
    </w:p>
    <w:p w14:paraId="10062352" w14:textId="711A2B6E" w:rsidR="0069494E" w:rsidRPr="008E62BC" w:rsidRDefault="0069494E" w:rsidP="00650E28">
      <w:pPr>
        <w:keepNext/>
        <w:keepLines/>
        <w:rPr>
          <w:rFonts w:cstheme="minorHAnsi"/>
          <w:b/>
          <w:bCs/>
        </w:rPr>
      </w:pPr>
      <w:r>
        <w:rPr>
          <w:rFonts w:cstheme="minorHAnsi"/>
          <w:b/>
          <w:bCs/>
        </w:rPr>
        <w:t xml:space="preserve">Health workforce </w:t>
      </w:r>
    </w:p>
    <w:p w14:paraId="5685CBCB" w14:textId="2BA35614" w:rsidR="0069494E" w:rsidRDefault="0069494E" w:rsidP="0069494E">
      <w:pPr>
        <w:rPr>
          <w:rFonts w:cstheme="minorHAnsi"/>
        </w:rPr>
      </w:pPr>
      <w:r>
        <w:rPr>
          <w:rFonts w:cstheme="minorHAnsi"/>
        </w:rPr>
        <w:t xml:space="preserve">The health workforce in Australia is large and diverse. As of August 2023, the </w:t>
      </w:r>
      <w:r w:rsidRPr="00364ECB">
        <w:rPr>
          <w:rFonts w:cstheme="minorHAnsi"/>
        </w:rPr>
        <w:t xml:space="preserve">Australian Health Practitioner Regulation Agency </w:t>
      </w:r>
      <w:r>
        <w:rPr>
          <w:rFonts w:cstheme="minorHAnsi"/>
        </w:rPr>
        <w:t>(AHPRA) recorded a total of 877,119 registered health practitioners, an 18% increase on the 744,437 practitioners registered in June 2019, before the pandemic</w:t>
      </w:r>
      <w:r w:rsidR="003F5D51">
        <w:rPr>
          <w:rFonts w:ascii="ZWAdobeF" w:hAnsi="ZWAdobeF" w:cs="ZWAdobeF"/>
          <w:sz w:val="2"/>
          <w:szCs w:val="2"/>
        </w:rPr>
        <w:t>72F</w:t>
      </w:r>
      <w:r>
        <w:rPr>
          <w:rStyle w:val="FootnoteReference"/>
          <w:rFonts w:cstheme="minorHAnsi"/>
        </w:rPr>
        <w:footnoteReference w:id="74"/>
      </w:r>
      <w:r>
        <w:rPr>
          <w:rFonts w:cstheme="minorHAnsi"/>
        </w:rPr>
        <w:t>. The hospital workforce in Australia includes medical officers, nurses, diagnostic and allied health professionals, administrative and clerical staff, and domestic and other personal care staff. In 2021-22, there were 697 public hospitals in Australia that employed an average full-time equivalent of 174,574 nurses, 52,209 salaried medical officers, and 68,081 diagnostic and allied health professionals</w:t>
      </w:r>
      <w:r w:rsidR="003F5D51">
        <w:rPr>
          <w:rFonts w:ascii="ZWAdobeF" w:hAnsi="ZWAdobeF" w:cs="ZWAdobeF"/>
          <w:sz w:val="2"/>
          <w:szCs w:val="2"/>
        </w:rPr>
        <w:t>73F</w:t>
      </w:r>
      <w:r w:rsidR="004B5C2C">
        <w:rPr>
          <w:rStyle w:val="FootnoteReference"/>
          <w:rFonts w:cstheme="minorHAnsi"/>
        </w:rPr>
        <w:footnoteReference w:id="75"/>
      </w:r>
      <w:r>
        <w:rPr>
          <w:rFonts w:cstheme="minorHAnsi"/>
        </w:rPr>
        <w:t xml:space="preserve">. </w:t>
      </w:r>
    </w:p>
    <w:p w14:paraId="65E7FDC4" w14:textId="0EFE11E6" w:rsidR="0069494E" w:rsidRPr="004C7FA7" w:rsidRDefault="0069494E" w:rsidP="0051100B">
      <w:pPr>
        <w:keepNext/>
        <w:rPr>
          <w:rFonts w:cstheme="minorHAnsi"/>
          <w:i/>
          <w:iCs/>
          <w:u w:val="single"/>
        </w:rPr>
      </w:pPr>
      <w:r w:rsidRPr="004C7FA7">
        <w:rPr>
          <w:rFonts w:cstheme="minorHAnsi"/>
          <w:i/>
          <w:iCs/>
          <w:u w:val="single"/>
        </w:rPr>
        <w:t>Maldistribution of the health workforce by skills and geography</w:t>
      </w:r>
    </w:p>
    <w:tbl>
      <w:tblPr>
        <w:tblStyle w:val="TableGrid"/>
        <w:tblW w:w="0" w:type="auto"/>
        <w:tblLook w:val="04A0" w:firstRow="1" w:lastRow="0" w:firstColumn="1" w:lastColumn="0" w:noHBand="0" w:noVBand="1"/>
      </w:tblPr>
      <w:tblGrid>
        <w:gridCol w:w="6521"/>
        <w:gridCol w:w="3935"/>
      </w:tblGrid>
      <w:tr w:rsidR="00E86922" w14:paraId="4ECBB711" w14:textId="77777777" w:rsidTr="00862A71">
        <w:trPr>
          <w:cnfStyle w:val="100000000000" w:firstRow="1" w:lastRow="0" w:firstColumn="0" w:lastColumn="0" w:oddVBand="0" w:evenVBand="0" w:oddHBand="0" w:evenHBand="0" w:firstRowFirstColumn="0" w:firstRowLastColumn="0" w:lastRowFirstColumn="0" w:lastRowLastColumn="0"/>
        </w:trPr>
        <w:tc>
          <w:tcPr>
            <w:tcW w:w="652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F82D33" w14:textId="37844B17" w:rsidR="00E86922" w:rsidRDefault="00E86922" w:rsidP="001A40EF">
            <w:pPr>
              <w:keepNext/>
              <w:rPr>
                <w:rFonts w:cstheme="minorHAnsi"/>
              </w:rPr>
            </w:pPr>
            <w:r>
              <w:rPr>
                <w:rFonts w:cstheme="minorHAnsi"/>
              </w:rPr>
              <w:t>There</w:t>
            </w:r>
            <w:r w:rsidRPr="00AC6707">
              <w:rPr>
                <w:rFonts w:cstheme="minorHAnsi"/>
              </w:rPr>
              <w:t xml:space="preserve"> is a maldistribution of skills and location of the health workforce across Australia, particular</w:t>
            </w:r>
            <w:r>
              <w:rPr>
                <w:rFonts w:cstheme="minorHAnsi"/>
              </w:rPr>
              <w:t>ly</w:t>
            </w:r>
            <w:r w:rsidRPr="00AC6707">
              <w:rPr>
                <w:rFonts w:cstheme="minorHAnsi"/>
              </w:rPr>
              <w:t xml:space="preserve"> in rural and remote areas.</w:t>
            </w:r>
            <w:r>
              <w:rPr>
                <w:rFonts w:cstheme="minorHAnsi"/>
              </w:rPr>
              <w:t xml:space="preserve"> Australia’s overall doctor to population ratios is among the highest in the OECD and many areas of medical practice are in plentiful supply or even over-supply</w:t>
            </w:r>
            <w:bookmarkStart w:id="193" w:name="_Ref144480099"/>
            <w:r w:rsidR="003F5D51">
              <w:rPr>
                <w:rFonts w:ascii="ZWAdobeF" w:hAnsi="ZWAdobeF" w:cs="ZWAdobeF"/>
                <w:sz w:val="2"/>
                <w:szCs w:val="2"/>
              </w:rPr>
              <w:t>74F</w:t>
            </w:r>
            <w:r>
              <w:rPr>
                <w:rStyle w:val="FootnoteReference"/>
                <w:rFonts w:cstheme="minorHAnsi"/>
              </w:rPr>
              <w:footnoteReference w:id="76"/>
            </w:r>
            <w:bookmarkEnd w:id="193"/>
            <w:r>
              <w:rPr>
                <w:rFonts w:cstheme="minorHAnsi"/>
              </w:rPr>
              <w:t>. However, the persistent imbalance in medical workforce distribution, both in terms of geographic location and specialisation, remains a root cause of widespread workforce shortages. Notably, the medical disciplines facing current or projected national undersupply include ophthalmology, dermatology, and psychiatry</w:t>
            </w:r>
            <w:r w:rsidR="003F5D51">
              <w:rPr>
                <w:rFonts w:ascii="ZWAdobeF" w:hAnsi="ZWAdobeF" w:cs="ZWAdobeF"/>
                <w:sz w:val="2"/>
                <w:szCs w:val="2"/>
              </w:rPr>
              <w:t>75F</w:t>
            </w:r>
            <w:r>
              <w:rPr>
                <w:rStyle w:val="FootnoteReference"/>
                <w:rFonts w:cstheme="minorHAnsi"/>
              </w:rPr>
              <w:footnoteReference w:id="77"/>
            </w:r>
            <w:r>
              <w:rPr>
                <w:rFonts w:cstheme="minorHAnsi"/>
              </w:rPr>
              <w:t>. Emergency medicine is in national oversupply but there are job vacancies in rural areas</w:t>
            </w:r>
            <w:r w:rsidR="003F5D51">
              <w:rPr>
                <w:rFonts w:ascii="ZWAdobeF" w:hAnsi="ZWAdobeF" w:cs="ZWAdobeF"/>
                <w:sz w:val="2"/>
                <w:szCs w:val="2"/>
              </w:rPr>
              <w:t>76F</w:t>
            </w:r>
            <w:r w:rsidR="00910BD0">
              <w:rPr>
                <w:rStyle w:val="FootnoteReference"/>
                <w:rFonts w:cstheme="minorHAnsi"/>
              </w:rPr>
              <w:footnoteReference w:id="78"/>
            </w:r>
            <w:r>
              <w:rPr>
                <w:rFonts w:cstheme="minorHAnsi"/>
              </w:rPr>
              <w:t>.</w:t>
            </w:r>
            <w:r w:rsidRPr="002F11EA">
              <w:rPr>
                <w:rFonts w:cstheme="minorHAnsi"/>
              </w:rPr>
              <w:t xml:space="preserve"> </w:t>
            </w:r>
            <w:r>
              <w:rPr>
                <w:rFonts w:cstheme="minorHAnsi"/>
              </w:rPr>
              <w:t>The uneven distribution of medical expertise contributes to accessibility issues and longer waiting times for some medical specialist services and in rural and remote areas. Additionally, there is a higher proportion of junior doctors opting for non-GP specialty training, resulting in a faster growth rate of non-GP specialists compared to GP specialists</w:t>
            </w:r>
            <w:r w:rsidR="003F5D51">
              <w:rPr>
                <w:rFonts w:ascii="ZWAdobeF" w:hAnsi="ZWAdobeF" w:cs="ZWAdobeF"/>
                <w:sz w:val="2"/>
                <w:szCs w:val="2"/>
              </w:rPr>
              <w:t>77F</w:t>
            </w:r>
            <w:r>
              <w:rPr>
                <w:rStyle w:val="FootnoteReference"/>
                <w:rFonts w:cstheme="minorHAnsi"/>
              </w:rPr>
              <w:footnoteReference w:id="79"/>
            </w:r>
            <w:r>
              <w:rPr>
                <w:rFonts w:cstheme="minorHAnsi"/>
              </w:rPr>
              <w:t>.</w:t>
            </w:r>
          </w:p>
        </w:tc>
        <w:tc>
          <w:tcPr>
            <w:tcW w:w="39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EAB919" w14:textId="4AC91AD4" w:rsidR="00E86922" w:rsidRPr="00E86922" w:rsidRDefault="00E86922" w:rsidP="001A40EF">
            <w:pPr>
              <w:pStyle w:val="Pullout-QuoteGreen"/>
              <w:keepNext/>
              <w:spacing w:after="120" w:line="216" w:lineRule="auto"/>
              <w:ind w:left="152"/>
              <w:rPr>
                <w:i w:val="0"/>
                <w:iCs/>
                <w:color w:val="007680"/>
                <w:sz w:val="20"/>
              </w:rPr>
            </w:pPr>
            <w:r>
              <w:rPr>
                <w:color w:val="007680"/>
              </w:rPr>
              <w:t>Australia’s overall doctor to population ratios is among the highest in the OECD and many areas of medical practice are in plentiful supply or even over supply. The persistent imbalance in medical workforce distribution is the root cause of widespread workforce shortages.</w:t>
            </w:r>
          </w:p>
        </w:tc>
      </w:tr>
    </w:tbl>
    <w:p w14:paraId="4B454099" w14:textId="12D92B17" w:rsidR="0069494E" w:rsidRDefault="0069494E" w:rsidP="0069494E">
      <w:pPr>
        <w:rPr>
          <w:rFonts w:cstheme="minorHAnsi"/>
        </w:rPr>
      </w:pPr>
      <w:r>
        <w:rPr>
          <w:rFonts w:cstheme="minorHAnsi"/>
        </w:rPr>
        <w:t>Across the nation, there is evidence of significant shortages of nurses, midwives, and allied health professionals. The shortage of nurses and midwives is pressing, with projections indicating a need for over 40,000 additional registered nurses by 2026</w:t>
      </w:r>
      <w:r w:rsidR="003F5D51">
        <w:rPr>
          <w:rFonts w:ascii="ZWAdobeF" w:hAnsi="ZWAdobeF" w:cs="ZWAdobeF"/>
          <w:sz w:val="2"/>
          <w:szCs w:val="2"/>
        </w:rPr>
        <w:t>78F</w:t>
      </w:r>
      <w:r>
        <w:rPr>
          <w:rStyle w:val="FootnoteReference"/>
          <w:rFonts w:cstheme="minorHAnsi"/>
        </w:rPr>
        <w:footnoteReference w:id="80"/>
      </w:r>
      <w:r>
        <w:rPr>
          <w:rFonts w:cstheme="minorHAnsi"/>
        </w:rPr>
        <w:t>. There are also shortages of allied health professionals across primary care, disability, aged care, and hospital care, in particular physiotherapists, radiographers, speech therapists, and social workers</w:t>
      </w:r>
      <w:r w:rsidR="003F5D51">
        <w:rPr>
          <w:rFonts w:ascii="ZWAdobeF" w:hAnsi="ZWAdobeF" w:cs="ZWAdobeF"/>
          <w:sz w:val="2"/>
          <w:szCs w:val="2"/>
        </w:rPr>
        <w:t>79F</w:t>
      </w:r>
      <w:r>
        <w:rPr>
          <w:rStyle w:val="FootnoteReference"/>
          <w:rFonts w:cstheme="minorHAnsi"/>
        </w:rPr>
        <w:footnoteReference w:id="81"/>
      </w:r>
      <w:r>
        <w:rPr>
          <w:rFonts w:cstheme="minorHAnsi"/>
        </w:rPr>
        <w:t>. Shortages in community-based care can lead to increased Potentially Preventable Hospitalisations (PPHs) if patients are unable to access timely community-based care. Furthermore, the lack of community-based care following hospital discharge can result in more prolonged hospital stays or avoidable readmissions.</w:t>
      </w:r>
    </w:p>
    <w:tbl>
      <w:tblPr>
        <w:tblStyle w:val="TableGrid"/>
        <w:tblW w:w="0" w:type="auto"/>
        <w:tblLook w:val="04A0" w:firstRow="1" w:lastRow="0" w:firstColumn="1" w:lastColumn="0" w:noHBand="0" w:noVBand="1"/>
      </w:tblPr>
      <w:tblGrid>
        <w:gridCol w:w="7371"/>
        <w:gridCol w:w="3085"/>
      </w:tblGrid>
      <w:tr w:rsidR="00F862A4" w14:paraId="7A1CA766" w14:textId="77777777" w:rsidTr="00862A71">
        <w:trPr>
          <w:cnfStyle w:val="100000000000" w:firstRow="1" w:lastRow="0" w:firstColumn="0" w:lastColumn="0" w:oddVBand="0" w:evenVBand="0" w:oddHBand="0" w:evenHBand="0" w:firstRowFirstColumn="0" w:firstRowLastColumn="0" w:lastRowFirstColumn="0" w:lastRowLastColumn="0"/>
        </w:trPr>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21FB8F" w14:textId="520B9D6D" w:rsidR="00F862A4" w:rsidRDefault="00F862A4" w:rsidP="0069494E">
            <w:pPr>
              <w:rPr>
                <w:rFonts w:cstheme="minorHAnsi"/>
              </w:rPr>
            </w:pPr>
            <w:r w:rsidRPr="007F6D14">
              <w:rPr>
                <w:rFonts w:cstheme="minorHAnsi"/>
              </w:rPr>
              <w:t>The rural, remote, and regional specialist workforce is especially</w:t>
            </w:r>
            <w:r>
              <w:rPr>
                <w:rFonts w:cstheme="minorHAnsi"/>
              </w:rPr>
              <w:t xml:space="preserve"> constrained</w:t>
            </w:r>
            <w:r w:rsidRPr="007F6D14">
              <w:rPr>
                <w:rFonts w:cstheme="minorHAnsi"/>
              </w:rPr>
              <w:t xml:space="preserve">. </w:t>
            </w:r>
            <w:r>
              <w:rPr>
                <w:rFonts w:cstheme="minorHAnsi"/>
              </w:rPr>
              <w:t xml:space="preserve">Approximately </w:t>
            </w:r>
            <w:r w:rsidRPr="007F6D14">
              <w:rPr>
                <w:rFonts w:cstheme="minorHAnsi"/>
              </w:rPr>
              <w:t>28% of Australians live in rural, regional, or remote areas</w:t>
            </w:r>
            <w:r w:rsidR="003F5D51">
              <w:rPr>
                <w:rFonts w:ascii="ZWAdobeF" w:hAnsi="ZWAdobeF" w:cs="ZWAdobeF"/>
                <w:sz w:val="2"/>
                <w:szCs w:val="2"/>
              </w:rPr>
              <w:t>80F</w:t>
            </w:r>
            <w:r>
              <w:rPr>
                <w:rStyle w:val="FootnoteReference"/>
                <w:rFonts w:cstheme="minorHAnsi"/>
              </w:rPr>
              <w:footnoteReference w:id="82"/>
            </w:r>
            <w:r>
              <w:rPr>
                <w:rFonts w:cstheme="minorHAnsi"/>
              </w:rPr>
              <w:t>. However, the specialist-to-population ratio in these remote areas is seven times lower than that in metropolitan regions</w:t>
            </w:r>
            <w:r w:rsidR="003F5D51">
              <w:rPr>
                <w:rFonts w:ascii="ZWAdobeF" w:hAnsi="ZWAdobeF" w:cs="ZWAdobeF"/>
                <w:sz w:val="2"/>
                <w:szCs w:val="2"/>
              </w:rPr>
              <w:t>81F</w:t>
            </w:r>
            <w:r>
              <w:rPr>
                <w:rStyle w:val="FootnoteReference"/>
                <w:rFonts w:cstheme="minorHAnsi"/>
              </w:rPr>
              <w:footnoteReference w:id="83"/>
            </w:r>
            <w:r>
              <w:rPr>
                <w:rFonts w:cstheme="minorHAnsi"/>
              </w:rPr>
              <w:t>,</w:t>
            </w:r>
            <w:r w:rsidRPr="007F6D14">
              <w:rPr>
                <w:rFonts w:cstheme="minorHAnsi"/>
              </w:rPr>
              <w:t xml:space="preserve"> despite a higher burden of chronic disease, risky behaviours, patient hospitalisations, mortality, injury, and poorer access to and use of primary health care services</w:t>
            </w:r>
            <w:r w:rsidR="003F5D51">
              <w:rPr>
                <w:rFonts w:ascii="ZWAdobeF" w:hAnsi="ZWAdobeF" w:cs="ZWAdobeF"/>
                <w:sz w:val="2"/>
                <w:szCs w:val="2"/>
              </w:rPr>
              <w:t>82F</w:t>
            </w:r>
            <w:r>
              <w:rPr>
                <w:rStyle w:val="FootnoteReference"/>
                <w:rFonts w:cstheme="minorHAnsi"/>
              </w:rPr>
              <w:footnoteReference w:id="84"/>
            </w:r>
            <w:r w:rsidRPr="0023291E">
              <w:rPr>
                <w:rFonts w:cstheme="minorHAnsi"/>
                <w:vertAlign w:val="superscript"/>
              </w:rPr>
              <w:t>,</w:t>
            </w:r>
            <w:r w:rsidR="003F5D51">
              <w:rPr>
                <w:rFonts w:ascii="ZWAdobeF" w:hAnsi="ZWAdobeF" w:cs="ZWAdobeF"/>
                <w:sz w:val="2"/>
                <w:szCs w:val="2"/>
              </w:rPr>
              <w:t>83F</w:t>
            </w:r>
            <w:r>
              <w:rPr>
                <w:rStyle w:val="FootnoteReference"/>
                <w:rFonts w:cstheme="minorHAnsi"/>
              </w:rPr>
              <w:footnoteReference w:id="85"/>
            </w:r>
            <w:r w:rsidRPr="007F6D14">
              <w:rPr>
                <w:rFonts w:cstheme="minorHAnsi"/>
              </w:rPr>
              <w:t>.</w:t>
            </w:r>
            <w:r>
              <w:rPr>
                <w:rFonts w:cstheme="minorHAnsi"/>
              </w:rPr>
              <w:t xml:space="preserve"> The impending shortage of GPs looms large, particularly in rural and remote areas</w:t>
            </w:r>
            <w:r w:rsidR="003F5D51">
              <w:rPr>
                <w:rFonts w:ascii="ZWAdobeF" w:hAnsi="ZWAdobeF" w:cs="ZWAdobeF"/>
                <w:sz w:val="2"/>
                <w:szCs w:val="2"/>
              </w:rPr>
              <w:t>84F</w:t>
            </w:r>
            <w:r>
              <w:rPr>
                <w:rStyle w:val="FootnoteReference"/>
                <w:rFonts w:cstheme="minorHAnsi"/>
              </w:rPr>
              <w:footnoteReference w:id="86"/>
            </w:r>
            <w:r>
              <w:rPr>
                <w:rFonts w:cstheme="minorHAnsi"/>
              </w:rPr>
              <w:t xml:space="preserve">, leading to concerns of a loss in the generational transfer of practices, knowledge and skills. Further, </w:t>
            </w:r>
            <w:r w:rsidR="00A460F6">
              <w:t xml:space="preserve">the proportion of final-year medical students listing </w:t>
            </w:r>
            <w:r w:rsidR="000816E9">
              <w:t>GP</w:t>
            </w:r>
            <w:r w:rsidR="00A460F6">
              <w:t xml:space="preserve"> as their first preference speciality was 13.1% in 2022</w:t>
            </w:r>
            <w:r w:rsidR="003F5D51">
              <w:rPr>
                <w:rFonts w:ascii="ZWAdobeF" w:hAnsi="ZWAdobeF" w:cs="ZWAdobeF"/>
                <w:sz w:val="2"/>
                <w:szCs w:val="2"/>
              </w:rPr>
              <w:t>85F</w:t>
            </w:r>
            <w:r w:rsidR="00A460F6">
              <w:rPr>
                <w:rStyle w:val="FootnoteReference"/>
              </w:rPr>
              <w:footnoteReference w:id="87"/>
            </w:r>
            <w:r w:rsidR="001776ED">
              <w:t>.</w:t>
            </w:r>
          </w:p>
        </w:tc>
        <w:tc>
          <w:tcPr>
            <w:tcW w:w="30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BC913D" w14:textId="30B24007" w:rsidR="00F862A4" w:rsidRPr="00F862A4" w:rsidRDefault="00F862A4" w:rsidP="00F862A4">
            <w:pPr>
              <w:pStyle w:val="Pullout-QuoteGreen"/>
              <w:spacing w:after="120" w:line="216" w:lineRule="auto"/>
              <w:ind w:left="153"/>
              <w:rPr>
                <w:i w:val="0"/>
                <w:iCs/>
                <w:color w:val="007680"/>
                <w:sz w:val="20"/>
              </w:rPr>
            </w:pPr>
            <w:r>
              <w:rPr>
                <w:color w:val="007680"/>
              </w:rPr>
              <w:t>S</w:t>
            </w:r>
            <w:r w:rsidRPr="004C3F30">
              <w:rPr>
                <w:color w:val="007680"/>
              </w:rPr>
              <w:t xml:space="preserve">pecialist-to-population ratio in </w:t>
            </w:r>
            <w:r w:rsidRPr="001F7E31">
              <w:rPr>
                <w:color w:val="007680"/>
              </w:rPr>
              <w:t>rural, remote, and regional</w:t>
            </w:r>
            <w:r w:rsidRPr="004C3F30">
              <w:rPr>
                <w:color w:val="007680"/>
              </w:rPr>
              <w:t xml:space="preserve"> areas is seven times lower than metropolitan regions</w:t>
            </w:r>
            <w:r>
              <w:rPr>
                <w:color w:val="007680"/>
              </w:rPr>
              <w:t>.</w:t>
            </w:r>
          </w:p>
        </w:tc>
      </w:tr>
    </w:tbl>
    <w:p w14:paraId="3F2BD895" w14:textId="22A346C0" w:rsidR="0069494E" w:rsidRDefault="0069494E" w:rsidP="0069494E">
      <w:pPr>
        <w:rPr>
          <w:rFonts w:cstheme="minorHAnsi"/>
        </w:rPr>
      </w:pPr>
      <w:r>
        <w:rPr>
          <w:rFonts w:cstheme="minorHAnsi"/>
        </w:rPr>
        <w:t>The National Medical Workforce Strategy, developed in 2021, seeks to address these distribution imbalances</w:t>
      </w:r>
      <w:r w:rsidR="00CC5C40">
        <w:rPr>
          <w:rFonts w:cstheme="minorHAnsi"/>
        </w:rPr>
        <w:t xml:space="preserve"> in the medical workforce</w:t>
      </w:r>
      <w:r>
        <w:rPr>
          <w:rFonts w:cstheme="minorHAnsi"/>
        </w:rPr>
        <w:t>. Additionally, a National Nursing Workforce Strategy is currently being developed</w:t>
      </w:r>
      <w:r w:rsidR="003F5D51">
        <w:rPr>
          <w:rFonts w:ascii="ZWAdobeF" w:hAnsi="ZWAdobeF" w:cs="ZWAdobeF"/>
          <w:sz w:val="2"/>
          <w:szCs w:val="2"/>
        </w:rPr>
        <w:t>86F</w:t>
      </w:r>
      <w:r>
        <w:rPr>
          <w:rStyle w:val="FootnoteReference"/>
          <w:rFonts w:cstheme="minorHAnsi"/>
        </w:rPr>
        <w:footnoteReference w:id="88"/>
      </w:r>
      <w:r>
        <w:rPr>
          <w:rFonts w:cstheme="minorHAnsi"/>
        </w:rPr>
        <w:t xml:space="preserve">. </w:t>
      </w:r>
    </w:p>
    <w:p w14:paraId="10209364" w14:textId="6ADB1ADB" w:rsidR="0069494E" w:rsidRPr="00593656" w:rsidRDefault="0069494E" w:rsidP="000A4C99">
      <w:pPr>
        <w:keepNext/>
        <w:rPr>
          <w:rFonts w:cstheme="minorHAnsi"/>
          <w:b/>
          <w:bCs/>
        </w:rPr>
      </w:pPr>
      <w:r w:rsidRPr="00593656">
        <w:rPr>
          <w:rFonts w:cstheme="minorHAnsi"/>
          <w:b/>
          <w:bCs/>
        </w:rPr>
        <w:t>ABF and public hospital service delivery cost</w:t>
      </w:r>
    </w:p>
    <w:tbl>
      <w:tblPr>
        <w:tblStyle w:val="TableGrid"/>
        <w:tblW w:w="0" w:type="auto"/>
        <w:tblLook w:val="04A0" w:firstRow="1" w:lastRow="0" w:firstColumn="1" w:lastColumn="0" w:noHBand="0" w:noVBand="1"/>
      </w:tblPr>
      <w:tblGrid>
        <w:gridCol w:w="4456"/>
        <w:gridCol w:w="6000"/>
      </w:tblGrid>
      <w:tr w:rsidR="007041ED" w14:paraId="5C4BB481" w14:textId="77777777" w:rsidTr="00000F68">
        <w:trPr>
          <w:cnfStyle w:val="100000000000" w:firstRow="1" w:lastRow="0" w:firstColumn="0" w:lastColumn="0" w:oddVBand="0" w:evenVBand="0" w:oddHBand="0" w:evenHBand="0" w:firstRowFirstColumn="0" w:firstRowLastColumn="0" w:lastRowFirstColumn="0" w:lastRowLastColumn="0"/>
        </w:trPr>
        <w:tc>
          <w:tcPr>
            <w:tcW w:w="4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9679C5" w14:textId="41B4AC84" w:rsidR="007041ED" w:rsidRDefault="00000F68" w:rsidP="001A40EF">
            <w:pPr>
              <w:keepNext/>
            </w:pPr>
            <w:r>
              <w:rPr>
                <w:rFonts w:cstheme="minorHAnsi"/>
              </w:rPr>
              <w:t>The ABF funding model and the introduction of the NEP has kept public hospital cost escalation below health-related inflation.</w:t>
            </w:r>
            <w:r w:rsidRPr="003B6FDD">
              <w:t xml:space="preserve"> </w:t>
            </w:r>
            <w:r>
              <w:rPr>
                <w:rFonts w:cstheme="minorHAnsi"/>
              </w:rPr>
              <w:t>From 2012-13, the NEP grew by 20% compared to health CPI growth of 30</w:t>
            </w:r>
            <w:r w:rsidRPr="00D94723">
              <w:rPr>
                <w:rFonts w:cstheme="minorHAnsi"/>
              </w:rPr>
              <w:t>% (</w:t>
            </w:r>
            <w:r>
              <w:rPr>
                <w:rFonts w:cstheme="minorHAnsi"/>
              </w:rPr>
              <w:fldChar w:fldCharType="begin" w:fldLock="1"/>
            </w:r>
            <w:r>
              <w:rPr>
                <w:rFonts w:cstheme="minorHAnsi"/>
              </w:rPr>
              <w:instrText xml:space="preserve"> REF _Ref146537144 \h </w:instrText>
            </w:r>
            <w:r>
              <w:rPr>
                <w:rFonts w:cstheme="minorHAnsi"/>
              </w:rPr>
            </w:r>
            <w:r>
              <w:rPr>
                <w:rFonts w:cstheme="minorHAnsi"/>
              </w:rPr>
              <w:fldChar w:fldCharType="separate"/>
            </w:r>
            <w:r w:rsidR="00FA10A4">
              <w:t xml:space="preserve">Figure </w:t>
            </w:r>
            <w:r w:rsidR="00FA10A4">
              <w:rPr>
                <w:noProof/>
              </w:rPr>
              <w:t>25</w:t>
            </w:r>
            <w:r>
              <w:rPr>
                <w:rFonts w:cstheme="minorHAnsi"/>
              </w:rPr>
              <w:fldChar w:fldCharType="end"/>
            </w:r>
            <w:r w:rsidRPr="00D94723">
              <w:rPr>
                <w:rFonts w:cstheme="minorHAnsi"/>
              </w:rPr>
              <w:t>)</w:t>
            </w:r>
            <w:r w:rsidR="003F5D51">
              <w:rPr>
                <w:rFonts w:ascii="ZWAdobeF" w:hAnsi="ZWAdobeF" w:cs="ZWAdobeF"/>
                <w:sz w:val="2"/>
                <w:szCs w:val="2"/>
              </w:rPr>
              <w:t>87F</w:t>
            </w:r>
            <w:r w:rsidRPr="00D94723">
              <w:rPr>
                <w:rStyle w:val="FootnoteReference"/>
                <w:rFonts w:cstheme="minorHAnsi"/>
              </w:rPr>
              <w:footnoteReference w:id="89"/>
            </w:r>
            <w:r w:rsidRPr="00D94723">
              <w:rPr>
                <w:rFonts w:cstheme="minorHAnsi"/>
              </w:rPr>
              <w:t>. Despite the growth in population from 2012 to 2021</w:t>
            </w:r>
            <w:r>
              <w:rPr>
                <w:rFonts w:cstheme="minorHAnsi"/>
              </w:rPr>
              <w:t xml:space="preserve"> surpassing the growth in the number of available hospital beds, the number of acute separations and NWAU have shown notable increments of 13% and 39% respectively on a per capita basis</w:t>
            </w:r>
            <w:r w:rsidR="003F5D51">
              <w:rPr>
                <w:rFonts w:ascii="ZWAdobeF" w:hAnsi="ZWAdobeF" w:cs="ZWAdobeF"/>
                <w:sz w:val="2"/>
                <w:szCs w:val="2"/>
              </w:rPr>
              <w:t>88F</w:t>
            </w:r>
            <w:r>
              <w:rPr>
                <w:rStyle w:val="FootnoteReference"/>
                <w:rFonts w:cstheme="minorHAnsi"/>
              </w:rPr>
              <w:footnoteReference w:id="90"/>
            </w:r>
            <w:r>
              <w:rPr>
                <w:rFonts w:cstheme="minorHAnsi"/>
              </w:rPr>
              <w:t xml:space="preserve"> (</w:t>
            </w:r>
            <w:r>
              <w:rPr>
                <w:rFonts w:cstheme="minorHAnsi"/>
              </w:rPr>
              <w:fldChar w:fldCharType="begin" w:fldLock="1"/>
            </w:r>
            <w:r>
              <w:rPr>
                <w:rFonts w:cstheme="minorHAnsi"/>
              </w:rPr>
              <w:instrText xml:space="preserve"> REF _Ref143529864 \h </w:instrText>
            </w:r>
            <w:r>
              <w:rPr>
                <w:rFonts w:cstheme="minorHAnsi"/>
              </w:rPr>
            </w:r>
            <w:r>
              <w:rPr>
                <w:rFonts w:cstheme="minorHAnsi"/>
              </w:rPr>
              <w:fldChar w:fldCharType="separate"/>
            </w:r>
            <w:r w:rsidR="00FA10A4">
              <w:t xml:space="preserve">Figure </w:t>
            </w:r>
            <w:r w:rsidR="00FA10A4">
              <w:rPr>
                <w:noProof/>
              </w:rPr>
              <w:t>26</w:t>
            </w:r>
            <w:r>
              <w:rPr>
                <w:rFonts w:cstheme="minorHAnsi"/>
              </w:rPr>
              <w:fldChar w:fldCharType="end"/>
            </w:r>
            <w:r>
              <w:rPr>
                <w:rFonts w:cstheme="minorHAnsi"/>
              </w:rPr>
              <w:t xml:space="preserve">). This indicates hospital beds were used more efficiently to generate higher activity levels from 2012 to 2021. </w:t>
            </w:r>
            <w:r>
              <w:t xml:space="preserve">Additionally, total NWAU increased by 33% from </w:t>
            </w:r>
            <w:r w:rsidRPr="00903DFC">
              <w:t>2013</w:t>
            </w:r>
            <w:r>
              <w:t xml:space="preserve"> to 20</w:t>
            </w:r>
            <w:r w:rsidRPr="00903DFC">
              <w:t>21</w:t>
            </w:r>
            <w:r>
              <w:t xml:space="preserve"> </w:t>
            </w:r>
            <w:r w:rsidRPr="00903DFC">
              <w:t>while the average overnight length of stay and the average cost per weighted separation decreased by 4% and 7% respectively</w:t>
            </w:r>
            <w:r w:rsidR="003F5D51">
              <w:rPr>
                <w:rFonts w:ascii="ZWAdobeF" w:hAnsi="ZWAdobeF" w:cs="ZWAdobeF"/>
                <w:sz w:val="2"/>
                <w:szCs w:val="2"/>
              </w:rPr>
              <w:t>89F</w:t>
            </w:r>
            <w:r>
              <w:rPr>
                <w:rStyle w:val="FootnoteReference"/>
              </w:rPr>
              <w:footnoteReference w:id="91"/>
            </w:r>
            <w:r w:rsidRPr="00903DFC">
              <w:t>.</w:t>
            </w:r>
          </w:p>
        </w:tc>
        <w:tc>
          <w:tcPr>
            <w:tcW w:w="600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A9EBA0" w14:textId="77777777" w:rsidR="00000F68" w:rsidRDefault="00000F68" w:rsidP="001A40EF">
            <w:pPr>
              <w:keepNext/>
              <w:rPr>
                <w:rFonts w:cstheme="minorHAnsi"/>
              </w:rPr>
            </w:pPr>
            <w:r>
              <w:rPr>
                <w:rFonts w:cstheme="minorHAnsi"/>
                <w:noProof/>
              </w:rPr>
              <w:drawing>
                <wp:inline distT="0" distB="0" distL="0" distR="0" wp14:anchorId="58DB5EC1" wp14:editId="63A60038">
                  <wp:extent cx="3432175" cy="2152650"/>
                  <wp:effectExtent l="0" t="0" r="0" b="0"/>
                  <wp:docPr id="1115524972" name="Chart 1115524972" descr="P1177C2T44#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0CA4F29" w14:textId="686179D9" w:rsidR="007041ED" w:rsidRPr="00000F68" w:rsidRDefault="00000F68" w:rsidP="00C2024B">
            <w:pPr>
              <w:pStyle w:val="Caption"/>
              <w:rPr>
                <w:noProof/>
                <w:sz w:val="20"/>
                <w:szCs w:val="20"/>
              </w:rPr>
            </w:pPr>
            <w:bookmarkStart w:id="194" w:name="_Ref146537144"/>
            <w:bookmarkStart w:id="195" w:name="_Toc148968403"/>
            <w:r>
              <w:t xml:space="preserve">Figure </w:t>
            </w:r>
            <w:r>
              <w:fldChar w:fldCharType="begin"/>
            </w:r>
            <w:r>
              <w:instrText xml:space="preserve"> SEQ Figure \* ARABIC </w:instrText>
            </w:r>
            <w:r>
              <w:fldChar w:fldCharType="separate"/>
            </w:r>
            <w:r w:rsidR="003F5D51">
              <w:rPr>
                <w:noProof/>
              </w:rPr>
              <w:t>25</w:t>
            </w:r>
            <w:r>
              <w:fldChar w:fldCharType="end"/>
            </w:r>
            <w:bookmarkEnd w:id="194"/>
            <w:r>
              <w:t xml:space="preserve">: </w:t>
            </w:r>
            <w:r w:rsidRPr="007949AB">
              <w:t xml:space="preserve">Indexed </w:t>
            </w:r>
            <w:r>
              <w:t>growth in NEP and Health Consumer Price Index</w:t>
            </w:r>
            <w:bookmarkEnd w:id="195"/>
            <w:r>
              <w:t xml:space="preserve"> </w:t>
            </w:r>
          </w:p>
        </w:tc>
      </w:tr>
    </w:tbl>
    <w:p w14:paraId="6AC62215" w14:textId="271218CA" w:rsidR="00000F68" w:rsidRDefault="00000F68" w:rsidP="0069494E">
      <w:pPr>
        <w:rPr>
          <w:rFonts w:cstheme="minorHAnsi"/>
        </w:rPr>
      </w:pPr>
      <w:r>
        <w:rPr>
          <w:rFonts w:cstheme="minorHAnsi"/>
          <w:noProof/>
        </w:rPr>
        <w:drawing>
          <wp:inline distT="0" distB="0" distL="0" distR="0" wp14:anchorId="7C4DB4E7" wp14:editId="7DBA3EFA">
            <wp:extent cx="4981575" cy="2390775"/>
            <wp:effectExtent l="0" t="0" r="0" b="0"/>
            <wp:docPr id="52379473" name="Chart 52379473" descr="P1180#yIS1">
              <a:extLst xmlns:a="http://schemas.openxmlformats.org/drawingml/2006/main">
                <a:ext uri="{FF2B5EF4-FFF2-40B4-BE49-F238E27FC236}">
                  <a16:creationId xmlns:a16="http://schemas.microsoft.com/office/drawing/2014/main" id="{9A7C79C9-CA56-4D6D-198B-CEECEC9447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F466343" w14:textId="020A45AC" w:rsidR="00000F68" w:rsidRPr="00B31DCD" w:rsidRDefault="00000F68" w:rsidP="00C2024B">
      <w:pPr>
        <w:pStyle w:val="Caption"/>
        <w:rPr>
          <w:noProof/>
          <w:sz w:val="20"/>
          <w:szCs w:val="20"/>
        </w:rPr>
      </w:pPr>
      <w:bookmarkStart w:id="196" w:name="_Ref143529667"/>
      <w:bookmarkStart w:id="197" w:name="_Ref143529864"/>
      <w:bookmarkStart w:id="198" w:name="_Toc143552620"/>
      <w:bookmarkStart w:id="199" w:name="_Toc148968404"/>
      <w:r>
        <w:t xml:space="preserve">Figure </w:t>
      </w:r>
      <w:bookmarkEnd w:id="196"/>
      <w:r>
        <w:fldChar w:fldCharType="begin"/>
      </w:r>
      <w:r>
        <w:instrText xml:space="preserve"> SEQ Figure \* ARABIC </w:instrText>
      </w:r>
      <w:r>
        <w:fldChar w:fldCharType="separate"/>
      </w:r>
      <w:r w:rsidR="003F5D51">
        <w:rPr>
          <w:noProof/>
        </w:rPr>
        <w:t>26</w:t>
      </w:r>
      <w:r>
        <w:fldChar w:fldCharType="end"/>
      </w:r>
      <w:bookmarkEnd w:id="197"/>
      <w:r>
        <w:t xml:space="preserve">: </w:t>
      </w:r>
      <w:r w:rsidRPr="007949AB">
        <w:t xml:space="preserve">Indexed </w:t>
      </w:r>
      <w:r>
        <w:t>growth in hospital beds compared to hospital separations and total NWAU per 1000 population</w:t>
      </w:r>
      <w:bookmarkEnd w:id="198"/>
      <w:bookmarkEnd w:id="199"/>
    </w:p>
    <w:p w14:paraId="71D05FB5" w14:textId="4B4B219D" w:rsidR="0069494E" w:rsidRDefault="0069494E" w:rsidP="0069494E">
      <w:pPr>
        <w:rPr>
          <w:noProof/>
        </w:rPr>
      </w:pPr>
      <w:r w:rsidRPr="00A7795D">
        <w:rPr>
          <w:rFonts w:cstheme="minorHAnsi"/>
        </w:rPr>
        <w:t xml:space="preserve">While ABF has been effective in decreasing lengths of stay and cost per discharge, it does not incentivise value-based care and coordination/integration across settings. Countries implementing ABF models have expressed concerns about </w:t>
      </w:r>
      <w:r w:rsidR="001412DB">
        <w:rPr>
          <w:rFonts w:cstheme="minorHAnsi"/>
        </w:rPr>
        <w:t>its</w:t>
      </w:r>
      <w:r w:rsidR="001412DB" w:rsidRPr="00A7795D">
        <w:rPr>
          <w:rFonts w:cstheme="minorHAnsi"/>
        </w:rPr>
        <w:t xml:space="preserve"> </w:t>
      </w:r>
      <w:r w:rsidRPr="00A7795D">
        <w:rPr>
          <w:rFonts w:cstheme="minorHAnsi"/>
        </w:rPr>
        <w:t>suitability for patients with chronic conditions and complex ongoing needs</w:t>
      </w:r>
      <w:r w:rsidR="003F5D51">
        <w:rPr>
          <w:rFonts w:ascii="ZWAdobeF" w:hAnsi="ZWAdobeF" w:cs="ZWAdobeF"/>
          <w:sz w:val="2"/>
          <w:szCs w:val="2"/>
        </w:rPr>
        <w:t>90F</w:t>
      </w:r>
      <w:r>
        <w:rPr>
          <w:rStyle w:val="FootnoteReference"/>
          <w:rFonts w:cstheme="minorHAnsi"/>
        </w:rPr>
        <w:footnoteReference w:id="92"/>
      </w:r>
      <w:r w:rsidRPr="00A7795D">
        <w:rPr>
          <w:rFonts w:cstheme="minorHAnsi"/>
        </w:rPr>
        <w:t xml:space="preserve">. The demand for this type of care will grow as the complexity of health needs grows. </w:t>
      </w:r>
    </w:p>
    <w:p w14:paraId="61F48728" w14:textId="5F36ADD7" w:rsidR="0069494E" w:rsidRDefault="0069494E" w:rsidP="003827CF">
      <w:pPr>
        <w:rPr>
          <w:rFonts w:cstheme="minorHAnsi"/>
          <w:b/>
          <w:bCs/>
        </w:rPr>
      </w:pPr>
      <w:r>
        <w:rPr>
          <w:rFonts w:cstheme="minorHAnsi"/>
          <w:b/>
          <w:bCs/>
        </w:rPr>
        <w:t>COVID-19 impacts on the health system</w:t>
      </w:r>
    </w:p>
    <w:p w14:paraId="2C4F85C8" w14:textId="51F728F2" w:rsidR="003827CF" w:rsidRDefault="003827CF" w:rsidP="003827CF">
      <w:pPr>
        <w:rPr>
          <w:rFonts w:cstheme="minorHAnsi"/>
          <w:b/>
          <w:bCs/>
        </w:rPr>
      </w:pPr>
      <w:r>
        <w:rPr>
          <w:noProof/>
        </w:rPr>
        <w:t>During the COVID-19 pandemic, the</w:t>
      </w:r>
      <w:r w:rsidRPr="005E0CC0">
        <w:t xml:space="preserve"> Australian Government allocated funds and guarantees to </w:t>
      </w:r>
      <w:r w:rsidR="0001275B">
        <w:t>S</w:t>
      </w:r>
      <w:r w:rsidRPr="005E0CC0">
        <w:t xml:space="preserve">tate and </w:t>
      </w:r>
      <w:r w:rsidR="0001275B">
        <w:t>T</w:t>
      </w:r>
      <w:r w:rsidRPr="005E0CC0">
        <w:t>erritory governments</w:t>
      </w:r>
      <w:r>
        <w:t xml:space="preserve"> through </w:t>
      </w:r>
      <w:r w:rsidRPr="005E0CC0">
        <w:t xml:space="preserve">the COVID-19 </w:t>
      </w:r>
      <w:r>
        <w:t>NPA, contributing 50% of the cost of COVID-19 related health expenditure</w:t>
      </w:r>
      <w:r w:rsidR="003F5D51">
        <w:rPr>
          <w:rFonts w:ascii="ZWAdobeF" w:hAnsi="ZWAdobeF" w:cs="ZWAdobeF"/>
          <w:sz w:val="2"/>
          <w:szCs w:val="2"/>
        </w:rPr>
        <w:t>91F</w:t>
      </w:r>
      <w:r>
        <w:rPr>
          <w:rStyle w:val="FootnoteReference"/>
        </w:rPr>
        <w:footnoteReference w:id="93"/>
      </w:r>
      <w:r w:rsidRPr="005E0CC0">
        <w:t xml:space="preserve">. </w:t>
      </w:r>
      <w:r>
        <w:t>Further, the Commonwealth and</w:t>
      </w:r>
      <w:r w:rsidRPr="005E0CC0">
        <w:t xml:space="preserve"> </w:t>
      </w:r>
      <w:r>
        <w:t>S</w:t>
      </w:r>
      <w:r w:rsidRPr="005E0CC0">
        <w:t xml:space="preserve">tate and </w:t>
      </w:r>
      <w:r>
        <w:t>T</w:t>
      </w:r>
      <w:r w:rsidRPr="005E0CC0">
        <w:t>erritory governments</w:t>
      </w:r>
      <w:r>
        <w:t xml:space="preserve"> </w:t>
      </w:r>
      <w:r w:rsidRPr="005E0CC0">
        <w:t>established agreements with private hospitals</w:t>
      </w:r>
      <w:r>
        <w:t>, enabling</w:t>
      </w:r>
      <w:r w:rsidRPr="005E0CC0">
        <w:t xml:space="preserve"> the sharing of resources and the continued care of vulnerable populations who might have typically been treated in public hospitals. These agreements helped maintain the viability of private hospitals, allowing them to continue their operations once the pandemic response concluded. </w:t>
      </w:r>
      <w:r>
        <w:t>To prevent the transmission of COVID-19, the Australian Government introduced subsidies for a wide range of medical professionals that expanded access to telehealth services under Medicare for consultations that were previously not covered</w:t>
      </w:r>
      <w:r w:rsidR="003F5D51">
        <w:rPr>
          <w:rFonts w:ascii="ZWAdobeF" w:hAnsi="ZWAdobeF" w:cs="ZWAdobeF"/>
          <w:sz w:val="2"/>
          <w:szCs w:val="2"/>
        </w:rPr>
        <w:t>92F</w:t>
      </w:r>
      <w:r>
        <w:rPr>
          <w:rStyle w:val="FootnoteReference"/>
        </w:rPr>
        <w:footnoteReference w:id="94"/>
      </w:r>
      <w:r>
        <w:t xml:space="preserve">. </w:t>
      </w:r>
      <w:r w:rsidRPr="005E0CC0">
        <w:t xml:space="preserve">The COVID-19 pandemic </w:t>
      </w:r>
      <w:r>
        <w:t>caused significant fluctuations in public hospital activity, evidenced by reductions in ED and admitted patient activity in 2019-20 followed by significant spikes in 2020-21</w:t>
      </w:r>
      <w:r w:rsidR="003F5D51">
        <w:rPr>
          <w:rFonts w:ascii="ZWAdobeF" w:hAnsi="ZWAdobeF" w:cs="ZWAdobeF"/>
          <w:sz w:val="2"/>
          <w:szCs w:val="2"/>
        </w:rPr>
        <w:t>93F</w:t>
      </w:r>
      <w:r w:rsidRPr="00E618C4">
        <w:rPr>
          <w:rStyle w:val="FootnoteReference"/>
        </w:rPr>
        <w:footnoteReference w:id="95"/>
      </w:r>
      <w:r w:rsidRPr="00E618C4">
        <w:rPr>
          <w:vertAlign w:val="superscript"/>
        </w:rPr>
        <w:t>,</w:t>
      </w:r>
      <w:r w:rsidR="003F5D51">
        <w:rPr>
          <w:rFonts w:ascii="ZWAdobeF" w:hAnsi="ZWAdobeF" w:cs="ZWAdobeF"/>
          <w:sz w:val="2"/>
          <w:szCs w:val="2"/>
        </w:rPr>
        <w:t>94F</w:t>
      </w:r>
      <w:r w:rsidRPr="00E618C4">
        <w:rPr>
          <w:rStyle w:val="FootnoteReference"/>
        </w:rPr>
        <w:footnoteReference w:id="96"/>
      </w:r>
      <w:r>
        <w:t xml:space="preserve">. </w:t>
      </w:r>
      <w:r w:rsidRPr="005E0CC0">
        <w:t>This has affected</w:t>
      </w:r>
      <w:r>
        <w:t xml:space="preserve"> activity in</w:t>
      </w:r>
      <w:r w:rsidRPr="005E0CC0">
        <w:t xml:space="preserve"> emergency department</w:t>
      </w:r>
      <w:r>
        <w:t>s</w:t>
      </w:r>
      <w:r w:rsidRPr="005E0CC0">
        <w:t xml:space="preserve">, </w:t>
      </w:r>
      <w:r>
        <w:t xml:space="preserve">admitted patient services, and </w:t>
      </w:r>
      <w:r w:rsidRPr="005E0CC0">
        <w:t>elective surgeries.</w:t>
      </w:r>
      <w:r>
        <w:t xml:space="preserve"> </w:t>
      </w:r>
      <w:r>
        <w:fldChar w:fldCharType="begin" w:fldLock="1"/>
      </w:r>
      <w:r>
        <w:instrText xml:space="preserve"> REF _Ref144998747 \h  \* MERGEFORMAT </w:instrText>
      </w:r>
      <w:r>
        <w:fldChar w:fldCharType="separate"/>
      </w:r>
      <w:r w:rsidR="00FA10A4">
        <w:t xml:space="preserve">Figure </w:t>
      </w:r>
      <w:r w:rsidR="00FA10A4">
        <w:rPr>
          <w:noProof/>
        </w:rPr>
        <w:t>27</w:t>
      </w:r>
      <w:r>
        <w:fldChar w:fldCharType="end"/>
      </w:r>
      <w:r>
        <w:t xml:space="preserve"> on the following page shows the volatility in the average daily ED presentations nationally from 2018 to 2022.</w:t>
      </w:r>
      <w:r w:rsidRPr="005E0CC0">
        <w:t xml:space="preserve"> </w:t>
      </w:r>
      <w:r>
        <w:t xml:space="preserve">Notably, COVID-19 restrictions in early 2020 led to an </w:t>
      </w:r>
      <w:r w:rsidRPr="009D3BBF">
        <w:t>8.3% decrease in elective surgery admissions in public hospitals and a 5.7% decrease in private hospitals compared to 2018–19</w:t>
      </w:r>
      <w:bookmarkStart w:id="202" w:name="_Ref144998113"/>
      <w:r w:rsidR="003F5D51">
        <w:rPr>
          <w:rFonts w:ascii="ZWAdobeF" w:hAnsi="ZWAdobeF" w:cs="ZWAdobeF"/>
          <w:sz w:val="2"/>
          <w:szCs w:val="2"/>
        </w:rPr>
        <w:t>95F</w:t>
      </w:r>
      <w:r>
        <w:rPr>
          <w:rStyle w:val="FootnoteReference"/>
        </w:rPr>
        <w:footnoteReference w:id="97"/>
      </w:r>
      <w:bookmarkEnd w:id="202"/>
      <w:r>
        <w:t xml:space="preserve">. This has resulted in a backlog in elective surgeries with the proportion of patients waiting </w:t>
      </w:r>
      <w:r w:rsidRPr="009D3BBF">
        <w:t>over 365 days for elective surgery increas</w:t>
      </w:r>
      <w:r>
        <w:t>ing</w:t>
      </w:r>
      <w:r w:rsidRPr="009D3BBF">
        <w:t xml:space="preserve"> from 2.8% to 7.6% between 2019–20 and 2020–21</w:t>
      </w:r>
      <w:r w:rsidR="003F5D51">
        <w:rPr>
          <w:rFonts w:ascii="ZWAdobeF" w:hAnsi="ZWAdobeF" w:cs="ZWAdobeF"/>
          <w:sz w:val="2"/>
          <w:szCs w:val="2"/>
        </w:rPr>
        <w:t>96F</w:t>
      </w:r>
      <w:r>
        <w:rPr>
          <w:rStyle w:val="FootnoteReference"/>
        </w:rPr>
        <w:footnoteReference w:id="98"/>
      </w:r>
      <w:r>
        <w:t>.</w:t>
      </w:r>
    </w:p>
    <w:tbl>
      <w:tblPr>
        <w:tblStyle w:val="TableGrid"/>
        <w:tblW w:w="0" w:type="auto"/>
        <w:tblLayout w:type="fixed"/>
        <w:tblLook w:val="04A0" w:firstRow="1" w:lastRow="0" w:firstColumn="1" w:lastColumn="0" w:noHBand="0" w:noVBand="1"/>
      </w:tblPr>
      <w:tblGrid>
        <w:gridCol w:w="7655"/>
      </w:tblGrid>
      <w:tr w:rsidR="003827CF" w14:paraId="71EF887D" w14:textId="77777777" w:rsidTr="003827CF">
        <w:trPr>
          <w:cnfStyle w:val="100000000000" w:firstRow="1" w:lastRow="0" w:firstColumn="0" w:lastColumn="0" w:oddVBand="0" w:evenVBand="0" w:oddHBand="0" w:evenHBand="0" w:firstRowFirstColumn="0" w:firstRowLastColumn="0" w:lastRowFirstColumn="0" w:lastRowLastColumn="0"/>
        </w:trPr>
        <w:tc>
          <w:tcPr>
            <w:tcW w:w="7655" w:type="dxa"/>
          </w:tcPr>
          <w:p w14:paraId="3B2CF9F4" w14:textId="511B6131" w:rsidR="003827CF" w:rsidRDefault="003827CF" w:rsidP="00936E9D">
            <w:pPr>
              <w:keepNext/>
              <w:spacing w:afterLines="60" w:after="144"/>
              <w:rPr>
                <w:noProof/>
              </w:rPr>
            </w:pPr>
            <w:r>
              <w:rPr>
                <w:noProof/>
              </w:rPr>
              <w:drawing>
                <wp:inline distT="0" distB="0" distL="0" distR="0" wp14:anchorId="226C6294" wp14:editId="6E670698">
                  <wp:extent cx="3555437" cy="2990850"/>
                  <wp:effectExtent l="0" t="0" r="6985" b="0"/>
                  <wp:docPr id="1115524974" name="Picture 1115524974" descr="P1185C1T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24974" name="Picture 1115524974" descr="P1185C1T45#yIS1"/>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59833" cy="2994548"/>
                          </a:xfrm>
                          <a:prstGeom prst="rect">
                            <a:avLst/>
                          </a:prstGeom>
                          <a:noFill/>
                          <a:ln>
                            <a:noFill/>
                          </a:ln>
                        </pic:spPr>
                      </pic:pic>
                    </a:graphicData>
                  </a:graphic>
                </wp:inline>
              </w:drawing>
            </w:r>
          </w:p>
          <w:p w14:paraId="73A3E75B" w14:textId="5F9572F0" w:rsidR="003827CF" w:rsidRPr="00D00DBC" w:rsidRDefault="003827CF" w:rsidP="00C2024B">
            <w:pPr>
              <w:pStyle w:val="Caption"/>
              <w:rPr>
                <w:noProof/>
                <w:sz w:val="20"/>
                <w:szCs w:val="20"/>
              </w:rPr>
            </w:pPr>
            <w:bookmarkStart w:id="203" w:name="_Ref144998747"/>
            <w:bookmarkStart w:id="204" w:name="_Toc148968405"/>
            <w:r>
              <w:t xml:space="preserve">Figure </w:t>
            </w:r>
            <w:r>
              <w:fldChar w:fldCharType="begin"/>
            </w:r>
            <w:r>
              <w:instrText xml:space="preserve"> SEQ Figure \* ARABIC </w:instrText>
            </w:r>
            <w:r>
              <w:fldChar w:fldCharType="separate"/>
            </w:r>
            <w:r w:rsidR="003F5D51">
              <w:rPr>
                <w:noProof/>
              </w:rPr>
              <w:t>27</w:t>
            </w:r>
            <w:r>
              <w:fldChar w:fldCharType="end"/>
            </w:r>
            <w:bookmarkEnd w:id="203"/>
            <w:r>
              <w:t xml:space="preserve">: Average daily presentations to ED, by month, all </w:t>
            </w:r>
            <w:r w:rsidR="0001275B">
              <w:t>S</w:t>
            </w:r>
            <w:r>
              <w:t xml:space="preserve">tates and </w:t>
            </w:r>
            <w:r w:rsidR="0001275B">
              <w:t>T</w:t>
            </w:r>
            <w:r>
              <w:t>erritories, 2018-19 to 2021-22</w:t>
            </w:r>
            <w:bookmarkEnd w:id="204"/>
          </w:p>
        </w:tc>
      </w:tr>
    </w:tbl>
    <w:p w14:paraId="68F6EACD" w14:textId="1093E175" w:rsidR="0069494E" w:rsidRPr="00E014A2" w:rsidRDefault="0069494E" w:rsidP="0069494E">
      <w:pPr>
        <w:spacing w:after="60" w:line="240" w:lineRule="auto"/>
        <w:rPr>
          <w:rFonts w:cstheme="minorHAnsi"/>
          <w:b/>
          <w:bCs/>
        </w:rPr>
      </w:pPr>
      <w:r>
        <w:rPr>
          <w:rFonts w:cstheme="minorHAnsi"/>
          <w:b/>
          <w:bCs/>
        </w:rPr>
        <w:t>Health technology</w:t>
      </w:r>
    </w:p>
    <w:p w14:paraId="27FB5C00" w14:textId="3F8474AA" w:rsidR="00625032" w:rsidRDefault="0069494E" w:rsidP="00FC7437">
      <w:r>
        <w:rPr>
          <w:rFonts w:cstheme="minorHAnsi"/>
        </w:rPr>
        <w:t xml:space="preserve">Despite the significant challenges that the COVID-19 pandemic posed to the Australian healthcare system, it has also driven changes in technology adoption and reshaped consumer preferences, setting the groundwork for healthcare advancements. The pandemic accelerated the adoption of virtual health platforms and remote patient monitoring solutions, paving the way for more patient-centric and accessible virtual models of care. Additionally, the pandemic highlighted the potential of real-time data, data analytics, and predictive modelling to guide healthcare decision-making and for the coordination and delivery of care across care settings. While healthcare expenditure is expected to rise significantly in the next 40 years, investments in enabling new health technologies, integrated data systems, and innovative models of care are critical to strengthen the effectiveness, efficiency, and resilience of the Australian healthcare system. </w:t>
      </w:r>
    </w:p>
    <w:p w14:paraId="2C3B11E6" w14:textId="3CB9338C" w:rsidR="00625032" w:rsidRDefault="00625032" w:rsidP="00FC7437">
      <w:pPr>
        <w:sectPr w:rsidR="00625032" w:rsidSect="0053360F">
          <w:headerReference w:type="even" r:id="rId86"/>
          <w:headerReference w:type="default" r:id="rId87"/>
          <w:headerReference w:type="first" r:id="rId88"/>
          <w:pgSz w:w="11906" w:h="16838" w:code="9"/>
          <w:pgMar w:top="1276" w:right="720" w:bottom="720" w:left="720" w:header="680" w:footer="425" w:gutter="0"/>
          <w:cols w:space="284"/>
          <w:docGrid w:linePitch="360"/>
        </w:sectPr>
      </w:pPr>
    </w:p>
    <w:p w14:paraId="1695F2E3" w14:textId="1E8C70AB" w:rsidR="008E7519" w:rsidRDefault="00636A45" w:rsidP="00BB1AD6">
      <w:pPr>
        <w:pStyle w:val="Heading1"/>
      </w:pPr>
      <w:bookmarkStart w:id="205" w:name="_Toc148968353"/>
      <w:r>
        <w:t>Key recommendations</w:t>
      </w:r>
      <w:bookmarkEnd w:id="148"/>
      <w:r>
        <w:t xml:space="preserve"> from the Review</w:t>
      </w:r>
      <w:bookmarkEnd w:id="205"/>
    </w:p>
    <w:p w14:paraId="5178DE40" w14:textId="6D656930" w:rsidR="007562D7" w:rsidRDefault="00FB72DF" w:rsidP="00531FC8">
      <w:pPr>
        <w:pStyle w:val="Sectionintro"/>
      </w:pPr>
      <w:r>
        <w:t xml:space="preserve">This chapter </w:t>
      </w:r>
      <w:r w:rsidR="00FF6578">
        <w:t xml:space="preserve">provides </w:t>
      </w:r>
      <w:r w:rsidR="004C4C53">
        <w:t xml:space="preserve">detail regarding </w:t>
      </w:r>
      <w:r w:rsidR="004C4C53" w:rsidRPr="000D28F1">
        <w:t xml:space="preserve">the </w:t>
      </w:r>
      <w:r w:rsidR="00636A45">
        <w:t>recommendation</w:t>
      </w:r>
      <w:r w:rsidR="00FC13C4">
        <w:t>s identified as part of the Review, grouped into</w:t>
      </w:r>
      <w:r w:rsidR="00581D56">
        <w:t xml:space="preserve"> the</w:t>
      </w:r>
      <w:r w:rsidR="00FC13C4">
        <w:t xml:space="preserve"> </w:t>
      </w:r>
      <w:r w:rsidR="00581D56">
        <w:t>10 identified themes.</w:t>
      </w:r>
    </w:p>
    <w:p w14:paraId="440FCAEE" w14:textId="7B3B8ABE" w:rsidR="00A44E52" w:rsidRDefault="008303F8" w:rsidP="00A44E52">
      <w:r>
        <w:t>Recommendations</w:t>
      </w:r>
      <w:r w:rsidR="00A44E52">
        <w:t xml:space="preserve"> identified as part of this Review are summarised in </w:t>
      </w:r>
      <w:r w:rsidR="002E32C8">
        <w:fldChar w:fldCharType="begin" w:fldLock="1"/>
      </w:r>
      <w:r w:rsidR="002E32C8">
        <w:instrText xml:space="preserve"> REF _Ref144211856 \h </w:instrText>
      </w:r>
      <w:r w:rsidR="002E32C8">
        <w:fldChar w:fldCharType="separate"/>
      </w:r>
      <w:r w:rsidR="00FA10A4">
        <w:t xml:space="preserve">Figure </w:t>
      </w:r>
      <w:r w:rsidR="00FA10A4">
        <w:rPr>
          <w:noProof/>
        </w:rPr>
        <w:t>28</w:t>
      </w:r>
      <w:r w:rsidR="002E32C8">
        <w:fldChar w:fldCharType="end"/>
      </w:r>
      <w:r w:rsidR="002E32C8">
        <w:t xml:space="preserve">. </w:t>
      </w:r>
      <w:r w:rsidR="00A44E52">
        <w:t xml:space="preserve">Further information on these </w:t>
      </w:r>
      <w:r>
        <w:t>recommendation</w:t>
      </w:r>
      <w:r w:rsidR="00A44E52">
        <w:t xml:space="preserve">s are contained in sections </w:t>
      </w:r>
      <w:r w:rsidR="00AB3F72">
        <w:fldChar w:fldCharType="begin" w:fldLock="1"/>
      </w:r>
      <w:r w:rsidR="00AB3F72">
        <w:instrText xml:space="preserve"> REF _Ref146699419 \w \h </w:instrText>
      </w:r>
      <w:r w:rsidR="00AB3F72">
        <w:fldChar w:fldCharType="separate"/>
      </w:r>
      <w:r w:rsidR="00FA10A4">
        <w:t>5.1</w:t>
      </w:r>
      <w:r w:rsidR="00AB3F72">
        <w:fldChar w:fldCharType="end"/>
      </w:r>
      <w:r w:rsidR="00A44E52">
        <w:t xml:space="preserve"> to </w:t>
      </w:r>
      <w:r w:rsidR="00A44E52">
        <w:fldChar w:fldCharType="begin" w:fldLock="1"/>
      </w:r>
      <w:r w:rsidR="00A44E52">
        <w:instrText xml:space="preserve"> REF _Ref144209356 \w \h </w:instrText>
      </w:r>
      <w:r w:rsidR="00A44E52">
        <w:fldChar w:fldCharType="separate"/>
      </w:r>
      <w:r w:rsidR="00FA10A4">
        <w:t>5.10</w:t>
      </w:r>
      <w:r w:rsidR="00A44E52">
        <w:fldChar w:fldCharType="end"/>
      </w:r>
      <w:r w:rsidR="00A44E52">
        <w:t xml:space="preserve">, with other </w:t>
      </w:r>
      <w:r w:rsidR="00A44E52" w:rsidRPr="006A783B">
        <w:t xml:space="preserve">technical </w:t>
      </w:r>
      <w:r w:rsidR="007C3277">
        <w:t>matters</w:t>
      </w:r>
      <w:r w:rsidR="00A44E52" w:rsidRPr="006A783B">
        <w:t xml:space="preserve"> not addressed elsewhere </w:t>
      </w:r>
      <w:r w:rsidR="00457882">
        <w:t>at</w:t>
      </w:r>
      <w:r w:rsidR="00A44E52">
        <w:t xml:space="preserve"> section </w:t>
      </w:r>
      <w:r w:rsidR="00A44E52">
        <w:fldChar w:fldCharType="begin" w:fldLock="1"/>
      </w:r>
      <w:r w:rsidR="00A44E52">
        <w:instrText xml:space="preserve"> REF _Ref144209775 \w \h </w:instrText>
      </w:r>
      <w:r w:rsidR="00A44E52">
        <w:fldChar w:fldCharType="separate"/>
      </w:r>
      <w:r w:rsidR="00FA10A4">
        <w:t>5.11</w:t>
      </w:r>
      <w:r w:rsidR="00A44E52">
        <w:fldChar w:fldCharType="end"/>
      </w:r>
      <w:r w:rsidR="00A44E52">
        <w:t>.</w:t>
      </w:r>
    </w:p>
    <w:p w14:paraId="0449154E" w14:textId="35EC595C" w:rsidR="00AE045C" w:rsidRDefault="00AE045C" w:rsidP="00A44E52">
      <w:r>
        <w:rPr>
          <w:noProof/>
        </w:rPr>
        <w:drawing>
          <wp:inline distT="0" distB="0" distL="0" distR="0" wp14:anchorId="0BD39150" wp14:editId="0C4FAD2F">
            <wp:extent cx="8610600" cy="4346414"/>
            <wp:effectExtent l="0" t="0" r="0" b="0"/>
            <wp:docPr id="26" name="Picture 26" descr="P119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1194#yIS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657925" cy="4370303"/>
                    </a:xfrm>
                    <a:prstGeom prst="rect">
                      <a:avLst/>
                    </a:prstGeom>
                    <a:noFill/>
                  </pic:spPr>
                </pic:pic>
              </a:graphicData>
            </a:graphic>
          </wp:inline>
        </w:drawing>
      </w:r>
    </w:p>
    <w:p w14:paraId="61E37D56" w14:textId="25811802" w:rsidR="00A44E52" w:rsidRDefault="007E1524" w:rsidP="00C2024B">
      <w:pPr>
        <w:pStyle w:val="Caption"/>
      </w:pPr>
      <w:bookmarkStart w:id="206" w:name="_Ref144211856"/>
      <w:bookmarkStart w:id="207" w:name="_Toc148968406"/>
      <w:r>
        <w:t xml:space="preserve">Figure </w:t>
      </w:r>
      <w:r>
        <w:fldChar w:fldCharType="begin"/>
      </w:r>
      <w:r>
        <w:instrText xml:space="preserve"> SEQ Figure \* ARABIC </w:instrText>
      </w:r>
      <w:r>
        <w:fldChar w:fldCharType="separate"/>
      </w:r>
      <w:r w:rsidR="003F5D51">
        <w:rPr>
          <w:noProof/>
        </w:rPr>
        <w:t>28</w:t>
      </w:r>
      <w:r>
        <w:rPr>
          <w:noProof/>
        </w:rPr>
        <w:fldChar w:fldCharType="end"/>
      </w:r>
      <w:bookmarkEnd w:id="206"/>
      <w:r>
        <w:t xml:space="preserve">: </w:t>
      </w:r>
      <w:r w:rsidR="002E32C8">
        <w:t xml:space="preserve">Summary of </w:t>
      </w:r>
      <w:r w:rsidR="008303F8">
        <w:t>recommendation</w:t>
      </w:r>
      <w:r w:rsidR="002E32C8">
        <w:t>s</w:t>
      </w:r>
      <w:bookmarkEnd w:id="207"/>
    </w:p>
    <w:p w14:paraId="7588D529" w14:textId="77777777" w:rsidR="00B24DF8" w:rsidRDefault="00B24DF8" w:rsidP="00102493">
      <w:pPr>
        <w:pStyle w:val="Heading2"/>
        <w:pageBreakBefore/>
        <w:spacing w:before="0" w:after="0"/>
        <w:sectPr w:rsidR="00B24DF8" w:rsidSect="00B24DF8">
          <w:headerReference w:type="even" r:id="rId90"/>
          <w:headerReference w:type="default" r:id="rId91"/>
          <w:headerReference w:type="first" r:id="rId92"/>
          <w:pgSz w:w="16838" w:h="11906" w:orient="landscape" w:code="9"/>
          <w:pgMar w:top="720" w:right="1276" w:bottom="720" w:left="720" w:header="680" w:footer="425" w:gutter="0"/>
          <w:cols w:space="284"/>
          <w:docGrid w:linePitch="360"/>
        </w:sectPr>
      </w:pPr>
      <w:bookmarkStart w:id="208" w:name="_Toc143291688"/>
      <w:bookmarkStart w:id="209" w:name="_Ref143602423"/>
      <w:bookmarkStart w:id="210" w:name="_Ref144209348"/>
    </w:p>
    <w:p w14:paraId="3E939BC9" w14:textId="54D30787" w:rsidR="00531FC8" w:rsidRDefault="009D7C15" w:rsidP="000C1754">
      <w:pPr>
        <w:pStyle w:val="Heading2"/>
        <w:pageBreakBefore/>
      </w:pPr>
      <w:bookmarkStart w:id="211" w:name="_Ref146699419"/>
      <w:r>
        <w:rPr>
          <w:noProof/>
        </w:rPr>
        <w:drawing>
          <wp:anchor distT="0" distB="0" distL="114300" distR="114300" simplePos="0" relativeHeight="251680768" behindDoc="1" locked="0" layoutInCell="1" allowOverlap="1" wp14:anchorId="3ED4A581" wp14:editId="15641C74">
            <wp:simplePos x="0" y="0"/>
            <wp:positionH relativeFrom="column">
              <wp:posOffset>6005195</wp:posOffset>
            </wp:positionH>
            <wp:positionV relativeFrom="paragraph">
              <wp:posOffset>421</wp:posOffset>
            </wp:positionV>
            <wp:extent cx="637213" cy="783772"/>
            <wp:effectExtent l="0" t="0" r="0" b="0"/>
            <wp:wrapTight wrapText="bothSides">
              <wp:wrapPolygon edited="0">
                <wp:start x="0" y="0"/>
                <wp:lineTo x="0" y="21005"/>
                <wp:lineTo x="20674" y="21005"/>
                <wp:lineTo x="20674" y="0"/>
                <wp:lineTo x="0" y="0"/>
              </wp:wrapPolygon>
            </wp:wrapTight>
            <wp:docPr id="12" name="Picture 12" descr="P119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197#y1">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637213" cy="783772"/>
                    </a:xfrm>
                    <a:prstGeom prst="rect">
                      <a:avLst/>
                    </a:prstGeom>
                  </pic:spPr>
                </pic:pic>
              </a:graphicData>
            </a:graphic>
            <wp14:sizeRelH relativeFrom="page">
              <wp14:pctWidth>0</wp14:pctWidth>
            </wp14:sizeRelH>
            <wp14:sizeRelV relativeFrom="page">
              <wp14:pctHeight>0</wp14:pctHeight>
            </wp14:sizeRelV>
          </wp:anchor>
        </w:drawing>
      </w:r>
      <w:r w:rsidR="00B57EC8" w:rsidRPr="00B57EC8">
        <w:t xml:space="preserve">A shared whole of </w:t>
      </w:r>
      <w:r w:rsidR="001D38EC">
        <w:t>H</w:t>
      </w:r>
      <w:r w:rsidR="00B57EC8" w:rsidRPr="00B57EC8">
        <w:t xml:space="preserve">ealth </w:t>
      </w:r>
      <w:r w:rsidR="001D38EC">
        <w:t>S</w:t>
      </w:r>
      <w:r w:rsidR="00B57EC8" w:rsidRPr="00B57EC8">
        <w:t xml:space="preserve">ystem </w:t>
      </w:r>
      <w:r w:rsidR="009B6083">
        <w:t>A</w:t>
      </w:r>
      <w:r w:rsidR="00B57EC8" w:rsidRPr="00B57EC8">
        <w:t>greement with the right architecture and governance</w:t>
      </w:r>
      <w:bookmarkEnd w:id="208"/>
      <w:bookmarkEnd w:id="209"/>
      <w:bookmarkEnd w:id="210"/>
      <w:bookmarkEnd w:id="211"/>
    </w:p>
    <w:p w14:paraId="77214BA6" w14:textId="41D5BA99" w:rsidR="0049069F" w:rsidRDefault="0049069F" w:rsidP="0049069F">
      <w:pPr>
        <w:pStyle w:val="Heading3"/>
      </w:pPr>
      <w:r>
        <w:t xml:space="preserve">A </w:t>
      </w:r>
      <w:r w:rsidR="002A4FCC" w:rsidRPr="002A4FCC">
        <w:t xml:space="preserve">single collaborative health system </w:t>
      </w:r>
      <w:r w:rsidR="002A4FCC">
        <w:t>A</w:t>
      </w:r>
      <w:r w:rsidR="002A4FCC" w:rsidRPr="002A4FCC">
        <w:t>greement</w:t>
      </w:r>
    </w:p>
    <w:p w14:paraId="7F1A87F4" w14:textId="7A14D289" w:rsidR="00921181" w:rsidRPr="007745A8" w:rsidRDefault="000F1A15" w:rsidP="007745A8">
      <w:pPr>
        <w:pStyle w:val="Heading4"/>
      </w:pPr>
      <w:r w:rsidRPr="007745A8">
        <w:t xml:space="preserve">NHRA </w:t>
      </w:r>
      <w:r w:rsidR="00982358" w:rsidRPr="007745A8">
        <w:t>as a system view</w:t>
      </w:r>
    </w:p>
    <w:p w14:paraId="1E25911F" w14:textId="11EAB724" w:rsidR="004E1519" w:rsidRDefault="004E1519" w:rsidP="004E1519">
      <w:r>
        <w:rPr>
          <w:rStyle w:val="cf01"/>
        </w:rPr>
        <w:t xml:space="preserve">The NHRA aspires to be a broad-based agreement that “…sets out the shared intention of the </w:t>
      </w:r>
      <w:r w:rsidRPr="00B27301">
        <w:t>Commonwealth, State and Territor</w:t>
      </w:r>
      <w:r>
        <w:t>y governments to work in partnership</w:t>
      </w:r>
      <w:r w:rsidRPr="00B27301">
        <w:t xml:space="preserve"> </w:t>
      </w:r>
      <w:r>
        <w:rPr>
          <w:rStyle w:val="cf01"/>
        </w:rPr>
        <w:t>to improve health outcomes for all Australians and ensure the sustainability of the Australian health system”</w:t>
      </w:r>
      <w:r w:rsidR="003F5D51">
        <w:rPr>
          <w:rStyle w:val="cf01"/>
          <w:rFonts w:ascii="ZWAdobeF" w:hAnsi="ZWAdobeF" w:cs="ZWAdobeF"/>
          <w:sz w:val="2"/>
          <w:szCs w:val="2"/>
        </w:rPr>
        <w:t>97F</w:t>
      </w:r>
      <w:r w:rsidR="001E0276">
        <w:rPr>
          <w:rStyle w:val="FootnoteReference"/>
          <w:rFonts w:ascii="Segoe UI" w:hAnsi="Segoe UI" w:cs="Segoe UI"/>
          <w:sz w:val="18"/>
          <w:szCs w:val="18"/>
        </w:rPr>
        <w:footnoteReference w:id="99"/>
      </w:r>
      <w:r>
        <w:rPr>
          <w:rStyle w:val="cf01"/>
        </w:rPr>
        <w:t>.</w:t>
      </w:r>
    </w:p>
    <w:p w14:paraId="223D1F37" w14:textId="020B9C18" w:rsidR="004E1519" w:rsidRPr="00EF4CBA" w:rsidRDefault="004E1519" w:rsidP="004E1519">
      <w:pPr>
        <w:rPr>
          <w:rStyle w:val="cf01"/>
          <w:rFonts w:ascii="Calibri" w:hAnsi="Calibri" w:cs="Calibri"/>
        </w:rPr>
      </w:pPr>
      <w:r w:rsidRPr="00EF4CBA">
        <w:t xml:space="preserve">While stakeholders agree there is a genuine commitment from all jurisdictions to deliver the goals of the Agreement, progress to date has been patchy with no clear vision of the future health system and insufficient alignment with the reform directions of </w:t>
      </w:r>
      <w:r w:rsidR="00ED5F8B" w:rsidRPr="00EF4CBA">
        <w:t xml:space="preserve">health and </w:t>
      </w:r>
      <w:r w:rsidRPr="00EF4CBA">
        <w:t>related sectors.</w:t>
      </w:r>
      <w:r w:rsidRPr="00EF4CBA">
        <w:rPr>
          <w:rStyle w:val="cf01"/>
          <w:rFonts w:ascii="Calibri" w:hAnsi="Calibri" w:cs="Calibri"/>
        </w:rPr>
        <w:t xml:space="preserve"> </w:t>
      </w:r>
    </w:p>
    <w:p w14:paraId="1DE3495D" w14:textId="748090C7" w:rsidR="004E1519" w:rsidRDefault="001E76A6" w:rsidP="004E1519">
      <w:r>
        <w:rPr>
          <w:rStyle w:val="cf01"/>
        </w:rPr>
        <w:t>Rather</w:t>
      </w:r>
      <w:r w:rsidR="004E1519">
        <w:rPr>
          <w:rStyle w:val="cf01"/>
        </w:rPr>
        <w:t xml:space="preserve">, the Agreement has operated </w:t>
      </w:r>
      <w:r w:rsidR="004E1519">
        <w:t xml:space="preserve">narrowly </w:t>
      </w:r>
      <w:r w:rsidR="004E1519" w:rsidRPr="00062880">
        <w:t xml:space="preserve">as a technical funding </w:t>
      </w:r>
      <w:r w:rsidR="004E1519">
        <w:t>A</w:t>
      </w:r>
      <w:r w:rsidR="004E1519" w:rsidRPr="00062880">
        <w:t>greement</w:t>
      </w:r>
      <w:r w:rsidR="004E1519">
        <w:t>,</w:t>
      </w:r>
      <w:r w:rsidR="004E1519" w:rsidRPr="00062880">
        <w:t xml:space="preserve"> </w:t>
      </w:r>
      <w:r w:rsidR="004E1519">
        <w:t>focused on</w:t>
      </w:r>
      <w:r w:rsidR="004E1519" w:rsidRPr="00280B6F">
        <w:t xml:space="preserve"> </w:t>
      </w:r>
      <w:r w:rsidR="004E1519">
        <w:t xml:space="preserve">the </w:t>
      </w:r>
      <w:r w:rsidR="004E1519" w:rsidRPr="00280B6F">
        <w:t xml:space="preserve">technical efficiency </w:t>
      </w:r>
      <w:r w:rsidR="004E1519">
        <w:t>of</w:t>
      </w:r>
      <w:r w:rsidR="004E1519" w:rsidRPr="00280B6F">
        <w:t xml:space="preserve"> the funding model, </w:t>
      </w:r>
      <w:r w:rsidR="004E1519">
        <w:t>which has at times impeded</w:t>
      </w:r>
      <w:r w:rsidR="004E1519" w:rsidRPr="00280B6F">
        <w:t xml:space="preserve"> progress </w:t>
      </w:r>
      <w:r w:rsidR="004E1519">
        <w:t>on</w:t>
      </w:r>
      <w:r w:rsidR="004E1519" w:rsidRPr="00280B6F">
        <w:t xml:space="preserve"> delivering safe, quality care in the right place</w:t>
      </w:r>
      <w:r w:rsidR="004E1519">
        <w:t xml:space="preserve"> and at the right time (allocative efficiency)</w:t>
      </w:r>
      <w:r w:rsidR="004E1519" w:rsidRPr="00280B6F">
        <w:t>.</w:t>
      </w:r>
      <w:r w:rsidR="004E1519">
        <w:t xml:space="preserve"> This narrow focus is not surprising given </w:t>
      </w:r>
      <w:r w:rsidR="00ED5F8B">
        <w:t>it</w:t>
      </w:r>
      <w:r w:rsidR="004E1519">
        <w:t xml:space="preserve"> is the vehicle to deliver </w:t>
      </w:r>
      <w:r w:rsidR="003B48C5" w:rsidRPr="003B48C5">
        <w:t>over</w:t>
      </w:r>
      <w:r w:rsidR="004E1519" w:rsidRPr="003B48C5">
        <w:t xml:space="preserve"> $</w:t>
      </w:r>
      <w:r w:rsidR="005C3912" w:rsidRPr="003B48C5">
        <w:t>24</w:t>
      </w:r>
      <w:r w:rsidR="004E1519" w:rsidRPr="003B48C5">
        <w:t xml:space="preserve"> billion</w:t>
      </w:r>
      <w:r w:rsidR="004E1519">
        <w:t xml:space="preserve"> a year in Commonwealth funding to the States</w:t>
      </w:r>
      <w:r w:rsidR="00B8643A">
        <w:t xml:space="preserve"> and </w:t>
      </w:r>
      <w:r w:rsidR="00F4090E">
        <w:t>Territories</w:t>
      </w:r>
      <w:r w:rsidR="004E1519">
        <w:t xml:space="preserve"> primarily to support public hospital services</w:t>
      </w:r>
      <w:r w:rsidR="003F5D51">
        <w:rPr>
          <w:rFonts w:ascii="ZWAdobeF" w:hAnsi="ZWAdobeF" w:cs="ZWAdobeF"/>
          <w:sz w:val="2"/>
          <w:szCs w:val="2"/>
        </w:rPr>
        <w:t>98F</w:t>
      </w:r>
      <w:r w:rsidR="00E24A70">
        <w:rPr>
          <w:rStyle w:val="FootnoteReference"/>
        </w:rPr>
        <w:footnoteReference w:id="100"/>
      </w:r>
      <w:r w:rsidR="004E1519">
        <w:t xml:space="preserve">. However, there is a lost opportunity that impacts on patient outcomes and funding sustainability if a broader view of the health system with its interdependencies is not taken. </w:t>
      </w:r>
    </w:p>
    <w:tbl>
      <w:tblPr>
        <w:tblStyle w:val="TableGrid"/>
        <w:tblW w:w="0" w:type="auto"/>
        <w:tblLayout w:type="fixed"/>
        <w:tblLook w:val="04A0" w:firstRow="1" w:lastRow="0" w:firstColumn="1" w:lastColumn="0" w:noHBand="0" w:noVBand="1"/>
      </w:tblPr>
      <w:tblGrid>
        <w:gridCol w:w="6570"/>
        <w:gridCol w:w="3896"/>
      </w:tblGrid>
      <w:tr w:rsidR="00AD4C09" w14:paraId="762D5572" w14:textId="77777777" w:rsidTr="00AD4C09">
        <w:trPr>
          <w:cnfStyle w:val="100000000000" w:firstRow="1" w:lastRow="0" w:firstColumn="0" w:lastColumn="0" w:oddVBand="0" w:evenVBand="0" w:oddHBand="0" w:evenHBand="0" w:firstRowFirstColumn="0" w:firstRowLastColumn="0" w:lastRowFirstColumn="0" w:lastRowLastColumn="0"/>
        </w:trPr>
        <w:tc>
          <w:tcPr>
            <w:tcW w:w="6570" w:type="dxa"/>
            <w:tcMar>
              <w:top w:w="0" w:type="dxa"/>
            </w:tcMar>
          </w:tcPr>
          <w:p w14:paraId="02981CA7" w14:textId="033F250C" w:rsidR="00AD4C09" w:rsidRDefault="00AD4C09" w:rsidP="00AD4C09">
            <w:pPr>
              <w:ind w:right="432"/>
            </w:pPr>
            <w:r>
              <w:t>T</w:t>
            </w:r>
            <w:r w:rsidRPr="00B81203">
              <w:t>he elements of the Agreement that take a system view (as set out in the Objectives</w:t>
            </w:r>
            <w:r>
              <w:t xml:space="preserve"> of the Addendum</w:t>
            </w:r>
            <w:r w:rsidRPr="00B81203">
              <w:t xml:space="preserve"> at Clauses 5-7) </w:t>
            </w:r>
            <w:r>
              <w:t xml:space="preserve">which focus on improving health system value, outcomes and patient experience </w:t>
            </w:r>
            <w:r w:rsidRPr="00B81203">
              <w:t xml:space="preserve">are increasingly important in an environment of </w:t>
            </w:r>
            <w:r>
              <w:t>rising</w:t>
            </w:r>
            <w:r w:rsidRPr="00B81203">
              <w:t xml:space="preserve"> demand and complexity</w:t>
            </w:r>
            <w:r w:rsidR="00533722">
              <w:t>.</w:t>
            </w:r>
            <w:r w:rsidRPr="00B81203">
              <w:t xml:space="preserve"> </w:t>
            </w:r>
            <w:r w:rsidR="00533722">
              <w:t>A</w:t>
            </w:r>
            <w:r w:rsidR="00533722" w:rsidRPr="00B81203">
              <w:t xml:space="preserve">lmost </w:t>
            </w:r>
            <w:r w:rsidRPr="00B81203">
              <w:t>half of</w:t>
            </w:r>
            <w:r w:rsidR="00533722">
              <w:t xml:space="preserve"> all</w:t>
            </w:r>
            <w:r w:rsidRPr="00B81203">
              <w:t xml:space="preserve"> Australians (47%, or 11.6 million people) </w:t>
            </w:r>
            <w:r w:rsidR="009D2C86">
              <w:t xml:space="preserve">are </w:t>
            </w:r>
            <w:r w:rsidRPr="00B81203">
              <w:t xml:space="preserve">estimated </w:t>
            </w:r>
            <w:r>
              <w:t>as having</w:t>
            </w:r>
            <w:r w:rsidRPr="00B81203">
              <w:t xml:space="preserve"> one or more chronic health conditions</w:t>
            </w:r>
            <w:r w:rsidR="003F5D51">
              <w:rPr>
                <w:rFonts w:ascii="ZWAdobeF" w:hAnsi="ZWAdobeF" w:cs="ZWAdobeF"/>
                <w:sz w:val="2"/>
                <w:szCs w:val="2"/>
              </w:rPr>
              <w:t>99F</w:t>
            </w:r>
            <w:r>
              <w:rPr>
                <w:rStyle w:val="FootnoteReference"/>
              </w:rPr>
              <w:footnoteReference w:id="101"/>
            </w:r>
            <w:r>
              <w:t>,</w:t>
            </w:r>
            <w:r w:rsidRPr="00B81203">
              <w:t xml:space="preserve"> requiring more specialised and coordinated care across the health system</w:t>
            </w:r>
            <w:r>
              <w:t>, with this figure projected to grow into the future.</w:t>
            </w:r>
          </w:p>
          <w:p w14:paraId="354C0634" w14:textId="36C22724" w:rsidR="00AD4C09" w:rsidRDefault="00AD4C09" w:rsidP="00AD4C09">
            <w:pPr>
              <w:ind w:right="432"/>
            </w:pPr>
            <w:r>
              <w:t>A</w:t>
            </w:r>
            <w:r w:rsidRPr="00B81203">
              <w:t xml:space="preserve"> narrow focus on individual roles and responsibilities and technical efficiency will not be sufficient to achieve </w:t>
            </w:r>
            <w:r>
              <w:t>health system effectiveness</w:t>
            </w:r>
            <w:r w:rsidRPr="00B81203">
              <w:t xml:space="preserve"> and improve </w:t>
            </w:r>
            <w:r>
              <w:t xml:space="preserve">consumer </w:t>
            </w:r>
            <w:r w:rsidRPr="00B81203">
              <w:t>outcomes in the future</w:t>
            </w:r>
            <w:r>
              <w:t>, nor will it promote efficient health spending.</w:t>
            </w:r>
          </w:p>
        </w:tc>
        <w:tc>
          <w:tcPr>
            <w:tcW w:w="3896" w:type="dxa"/>
            <w:tcMar>
              <w:top w:w="0" w:type="dxa"/>
            </w:tcMar>
            <w:vAlign w:val="center"/>
          </w:tcPr>
          <w:p w14:paraId="4096D9C6" w14:textId="27F516D4" w:rsidR="00AD4C09" w:rsidRPr="0008071D" w:rsidRDefault="00AD4C09" w:rsidP="00F26329">
            <w:pPr>
              <w:pStyle w:val="Pullout-QuoteGreen"/>
              <w:spacing w:after="120" w:line="216" w:lineRule="auto"/>
              <w:ind w:left="0"/>
              <w:rPr>
                <w:color w:val="007680"/>
              </w:rPr>
            </w:pPr>
            <w:r>
              <w:rPr>
                <w:color w:val="007680"/>
              </w:rPr>
              <w:t>“</w:t>
            </w:r>
            <w:r w:rsidRPr="008A494D">
              <w:rPr>
                <w:color w:val="007680"/>
              </w:rPr>
              <w:t>When the goals of the NHRA become the victim of competing interests and interpretations, it is the patient who ultimately suffers inside a system that has become too complex without patient needs at the centre of the experience</w:t>
            </w:r>
            <w:r>
              <w:rPr>
                <w:color w:val="007680"/>
              </w:rPr>
              <w:t>.”</w:t>
            </w:r>
          </w:p>
        </w:tc>
      </w:tr>
    </w:tbl>
    <w:p w14:paraId="1D1E8432" w14:textId="5C686890" w:rsidR="00AD4C09" w:rsidRDefault="00AD4C09" w:rsidP="004E1519">
      <w:r w:rsidRPr="00280B6F">
        <w:t xml:space="preserve">Parties </w:t>
      </w:r>
      <w:r>
        <w:t xml:space="preserve">to the Agreement </w:t>
      </w:r>
      <w:r w:rsidRPr="00280B6F">
        <w:t xml:space="preserve">highlighted that inconsistency in the application, interpretation and implementation of activities to achieve the NHRA objectives </w:t>
      </w:r>
      <w:r>
        <w:t>have acted as</w:t>
      </w:r>
      <w:r w:rsidRPr="00280B6F">
        <w:t xml:space="preserve"> barriers to reform. The wording of</w:t>
      </w:r>
      <w:r w:rsidRPr="00B27301">
        <w:t xml:space="preserve"> the NHRA objectives was </w:t>
      </w:r>
      <w:r>
        <w:t>seen</w:t>
      </w:r>
      <w:r w:rsidRPr="00B27301">
        <w:t xml:space="preserve"> as too ambiguous, </w:t>
      </w:r>
      <w:r>
        <w:t xml:space="preserve">with insufficient guidance on the agreed actions to deliver them, </w:t>
      </w:r>
      <w:r w:rsidRPr="00B27301">
        <w:t xml:space="preserve">making it difficult to assess whether actions taken by Parties to the Agreement </w:t>
      </w:r>
      <w:r>
        <w:t>had</w:t>
      </w:r>
      <w:r w:rsidRPr="00B27301">
        <w:t xml:space="preserve"> delivered </w:t>
      </w:r>
      <w:r>
        <w:t>the</w:t>
      </w:r>
      <w:r w:rsidRPr="00B27301">
        <w:t xml:space="preserve"> intent.</w:t>
      </w:r>
      <w:r>
        <w:t xml:space="preserve"> This is further compounded by </w:t>
      </w:r>
      <w:r w:rsidRPr="00025EB5">
        <w:t xml:space="preserve">the absence of a meaningful </w:t>
      </w:r>
      <w:r>
        <w:t xml:space="preserve">NHRA </w:t>
      </w:r>
      <w:r w:rsidRPr="00025EB5">
        <w:t>performance framework and indic</w:t>
      </w:r>
      <w:r>
        <w:t>a</w:t>
      </w:r>
      <w:r w:rsidRPr="00025EB5">
        <w:t>tors of success</w:t>
      </w:r>
      <w:r>
        <w:t xml:space="preserve">, which </w:t>
      </w:r>
      <w:r w:rsidR="00533722">
        <w:t xml:space="preserve">could </w:t>
      </w:r>
      <w:r>
        <w:t>be used to understand progress, monitor action and prepare for the future</w:t>
      </w:r>
      <w:r w:rsidRPr="00025EB5">
        <w:t>.</w:t>
      </w:r>
    </w:p>
    <w:p w14:paraId="27325C38" w14:textId="5A34228E" w:rsidR="004E1519" w:rsidRPr="00280B6F" w:rsidRDefault="004E1519" w:rsidP="004E1519">
      <w:r w:rsidRPr="00280B6F">
        <w:t xml:space="preserve">Patients ultimately bear the consequences of competing interests and differing interpretations impacting the intent of the </w:t>
      </w:r>
      <w:r w:rsidR="00F84565" w:rsidRPr="00280B6F">
        <w:t>NHRA and</w:t>
      </w:r>
      <w:r w:rsidR="00ED5F8B">
        <w:t xml:space="preserve"> making the </w:t>
      </w:r>
      <w:r w:rsidRPr="00280B6F">
        <w:t>system increasingly complex</w:t>
      </w:r>
      <w:r>
        <w:t xml:space="preserve"> and difficult to navigate.</w:t>
      </w:r>
    </w:p>
    <w:p w14:paraId="305BEB6C" w14:textId="7844BED2" w:rsidR="004E1519" w:rsidRDefault="004E1519" w:rsidP="007745A8">
      <w:pPr>
        <w:pStyle w:val="Heading4"/>
      </w:pPr>
      <w:r w:rsidRPr="00596434">
        <w:t>Interjurisdictional collaboration</w:t>
      </w:r>
    </w:p>
    <w:p w14:paraId="5163557E" w14:textId="12F0151D" w:rsidR="00762253" w:rsidRDefault="005A408A" w:rsidP="00DB70DE">
      <w:r w:rsidRPr="005A408A">
        <w:t xml:space="preserve">While funding and management of the different parts of the system fall to different levels of </w:t>
      </w:r>
      <w:r w:rsidR="00FA0734">
        <w:t>G</w:t>
      </w:r>
      <w:r w:rsidRPr="005A408A">
        <w:t xml:space="preserve">overnment, only by working together can allocative efficiency </w:t>
      </w:r>
      <w:r w:rsidR="004E1519" w:rsidRPr="005A408A">
        <w:t>be achieved</w:t>
      </w:r>
      <w:r w:rsidR="004E1519">
        <w:t xml:space="preserve"> in the interests of the health consumer</w:t>
      </w:r>
      <w:r w:rsidR="004E1519" w:rsidRPr="005A408A">
        <w:t>.</w:t>
      </w:r>
      <w:r w:rsidRPr="005A408A">
        <w:t xml:space="preserve"> The right care in the right place at the right time is key to improving outcomes and sustainability. To do this well requires</w:t>
      </w:r>
      <w:r w:rsidR="008261C7">
        <w:t xml:space="preserve"> </w:t>
      </w:r>
      <w:r w:rsidR="008261C7" w:rsidRPr="008261C7">
        <w:t>three levels of system alignment</w:t>
      </w:r>
      <w:r w:rsidR="007D16B5">
        <w:t>:</w:t>
      </w:r>
    </w:p>
    <w:p w14:paraId="6AD392A5" w14:textId="77777777" w:rsidR="004C317C" w:rsidRDefault="00837E77" w:rsidP="00A850C3">
      <w:pPr>
        <w:pStyle w:val="ListParagraph"/>
        <w:numPr>
          <w:ilvl w:val="2"/>
          <w:numId w:val="40"/>
        </w:numPr>
        <w:ind w:left="568" w:hanging="284"/>
        <w:contextualSpacing w:val="0"/>
      </w:pPr>
      <w:r>
        <w:t>P</w:t>
      </w:r>
      <w:r w:rsidR="007D16B5" w:rsidRPr="007D16B5">
        <w:t>olicy alignment to achieve system performance objectives between the broader health, primary, disability, private and aged care sectors</w:t>
      </w:r>
      <w:r w:rsidR="00D449B4">
        <w:t>.</w:t>
      </w:r>
    </w:p>
    <w:p w14:paraId="51ADB5E8" w14:textId="18D97466" w:rsidR="0042300C" w:rsidRDefault="0042300C" w:rsidP="00A850C3">
      <w:pPr>
        <w:pStyle w:val="ListParagraph"/>
        <w:numPr>
          <w:ilvl w:val="2"/>
          <w:numId w:val="40"/>
        </w:numPr>
        <w:ind w:left="568" w:hanging="284"/>
        <w:contextualSpacing w:val="0"/>
      </w:pPr>
      <w:r w:rsidRPr="007D16B5">
        <w:t>Jurisdictional</w:t>
      </w:r>
      <w:r w:rsidR="007D16B5" w:rsidRPr="007D16B5">
        <w:t xml:space="preserve"> collaboration and coordination between S</w:t>
      </w:r>
      <w:r w:rsidR="004C317C">
        <w:t xml:space="preserve">tates and </w:t>
      </w:r>
      <w:r w:rsidR="007D16B5" w:rsidRPr="007D16B5">
        <w:t>T</w:t>
      </w:r>
      <w:r w:rsidR="004C317C">
        <w:t>erritorie</w:t>
      </w:r>
      <w:r w:rsidR="007D16B5" w:rsidRPr="007D16B5">
        <w:t>s</w:t>
      </w:r>
      <w:r>
        <w:t>,</w:t>
      </w:r>
      <w:r w:rsidR="007D16B5" w:rsidRPr="007D16B5">
        <w:t xml:space="preserve"> and </w:t>
      </w:r>
      <w:r w:rsidR="00DD5B4E">
        <w:t>with</w:t>
      </w:r>
      <w:r w:rsidR="007D16B5" w:rsidRPr="007D16B5">
        <w:t xml:space="preserve"> the Commonwealth to deliver system outcomes</w:t>
      </w:r>
      <w:r w:rsidR="00D449B4">
        <w:t>.</w:t>
      </w:r>
    </w:p>
    <w:p w14:paraId="102869C3" w14:textId="77777777" w:rsidR="004E1519" w:rsidRDefault="004E1519" w:rsidP="00A850C3">
      <w:pPr>
        <w:pStyle w:val="ListParagraph"/>
        <w:numPr>
          <w:ilvl w:val="2"/>
          <w:numId w:val="40"/>
        </w:numPr>
        <w:ind w:left="568" w:hanging="284"/>
        <w:contextualSpacing w:val="0"/>
      </w:pPr>
      <w:r>
        <w:t>I</w:t>
      </w:r>
      <w:r w:rsidRPr="007D16B5">
        <w:t xml:space="preserve">mproved </w:t>
      </w:r>
      <w:r>
        <w:t xml:space="preserve">co-commissioning and governance structures and mechanisms that support alignment and collaboration </w:t>
      </w:r>
      <w:r w:rsidRPr="007D16B5">
        <w:t>at a local level between LHNs</w:t>
      </w:r>
      <w:r>
        <w:t xml:space="preserve">, </w:t>
      </w:r>
      <w:r w:rsidRPr="007D16B5">
        <w:t xml:space="preserve">PHNs </w:t>
      </w:r>
      <w:r>
        <w:t>and ACCHOs</w:t>
      </w:r>
      <w:r w:rsidRPr="007D16B5">
        <w:t xml:space="preserve"> to execute the delivery of changes to the service system</w:t>
      </w:r>
      <w:r>
        <w:t>.</w:t>
      </w:r>
    </w:p>
    <w:p w14:paraId="796E2791" w14:textId="76259781" w:rsidR="004E1519" w:rsidRDefault="004E1519" w:rsidP="004E1519">
      <w:r>
        <w:t>There are also segments of the health care sector not included in the NHRA, but with strong connections to public hospital</w:t>
      </w:r>
      <w:r w:rsidR="00ED5F8B">
        <w:t>s</w:t>
      </w:r>
      <w:r>
        <w:t>. The c</w:t>
      </w:r>
      <w:r w:rsidRPr="00C5491A">
        <w:t xml:space="preserve">urrent Agreement acknowledges the areas of interface and </w:t>
      </w:r>
      <w:r w:rsidR="00ED5F8B">
        <w:t>priority</w:t>
      </w:r>
      <w:r w:rsidR="00ED5F8B" w:rsidRPr="00C5491A">
        <w:t xml:space="preserve"> </w:t>
      </w:r>
      <w:r w:rsidRPr="00C5491A">
        <w:t xml:space="preserve">areas of reform </w:t>
      </w:r>
      <w:r>
        <w:t>but</w:t>
      </w:r>
      <w:r w:rsidRPr="00C5491A">
        <w:t xml:space="preserve"> has not enabled meaningful reform action</w:t>
      </w:r>
      <w:r>
        <w:t xml:space="preserve">. These interfaces are discussed further in section </w:t>
      </w:r>
      <w:r w:rsidR="00061459">
        <w:t>5.2.3.</w:t>
      </w:r>
    </w:p>
    <w:p w14:paraId="11F0DBB1" w14:textId="0059785A" w:rsidR="004E1519" w:rsidRPr="00B47D71" w:rsidRDefault="004E1519" w:rsidP="007745A8">
      <w:pPr>
        <w:pStyle w:val="Heading4"/>
      </w:pPr>
      <w:r>
        <w:t>Strategic, whole of system g</w:t>
      </w:r>
      <w:r w:rsidRPr="00B47D71">
        <w:t xml:space="preserve">overnance </w:t>
      </w:r>
    </w:p>
    <w:p w14:paraId="6028CC12" w14:textId="77777777" w:rsidR="004E1519" w:rsidRDefault="004E1519" w:rsidP="004E1519">
      <w:r>
        <w:t xml:space="preserve">To deliver the improvements in health outcomes and sustainability that the Agreement envisages, and that is needed into the future, requires a reshaping of the NHRA into a </w:t>
      </w:r>
      <w:r w:rsidRPr="00BF4B8A">
        <w:t xml:space="preserve">single collaborative </w:t>
      </w:r>
      <w:r>
        <w:t>“</w:t>
      </w:r>
      <w:r w:rsidRPr="00506A77">
        <w:t>Australian Healthcare Agreement</w:t>
      </w:r>
      <w:r>
        <w:t>”</w:t>
      </w:r>
      <w:r w:rsidRPr="00BF4B8A">
        <w:t xml:space="preserve"> that goes beyond technical hospital financing </w:t>
      </w:r>
      <w:r w:rsidRPr="000B74D8">
        <w:t>and covers the entire healthcare system</w:t>
      </w:r>
      <w:r>
        <w:t xml:space="preserve">. </w:t>
      </w:r>
    </w:p>
    <w:p w14:paraId="1829C647" w14:textId="4BD55977" w:rsidR="004E1519" w:rsidRDefault="004E1519" w:rsidP="004E1519">
      <w:r>
        <w:t>This would e</w:t>
      </w:r>
      <w:r w:rsidRPr="00F47ACA">
        <w:t>stablish</w:t>
      </w:r>
      <w:r>
        <w:t xml:space="preserve"> and foster a</w:t>
      </w:r>
      <w:r w:rsidRPr="00F47ACA">
        <w:t xml:space="preserve"> shared vision and governance to allow </w:t>
      </w:r>
      <w:r>
        <w:t>G</w:t>
      </w:r>
      <w:r w:rsidRPr="00F47ACA">
        <w:t>overnments to engage on the system as a whole</w:t>
      </w:r>
      <w:r>
        <w:t xml:space="preserve"> and to embed</w:t>
      </w:r>
      <w:r w:rsidRPr="00C5584E">
        <w:t xml:space="preserve"> a culture of collaboration and trust</w:t>
      </w:r>
      <w:r w:rsidRPr="00F47ACA">
        <w:t xml:space="preserve">. </w:t>
      </w:r>
      <w:r>
        <w:t>A technical hospital financing</w:t>
      </w:r>
      <w:r w:rsidRPr="00F47ACA">
        <w:t xml:space="preserve"> agreement forms part of this but should not be its sole purpose.</w:t>
      </w:r>
      <w:r>
        <w:t xml:space="preserve"> This approach would integrate both the </w:t>
      </w:r>
      <w:r w:rsidRPr="00E03019">
        <w:t>National Healthcare Agreement</w:t>
      </w:r>
      <w:r>
        <w:t xml:space="preserve"> and the NHRA into a single </w:t>
      </w:r>
      <w:r w:rsidR="00CB113D">
        <w:t xml:space="preserve">Agreement </w:t>
      </w:r>
      <w:r>
        <w:t>that:</w:t>
      </w:r>
    </w:p>
    <w:p w14:paraId="15A84F50" w14:textId="036AC421" w:rsidR="004E1519" w:rsidRPr="00CC7F3C" w:rsidRDefault="004E1519" w:rsidP="00D12257">
      <w:pPr>
        <w:pStyle w:val="Longdotpoints"/>
        <w:ind w:left="567"/>
      </w:pPr>
      <w:r w:rsidRPr="00CC7F3C">
        <w:t>Is a more holistic health agreement that recognises the interdependencies between the different health and care sectors that interface with public hospitals</w:t>
      </w:r>
      <w:r>
        <w:t xml:space="preserve">, including the </w:t>
      </w:r>
      <w:r w:rsidRPr="009146CC">
        <w:t xml:space="preserve">disability, aged, </w:t>
      </w:r>
      <w:r>
        <w:t xml:space="preserve">and </w:t>
      </w:r>
      <w:r w:rsidRPr="009146CC">
        <w:t xml:space="preserve">primary </w:t>
      </w:r>
      <w:r>
        <w:t xml:space="preserve">care </w:t>
      </w:r>
      <w:r w:rsidRPr="009146CC">
        <w:t xml:space="preserve">and </w:t>
      </w:r>
      <w:r>
        <w:t xml:space="preserve">private </w:t>
      </w:r>
      <w:r w:rsidRPr="009146CC">
        <w:t>hospital systems</w:t>
      </w:r>
      <w:r w:rsidRPr="00CC7F3C">
        <w:t xml:space="preserve">. </w:t>
      </w:r>
    </w:p>
    <w:p w14:paraId="74F76868" w14:textId="77777777" w:rsidR="004E1519" w:rsidRPr="00C118F8" w:rsidRDefault="004E1519" w:rsidP="00D12257">
      <w:pPr>
        <w:pStyle w:val="Longdotpoints"/>
        <w:ind w:left="567"/>
      </w:pPr>
      <w:r w:rsidRPr="00CC7F3C">
        <w:t>Fosters a shared vision</w:t>
      </w:r>
      <w:r>
        <w:t>,</w:t>
      </w:r>
      <w:r w:rsidRPr="00CC7F3C">
        <w:t xml:space="preserve"> and clear </w:t>
      </w:r>
      <w:r>
        <w:t xml:space="preserve">roles, actions and </w:t>
      </w:r>
      <w:r w:rsidRPr="00CC7F3C">
        <w:t xml:space="preserve">accountabilities for each sector </w:t>
      </w:r>
      <w:r>
        <w:t xml:space="preserve">and party in the Agreement in achieving </w:t>
      </w:r>
      <w:r w:rsidRPr="00C118F8">
        <w:t>system reform – moving towards "shared vision and responsibility, individual accountability”.</w:t>
      </w:r>
    </w:p>
    <w:p w14:paraId="526D4E66" w14:textId="5F576132" w:rsidR="004E1519" w:rsidRPr="00C118F8" w:rsidRDefault="004E1519" w:rsidP="00D12257">
      <w:pPr>
        <w:pStyle w:val="Longdotpoints"/>
        <w:ind w:left="567"/>
      </w:pPr>
      <w:r w:rsidRPr="00C118F8">
        <w:t>Develops a national approach to addressing shared health objectives across Australia, while having the flexibility to adapt to specific jurisdictional health needs.</w:t>
      </w:r>
    </w:p>
    <w:p w14:paraId="46657931" w14:textId="77777777" w:rsidR="004E1519" w:rsidRDefault="004E1519" w:rsidP="00D12257">
      <w:pPr>
        <w:pStyle w:val="Longdotpoints"/>
        <w:ind w:left="567"/>
      </w:pPr>
      <w:r>
        <w:t>Includes a clear vision of how the health system is likely to change over the life of the Agreement, and how these changes will be managed.</w:t>
      </w:r>
    </w:p>
    <w:p w14:paraId="3FA1DF53" w14:textId="7F3C9008" w:rsidR="00D96557" w:rsidRDefault="00D96557" w:rsidP="00D12257">
      <w:pPr>
        <w:pStyle w:val="Longdotpoints"/>
        <w:ind w:left="567"/>
      </w:pPr>
      <w:r>
        <w:t>Recognises the importance of consumer engagement and the role of the private sector in supporting health system outcomes.</w:t>
      </w:r>
    </w:p>
    <w:p w14:paraId="3DE73A59" w14:textId="7F34C8EB" w:rsidR="004E1519" w:rsidRPr="00EF604F" w:rsidRDefault="004E1519" w:rsidP="00D12257">
      <w:pPr>
        <w:pStyle w:val="Longdotpoints"/>
        <w:ind w:left="567"/>
        <w:rPr>
          <w:rStyle w:val="cf01"/>
          <w:rFonts w:ascii="Calibri" w:hAnsi="Calibri" w:cs="Calibri"/>
          <w:sz w:val="20"/>
          <w:szCs w:val="20"/>
        </w:rPr>
      </w:pPr>
      <w:r w:rsidRPr="00C118F8">
        <w:t xml:space="preserve">Is performance-focused and </w:t>
      </w:r>
      <w:r>
        <w:t>prepares</w:t>
      </w:r>
      <w:r w:rsidRPr="00C118F8">
        <w:t xml:space="preserve"> for new challenges</w:t>
      </w:r>
      <w:r>
        <w:t xml:space="preserve"> and opportunities</w:t>
      </w:r>
      <w:r w:rsidRPr="00C118F8">
        <w:t xml:space="preserve">, rather than </w:t>
      </w:r>
      <w:r w:rsidRPr="002240E6">
        <w:rPr>
          <w:rStyle w:val="cf01"/>
          <w:rFonts w:ascii="Calibri" w:hAnsi="Calibri" w:cs="Calibri"/>
          <w:sz w:val="20"/>
          <w:szCs w:val="20"/>
        </w:rPr>
        <w:t xml:space="preserve">technical issues alone. This includes </w:t>
      </w:r>
      <w:r w:rsidRPr="00004F98">
        <w:t>mechanisms to ensure that data and expertise held by the national bodies</w:t>
      </w:r>
      <w:r w:rsidRPr="00EF604F">
        <w:t xml:space="preserve"> </w:t>
      </w:r>
      <w:r w:rsidRPr="00004F98">
        <w:t xml:space="preserve">are included in </w:t>
      </w:r>
      <w:r w:rsidR="00A2699D">
        <w:t xml:space="preserve">the </w:t>
      </w:r>
      <w:r>
        <w:t>Agreement and perfo</w:t>
      </w:r>
      <w:r w:rsidRPr="00004F98">
        <w:t>rmance measure development and reporting</w:t>
      </w:r>
      <w:r>
        <w:t xml:space="preserve">. </w:t>
      </w:r>
    </w:p>
    <w:p w14:paraId="6A8BC0E2" w14:textId="31F2D8A4" w:rsidR="004E1519" w:rsidRPr="00B9693D" w:rsidRDefault="004E1519" w:rsidP="007745A8">
      <w:pPr>
        <w:pStyle w:val="Heading4"/>
      </w:pPr>
      <w:bookmarkStart w:id="213" w:name="_Ref148440489"/>
      <w:r w:rsidRPr="00B9693D">
        <w:t>Agreement structure going forward</w:t>
      </w:r>
      <w:bookmarkEnd w:id="213"/>
    </w:p>
    <w:p w14:paraId="0E738222" w14:textId="77777777" w:rsidR="004E1519" w:rsidRDefault="004E1519" w:rsidP="004E1519">
      <w:r>
        <w:t xml:space="preserve">A new </w:t>
      </w:r>
      <w:r w:rsidRPr="00506A77">
        <w:t>Australian Healthcare Agreement</w:t>
      </w:r>
      <w:r>
        <w:t xml:space="preserve"> should encompass measurable objectives, performance indicators and reporting mechanisms to reinforce cooperation, including:</w:t>
      </w:r>
    </w:p>
    <w:p w14:paraId="005418A3" w14:textId="6D7A7156" w:rsidR="004E1519" w:rsidRPr="00D80F04" w:rsidRDefault="007C2340" w:rsidP="00D12257">
      <w:pPr>
        <w:pStyle w:val="Longdotpoints"/>
        <w:ind w:left="567"/>
      </w:pPr>
      <w:r w:rsidRPr="00D80F04">
        <w:rPr>
          <w:rStyle w:val="cf01"/>
          <w:rFonts w:ascii="Calibri" w:hAnsi="Calibri" w:cs="Calibri"/>
          <w:sz w:val="20"/>
          <w:szCs w:val="20"/>
        </w:rPr>
        <w:t>A</w:t>
      </w:r>
      <w:r w:rsidR="004E1519" w:rsidRPr="00D80F04">
        <w:rPr>
          <w:rStyle w:val="cf01"/>
          <w:rFonts w:ascii="Calibri" w:hAnsi="Calibri" w:cs="Calibri"/>
          <w:sz w:val="20"/>
          <w:szCs w:val="20"/>
        </w:rPr>
        <w:t xml:space="preserve"> </w:t>
      </w:r>
      <w:r w:rsidR="004E1519" w:rsidRPr="00650E28">
        <w:rPr>
          <w:rStyle w:val="cf01"/>
          <w:rFonts w:ascii="Calibri" w:hAnsi="Calibri" w:cs="Calibri"/>
          <w:sz w:val="20"/>
          <w:szCs w:val="20"/>
        </w:rPr>
        <w:t>clear statement of shared principles and objectives</w:t>
      </w:r>
      <w:r w:rsidR="004E1519" w:rsidRPr="00D80F04">
        <w:t xml:space="preserve"> for the future vision of </w:t>
      </w:r>
      <w:r w:rsidR="00A2699D">
        <w:t>the</w:t>
      </w:r>
      <w:r w:rsidR="004E1519" w:rsidRPr="00D80F04">
        <w:t xml:space="preserve"> health system, with specific principles that promote patient-centred care and continuity of care.</w:t>
      </w:r>
    </w:p>
    <w:p w14:paraId="3541E73A" w14:textId="52D5FE86" w:rsidR="004E1519" w:rsidRPr="00D80F04" w:rsidRDefault="007C2340" w:rsidP="00D12257">
      <w:pPr>
        <w:pStyle w:val="Longdotpoints"/>
        <w:ind w:left="567"/>
      </w:pPr>
      <w:r w:rsidRPr="00650E28">
        <w:t>G</w:t>
      </w:r>
      <w:r w:rsidR="004E1519" w:rsidRPr="00650E28">
        <w:t>overnance arrangements</w:t>
      </w:r>
      <w:r w:rsidR="004E1519" w:rsidRPr="00D80F04">
        <w:t xml:space="preserve"> that embed shared accountability and an agreed approach to addressing existing and emerging risks. </w:t>
      </w:r>
    </w:p>
    <w:p w14:paraId="3C5076E3" w14:textId="3638A50A" w:rsidR="004E1519" w:rsidRPr="00D80F04" w:rsidRDefault="00180DAA" w:rsidP="00D12257">
      <w:pPr>
        <w:pStyle w:val="Longdotpoints"/>
        <w:ind w:left="567"/>
      </w:pPr>
      <w:r w:rsidRPr="00D80F04">
        <w:t>A</w:t>
      </w:r>
      <w:r w:rsidR="004E1519" w:rsidRPr="00D80F04">
        <w:t xml:space="preserve"> </w:t>
      </w:r>
      <w:r w:rsidR="004E1519" w:rsidRPr="00650E28">
        <w:t>clear articulation of the roles and responsibilities</w:t>
      </w:r>
      <w:r w:rsidR="004E1519" w:rsidRPr="00D80F04">
        <w:t xml:space="preserve"> of all parties, together with a framework to understand and measure performance and hold the parties to account, recognising interdependencies across the broader service system. </w:t>
      </w:r>
    </w:p>
    <w:p w14:paraId="75EDAA05" w14:textId="41051D5A" w:rsidR="004E1519" w:rsidRPr="00D80F04" w:rsidRDefault="007C2340" w:rsidP="00D12257">
      <w:pPr>
        <w:pStyle w:val="Longdotpoints"/>
        <w:ind w:left="567"/>
      </w:pPr>
      <w:r w:rsidRPr="00D80F04">
        <w:t>A</w:t>
      </w:r>
      <w:r w:rsidR="004E1519" w:rsidRPr="00D80F04">
        <w:t xml:space="preserve"> </w:t>
      </w:r>
      <w:r w:rsidR="004E1519" w:rsidRPr="00650E28">
        <w:t>comprehensive roadmap and implementation schedule</w:t>
      </w:r>
      <w:r w:rsidR="004E1519" w:rsidRPr="00D80F04">
        <w:t xml:space="preserve"> to execute updated Agreement objectives and priorities. </w:t>
      </w:r>
    </w:p>
    <w:p w14:paraId="39A06D90" w14:textId="3BD2F77F" w:rsidR="004E1519" w:rsidRPr="00D80F04" w:rsidRDefault="007C2340" w:rsidP="00D12257">
      <w:pPr>
        <w:pStyle w:val="Longdotpoints"/>
        <w:ind w:left="567"/>
      </w:pPr>
      <w:r w:rsidRPr="00D80F04">
        <w:t>A</w:t>
      </w:r>
      <w:r w:rsidR="004E1519" w:rsidRPr="00D80F04">
        <w:t xml:space="preserve"> broadly based </w:t>
      </w:r>
      <w:r w:rsidR="009B6DCE">
        <w:t>and outcome</w:t>
      </w:r>
      <w:r w:rsidR="00C65EC8">
        <w:t>-focused</w:t>
      </w:r>
      <w:r w:rsidR="009B6DCE">
        <w:t xml:space="preserve"> </w:t>
      </w:r>
      <w:r w:rsidR="004E1519" w:rsidRPr="00650E28">
        <w:t>health system performance framework</w:t>
      </w:r>
      <w:r w:rsidR="004E1519" w:rsidRPr="00D80F04">
        <w:t xml:space="preserve"> incorporating quantitative and qualitative indicators that accurately report </w:t>
      </w:r>
      <w:r w:rsidR="00ED5F8B" w:rsidRPr="00D80F04">
        <w:t xml:space="preserve">the performance of the health system and </w:t>
      </w:r>
      <w:r w:rsidR="000849E8" w:rsidRPr="00D80F04">
        <w:t xml:space="preserve">with </w:t>
      </w:r>
      <w:r w:rsidR="004E1519" w:rsidRPr="00D80F04">
        <w:t xml:space="preserve">nationally consistent and locally relevant data on the performance of the Agreement against its </w:t>
      </w:r>
      <w:r w:rsidR="007B5700" w:rsidRPr="00D80F04">
        <w:t>objectives.</w:t>
      </w:r>
      <w:r w:rsidR="004E1519" w:rsidRPr="00D80F04">
        <w:t xml:space="preserve"> </w:t>
      </w:r>
    </w:p>
    <w:p w14:paraId="5A980EF1" w14:textId="25377459" w:rsidR="004E1519" w:rsidRPr="00D80F04" w:rsidRDefault="007C2340" w:rsidP="00D12257">
      <w:pPr>
        <w:pStyle w:val="Longdotpoints"/>
        <w:ind w:left="567"/>
      </w:pPr>
      <w:r w:rsidRPr="00D80F04">
        <w:t>M</w:t>
      </w:r>
      <w:r w:rsidR="004E1519" w:rsidRPr="00D80F04">
        <w:t xml:space="preserve">echanisms to enable </w:t>
      </w:r>
      <w:r w:rsidR="004E1519" w:rsidRPr="00650E28">
        <w:t>collaboration on health system direction and reform</w:t>
      </w:r>
      <w:r w:rsidR="004E1519" w:rsidRPr="00D80F04">
        <w:t xml:space="preserve"> that includes not only the parties to the Agreement, but related health system providers and participants, such as the NHRA national bodies, LHNs, PHNs, ACCHOs, industry and consumer representatives. </w:t>
      </w:r>
    </w:p>
    <w:p w14:paraId="16822765" w14:textId="63F26D19" w:rsidR="004E1519" w:rsidRPr="00D80F04" w:rsidRDefault="007C2340" w:rsidP="00D12257">
      <w:pPr>
        <w:pStyle w:val="Longdotpoints"/>
        <w:ind w:left="567"/>
      </w:pPr>
      <w:r w:rsidRPr="00D80F04">
        <w:t>R</w:t>
      </w:r>
      <w:r w:rsidR="004E1519" w:rsidRPr="00D80F04">
        <w:t xml:space="preserve">ecognition within the Agreement of </w:t>
      </w:r>
      <w:r w:rsidR="004E1519" w:rsidRPr="00650E28">
        <w:t>whole of health system enablers</w:t>
      </w:r>
      <w:r w:rsidR="004E1519" w:rsidRPr="00D80F04">
        <w:t xml:space="preserve">, such as workforce, digital health, data and innovation, with a program of agreed goals and actions. </w:t>
      </w:r>
    </w:p>
    <w:p w14:paraId="70E16C72" w14:textId="2A5490E9" w:rsidR="004E1519" w:rsidRPr="00D80F04" w:rsidRDefault="007C2340" w:rsidP="00D12257">
      <w:pPr>
        <w:pStyle w:val="Longdotpoints"/>
        <w:ind w:left="567"/>
      </w:pPr>
      <w:r w:rsidRPr="00650E28">
        <w:t>I</w:t>
      </w:r>
      <w:r w:rsidR="004E1519" w:rsidRPr="00650E28">
        <w:rPr>
          <w:rStyle w:val="cf01"/>
          <w:rFonts w:ascii="Calibri" w:hAnsi="Calibri" w:cs="Calibri"/>
          <w:sz w:val="20"/>
          <w:szCs w:val="20"/>
        </w:rPr>
        <w:t>ndividual sections of the Agreement streamlined</w:t>
      </w:r>
      <w:r w:rsidR="004E1519" w:rsidRPr="00D80F04">
        <w:rPr>
          <w:rStyle w:val="cf01"/>
          <w:rFonts w:ascii="Calibri" w:hAnsi="Calibri" w:cs="Calibri"/>
          <w:sz w:val="20"/>
          <w:szCs w:val="20"/>
        </w:rPr>
        <w:t xml:space="preserve"> and updated to remove historical and out of date information. </w:t>
      </w:r>
    </w:p>
    <w:tbl>
      <w:tblPr>
        <w:tblStyle w:val="TableGrid"/>
        <w:tblW w:w="0" w:type="auto"/>
        <w:shd w:val="clear" w:color="auto" w:fill="F2F2F2" w:themeFill="background1" w:themeFillShade="F2"/>
        <w:tblLook w:val="04A0" w:firstRow="1" w:lastRow="0" w:firstColumn="1" w:lastColumn="0" w:noHBand="0" w:noVBand="1"/>
      </w:tblPr>
      <w:tblGrid>
        <w:gridCol w:w="10466"/>
      </w:tblGrid>
      <w:tr w:rsidR="004E1519" w14:paraId="2171E388" w14:textId="77777777" w:rsidTr="00B81203">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tcPr>
          <w:p w14:paraId="130A54EB" w14:textId="77777777" w:rsidR="004E1519" w:rsidRDefault="004E1519" w:rsidP="00B81203">
            <w:pPr>
              <w:pStyle w:val="Summarytable"/>
              <w:rPr>
                <w:b w:val="0"/>
                <w:bCs w:val="0"/>
              </w:rPr>
            </w:pPr>
            <w:r>
              <w:rPr>
                <w:noProof/>
                <w:color w:val="0097A9" w:themeColor="accent5"/>
              </w:rPr>
              <w:drawing>
                <wp:inline distT="0" distB="0" distL="0" distR="0" wp14:anchorId="70ED6FC1" wp14:editId="0C70464E">
                  <wp:extent cx="270000" cy="270000"/>
                  <wp:effectExtent l="0" t="0" r="0" b="0"/>
                  <wp:docPr id="33" name="Graphic 33" descr="P1234C1T4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P1234C1T47#yIS1">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70000" cy="270000"/>
                          </a:xfrm>
                          <a:prstGeom prst="rect">
                            <a:avLst/>
                          </a:prstGeom>
                        </pic:spPr>
                      </pic:pic>
                    </a:graphicData>
                  </a:graphic>
                </wp:inline>
              </w:drawing>
            </w:r>
            <w:r>
              <w:rPr>
                <w:color w:val="00707E" w:themeColor="accent5" w:themeShade="BF"/>
              </w:rPr>
              <w:t>Recommendation 1</w:t>
            </w:r>
            <w:r w:rsidRPr="00BB2C81">
              <w:rPr>
                <w:color w:val="00707E" w:themeColor="accent5" w:themeShade="BF"/>
              </w:rPr>
              <w:t xml:space="preserve">: </w:t>
            </w:r>
            <w:r w:rsidRPr="00724F0B">
              <w:rPr>
                <w:b w:val="0"/>
                <w:bCs w:val="0"/>
              </w:rPr>
              <w:t>The</w:t>
            </w:r>
            <w:r>
              <w:rPr>
                <w:b w:val="0"/>
                <w:bCs w:val="0"/>
              </w:rPr>
              <w:t xml:space="preserve"> NHRA should:</w:t>
            </w:r>
          </w:p>
          <w:p w14:paraId="0E686675" w14:textId="77777777" w:rsidR="004E1519" w:rsidRPr="00333C7D" w:rsidRDefault="004E1519" w:rsidP="00A850C3">
            <w:pPr>
              <w:pStyle w:val="Summarytable"/>
              <w:numPr>
                <w:ilvl w:val="1"/>
                <w:numId w:val="35"/>
              </w:numPr>
              <w:ind w:left="1134"/>
              <w:rPr>
                <w:b w:val="0"/>
                <w:bCs w:val="0"/>
              </w:rPr>
            </w:pPr>
            <w:r>
              <w:rPr>
                <w:b w:val="0"/>
                <w:bCs w:val="0"/>
              </w:rPr>
              <w:t>B</w:t>
            </w:r>
            <w:r w:rsidRPr="00333C7D">
              <w:rPr>
                <w:b w:val="0"/>
                <w:bCs w:val="0"/>
              </w:rPr>
              <w:t xml:space="preserve">e framed as a </w:t>
            </w:r>
            <w:r w:rsidRPr="00B5418A">
              <w:t>single collaborative health system Agreement</w:t>
            </w:r>
            <w:r w:rsidRPr="00333C7D">
              <w:rPr>
                <w:b w:val="0"/>
                <w:bCs w:val="0"/>
              </w:rPr>
              <w:t xml:space="preserve"> that acknowledges that health system performance is a function of the hospital, primary, disability, aged care and prevention sectors working effectively together</w:t>
            </w:r>
            <w:r>
              <w:rPr>
                <w:b w:val="0"/>
                <w:bCs w:val="0"/>
              </w:rPr>
              <w:t>, in the interests of the consumer and system sustainability and which clearly sets out roles and responsibilities, actions and accountabilities of the parties</w:t>
            </w:r>
            <w:r w:rsidRPr="00333C7D">
              <w:rPr>
                <w:b w:val="0"/>
                <w:bCs w:val="0"/>
              </w:rPr>
              <w:t>.</w:t>
            </w:r>
          </w:p>
          <w:p w14:paraId="562F5AFD" w14:textId="66503105" w:rsidR="004E1519" w:rsidRDefault="004E1519" w:rsidP="00A850C3">
            <w:pPr>
              <w:pStyle w:val="Summarytable"/>
              <w:numPr>
                <w:ilvl w:val="1"/>
                <w:numId w:val="35"/>
              </w:numPr>
              <w:ind w:left="1134"/>
              <w:rPr>
                <w:b w:val="0"/>
                <w:bCs w:val="0"/>
              </w:rPr>
            </w:pPr>
            <w:r>
              <w:rPr>
                <w:b w:val="0"/>
                <w:bCs w:val="0"/>
              </w:rPr>
              <w:t>D</w:t>
            </w:r>
            <w:r w:rsidRPr="00333C7D">
              <w:rPr>
                <w:b w:val="0"/>
                <w:bCs w:val="0"/>
              </w:rPr>
              <w:t xml:space="preserve">escribe the </w:t>
            </w:r>
            <w:r w:rsidRPr="00B81203">
              <w:t>shared vision, principles, objectives and reform goals for the health system</w:t>
            </w:r>
            <w:r w:rsidRPr="00333C7D">
              <w:rPr>
                <w:b w:val="0"/>
                <w:bCs w:val="0"/>
              </w:rPr>
              <w:t>, take a strategic view to health system challenges</w:t>
            </w:r>
            <w:r>
              <w:rPr>
                <w:b w:val="0"/>
                <w:bCs w:val="0"/>
              </w:rPr>
              <w:t xml:space="preserve"> and drive innovation, with input from national bodies, system providers and consumers.</w:t>
            </w:r>
          </w:p>
          <w:p w14:paraId="71C2767F" w14:textId="6A9D3A6F" w:rsidR="004E1519" w:rsidRDefault="004E1519" w:rsidP="00A850C3">
            <w:pPr>
              <w:pStyle w:val="Summarytable"/>
              <w:numPr>
                <w:ilvl w:val="1"/>
                <w:numId w:val="35"/>
              </w:numPr>
              <w:ind w:left="1134"/>
              <w:rPr>
                <w:b w:val="0"/>
                <w:bCs w:val="0"/>
              </w:rPr>
            </w:pPr>
            <w:r>
              <w:rPr>
                <w:b w:val="0"/>
                <w:bCs w:val="0"/>
              </w:rPr>
              <w:t xml:space="preserve">Establish a </w:t>
            </w:r>
            <w:r w:rsidRPr="00B81203">
              <w:t>health system performance framework</w:t>
            </w:r>
            <w:r w:rsidR="00E3417C">
              <w:t>,</w:t>
            </w:r>
            <w:r>
              <w:rPr>
                <w:b w:val="0"/>
                <w:bCs w:val="0"/>
              </w:rPr>
              <w:t xml:space="preserve"> </w:t>
            </w:r>
            <w:r w:rsidR="00887377">
              <w:rPr>
                <w:b w:val="0"/>
                <w:bCs w:val="0"/>
              </w:rPr>
              <w:t>that is broadly-based and outcome-focused</w:t>
            </w:r>
            <w:r w:rsidR="00E3417C">
              <w:rPr>
                <w:b w:val="0"/>
                <w:bCs w:val="0"/>
              </w:rPr>
              <w:t>,</w:t>
            </w:r>
            <w:r w:rsidR="00887377">
              <w:rPr>
                <w:b w:val="0"/>
                <w:bCs w:val="0"/>
              </w:rPr>
              <w:t xml:space="preserve"> </w:t>
            </w:r>
            <w:r>
              <w:rPr>
                <w:b w:val="0"/>
                <w:bCs w:val="0"/>
              </w:rPr>
              <w:t xml:space="preserve">to guide actions </w:t>
            </w:r>
            <w:r w:rsidRPr="00333C7D">
              <w:rPr>
                <w:b w:val="0"/>
                <w:bCs w:val="0"/>
              </w:rPr>
              <w:t>and actively monitor progress</w:t>
            </w:r>
            <w:r>
              <w:rPr>
                <w:b w:val="0"/>
                <w:bCs w:val="0"/>
              </w:rPr>
              <w:t>.</w:t>
            </w:r>
          </w:p>
          <w:p w14:paraId="4C48D721" w14:textId="0F6E047C" w:rsidR="004E1519" w:rsidRPr="00481277" w:rsidRDefault="004E1519" w:rsidP="00A850C3">
            <w:pPr>
              <w:pStyle w:val="Summarytable"/>
              <w:numPr>
                <w:ilvl w:val="1"/>
                <w:numId w:val="35"/>
              </w:numPr>
              <w:ind w:left="1134"/>
              <w:rPr>
                <w:b w:val="0"/>
              </w:rPr>
            </w:pPr>
            <w:r w:rsidRPr="00333C7D">
              <w:rPr>
                <w:b w:val="0"/>
                <w:bCs w:val="0"/>
              </w:rPr>
              <w:t xml:space="preserve">Include </w:t>
            </w:r>
            <w:r w:rsidRPr="00B81203">
              <w:t>individual Schedules</w:t>
            </w:r>
            <w:r w:rsidRPr="00333C7D">
              <w:rPr>
                <w:b w:val="0"/>
                <w:bCs w:val="0"/>
              </w:rPr>
              <w:t xml:space="preserve">, that are streamlined and updated to reflect shared goals, </w:t>
            </w:r>
            <w:r>
              <w:rPr>
                <w:b w:val="0"/>
                <w:bCs w:val="0"/>
              </w:rPr>
              <w:t>with</w:t>
            </w:r>
            <w:r w:rsidRPr="00333C7D">
              <w:rPr>
                <w:b w:val="0"/>
                <w:bCs w:val="0"/>
              </w:rPr>
              <w:t xml:space="preserve"> outdated material</w:t>
            </w:r>
            <w:r>
              <w:rPr>
                <w:b w:val="0"/>
                <w:bCs w:val="0"/>
              </w:rPr>
              <w:t xml:space="preserve"> removed</w:t>
            </w:r>
            <w:r w:rsidRPr="00333C7D">
              <w:rPr>
                <w:b w:val="0"/>
                <w:bCs w:val="0"/>
              </w:rPr>
              <w:t xml:space="preserve">, and </w:t>
            </w:r>
            <w:r w:rsidRPr="00B81203">
              <w:t>key system enablers</w:t>
            </w:r>
            <w:r>
              <w:rPr>
                <w:b w:val="0"/>
                <w:bCs w:val="0"/>
              </w:rPr>
              <w:t xml:space="preserve"> (such as digital health</w:t>
            </w:r>
            <w:r w:rsidR="001A6B48">
              <w:rPr>
                <w:b w:val="0"/>
                <w:bCs w:val="0"/>
              </w:rPr>
              <w:t xml:space="preserve"> </w:t>
            </w:r>
            <w:r w:rsidR="00910578">
              <w:rPr>
                <w:b w:val="0"/>
                <w:bCs w:val="0"/>
              </w:rPr>
              <w:t xml:space="preserve">and </w:t>
            </w:r>
            <w:r>
              <w:rPr>
                <w:b w:val="0"/>
                <w:bCs w:val="0"/>
              </w:rPr>
              <w:t>workforce) added.</w:t>
            </w:r>
            <w:r w:rsidRPr="00481277">
              <w:rPr>
                <w:rStyle w:val="CommentReference"/>
                <w:b w:val="0"/>
                <w:sz w:val="20"/>
                <w:szCs w:val="20"/>
              </w:rPr>
              <w:t xml:space="preserve"> </w:t>
            </w:r>
          </w:p>
        </w:tc>
      </w:tr>
    </w:tbl>
    <w:p w14:paraId="17BF1A24" w14:textId="57DFC7C9" w:rsidR="006F1B72" w:rsidRDefault="006F1B72" w:rsidP="006F1B72">
      <w:r>
        <w:t xml:space="preserve">There is broad recognition </w:t>
      </w:r>
      <w:r w:rsidR="000772AA">
        <w:t xml:space="preserve">that </w:t>
      </w:r>
      <w:r>
        <w:t xml:space="preserve">the NHRA does not function in isolation but sits within a wider set of national and bilateral Agreements. This is inevitable as reform at a program level continues during the life of an Agreement and, from time to time, will be subject to separate funding streams and processes. </w:t>
      </w:r>
    </w:p>
    <w:p w14:paraId="24219C44" w14:textId="4224D32B" w:rsidR="00A43E4E" w:rsidRDefault="006F1B72" w:rsidP="00426D39">
      <w:r>
        <w:t xml:space="preserve">As part of a new </w:t>
      </w:r>
      <w:r w:rsidR="00782C1E">
        <w:t>Australian Healthcare Agreement</w:t>
      </w:r>
      <w:r>
        <w:t xml:space="preserve">, an audit of existing health related agreements should be undertaken to determine which, if any, of these should be cross-referenced or their actions reflected and supported through the NHRA. The Review is aware of </w:t>
      </w:r>
      <w:r w:rsidR="00DC0C9B">
        <w:t>nearly 80</w:t>
      </w:r>
      <w:r>
        <w:t xml:space="preserve"> health related agreements </w:t>
      </w:r>
      <w:r w:rsidR="008E27D5">
        <w:t xml:space="preserve">as at </w:t>
      </w:r>
      <w:r w:rsidR="00FD64D9">
        <w:t>30 August</w:t>
      </w:r>
      <w:r w:rsidR="000E7983">
        <w:t xml:space="preserve"> </w:t>
      </w:r>
      <w:r w:rsidR="00FD64D9">
        <w:t xml:space="preserve">2023 </w:t>
      </w:r>
      <w:r>
        <w:t xml:space="preserve">(listed at </w:t>
      </w:r>
      <w:r w:rsidR="00435C75">
        <w:fldChar w:fldCharType="begin" w:fldLock="1"/>
      </w:r>
      <w:r w:rsidR="00435C75">
        <w:instrText xml:space="preserve"> REF _Ref144375835 \w \h </w:instrText>
      </w:r>
      <w:r w:rsidR="00435C75">
        <w:fldChar w:fldCharType="separate"/>
      </w:r>
      <w:r w:rsidR="00FA10A4">
        <w:t>Appendix G</w:t>
      </w:r>
      <w:r w:rsidR="00435C75">
        <w:fldChar w:fldCharType="end"/>
      </w:r>
      <w:r>
        <w:t>) that currently operate outside the NHRA</w:t>
      </w:r>
      <w:r w:rsidR="0011150A">
        <w:t xml:space="preserve"> (</w:t>
      </w:r>
      <w:r w:rsidR="00FD64D9">
        <w:t xml:space="preserve">sourced from the </w:t>
      </w:r>
      <w:r w:rsidR="00F92533">
        <w:t xml:space="preserve">Commonwealth </w:t>
      </w:r>
      <w:r w:rsidR="00FD64D9">
        <w:t>Department of Health and Aged Care</w:t>
      </w:r>
      <w:r w:rsidR="0011150A">
        <w:t>)</w:t>
      </w:r>
      <w:r>
        <w:t xml:space="preserve">. </w:t>
      </w:r>
      <w:r w:rsidR="00C8161F">
        <w:t xml:space="preserve">This does not </w:t>
      </w:r>
      <w:r w:rsidR="00D675CA">
        <w:t>mean</w:t>
      </w:r>
      <w:r w:rsidR="00C8161F">
        <w:t xml:space="preserve"> folding the totality of related Agreements into the NHRA, but rather</w:t>
      </w:r>
      <w:r w:rsidR="00A43E4E">
        <w:t>:</w:t>
      </w:r>
    </w:p>
    <w:p w14:paraId="2804CB07" w14:textId="27B378AA" w:rsidR="00A43E4E" w:rsidRDefault="00C8161F" w:rsidP="00A43E4E">
      <w:pPr>
        <w:pStyle w:val="Longdotpoints"/>
        <w:ind w:left="567"/>
      </w:pPr>
      <w:r>
        <w:t>ensuring that objectives and actions are mutually reinforcing</w:t>
      </w:r>
    </w:p>
    <w:p w14:paraId="3BACCCC8" w14:textId="77777777" w:rsidR="00A43E4E" w:rsidRDefault="00A43E4E" w:rsidP="00A43E4E">
      <w:pPr>
        <w:pStyle w:val="Longdotpoints"/>
        <w:ind w:left="567"/>
      </w:pPr>
      <w:r>
        <w:t xml:space="preserve">that, </w:t>
      </w:r>
      <w:r w:rsidR="001B2526">
        <w:t>where appropriate</w:t>
      </w:r>
      <w:r>
        <w:t>,</w:t>
      </w:r>
      <w:r w:rsidR="001B2526">
        <w:t xml:space="preserve"> action plans are reflected in the NHRA</w:t>
      </w:r>
      <w:r w:rsidR="00C8161F">
        <w:t xml:space="preserve"> </w:t>
      </w:r>
      <w:r w:rsidR="00D675CA">
        <w:t>and</w:t>
      </w:r>
    </w:p>
    <w:p w14:paraId="34D7EBB9" w14:textId="10BBF0E9" w:rsidR="004403E8" w:rsidRDefault="00D675CA" w:rsidP="00440729">
      <w:pPr>
        <w:pStyle w:val="Longdotpoints"/>
        <w:ind w:left="567"/>
      </w:pPr>
      <w:r>
        <w:t>in the future</w:t>
      </w:r>
      <w:r w:rsidR="002C55CB">
        <w:t>,</w:t>
      </w:r>
      <w:r>
        <w:t xml:space="preserve"> </w:t>
      </w:r>
      <w:r w:rsidR="00F86BFD">
        <w:t xml:space="preserve">that </w:t>
      </w:r>
      <w:r w:rsidR="002C55CB">
        <w:t xml:space="preserve">related agreements </w:t>
      </w:r>
      <w:r>
        <w:t>align with, and are guided by the shared vision, principles, objectives and reform goals for the health system</w:t>
      </w:r>
      <w:r w:rsidR="002C55CB">
        <w:t xml:space="preserve"> proposed at</w:t>
      </w:r>
      <w:r>
        <w:t xml:space="preserve"> Recommendation 1</w:t>
      </w:r>
      <w:r w:rsidR="00C8161F">
        <w:t>.</w:t>
      </w:r>
    </w:p>
    <w:p w14:paraId="195A94D2" w14:textId="5D358C67" w:rsidR="00A636A4" w:rsidRDefault="002C55CB" w:rsidP="00426D39">
      <w:r>
        <w:t>By way of example, a</w:t>
      </w:r>
      <w:r w:rsidR="004403E8">
        <w:t xml:space="preserve"> pressing priority is to assign functions and actions for mental health within the NHRA. Currently the Agreement acknowledges a shared commitment to improve mental health outcomes (Clause 6) but agreed actions are in the separate and subsequent </w:t>
      </w:r>
      <w:r w:rsidR="004403E8" w:rsidRPr="00650E28">
        <w:rPr>
          <w:i/>
          <w:iCs/>
        </w:rPr>
        <w:t>National Mental Health and Suicide Prevention Agreement</w:t>
      </w:r>
      <w:r w:rsidR="004403E8">
        <w:t>. The NHRA should reference the actions that the parties will take to improve mental health outcomes across the health system, integrating mental health strategies into optimal models of care, financing, innovation and performance elements of a new Agreement.</w:t>
      </w:r>
    </w:p>
    <w:tbl>
      <w:tblPr>
        <w:tblStyle w:val="TableGrid"/>
        <w:tblW w:w="0" w:type="auto"/>
        <w:shd w:val="clear" w:color="auto" w:fill="F2F2F2" w:themeFill="background1" w:themeFillShade="F2"/>
        <w:tblLook w:val="04A0" w:firstRow="1" w:lastRow="0" w:firstColumn="1" w:lastColumn="0" w:noHBand="0" w:noVBand="1"/>
      </w:tblPr>
      <w:tblGrid>
        <w:gridCol w:w="10466"/>
      </w:tblGrid>
      <w:tr w:rsidR="004E1519" w14:paraId="3FD6D763" w14:textId="77777777" w:rsidTr="00B81203">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tcPr>
          <w:p w14:paraId="430C098A" w14:textId="140F7013" w:rsidR="004403E8" w:rsidRDefault="004E1519" w:rsidP="001D2E5C">
            <w:pPr>
              <w:pStyle w:val="Summarytable"/>
            </w:pPr>
            <w:r w:rsidRPr="007A4A54">
              <w:rPr>
                <w:noProof/>
                <w:color w:val="00707E" w:themeColor="accent5" w:themeShade="BF"/>
              </w:rPr>
              <w:drawing>
                <wp:inline distT="0" distB="0" distL="0" distR="0" wp14:anchorId="75ACFB59" wp14:editId="2232294A">
                  <wp:extent cx="270000" cy="270000"/>
                  <wp:effectExtent l="0" t="0" r="0" b="0"/>
                  <wp:docPr id="40" name="Graphic 40" descr="P1246C1T48#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P1246C1T48#yIS1">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70000" cy="270000"/>
                          </a:xfrm>
                          <a:prstGeom prst="rect">
                            <a:avLst/>
                          </a:prstGeom>
                        </pic:spPr>
                      </pic:pic>
                    </a:graphicData>
                  </a:graphic>
                </wp:inline>
              </w:drawing>
            </w:r>
            <w:r w:rsidRPr="007A4A54">
              <w:rPr>
                <w:color w:val="00707E" w:themeColor="accent5" w:themeShade="BF"/>
              </w:rPr>
              <w:t>Recommendation</w:t>
            </w:r>
            <w:r>
              <w:rPr>
                <w:color w:val="00707E" w:themeColor="accent5" w:themeShade="BF"/>
              </w:rPr>
              <w:t xml:space="preserve"> 2</w:t>
            </w:r>
            <w:r w:rsidRPr="00BB2C81">
              <w:rPr>
                <w:color w:val="00707E" w:themeColor="accent5" w:themeShade="BF"/>
              </w:rPr>
              <w:t xml:space="preserve">: </w:t>
            </w:r>
            <w:r w:rsidRPr="00D25010">
              <w:rPr>
                <w:b w:val="0"/>
                <w:bCs w:val="0"/>
              </w:rPr>
              <w:t xml:space="preserve">An </w:t>
            </w:r>
            <w:r w:rsidRPr="00040B48">
              <w:t>audit of existing health related agreements</w:t>
            </w:r>
            <w:r w:rsidRPr="00D25010">
              <w:rPr>
                <w:b w:val="0"/>
                <w:bCs w:val="0"/>
              </w:rPr>
              <w:t xml:space="preserve"> between the Commonwealth, States and Territories should be undertaken to determine whether, and to what degree, they are suitable for inclusion in </w:t>
            </w:r>
            <w:r>
              <w:rPr>
                <w:b w:val="0"/>
                <w:bCs w:val="0"/>
              </w:rPr>
              <w:t>a</w:t>
            </w:r>
            <w:r w:rsidRPr="00D25010">
              <w:rPr>
                <w:b w:val="0"/>
                <w:bCs w:val="0"/>
              </w:rPr>
              <w:t xml:space="preserve"> new Australian Healthcare Agreement</w:t>
            </w:r>
            <w:r w:rsidR="000C08F9">
              <w:rPr>
                <w:b w:val="0"/>
                <w:bCs w:val="0"/>
              </w:rPr>
              <w:t xml:space="preserve">, with </w:t>
            </w:r>
            <w:r w:rsidR="005A41B7">
              <w:rPr>
                <w:b w:val="0"/>
                <w:bCs w:val="0"/>
              </w:rPr>
              <w:t xml:space="preserve">an agreed timeframe as to when any such inclusions </w:t>
            </w:r>
            <w:r w:rsidR="0080332B">
              <w:rPr>
                <w:b w:val="0"/>
                <w:bCs w:val="0"/>
              </w:rPr>
              <w:t>w</w:t>
            </w:r>
            <w:r w:rsidR="005A41B7">
              <w:rPr>
                <w:b w:val="0"/>
                <w:bCs w:val="0"/>
              </w:rPr>
              <w:t xml:space="preserve">ould </w:t>
            </w:r>
            <w:r w:rsidR="00A430DA">
              <w:rPr>
                <w:b w:val="0"/>
                <w:bCs w:val="0"/>
              </w:rPr>
              <w:t>take effect</w:t>
            </w:r>
            <w:r w:rsidRPr="00D25010">
              <w:rPr>
                <w:b w:val="0"/>
                <w:bCs w:val="0"/>
              </w:rPr>
              <w:t>.</w:t>
            </w:r>
            <w:r w:rsidR="00A430DA">
              <w:rPr>
                <w:b w:val="0"/>
                <w:bCs w:val="0"/>
              </w:rPr>
              <w:t xml:space="preserve"> </w:t>
            </w:r>
            <w:r w:rsidR="005A5B46">
              <w:rPr>
                <w:b w:val="0"/>
                <w:bCs w:val="0"/>
              </w:rPr>
              <w:t xml:space="preserve">Future health related agreements </w:t>
            </w:r>
            <w:r w:rsidR="0080332B">
              <w:rPr>
                <w:b w:val="0"/>
                <w:bCs w:val="0"/>
              </w:rPr>
              <w:t xml:space="preserve">that operate outside the NHRA </w:t>
            </w:r>
            <w:r w:rsidR="005A5B46">
              <w:rPr>
                <w:b w:val="0"/>
                <w:bCs w:val="0"/>
              </w:rPr>
              <w:t>should align with</w:t>
            </w:r>
            <w:r w:rsidR="00AD1193">
              <w:rPr>
                <w:b w:val="0"/>
                <w:bCs w:val="0"/>
              </w:rPr>
              <w:t>, and be guided by, the shared vision, principles, objectives and reform goals for the health system proposed at Recommendation 1(b).</w:t>
            </w:r>
          </w:p>
        </w:tc>
      </w:tr>
    </w:tbl>
    <w:p w14:paraId="3011CC27" w14:textId="77777777" w:rsidR="004E1519" w:rsidRDefault="004E1519" w:rsidP="004E1519"/>
    <w:tbl>
      <w:tblPr>
        <w:tblStyle w:val="TableGrid"/>
        <w:tblW w:w="0" w:type="auto"/>
        <w:shd w:val="clear" w:color="auto" w:fill="F2F2F2" w:themeFill="background1" w:themeFillShade="F2"/>
        <w:tblLook w:val="04A0" w:firstRow="1" w:lastRow="0" w:firstColumn="1" w:lastColumn="0" w:noHBand="0" w:noVBand="1"/>
      </w:tblPr>
      <w:tblGrid>
        <w:gridCol w:w="10466"/>
      </w:tblGrid>
      <w:tr w:rsidR="001D2E5C" w14:paraId="2B156998" w14:textId="77777777" w:rsidTr="00F26329">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tcPr>
          <w:p w14:paraId="73C36C0F" w14:textId="4E9C1BAA" w:rsidR="001D2E5C" w:rsidRPr="00650E28" w:rsidRDefault="001D2E5C" w:rsidP="001D2E5C">
            <w:pPr>
              <w:pStyle w:val="Summarytable"/>
              <w:rPr>
                <w:b w:val="0"/>
                <w:bCs w:val="0"/>
              </w:rPr>
            </w:pPr>
            <w:r w:rsidRPr="007A4A54">
              <w:rPr>
                <w:noProof/>
                <w:color w:val="00707E" w:themeColor="accent5" w:themeShade="BF"/>
              </w:rPr>
              <w:drawing>
                <wp:inline distT="0" distB="0" distL="0" distR="0" wp14:anchorId="6F80C6A8" wp14:editId="1C8F8945">
                  <wp:extent cx="270000" cy="270000"/>
                  <wp:effectExtent l="0" t="0" r="0" b="0"/>
                  <wp:docPr id="481345098" name="Graphic 481345098" descr="P1249C1T4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45098" name="Graphic 481345098" descr="P1249C1T49#yIS1">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70000" cy="270000"/>
                          </a:xfrm>
                          <a:prstGeom prst="rect">
                            <a:avLst/>
                          </a:prstGeom>
                        </pic:spPr>
                      </pic:pic>
                    </a:graphicData>
                  </a:graphic>
                </wp:inline>
              </w:drawing>
            </w:r>
            <w:r w:rsidRPr="007A4A54">
              <w:rPr>
                <w:color w:val="00707E" w:themeColor="accent5" w:themeShade="BF"/>
              </w:rPr>
              <w:t>Recommendation</w:t>
            </w:r>
            <w:r>
              <w:rPr>
                <w:b w:val="0"/>
                <w:bCs w:val="0"/>
              </w:rPr>
              <w:t xml:space="preserve"> </w:t>
            </w:r>
            <w:r>
              <w:rPr>
                <w:color w:val="00707E" w:themeColor="accent5" w:themeShade="BF"/>
              </w:rPr>
              <w:t>3:</w:t>
            </w:r>
            <w:r>
              <w:t xml:space="preserve"> </w:t>
            </w:r>
            <w:r w:rsidR="00482D5C">
              <w:rPr>
                <w:b w:val="0"/>
                <w:bCs w:val="0"/>
              </w:rPr>
              <w:t xml:space="preserve">The NHRA should </w:t>
            </w:r>
            <w:r w:rsidR="00482D5C" w:rsidRPr="00440729">
              <w:t>reaffirm the commitments to improving mental health outcomes</w:t>
            </w:r>
            <w:r w:rsidR="00482D5C">
              <w:rPr>
                <w:b w:val="0"/>
                <w:bCs w:val="0"/>
              </w:rPr>
              <w:t xml:space="preserve"> through the separate </w:t>
            </w:r>
            <w:r w:rsidR="00482D5C" w:rsidRPr="00CB4599">
              <w:rPr>
                <w:b w:val="0"/>
                <w:bCs w:val="0"/>
                <w:i/>
                <w:iCs/>
              </w:rPr>
              <w:t>National Mental Health and Suicide Prevention Agreement</w:t>
            </w:r>
            <w:r w:rsidR="00482D5C">
              <w:rPr>
                <w:b w:val="0"/>
                <w:bCs w:val="0"/>
              </w:rPr>
              <w:t>, utilising the mechanisms agreed through the NHRA, including models of care, financing, innovation and performance monitoring, to progress agreed actions in the area of mental health.</w:t>
            </w:r>
            <w:r w:rsidRPr="00650E28">
              <w:rPr>
                <w:i/>
                <w:iCs/>
              </w:rPr>
              <w:t xml:space="preserve"> </w:t>
            </w:r>
          </w:p>
        </w:tc>
      </w:tr>
    </w:tbl>
    <w:p w14:paraId="535F53D4" w14:textId="77777777" w:rsidR="001D2E5C" w:rsidRDefault="001D2E5C" w:rsidP="004E1519"/>
    <w:p w14:paraId="35D1D02E" w14:textId="51F06F06" w:rsidR="004E1519" w:rsidRDefault="004E1519" w:rsidP="004E1519">
      <w:pPr>
        <w:pStyle w:val="Heading3"/>
      </w:pPr>
      <w:bookmarkStart w:id="214" w:name="_Ref146707004"/>
      <w:r>
        <w:t xml:space="preserve">Medicare </w:t>
      </w:r>
      <w:bookmarkEnd w:id="214"/>
      <w:r w:rsidR="00753848">
        <w:t>Principles</w:t>
      </w:r>
    </w:p>
    <w:p w14:paraId="4D2C50A6" w14:textId="7948774E" w:rsidR="004E1519" w:rsidRDefault="004E1519" w:rsidP="004E1519">
      <w:r>
        <w:t xml:space="preserve">A fundamental tenet of the NHRA is to embed the Medicare </w:t>
      </w:r>
      <w:r w:rsidR="00753848">
        <w:t xml:space="preserve">Principles </w:t>
      </w:r>
      <w:r>
        <w:t>as set out in Clause 8 of the Agreement into the operational arrangements for public hospitals:</w:t>
      </w:r>
    </w:p>
    <w:p w14:paraId="381EC546" w14:textId="77777777" w:rsidR="00C12847" w:rsidRPr="009F5279" w:rsidRDefault="00C12847" w:rsidP="00FF2491">
      <w:pPr>
        <w:spacing w:after="0"/>
        <w:ind w:left="425"/>
        <w:rPr>
          <w:i/>
          <w:iCs/>
        </w:rPr>
      </w:pPr>
      <w:r w:rsidRPr="009F5279">
        <w:rPr>
          <w:i/>
          <w:iCs/>
        </w:rPr>
        <w:t xml:space="preserve">“States (and Territories) will provide health and emergency services through the public hospital system, based on the following Medicare Principles: </w:t>
      </w:r>
    </w:p>
    <w:p w14:paraId="0F82E786" w14:textId="77777777" w:rsidR="00C12847" w:rsidRPr="009F5279" w:rsidRDefault="00C12847" w:rsidP="00A850C3">
      <w:pPr>
        <w:pStyle w:val="ListParagraph"/>
        <w:numPr>
          <w:ilvl w:val="0"/>
          <w:numId w:val="39"/>
        </w:numPr>
        <w:spacing w:after="0"/>
        <w:rPr>
          <w:i/>
          <w:iCs/>
        </w:rPr>
      </w:pPr>
      <w:r w:rsidRPr="009F5279">
        <w:rPr>
          <w:i/>
          <w:iCs/>
        </w:rPr>
        <w:t>eligible persons must be given the choice to receive public hospital services free of charge as public patients;</w:t>
      </w:r>
    </w:p>
    <w:p w14:paraId="2BF8B208" w14:textId="77777777" w:rsidR="00C12847" w:rsidRPr="009F5279" w:rsidRDefault="00C12847" w:rsidP="00A850C3">
      <w:pPr>
        <w:pStyle w:val="ListParagraph"/>
        <w:numPr>
          <w:ilvl w:val="0"/>
          <w:numId w:val="39"/>
        </w:numPr>
        <w:spacing w:after="0"/>
        <w:rPr>
          <w:i/>
          <w:iCs/>
        </w:rPr>
      </w:pPr>
      <w:r w:rsidRPr="009F5279">
        <w:rPr>
          <w:i/>
          <w:iCs/>
        </w:rPr>
        <w:t xml:space="preserve">access to public hospital services is to be on the basis of clinical need and within a clinically appropriate period; and </w:t>
      </w:r>
    </w:p>
    <w:p w14:paraId="7ED2B924" w14:textId="77777777" w:rsidR="00C12847" w:rsidRPr="009F5279" w:rsidRDefault="00C12847" w:rsidP="00A850C3">
      <w:pPr>
        <w:pStyle w:val="ListParagraph"/>
        <w:numPr>
          <w:ilvl w:val="0"/>
          <w:numId w:val="39"/>
        </w:numPr>
        <w:rPr>
          <w:i/>
          <w:iCs/>
        </w:rPr>
      </w:pPr>
      <w:r w:rsidRPr="009F5279">
        <w:rPr>
          <w:i/>
          <w:iCs/>
        </w:rPr>
        <w:t>arrangements are to be in place to ensure equitable access to such services for all eligible persons, regardless of their geographic location.</w:t>
      </w:r>
      <w:r>
        <w:rPr>
          <w:i/>
          <w:iCs/>
        </w:rPr>
        <w:t>”</w:t>
      </w:r>
    </w:p>
    <w:p w14:paraId="75158AEB" w14:textId="623273DA" w:rsidR="00C12847" w:rsidRDefault="00C12847" w:rsidP="00C12847">
      <w:r>
        <w:t xml:space="preserve">The NHRA seeks to ensure these </w:t>
      </w:r>
      <w:r w:rsidR="00753848">
        <w:t xml:space="preserve">Principles </w:t>
      </w:r>
      <w:r>
        <w:t>are implemented</w:t>
      </w:r>
      <w:r w:rsidR="007E5A90" w:rsidRPr="007E5A90">
        <w:t xml:space="preserve"> </w:t>
      </w:r>
      <w:r w:rsidR="007E5A90">
        <w:t>through the shared Objectives, overarching Roles and Responsibilities and Schedule G of the A</w:t>
      </w:r>
      <w:r w:rsidR="00EA40A0">
        <w:t>g</w:t>
      </w:r>
      <w:r w:rsidR="007E5A90">
        <w:t>reement</w:t>
      </w:r>
      <w:r w:rsidR="00EA40A0">
        <w:t xml:space="preserve">, </w:t>
      </w:r>
      <w:r w:rsidR="007E5A90">
        <w:t>that make explicit that eligible persons receiving public hospital services as a public patient will face no charges (with limited exceptions as set out in Clause G1), and that the default treatment of eligible persons presenting at public hospital emergency and outpatient departments is for them to be treated free-of-charge as public patient (Clauses G18 and G19). Further clauses that support the Medicare Principles are in those</w:t>
      </w:r>
      <w:r>
        <w:t xml:space="preserve"> that go to private patient neutrality (Clause A13), pricing adjustments that deliver neutrality (Clause A44) and compliance measures that seek to identify duplicate NHRA and MBS/PBS funding of patient episodes. </w:t>
      </w:r>
      <w:r w:rsidR="004E1519">
        <w:t>However, funding from sources beyond the NHRA, such as the MBS and PBS, has the potential to shift the focus from public hospital care towards private patient care</w:t>
      </w:r>
      <w:r>
        <w:t xml:space="preserve"> to generate additional hospital revenue. </w:t>
      </w:r>
    </w:p>
    <w:p w14:paraId="567F487D" w14:textId="7A7247DD" w:rsidR="004E1519" w:rsidRDefault="004E1519" w:rsidP="004E1519">
      <w:r>
        <w:t>Although the NHRA allows patients to opt to be treated as private patients in a public hospital, concerns have arisen in consultation at what is considered a lack of transparency in informed decision-making</w:t>
      </w:r>
      <w:r w:rsidR="0057252C">
        <w:t>.</w:t>
      </w:r>
      <w:r w:rsidRPr="0057252C">
        <w:rPr>
          <w:strike/>
        </w:rPr>
        <w:t xml:space="preserve"> </w:t>
      </w:r>
      <w:r w:rsidR="00394FAC">
        <w:t>There is continued public concern about admitted</w:t>
      </w:r>
      <w:r>
        <w:t xml:space="preserve"> patients </w:t>
      </w:r>
      <w:r w:rsidR="00394FAC">
        <w:t xml:space="preserve">being coerced or </w:t>
      </w:r>
      <w:r>
        <w:t xml:space="preserve">feeling pressured to </w:t>
      </w:r>
      <w:r w:rsidR="00394FAC">
        <w:t xml:space="preserve">use their </w:t>
      </w:r>
      <w:r>
        <w:t xml:space="preserve">private </w:t>
      </w:r>
      <w:r w:rsidR="00394FAC">
        <w:t>health insurance</w:t>
      </w:r>
      <w:r w:rsidR="003F5D51">
        <w:rPr>
          <w:rFonts w:ascii="ZWAdobeF" w:hAnsi="ZWAdobeF" w:cs="ZWAdobeF"/>
          <w:sz w:val="2"/>
          <w:szCs w:val="2"/>
        </w:rPr>
        <w:t>100F</w:t>
      </w:r>
      <w:r w:rsidR="00D31730" w:rsidRPr="00A8724E">
        <w:rPr>
          <w:rStyle w:val="FootnoteReference"/>
        </w:rPr>
        <w:footnoteReference w:id="102"/>
      </w:r>
      <w:r w:rsidR="00290E28" w:rsidRPr="00A8724E">
        <w:rPr>
          <w:vertAlign w:val="superscript"/>
        </w:rPr>
        <w:t>,</w:t>
      </w:r>
      <w:r w:rsidR="003F5D51">
        <w:rPr>
          <w:rFonts w:ascii="ZWAdobeF" w:hAnsi="ZWAdobeF" w:cs="ZWAdobeF"/>
          <w:sz w:val="2"/>
          <w:szCs w:val="2"/>
        </w:rPr>
        <w:t>101F</w:t>
      </w:r>
      <w:r w:rsidR="00290E28" w:rsidRPr="00A8724E">
        <w:rPr>
          <w:rStyle w:val="FootnoteReference"/>
        </w:rPr>
        <w:footnoteReference w:id="103"/>
      </w:r>
      <w:r w:rsidR="00FB3E9C" w:rsidRPr="00A8724E">
        <w:rPr>
          <w:vertAlign w:val="superscript"/>
        </w:rPr>
        <w:t>,</w:t>
      </w:r>
      <w:r w:rsidR="003F5D51">
        <w:rPr>
          <w:rFonts w:ascii="ZWAdobeF" w:hAnsi="ZWAdobeF" w:cs="ZWAdobeF"/>
          <w:sz w:val="2"/>
          <w:szCs w:val="2"/>
        </w:rPr>
        <w:t>102F</w:t>
      </w:r>
      <w:r w:rsidR="00FB3E9C" w:rsidRPr="00A8724E">
        <w:rPr>
          <w:rStyle w:val="FootnoteReference"/>
        </w:rPr>
        <w:footnoteReference w:id="104"/>
      </w:r>
      <w:r w:rsidR="00321FF0" w:rsidRPr="00A8724E">
        <w:t>.</w:t>
      </w:r>
      <w:r>
        <w:t xml:space="preserve"> While many informed consumers intentionally decide to be private patients in a public hospital, some providers establish procedures and business models to direct </w:t>
      </w:r>
      <w:r w:rsidR="00521BF1">
        <w:t xml:space="preserve">patients </w:t>
      </w:r>
      <w:r w:rsidR="007835A9">
        <w:t>being admitted to a public hospital</w:t>
      </w:r>
      <w:r w:rsidR="004E1C04">
        <w:t xml:space="preserve"> and accessing outpatient services </w:t>
      </w:r>
      <w:r>
        <w:t>to private funding options. While confirming a patient's election status is necessary, discussions should remain neutral to the outcome, respecting both patient preferences and compliance with MBS and NHRA rules.</w:t>
      </w:r>
    </w:p>
    <w:p w14:paraId="6C0CCBA2" w14:textId="7EAE6CEC" w:rsidR="004E1519" w:rsidRPr="00CC33BE" w:rsidRDefault="00307EE1" w:rsidP="004E1519">
      <w:pPr>
        <w:rPr>
          <w:strike/>
        </w:rPr>
      </w:pPr>
      <w:r>
        <w:t>There is some evidence which</w:t>
      </w:r>
      <w:r w:rsidR="004E1519">
        <w:t xml:space="preserve"> suggests that </w:t>
      </w:r>
      <w:r w:rsidR="009A1A03">
        <w:t xml:space="preserve">health services have not taken enough action to ensure that private practice activities comply with the </w:t>
      </w:r>
      <w:r w:rsidR="00CF5200">
        <w:t xml:space="preserve">NHRA, the </w:t>
      </w:r>
      <w:r w:rsidR="00CF5200" w:rsidRPr="009C2900">
        <w:rPr>
          <w:i/>
        </w:rPr>
        <w:t>Health Insurance Act 1973</w:t>
      </w:r>
      <w:r w:rsidR="00CF5200">
        <w:t xml:space="preserve"> and national MBS billing requirements</w:t>
      </w:r>
      <w:r w:rsidR="003F5D51">
        <w:rPr>
          <w:rFonts w:ascii="ZWAdobeF" w:hAnsi="ZWAdobeF" w:cs="ZWAdobeF"/>
          <w:sz w:val="2"/>
          <w:szCs w:val="2"/>
        </w:rPr>
        <w:t>103F</w:t>
      </w:r>
      <w:r w:rsidR="008A7BD3">
        <w:rPr>
          <w:rStyle w:val="FootnoteReference"/>
        </w:rPr>
        <w:footnoteReference w:id="105"/>
      </w:r>
      <w:r w:rsidR="00A2260F" w:rsidRPr="00AE3E6A">
        <w:rPr>
          <w:vertAlign w:val="superscript"/>
        </w:rPr>
        <w:t>,</w:t>
      </w:r>
      <w:r w:rsidR="003F5D51">
        <w:rPr>
          <w:rFonts w:ascii="ZWAdobeF" w:hAnsi="ZWAdobeF" w:cs="ZWAdobeF"/>
          <w:sz w:val="2"/>
          <w:szCs w:val="2"/>
        </w:rPr>
        <w:t>104F</w:t>
      </w:r>
      <w:r w:rsidR="00A2260F">
        <w:rPr>
          <w:rStyle w:val="FootnoteReference"/>
        </w:rPr>
        <w:footnoteReference w:id="106"/>
      </w:r>
      <w:r w:rsidR="00191835" w:rsidRPr="00AE3E6A">
        <w:rPr>
          <w:vertAlign w:val="superscript"/>
        </w:rPr>
        <w:t>,</w:t>
      </w:r>
      <w:r w:rsidR="003F5D51">
        <w:rPr>
          <w:rFonts w:ascii="ZWAdobeF" w:hAnsi="ZWAdobeF" w:cs="ZWAdobeF"/>
          <w:sz w:val="2"/>
          <w:szCs w:val="2"/>
        </w:rPr>
        <w:t>105F</w:t>
      </w:r>
      <w:r w:rsidR="00191835">
        <w:rPr>
          <w:rStyle w:val="FootnoteReference"/>
        </w:rPr>
        <w:footnoteReference w:id="107"/>
      </w:r>
      <w:r w:rsidR="00F84C7C">
        <w:t>.</w:t>
      </w:r>
      <w:r w:rsidR="008A7BD3">
        <w:t xml:space="preserve"> Non-compliant practices include not ensuring patient consent for private treatment and billing </w:t>
      </w:r>
      <w:r w:rsidR="004E1C04">
        <w:t xml:space="preserve">the MBS </w:t>
      </w:r>
      <w:r w:rsidR="008A7BD3">
        <w:t>for services already paid for under the NHRA.</w:t>
      </w:r>
      <w:r w:rsidR="00CC33BE">
        <w:t xml:space="preserve"> </w:t>
      </w:r>
    </w:p>
    <w:p w14:paraId="41ECF917" w14:textId="7EDFDDD5" w:rsidR="004E1519" w:rsidRDefault="004E1519" w:rsidP="004E1519">
      <w:pPr>
        <w:rPr>
          <w:rStyle w:val="cf01"/>
        </w:rPr>
      </w:pPr>
      <w:r>
        <w:t xml:space="preserve">It is recognised that </w:t>
      </w:r>
      <w:r>
        <w:rPr>
          <w:rStyle w:val="cf01"/>
        </w:rPr>
        <w:t>public hospitals attract sources of funding other than that which flows through the NHRA (such as MBS</w:t>
      </w:r>
      <w:r w:rsidR="00653734">
        <w:rPr>
          <w:rStyle w:val="cf01"/>
        </w:rPr>
        <w:t xml:space="preserve"> and </w:t>
      </w:r>
      <w:r>
        <w:rPr>
          <w:rStyle w:val="cf01"/>
        </w:rPr>
        <w:t>PBS) that are not separately reported and</w:t>
      </w:r>
      <w:r w:rsidR="00653734">
        <w:rPr>
          <w:rStyle w:val="cf01"/>
        </w:rPr>
        <w:t xml:space="preserve"> that</w:t>
      </w:r>
      <w:r>
        <w:rPr>
          <w:rStyle w:val="cf01"/>
        </w:rPr>
        <w:t xml:space="preserve"> create opportunity at the hospital department level to increase revenue. These funding arrangements reflect complex interactions with rights of private practice and ultimately have implications for attraction and retention of a medical workforce. </w:t>
      </w:r>
      <w:r>
        <w:t xml:space="preserve">While States and Territories are not mandated to offer all potential public hospital services at every location, instances like the replacement of emergency care or non-admitted services with privately provided services can impact the capacity of patients to access treatment free of charge as public patients and </w:t>
      </w:r>
      <w:r w:rsidR="00ED5F8B">
        <w:rPr>
          <w:rStyle w:val="cf01"/>
        </w:rPr>
        <w:t xml:space="preserve">do </w:t>
      </w:r>
      <w:r>
        <w:rPr>
          <w:rStyle w:val="cf01"/>
        </w:rPr>
        <w:t>not always result in financial outcomes that benefit the jurisdiction as a whole or the patient.</w:t>
      </w:r>
    </w:p>
    <w:p w14:paraId="3B1CCF48" w14:textId="04959A8A" w:rsidR="004E1519" w:rsidRDefault="004E1519" w:rsidP="004E1519">
      <w:r>
        <w:t>In some instances</w:t>
      </w:r>
      <w:r w:rsidR="00672B17">
        <w:t>,</w:t>
      </w:r>
      <w:r>
        <w:t xml:space="preserve"> these practices can conflict with </w:t>
      </w:r>
      <w:r w:rsidR="009543E7">
        <w:t xml:space="preserve">the </w:t>
      </w:r>
      <w:r>
        <w:t xml:space="preserve">Medicare </w:t>
      </w:r>
      <w:r w:rsidR="00244E3C">
        <w:t xml:space="preserve">Principles </w:t>
      </w:r>
      <w:r>
        <w:t xml:space="preserve">and NHRA compliance, where the Commonwealth will not fund patient services where the same service, or any part of the service, is funded through alternative funding mechanisms.  </w:t>
      </w:r>
      <w:r w:rsidR="00AF587E">
        <w:t xml:space="preserve"> </w:t>
      </w:r>
      <w:r w:rsidR="005A531B">
        <w:t>Through the data matching business rules developed in consultation with all jurisdictions, t</w:t>
      </w:r>
      <w:r w:rsidR="00AF587E" w:rsidRPr="00AF587E">
        <w:t xml:space="preserve">he NHFB </w:t>
      </w:r>
      <w:r w:rsidR="00205280">
        <w:t xml:space="preserve">has </w:t>
      </w:r>
      <w:r w:rsidR="005A531B">
        <w:t xml:space="preserve">been able to accurately </w:t>
      </w:r>
      <w:r w:rsidR="00205280">
        <w:t>identif</w:t>
      </w:r>
      <w:r w:rsidR="005A531B">
        <w:t>y</w:t>
      </w:r>
      <w:r w:rsidR="00205280">
        <w:t xml:space="preserve"> </w:t>
      </w:r>
      <w:r w:rsidR="00A57E03">
        <w:t>duplicate</w:t>
      </w:r>
      <w:r w:rsidR="00A57E03" w:rsidRPr="00AF587E">
        <w:t xml:space="preserve"> </w:t>
      </w:r>
      <w:r w:rsidR="00A57E03">
        <w:t xml:space="preserve">payments </w:t>
      </w:r>
      <w:r w:rsidR="00A57E03" w:rsidRPr="00AF587E">
        <w:t>for public hospital services</w:t>
      </w:r>
      <w:r w:rsidR="00A57E03">
        <w:t xml:space="preserve"> through</w:t>
      </w:r>
      <w:r w:rsidR="00A57E03" w:rsidRPr="00AF587E">
        <w:t xml:space="preserve"> the NHRA and MBS</w:t>
      </w:r>
      <w:r w:rsidR="00A57E03">
        <w:t xml:space="preserve"> annually since 2018-2019</w:t>
      </w:r>
      <w:r w:rsidR="00EF067C">
        <w:t>. These</w:t>
      </w:r>
      <w:r w:rsidR="00122D74">
        <w:t xml:space="preserve"> have been assessed by the </w:t>
      </w:r>
      <w:r w:rsidR="00265162" w:rsidRPr="00265162">
        <w:t>Australian National Audit Office</w:t>
      </w:r>
      <w:r w:rsidR="00265162">
        <w:t xml:space="preserve"> (</w:t>
      </w:r>
      <w:r w:rsidR="00122D74">
        <w:t>ANAO</w:t>
      </w:r>
      <w:r w:rsidR="00265162">
        <w:t>)</w:t>
      </w:r>
      <w:r w:rsidR="00122D74">
        <w:t xml:space="preserve"> as potentially falling within an annual range of $172</w:t>
      </w:r>
      <w:r w:rsidR="00054665">
        <w:t xml:space="preserve"> million to $332 million</w:t>
      </w:r>
      <w:bookmarkStart w:id="215" w:name="_Ref146284776"/>
      <w:r w:rsidR="003F5D51">
        <w:rPr>
          <w:rFonts w:ascii="ZWAdobeF" w:hAnsi="ZWAdobeF" w:cs="ZWAdobeF"/>
          <w:sz w:val="2"/>
          <w:szCs w:val="2"/>
        </w:rPr>
        <w:t>106F</w:t>
      </w:r>
      <w:r w:rsidR="003428FC">
        <w:rPr>
          <w:rStyle w:val="FootnoteReference"/>
        </w:rPr>
        <w:footnoteReference w:id="108"/>
      </w:r>
      <w:bookmarkEnd w:id="215"/>
      <w:r w:rsidR="00ED5F8B">
        <w:t xml:space="preserve">, </w:t>
      </w:r>
      <w:r w:rsidR="00A57E03">
        <w:t xml:space="preserve">with </w:t>
      </w:r>
      <w:r w:rsidR="00054665">
        <w:t xml:space="preserve">more </w:t>
      </w:r>
      <w:r w:rsidR="00A57E03">
        <w:t xml:space="preserve">recent advice </w:t>
      </w:r>
      <w:r w:rsidR="00EF067C">
        <w:t>provided to the Review by</w:t>
      </w:r>
      <w:r w:rsidR="00A57E03">
        <w:t xml:space="preserve"> the NHFB </w:t>
      </w:r>
      <w:r w:rsidR="00EF067C">
        <w:t>suggesting a figure closer</w:t>
      </w:r>
      <w:r w:rsidR="00A57E03">
        <w:t xml:space="preserve"> to $400 million</w:t>
      </w:r>
      <w:r w:rsidR="00AF587E" w:rsidRPr="00AF587E">
        <w:t>.</w:t>
      </w:r>
      <w:r w:rsidR="0071153B">
        <w:t xml:space="preserve"> Limitations and variations in how jurisdictions report their non-admitted services means there has been limited success in identifying the extent to which public hospitals rely on the MBS to fund the delivery of non-admitted services to private patients.</w:t>
      </w:r>
    </w:p>
    <w:p w14:paraId="5B48D485" w14:textId="730CE775" w:rsidR="004E1519" w:rsidRDefault="004E1519" w:rsidP="004E1519">
      <w:r>
        <w:t xml:space="preserve">Measuring the extent to which </w:t>
      </w:r>
      <w:r w:rsidR="001051A0">
        <w:t xml:space="preserve">the availability of </w:t>
      </w:r>
      <w:r>
        <w:t xml:space="preserve">services align with Medicare </w:t>
      </w:r>
      <w:r w:rsidR="001051A0">
        <w:t xml:space="preserve">Principles </w:t>
      </w:r>
      <w:r>
        <w:t xml:space="preserve">and NHRA requirements is difficult. To date there has been </w:t>
      </w:r>
      <w:r w:rsidR="00841A3F">
        <w:t xml:space="preserve">little </w:t>
      </w:r>
      <w:r>
        <w:t xml:space="preserve">measurement and reporting, resulting in limited insight into eligible patients' access to public hospital </w:t>
      </w:r>
      <w:r w:rsidR="007B5700">
        <w:t>services.</w:t>
      </w:r>
    </w:p>
    <w:p w14:paraId="7D2FB201" w14:textId="4182027C" w:rsidR="00841A3F" w:rsidRDefault="00C12847" w:rsidP="00C12847">
      <w:r>
        <w:t xml:space="preserve">Addressing these challenges </w:t>
      </w:r>
      <w:r w:rsidR="005B1A38">
        <w:t>requires greater</w:t>
      </w:r>
      <w:r>
        <w:t xml:space="preserve"> transparency in the election process</w:t>
      </w:r>
      <w:r w:rsidR="00841A3F">
        <w:t xml:space="preserve"> such as:</w:t>
      </w:r>
    </w:p>
    <w:p w14:paraId="571DB29E" w14:textId="6D4E23F2" w:rsidR="00841A3F" w:rsidRDefault="00BD3009">
      <w:pPr>
        <w:pStyle w:val="ListParagraph"/>
        <w:numPr>
          <w:ilvl w:val="0"/>
          <w:numId w:val="93"/>
        </w:numPr>
      </w:pPr>
      <w:r>
        <w:t>M</w:t>
      </w:r>
      <w:r w:rsidR="00C12847">
        <w:t xml:space="preserve">ore stringent requirements, principles </w:t>
      </w:r>
      <w:r w:rsidR="00841A3F">
        <w:t xml:space="preserve">and </w:t>
      </w:r>
      <w:r w:rsidR="00C12847">
        <w:t xml:space="preserve">criteria to ensure informed financial consent when </w:t>
      </w:r>
      <w:r w:rsidR="00841A3F">
        <w:t xml:space="preserve">making a </w:t>
      </w:r>
      <w:r w:rsidR="00C12847">
        <w:t xml:space="preserve">private patient </w:t>
      </w:r>
      <w:r w:rsidR="00841A3F">
        <w:t>election</w:t>
      </w:r>
      <w:r>
        <w:t>.</w:t>
      </w:r>
    </w:p>
    <w:p w14:paraId="195337E1" w14:textId="55D1FA2E" w:rsidR="00841A3F" w:rsidRDefault="00BD3009">
      <w:pPr>
        <w:pStyle w:val="ListParagraph"/>
        <w:numPr>
          <w:ilvl w:val="0"/>
          <w:numId w:val="93"/>
        </w:numPr>
      </w:pPr>
      <w:r>
        <w:t>C</w:t>
      </w:r>
      <w:r w:rsidR="00C12847">
        <w:t>urbing the ability to make multiple changes</w:t>
      </w:r>
      <w:r w:rsidR="00841A3F">
        <w:t xml:space="preserve"> of election</w:t>
      </w:r>
      <w:r w:rsidR="00C12847">
        <w:t xml:space="preserve"> during a hospital episode</w:t>
      </w:r>
      <w:r>
        <w:t>.</w:t>
      </w:r>
    </w:p>
    <w:p w14:paraId="68187213" w14:textId="4C7B6832" w:rsidR="00841A3F" w:rsidRDefault="00BD3009">
      <w:pPr>
        <w:pStyle w:val="ListParagraph"/>
        <w:numPr>
          <w:ilvl w:val="0"/>
          <w:numId w:val="93"/>
        </w:numPr>
      </w:pPr>
      <w:r>
        <w:t>A</w:t>
      </w:r>
      <w:r w:rsidR="00C12847">
        <w:t>n audit</w:t>
      </w:r>
      <w:r w:rsidR="00C12847" w:rsidDel="00841A3F">
        <w:t xml:space="preserve"> </w:t>
      </w:r>
      <w:r w:rsidR="00C12847">
        <w:t>of patient election processes/forms, to ensure there is consistency and compliance with minimum requirements for admitted patient election, to ensure all patients are consistently informed of their choices, in accordance with Clause G30 of the NHRA.</w:t>
      </w:r>
    </w:p>
    <w:p w14:paraId="140DEA94" w14:textId="39723DE9" w:rsidR="00C12847" w:rsidRDefault="00BD3009">
      <w:pPr>
        <w:pStyle w:val="ListParagraph"/>
        <w:numPr>
          <w:ilvl w:val="0"/>
          <w:numId w:val="93"/>
        </w:numPr>
      </w:pPr>
      <w:r>
        <w:t>E</w:t>
      </w:r>
      <w:r w:rsidR="00C12847">
        <w:t xml:space="preserve">nsuring that staff </w:t>
      </w:r>
      <w:r w:rsidR="00841A3F">
        <w:t xml:space="preserve">gathering </w:t>
      </w:r>
      <w:r w:rsidR="00C12847">
        <w:t>informed financial consent identify themselves on the form to provide accountability.</w:t>
      </w:r>
    </w:p>
    <w:p w14:paraId="74ECF7B2" w14:textId="08F5EC95" w:rsidR="004E1519" w:rsidRDefault="004E1519" w:rsidP="004E1519">
      <w:r>
        <w:t xml:space="preserve">Future iterations of the NHRA should incorporate a set of appropriate metrics to enhance visibility </w:t>
      </w:r>
      <w:r w:rsidR="00685B60">
        <w:t xml:space="preserve">of </w:t>
      </w:r>
      <w:r>
        <w:t>performance against the overarching goal of providing access free of charge to public health services. This entails standardised reporting that underscores access to public hospital services for public patients across a predefined range of admitted, non-admitted and specialised services.</w:t>
      </w:r>
    </w:p>
    <w:tbl>
      <w:tblPr>
        <w:tblStyle w:val="TableGrid"/>
        <w:tblW w:w="0" w:type="auto"/>
        <w:shd w:val="clear" w:color="auto" w:fill="F2F2F2" w:themeFill="background1" w:themeFillShade="F2"/>
        <w:tblLook w:val="04A0" w:firstRow="1" w:lastRow="0" w:firstColumn="1" w:lastColumn="0" w:noHBand="0" w:noVBand="1"/>
      </w:tblPr>
      <w:tblGrid>
        <w:gridCol w:w="10466"/>
      </w:tblGrid>
      <w:tr w:rsidR="004E1519" w14:paraId="3BB3DBF1" w14:textId="77777777" w:rsidTr="00B81203">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tcPr>
          <w:p w14:paraId="41E74FE4" w14:textId="68AC12CA" w:rsidR="004E1519" w:rsidRPr="00536C52" w:rsidRDefault="004E1519" w:rsidP="00B81203">
            <w:pPr>
              <w:pStyle w:val="Summarytable"/>
              <w:keepNext/>
              <w:keepLines/>
              <w:rPr>
                <w:color w:val="00707E" w:themeColor="accent5" w:themeShade="BF"/>
              </w:rPr>
            </w:pPr>
            <w:r>
              <w:rPr>
                <w:noProof/>
                <w:color w:val="0097A9" w:themeColor="accent5"/>
              </w:rPr>
              <w:drawing>
                <wp:inline distT="0" distB="0" distL="0" distR="0" wp14:anchorId="3812F312" wp14:editId="1BA08488">
                  <wp:extent cx="270000" cy="270000"/>
                  <wp:effectExtent l="0" t="0" r="0" b="0"/>
                  <wp:docPr id="1489793647" name="Graphic 1489793647" descr="P1270C1T5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47" name="Graphic 1489793647" descr="P1270C1T50#yIS1">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70000" cy="270000"/>
                          </a:xfrm>
                          <a:prstGeom prst="rect">
                            <a:avLst/>
                          </a:prstGeom>
                        </pic:spPr>
                      </pic:pic>
                    </a:graphicData>
                  </a:graphic>
                </wp:inline>
              </w:drawing>
            </w:r>
            <w:r w:rsidRPr="00636A45">
              <w:rPr>
                <w:color w:val="00707E" w:themeColor="accent5" w:themeShade="BF"/>
              </w:rPr>
              <w:t xml:space="preserve">Recommendation </w:t>
            </w:r>
            <w:r w:rsidR="00244EC5">
              <w:rPr>
                <w:color w:val="00707E" w:themeColor="accent5" w:themeShade="BF"/>
              </w:rPr>
              <w:t>4</w:t>
            </w:r>
            <w:r w:rsidRPr="00BB2C81">
              <w:rPr>
                <w:color w:val="00707E" w:themeColor="accent5" w:themeShade="BF"/>
              </w:rPr>
              <w:t xml:space="preserve">: </w:t>
            </w:r>
            <w:r w:rsidRPr="00D267FD">
              <w:rPr>
                <w:b w:val="0"/>
                <w:bCs w:val="0"/>
              </w:rPr>
              <w:t xml:space="preserve">The </w:t>
            </w:r>
            <w:r w:rsidRPr="00536C52">
              <w:t xml:space="preserve">Medicare </w:t>
            </w:r>
            <w:r w:rsidR="001051A0">
              <w:t>P</w:t>
            </w:r>
            <w:r w:rsidR="001051A0" w:rsidRPr="00536C52">
              <w:t>rinciples</w:t>
            </w:r>
            <w:r w:rsidR="001051A0" w:rsidRPr="00D267FD">
              <w:rPr>
                <w:b w:val="0"/>
                <w:bCs w:val="0"/>
              </w:rPr>
              <w:t xml:space="preserve"> </w:t>
            </w:r>
            <w:r>
              <w:rPr>
                <w:b w:val="0"/>
                <w:bCs w:val="0"/>
              </w:rPr>
              <w:t>(</w:t>
            </w:r>
            <w:r w:rsidRPr="00D267FD">
              <w:rPr>
                <w:b w:val="0"/>
                <w:bCs w:val="0"/>
              </w:rPr>
              <w:t xml:space="preserve">that enable treatment to be provided free of charge to a public patient in a public hospital, access </w:t>
            </w:r>
            <w:r>
              <w:rPr>
                <w:b w:val="0"/>
                <w:bCs w:val="0"/>
              </w:rPr>
              <w:t xml:space="preserve">to public hospital services </w:t>
            </w:r>
            <w:r w:rsidRPr="00D267FD">
              <w:rPr>
                <w:b w:val="0"/>
                <w:bCs w:val="0"/>
              </w:rPr>
              <w:t>on the basis of clinical need and within a clinically appropriate period</w:t>
            </w:r>
            <w:r>
              <w:rPr>
                <w:b w:val="0"/>
                <w:bCs w:val="0"/>
              </w:rPr>
              <w:t>,</w:t>
            </w:r>
            <w:r w:rsidRPr="00D267FD">
              <w:rPr>
                <w:b w:val="0"/>
                <w:bCs w:val="0"/>
              </w:rPr>
              <w:t xml:space="preserve"> and arrangements that ensure equitable access to services regardless of geographic location</w:t>
            </w:r>
            <w:r>
              <w:rPr>
                <w:b w:val="0"/>
                <w:bCs w:val="0"/>
              </w:rPr>
              <w:t>)</w:t>
            </w:r>
            <w:r w:rsidRPr="00D267FD">
              <w:rPr>
                <w:b w:val="0"/>
                <w:bCs w:val="0"/>
              </w:rPr>
              <w:t xml:space="preserve"> </w:t>
            </w:r>
            <w:r w:rsidRPr="00D16C69">
              <w:t>should remain a core feature of the NHRA.</w:t>
            </w:r>
            <w:r>
              <w:rPr>
                <w:b w:val="0"/>
                <w:bCs w:val="0"/>
              </w:rPr>
              <w:t xml:space="preserve"> The effective operation of the Medicare </w:t>
            </w:r>
            <w:r w:rsidR="00E82885">
              <w:rPr>
                <w:b w:val="0"/>
                <w:bCs w:val="0"/>
              </w:rPr>
              <w:t xml:space="preserve">Principles </w:t>
            </w:r>
            <w:r>
              <w:rPr>
                <w:b w:val="0"/>
                <w:bCs w:val="0"/>
              </w:rPr>
              <w:t>should be supported by:</w:t>
            </w:r>
          </w:p>
          <w:p w14:paraId="61F0AAC7" w14:textId="29D22DFC" w:rsidR="004E1519" w:rsidRDefault="004E1519" w:rsidP="00A850C3">
            <w:pPr>
              <w:pStyle w:val="Summarytable"/>
              <w:keepNext/>
              <w:keepLines/>
              <w:numPr>
                <w:ilvl w:val="0"/>
                <w:numId w:val="32"/>
              </w:numPr>
              <w:ind w:left="567" w:hanging="283"/>
              <w:rPr>
                <w:b w:val="0"/>
                <w:bCs w:val="0"/>
              </w:rPr>
            </w:pPr>
            <w:r w:rsidRPr="00151153">
              <w:rPr>
                <w:b w:val="0"/>
                <w:bCs w:val="0"/>
              </w:rPr>
              <w:t xml:space="preserve">Processes to ensure the Medicare </w:t>
            </w:r>
            <w:r w:rsidR="001051A0">
              <w:rPr>
                <w:b w:val="0"/>
                <w:bCs w:val="0"/>
              </w:rPr>
              <w:t>P</w:t>
            </w:r>
            <w:r w:rsidR="001051A0" w:rsidRPr="00151153">
              <w:rPr>
                <w:b w:val="0"/>
                <w:bCs w:val="0"/>
              </w:rPr>
              <w:t xml:space="preserve">rinciples </w:t>
            </w:r>
            <w:r w:rsidRPr="00151153">
              <w:rPr>
                <w:b w:val="0"/>
                <w:bCs w:val="0"/>
              </w:rPr>
              <w:t xml:space="preserve">are being delivered in practice through </w:t>
            </w:r>
            <w:r w:rsidR="00EA47F1">
              <w:rPr>
                <w:b w:val="0"/>
                <w:bCs w:val="0"/>
              </w:rPr>
              <w:t>greater consistency within and across jurisdictions</w:t>
            </w:r>
            <w:r w:rsidRPr="00151153">
              <w:rPr>
                <w:b w:val="0"/>
                <w:bCs w:val="0"/>
              </w:rPr>
              <w:t xml:space="preserve"> of the private patient election process</w:t>
            </w:r>
            <w:r w:rsidR="00E3417C">
              <w:rPr>
                <w:b w:val="0"/>
                <w:bCs w:val="0"/>
              </w:rPr>
              <w:t>,</w:t>
            </w:r>
            <w:r w:rsidR="005B7407">
              <w:rPr>
                <w:b w:val="0"/>
                <w:bCs w:val="0"/>
              </w:rPr>
              <w:t xml:space="preserve"> that is straightforward and </w:t>
            </w:r>
            <w:r w:rsidR="00497FF1">
              <w:rPr>
                <w:b w:val="0"/>
                <w:bCs w:val="0"/>
              </w:rPr>
              <w:t>understood by the patient and ensures accountability for the provider: for example, through</w:t>
            </w:r>
            <w:r w:rsidRPr="00151153">
              <w:rPr>
                <w:b w:val="0"/>
                <w:bCs w:val="0"/>
              </w:rPr>
              <w:t xml:space="preserve"> rigorous informed financial consent</w:t>
            </w:r>
            <w:r w:rsidR="00497FF1">
              <w:rPr>
                <w:b w:val="0"/>
                <w:bCs w:val="0"/>
              </w:rPr>
              <w:t xml:space="preserve"> processes</w:t>
            </w:r>
            <w:r w:rsidRPr="00151153">
              <w:rPr>
                <w:b w:val="0"/>
                <w:bCs w:val="0"/>
              </w:rPr>
              <w:t>, restricting multiple changes of election during an admission, making explicit a requirement for recording private patient election for non-admitted services and reporting data on out-of-pocket patient costs</w:t>
            </w:r>
            <w:r>
              <w:rPr>
                <w:b w:val="0"/>
                <w:bCs w:val="0"/>
              </w:rPr>
              <w:t>.</w:t>
            </w:r>
          </w:p>
          <w:p w14:paraId="68D48309" w14:textId="56C009E4" w:rsidR="004E1519" w:rsidRPr="00151153" w:rsidRDefault="004E1519" w:rsidP="00A850C3">
            <w:pPr>
              <w:pStyle w:val="Summarytable"/>
              <w:keepNext/>
              <w:keepLines/>
              <w:numPr>
                <w:ilvl w:val="0"/>
                <w:numId w:val="32"/>
              </w:numPr>
              <w:ind w:left="567" w:hanging="283"/>
              <w:rPr>
                <w:b w:val="0"/>
                <w:bCs w:val="0"/>
              </w:rPr>
            </w:pPr>
            <w:r>
              <w:rPr>
                <w:b w:val="0"/>
                <w:bCs w:val="0"/>
              </w:rPr>
              <w:t>R</w:t>
            </w:r>
            <w:r w:rsidRPr="00E21918">
              <w:rPr>
                <w:b w:val="0"/>
                <w:bCs w:val="0"/>
              </w:rPr>
              <w:t>eporting of all Commonwealth</w:t>
            </w:r>
            <w:r>
              <w:rPr>
                <w:b w:val="0"/>
                <w:bCs w:val="0"/>
              </w:rPr>
              <w:t>,</w:t>
            </w:r>
            <w:r>
              <w:t xml:space="preserve"> </w:t>
            </w:r>
            <w:r w:rsidRPr="00B03D9A">
              <w:rPr>
                <w:b w:val="0"/>
                <w:bCs w:val="0"/>
              </w:rPr>
              <w:t>State and Territory</w:t>
            </w:r>
            <w:r w:rsidRPr="00E21918">
              <w:rPr>
                <w:b w:val="0"/>
                <w:bCs w:val="0"/>
              </w:rPr>
              <w:t xml:space="preserve"> funding provided to public hospitals, both through the NHRA and through Commonwealth programs such as MBS and PBS, to give a more complete picture and better map trends over time.</w:t>
            </w:r>
          </w:p>
        </w:tc>
      </w:tr>
    </w:tbl>
    <w:p w14:paraId="7E098710" w14:textId="77777777" w:rsidR="004E1519" w:rsidRDefault="004E1519" w:rsidP="004E1519"/>
    <w:p w14:paraId="4E8F5AD6" w14:textId="20485A01" w:rsidR="004E1519" w:rsidRPr="00DA0F2D" w:rsidRDefault="004E1519" w:rsidP="004E1519">
      <w:pPr>
        <w:pStyle w:val="Heading3"/>
      </w:pPr>
      <w:r w:rsidRPr="00DA0F2D">
        <w:t xml:space="preserve">National Governance </w:t>
      </w:r>
      <w:r>
        <w:t>a</w:t>
      </w:r>
      <w:r w:rsidRPr="00DA0F2D">
        <w:t>rrangements</w:t>
      </w:r>
    </w:p>
    <w:p w14:paraId="6C9C9E7A" w14:textId="77777777" w:rsidR="00AB0169" w:rsidRPr="00FF5DC6" w:rsidRDefault="0052526B" w:rsidP="007745A8">
      <w:pPr>
        <w:pStyle w:val="Heading4"/>
      </w:pPr>
      <w:bookmarkStart w:id="216" w:name="_Ref148441362"/>
      <w:r w:rsidRPr="00FF5DC6">
        <w:t>Governance e</w:t>
      </w:r>
      <w:r w:rsidR="00FF5DC6" w:rsidRPr="00FF5DC6">
        <w:t>volution</w:t>
      </w:r>
      <w:bookmarkEnd w:id="216"/>
    </w:p>
    <w:p w14:paraId="4F78AD40" w14:textId="4A567188" w:rsidR="004E1519" w:rsidRDefault="004E1519" w:rsidP="004E1519">
      <w:pPr>
        <w:rPr>
          <w:color w:val="000000" w:themeColor="text1"/>
        </w:rPr>
      </w:pPr>
      <w:r w:rsidRPr="008F0E8C">
        <w:rPr>
          <w:color w:val="000000" w:themeColor="text1"/>
        </w:rPr>
        <w:t xml:space="preserve">At the time of the signing of the </w:t>
      </w:r>
      <w:r>
        <w:rPr>
          <w:color w:val="000000" w:themeColor="text1"/>
        </w:rPr>
        <w:t xml:space="preserve">original </w:t>
      </w:r>
      <w:r w:rsidRPr="008F0E8C">
        <w:rPr>
          <w:color w:val="000000" w:themeColor="text1"/>
        </w:rPr>
        <w:t xml:space="preserve">NHRA </w:t>
      </w:r>
      <w:r>
        <w:rPr>
          <w:color w:val="000000" w:themeColor="text1"/>
        </w:rPr>
        <w:t>and the current</w:t>
      </w:r>
      <w:r w:rsidRPr="008F0E8C">
        <w:rPr>
          <w:color w:val="000000" w:themeColor="text1"/>
        </w:rPr>
        <w:t xml:space="preserve"> Addendum, the Commonwealth and State and Territory governments worked at a national level within the structures of the </w:t>
      </w:r>
      <w:r w:rsidRPr="00DA0F2D">
        <w:rPr>
          <w:color w:val="000000" w:themeColor="text1"/>
        </w:rPr>
        <w:t>now d</w:t>
      </w:r>
      <w:r>
        <w:rPr>
          <w:color w:val="000000" w:themeColor="text1"/>
        </w:rPr>
        <w:t>issolved</w:t>
      </w:r>
      <w:r w:rsidRPr="00DA0F2D">
        <w:rPr>
          <w:color w:val="000000" w:themeColor="text1"/>
        </w:rPr>
        <w:t xml:space="preserve"> COAG</w:t>
      </w:r>
      <w:r w:rsidRPr="008F0E8C">
        <w:rPr>
          <w:color w:val="000000" w:themeColor="text1"/>
        </w:rPr>
        <w:t xml:space="preserve">. </w:t>
      </w:r>
      <w:r>
        <w:rPr>
          <w:color w:val="000000" w:themeColor="text1"/>
        </w:rPr>
        <w:t xml:space="preserve">With the creation of National Cabinet, </w:t>
      </w:r>
      <w:r w:rsidR="00841A3F">
        <w:rPr>
          <w:color w:val="000000" w:themeColor="text1"/>
        </w:rPr>
        <w:t>not all</w:t>
      </w:r>
      <w:r>
        <w:rPr>
          <w:color w:val="000000" w:themeColor="text1"/>
        </w:rPr>
        <w:t xml:space="preserve"> of COAG’s</w:t>
      </w:r>
      <w:r w:rsidRPr="00AA1895">
        <w:rPr>
          <w:color w:val="000000" w:themeColor="text1"/>
        </w:rPr>
        <w:t xml:space="preserve"> reporting and accountability responsibilities were assumed by </w:t>
      </w:r>
      <w:r>
        <w:rPr>
          <w:color w:val="000000" w:themeColor="text1"/>
        </w:rPr>
        <w:t>other</w:t>
      </w:r>
      <w:r w:rsidRPr="00AA1895">
        <w:rPr>
          <w:color w:val="000000" w:themeColor="text1"/>
        </w:rPr>
        <w:t xml:space="preserve"> </w:t>
      </w:r>
      <w:r>
        <w:rPr>
          <w:color w:val="000000" w:themeColor="text1"/>
        </w:rPr>
        <w:t>bodies, with flow</w:t>
      </w:r>
      <w:r w:rsidR="00C03BA2">
        <w:rPr>
          <w:color w:val="000000" w:themeColor="text1"/>
        </w:rPr>
        <w:t>-</w:t>
      </w:r>
      <w:r>
        <w:rPr>
          <w:color w:val="000000" w:themeColor="text1"/>
        </w:rPr>
        <w:t>on impacts to the governance and monitoring of the NHRA.</w:t>
      </w:r>
    </w:p>
    <w:p w14:paraId="639B3EB3" w14:textId="111EC4EF" w:rsidR="004E1519" w:rsidRDefault="004E1519" w:rsidP="004E1519">
      <w:pPr>
        <w:rPr>
          <w:color w:val="000000" w:themeColor="text1"/>
        </w:rPr>
      </w:pPr>
      <w:r>
        <w:rPr>
          <w:color w:val="000000" w:themeColor="text1"/>
        </w:rPr>
        <w:t xml:space="preserve">Further, there have been </w:t>
      </w:r>
      <w:r w:rsidRPr="00605DD2">
        <w:rPr>
          <w:color w:val="000000" w:themeColor="text1"/>
        </w:rPr>
        <w:t xml:space="preserve">changes to the </w:t>
      </w:r>
      <w:r>
        <w:rPr>
          <w:color w:val="000000" w:themeColor="text1"/>
        </w:rPr>
        <w:t xml:space="preserve">responsibilities of the </w:t>
      </w:r>
      <w:r w:rsidRPr="00605DD2">
        <w:rPr>
          <w:color w:val="000000" w:themeColor="text1"/>
        </w:rPr>
        <w:t xml:space="preserve">national bodies </w:t>
      </w:r>
      <w:r>
        <w:rPr>
          <w:color w:val="000000" w:themeColor="text1"/>
        </w:rPr>
        <w:t xml:space="preserve">(outlined in Section 2.4) </w:t>
      </w:r>
      <w:r w:rsidRPr="00605DD2">
        <w:rPr>
          <w:color w:val="000000" w:themeColor="text1"/>
        </w:rPr>
        <w:t>through the course of the Agreement</w:t>
      </w:r>
      <w:r>
        <w:rPr>
          <w:color w:val="000000" w:themeColor="text1"/>
        </w:rPr>
        <w:t xml:space="preserve">, for example, the </w:t>
      </w:r>
      <w:r w:rsidR="00B61D95">
        <w:rPr>
          <w:color w:val="000000" w:themeColor="text1"/>
        </w:rPr>
        <w:t>National Health Performance Authority (</w:t>
      </w:r>
      <w:r w:rsidRPr="006E346A">
        <w:rPr>
          <w:color w:val="000000" w:themeColor="text1"/>
        </w:rPr>
        <w:t>NHPA</w:t>
      </w:r>
      <w:r w:rsidR="00B61D95">
        <w:rPr>
          <w:color w:val="000000" w:themeColor="text1"/>
        </w:rPr>
        <w:t>)</w:t>
      </w:r>
      <w:r w:rsidRPr="006E346A">
        <w:rPr>
          <w:color w:val="000000" w:themeColor="text1"/>
        </w:rPr>
        <w:t xml:space="preserve"> ceas</w:t>
      </w:r>
      <w:r>
        <w:rPr>
          <w:color w:val="000000" w:themeColor="text1"/>
        </w:rPr>
        <w:t xml:space="preserve">ed </w:t>
      </w:r>
      <w:r w:rsidRPr="006E346A">
        <w:rPr>
          <w:color w:val="000000" w:themeColor="text1"/>
        </w:rPr>
        <w:t>operation</w:t>
      </w:r>
      <w:r>
        <w:rPr>
          <w:color w:val="000000" w:themeColor="text1"/>
        </w:rPr>
        <w:t>, with</w:t>
      </w:r>
      <w:r w:rsidRPr="006E346A">
        <w:rPr>
          <w:color w:val="000000" w:themeColor="text1"/>
        </w:rPr>
        <w:t xml:space="preserve"> reporting function</w:t>
      </w:r>
      <w:r>
        <w:rPr>
          <w:color w:val="000000" w:themeColor="text1"/>
        </w:rPr>
        <w:t>s</w:t>
      </w:r>
      <w:r w:rsidRPr="006E346A">
        <w:rPr>
          <w:color w:val="000000" w:themeColor="text1"/>
        </w:rPr>
        <w:t xml:space="preserve"> transferred to </w:t>
      </w:r>
      <w:r w:rsidR="007804DB">
        <w:rPr>
          <w:color w:val="000000" w:themeColor="text1"/>
        </w:rPr>
        <w:t xml:space="preserve">the </w:t>
      </w:r>
      <w:r w:rsidRPr="006E346A">
        <w:rPr>
          <w:color w:val="000000" w:themeColor="text1"/>
        </w:rPr>
        <w:t xml:space="preserve">AIHW, </w:t>
      </w:r>
      <w:r>
        <w:rPr>
          <w:color w:val="000000" w:themeColor="text1"/>
        </w:rPr>
        <w:t>and</w:t>
      </w:r>
      <w:r w:rsidRPr="006E346A">
        <w:rPr>
          <w:color w:val="000000" w:themeColor="text1"/>
        </w:rPr>
        <w:t xml:space="preserve"> remaining functions </w:t>
      </w:r>
      <w:r>
        <w:rPr>
          <w:color w:val="000000" w:themeColor="text1"/>
        </w:rPr>
        <w:t>assumed</w:t>
      </w:r>
      <w:r w:rsidRPr="006E346A">
        <w:rPr>
          <w:color w:val="000000" w:themeColor="text1"/>
        </w:rPr>
        <w:t xml:space="preserve"> by the ACSQHC and Commonwealth Department of Health</w:t>
      </w:r>
      <w:r>
        <w:rPr>
          <w:color w:val="000000" w:themeColor="text1"/>
        </w:rPr>
        <w:t xml:space="preserve"> and Aged Care.</w:t>
      </w:r>
    </w:p>
    <w:p w14:paraId="55C139AF" w14:textId="221C9C22" w:rsidR="004E1519" w:rsidRDefault="004E1519" w:rsidP="004E1519">
      <w:pPr>
        <w:rPr>
          <w:color w:val="000000" w:themeColor="text1"/>
        </w:rPr>
      </w:pPr>
      <w:r w:rsidRPr="008F0E8C">
        <w:rPr>
          <w:color w:val="000000" w:themeColor="text1"/>
        </w:rPr>
        <w:t>The</w:t>
      </w:r>
      <w:r>
        <w:rPr>
          <w:color w:val="000000" w:themeColor="text1"/>
        </w:rPr>
        <w:t>se</w:t>
      </w:r>
      <w:r w:rsidRPr="008F0E8C">
        <w:rPr>
          <w:color w:val="000000" w:themeColor="text1"/>
        </w:rPr>
        <w:t xml:space="preserve"> change</w:t>
      </w:r>
      <w:r>
        <w:rPr>
          <w:color w:val="000000" w:themeColor="text1"/>
        </w:rPr>
        <w:t>s</w:t>
      </w:r>
      <w:r w:rsidRPr="008F0E8C">
        <w:rPr>
          <w:color w:val="000000" w:themeColor="text1"/>
        </w:rPr>
        <w:t xml:space="preserve"> </w:t>
      </w:r>
      <w:r>
        <w:rPr>
          <w:color w:val="000000" w:themeColor="text1"/>
        </w:rPr>
        <w:t>to</w:t>
      </w:r>
      <w:r w:rsidRPr="008F0E8C">
        <w:rPr>
          <w:color w:val="000000" w:themeColor="text1"/>
        </w:rPr>
        <w:t xml:space="preserve"> the national architecture </w:t>
      </w:r>
      <w:r>
        <w:rPr>
          <w:color w:val="000000" w:themeColor="text1"/>
        </w:rPr>
        <w:t>have created</w:t>
      </w:r>
      <w:r w:rsidRPr="008F0E8C">
        <w:rPr>
          <w:color w:val="000000" w:themeColor="text1"/>
        </w:rPr>
        <w:t xml:space="preserve"> </w:t>
      </w:r>
      <w:r>
        <w:rPr>
          <w:color w:val="000000" w:themeColor="text1"/>
        </w:rPr>
        <w:t>barriers to delivering all elements of the NHRA as intended</w:t>
      </w:r>
      <w:r w:rsidR="0045693A">
        <w:rPr>
          <w:color w:val="000000" w:themeColor="text1"/>
        </w:rPr>
        <w:t>,</w:t>
      </w:r>
      <w:r w:rsidRPr="008F0E8C">
        <w:rPr>
          <w:color w:val="000000" w:themeColor="text1"/>
        </w:rPr>
        <w:t xml:space="preserve"> </w:t>
      </w:r>
      <w:r>
        <w:rPr>
          <w:color w:val="000000" w:themeColor="text1"/>
        </w:rPr>
        <w:t>with a lack of clarity about which bodies retain responsibility for which elements of the NHRA and their reporting arrangements.</w:t>
      </w:r>
    </w:p>
    <w:tbl>
      <w:tblPr>
        <w:tblStyle w:val="TableGrid"/>
        <w:tblW w:w="0" w:type="auto"/>
        <w:shd w:val="clear" w:color="auto" w:fill="F2F2F2" w:themeFill="background1" w:themeFillShade="F2"/>
        <w:tblLook w:val="04A0" w:firstRow="1" w:lastRow="0" w:firstColumn="1" w:lastColumn="0" w:noHBand="0" w:noVBand="1"/>
      </w:tblPr>
      <w:tblGrid>
        <w:gridCol w:w="10466"/>
      </w:tblGrid>
      <w:tr w:rsidR="009A0809" w14:paraId="091F92AB" w14:textId="77777777" w:rsidTr="00B81203">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tcPr>
          <w:p w14:paraId="3B320611" w14:textId="76B36741" w:rsidR="009A0809" w:rsidRPr="00151153" w:rsidRDefault="009A0809" w:rsidP="008F00D6">
            <w:pPr>
              <w:pStyle w:val="Summarytable"/>
              <w:keepNext/>
              <w:keepLines/>
              <w:rPr>
                <w:b w:val="0"/>
                <w:bCs w:val="0"/>
              </w:rPr>
            </w:pPr>
            <w:r>
              <w:rPr>
                <w:noProof/>
                <w:color w:val="0097A9" w:themeColor="accent5"/>
              </w:rPr>
              <w:drawing>
                <wp:inline distT="0" distB="0" distL="0" distR="0" wp14:anchorId="1B4A7175" wp14:editId="2C2E83ED">
                  <wp:extent cx="270000" cy="270000"/>
                  <wp:effectExtent l="0" t="0" r="0" b="0"/>
                  <wp:docPr id="196" name="Graphic 196" descr="P1280C1T5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Graphic 196" descr="P1280C1T51#yIS1">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70000" cy="270000"/>
                          </a:xfrm>
                          <a:prstGeom prst="rect">
                            <a:avLst/>
                          </a:prstGeom>
                        </pic:spPr>
                      </pic:pic>
                    </a:graphicData>
                  </a:graphic>
                </wp:inline>
              </w:drawing>
            </w:r>
            <w:r w:rsidRPr="00636A45">
              <w:rPr>
                <w:color w:val="00707E" w:themeColor="accent5" w:themeShade="BF"/>
              </w:rPr>
              <w:t xml:space="preserve">Recommendation </w:t>
            </w:r>
            <w:r w:rsidR="00244EC5">
              <w:rPr>
                <w:color w:val="00707E" w:themeColor="accent5" w:themeShade="BF"/>
              </w:rPr>
              <w:t>5</w:t>
            </w:r>
            <w:r w:rsidRPr="00BB2C81">
              <w:rPr>
                <w:color w:val="00707E" w:themeColor="accent5" w:themeShade="BF"/>
              </w:rPr>
              <w:t xml:space="preserve">: </w:t>
            </w:r>
            <w:r w:rsidRPr="009A0809">
              <w:rPr>
                <w:b w:val="0"/>
                <w:bCs w:val="0"/>
              </w:rPr>
              <w:t xml:space="preserve">The </w:t>
            </w:r>
            <w:r w:rsidRPr="009A0809">
              <w:t>NHRA should be</w:t>
            </w:r>
            <w:r w:rsidRPr="009A0809">
              <w:rPr>
                <w:b w:val="0"/>
                <w:bCs w:val="0"/>
              </w:rPr>
              <w:t xml:space="preserve"> </w:t>
            </w:r>
            <w:r w:rsidRPr="009A0809">
              <w:t>updated to reflect current governance settings</w:t>
            </w:r>
            <w:r w:rsidRPr="009A0809">
              <w:rPr>
                <w:b w:val="0"/>
                <w:bCs w:val="0"/>
              </w:rPr>
              <w:t xml:space="preserve"> related to National Cabinet, with a check of roles and responsibilities of bodies referenced in the NHRA undertaken to ensure they remain relevant and have an appropriate place in a new Agreement</w:t>
            </w:r>
            <w:r w:rsidRPr="00E21918">
              <w:rPr>
                <w:b w:val="0"/>
                <w:bCs w:val="0"/>
              </w:rPr>
              <w:t>.</w:t>
            </w:r>
          </w:p>
        </w:tc>
      </w:tr>
    </w:tbl>
    <w:p w14:paraId="49BD073B" w14:textId="77777777" w:rsidR="004E1519" w:rsidRDefault="004E1519" w:rsidP="004E1519">
      <w:pPr>
        <w:rPr>
          <w:color w:val="000000" w:themeColor="text1"/>
        </w:rPr>
      </w:pPr>
    </w:p>
    <w:p w14:paraId="73CB2C63" w14:textId="77777777" w:rsidR="005B098D" w:rsidRDefault="001747FF" w:rsidP="007745A8">
      <w:pPr>
        <w:pStyle w:val="Heading4"/>
      </w:pPr>
      <w:r>
        <w:t xml:space="preserve">Existing </w:t>
      </w:r>
      <w:r w:rsidR="00966CBE" w:rsidRPr="00966CBE">
        <w:t>NHRA national bodies</w:t>
      </w:r>
    </w:p>
    <w:p w14:paraId="5472B685" w14:textId="1149B2B8" w:rsidR="004E1519" w:rsidRDefault="004E1519" w:rsidP="004E1519">
      <w:r>
        <w:t>T</w:t>
      </w:r>
      <w:r w:rsidRPr="0031283C">
        <w:t xml:space="preserve">he </w:t>
      </w:r>
      <w:r>
        <w:t>five NHRA national</w:t>
      </w:r>
      <w:r w:rsidRPr="0031283C">
        <w:t xml:space="preserve"> </w:t>
      </w:r>
      <w:r w:rsidRPr="0075563F">
        <w:t>governance bodie</w:t>
      </w:r>
      <w:r>
        <w:t xml:space="preserve">s </w:t>
      </w:r>
      <w:r w:rsidR="00491217">
        <w:t xml:space="preserve">have </w:t>
      </w:r>
      <w:r>
        <w:t xml:space="preserve">improved </w:t>
      </w:r>
      <w:r w:rsidRPr="0031283C">
        <w:t>governance and transparency</w:t>
      </w:r>
      <w:r>
        <w:t xml:space="preserve"> across their main legislated functions:</w:t>
      </w:r>
    </w:p>
    <w:p w14:paraId="4FD0DD2A" w14:textId="77777777" w:rsidR="00482D5F" w:rsidRPr="00482D5F" w:rsidRDefault="00F43742" w:rsidP="00A850C3">
      <w:pPr>
        <w:pStyle w:val="ListParagraph"/>
        <w:numPr>
          <w:ilvl w:val="0"/>
          <w:numId w:val="33"/>
        </w:numPr>
        <w:rPr>
          <w:b/>
          <w:bCs/>
          <w:color w:val="000000" w:themeColor="text1"/>
        </w:rPr>
      </w:pPr>
      <w:r w:rsidRPr="00AD6262">
        <w:rPr>
          <w:b/>
          <w:bCs/>
        </w:rPr>
        <w:t>IHACPA</w:t>
      </w:r>
      <w:r w:rsidR="0047686C" w:rsidRPr="00AD6262">
        <w:rPr>
          <w:b/>
          <w:bCs/>
        </w:rPr>
        <w:t>:</w:t>
      </w:r>
      <w:r w:rsidR="0047686C">
        <w:t xml:space="preserve"> </w:t>
      </w:r>
      <w:r w:rsidR="008B528C">
        <w:t>independent</w:t>
      </w:r>
      <w:r w:rsidR="00AD6262">
        <w:t xml:space="preserve"> </w:t>
      </w:r>
      <w:r w:rsidR="008B528C">
        <w:t>national</w:t>
      </w:r>
      <w:r w:rsidR="00AD6262">
        <w:t xml:space="preserve"> price and </w:t>
      </w:r>
      <w:r w:rsidR="004770FC">
        <w:t>cost setting</w:t>
      </w:r>
      <w:r w:rsidR="00B65D17">
        <w:t>.</w:t>
      </w:r>
    </w:p>
    <w:p w14:paraId="1AC16DBA" w14:textId="77777777" w:rsidR="00096DC3" w:rsidRPr="00096DC3" w:rsidRDefault="004E1519" w:rsidP="00A850C3">
      <w:pPr>
        <w:pStyle w:val="ListParagraph"/>
        <w:numPr>
          <w:ilvl w:val="0"/>
          <w:numId w:val="33"/>
        </w:numPr>
        <w:rPr>
          <w:b/>
          <w:bCs/>
          <w:color w:val="000000" w:themeColor="text1"/>
        </w:rPr>
      </w:pPr>
      <w:r>
        <w:rPr>
          <w:b/>
        </w:rPr>
        <w:t xml:space="preserve">The </w:t>
      </w:r>
      <w:r w:rsidR="00F43742" w:rsidRPr="00AE7D1C">
        <w:rPr>
          <w:b/>
        </w:rPr>
        <w:t>Administrator</w:t>
      </w:r>
      <w:r>
        <w:rPr>
          <w:b/>
        </w:rPr>
        <w:t xml:space="preserve"> and</w:t>
      </w:r>
      <w:r w:rsidR="00096DC3" w:rsidRPr="00AE7D1C">
        <w:rPr>
          <w:b/>
        </w:rPr>
        <w:t xml:space="preserve"> </w:t>
      </w:r>
      <w:r w:rsidR="00F43742" w:rsidRPr="00AE7D1C">
        <w:rPr>
          <w:b/>
        </w:rPr>
        <w:t>NHFB</w:t>
      </w:r>
      <w:r w:rsidR="00096DC3" w:rsidRPr="00AE7D1C">
        <w:rPr>
          <w:b/>
        </w:rPr>
        <w:t>:</w:t>
      </w:r>
      <w:r w:rsidR="00096DC3">
        <w:t xml:space="preserve"> </w:t>
      </w:r>
      <w:r w:rsidR="000A1D44">
        <w:t xml:space="preserve">independent </w:t>
      </w:r>
      <w:r w:rsidR="00AE7D1C">
        <w:t xml:space="preserve">Commonwealth </w:t>
      </w:r>
      <w:r w:rsidR="00B65D17">
        <w:t xml:space="preserve">public hospital </w:t>
      </w:r>
      <w:r w:rsidR="00AE7D1C">
        <w:t>fund</w:t>
      </w:r>
      <w:r w:rsidR="00B65D17">
        <w:t>ing</w:t>
      </w:r>
      <w:r w:rsidR="00AE7D1C">
        <w:t xml:space="preserve"> calculation and administration</w:t>
      </w:r>
      <w:r w:rsidR="00B65D17">
        <w:t>.</w:t>
      </w:r>
    </w:p>
    <w:p w14:paraId="099B2767" w14:textId="77777777" w:rsidR="00096DC3" w:rsidRPr="00096DC3" w:rsidRDefault="00F43742" w:rsidP="00A850C3">
      <w:pPr>
        <w:pStyle w:val="ListParagraph"/>
        <w:numPr>
          <w:ilvl w:val="0"/>
          <w:numId w:val="33"/>
        </w:numPr>
        <w:rPr>
          <w:b/>
          <w:bCs/>
          <w:color w:val="000000" w:themeColor="text1"/>
        </w:rPr>
      </w:pPr>
      <w:r w:rsidRPr="00276EEB">
        <w:rPr>
          <w:b/>
        </w:rPr>
        <w:t>ACSQHC</w:t>
      </w:r>
      <w:r w:rsidR="00B65D17" w:rsidRPr="00276EEB">
        <w:rPr>
          <w:b/>
        </w:rPr>
        <w:t>:</w:t>
      </w:r>
      <w:r w:rsidR="00B65D17">
        <w:t xml:space="preserve"> </w:t>
      </w:r>
      <w:r w:rsidR="001B38D1">
        <w:t xml:space="preserve">national </w:t>
      </w:r>
      <w:r w:rsidR="00061681">
        <w:t>health system safety and quality</w:t>
      </w:r>
      <w:r w:rsidR="009251AF">
        <w:t xml:space="preserve"> service provision. </w:t>
      </w:r>
    </w:p>
    <w:p w14:paraId="2043620D" w14:textId="07C66C02" w:rsidR="00397BC6" w:rsidRDefault="00F43742" w:rsidP="00A850C3">
      <w:pPr>
        <w:pStyle w:val="ListParagraph"/>
        <w:numPr>
          <w:ilvl w:val="0"/>
          <w:numId w:val="33"/>
        </w:numPr>
        <w:rPr>
          <w:b/>
          <w:bCs/>
          <w:color w:val="000000" w:themeColor="text1"/>
        </w:rPr>
      </w:pPr>
      <w:r w:rsidRPr="008D3D55">
        <w:rPr>
          <w:b/>
          <w:bCs/>
        </w:rPr>
        <w:t>AIHW</w:t>
      </w:r>
      <w:r w:rsidR="001E6C68" w:rsidRPr="008D3D55">
        <w:rPr>
          <w:b/>
          <w:bCs/>
        </w:rPr>
        <w:t>:</w:t>
      </w:r>
      <w:r w:rsidR="001E6C68">
        <w:t xml:space="preserve"> </w:t>
      </w:r>
      <w:r w:rsidR="00491217">
        <w:t xml:space="preserve">collection, analysis and reporting of </w:t>
      </w:r>
      <w:r w:rsidR="008D3D55">
        <w:t>health and hospital performance data.</w:t>
      </w:r>
    </w:p>
    <w:p w14:paraId="29C057EB" w14:textId="7C119024" w:rsidR="004E1519" w:rsidRPr="001C7D51" w:rsidRDefault="004E1519" w:rsidP="007745A8">
      <w:pPr>
        <w:pStyle w:val="Heading4"/>
      </w:pPr>
      <w:bookmarkStart w:id="217" w:name="_Ref148441387"/>
      <w:r w:rsidRPr="001C7D51">
        <w:t>Governance for a future Agreement</w:t>
      </w:r>
      <w:bookmarkEnd w:id="217"/>
    </w:p>
    <w:p w14:paraId="52F98BD7" w14:textId="567DB0CC" w:rsidR="004E1519" w:rsidRDefault="004E1519" w:rsidP="004E1519">
      <w:pPr>
        <w:rPr>
          <w:color w:val="000000" w:themeColor="text1"/>
        </w:rPr>
      </w:pPr>
      <w:r>
        <w:rPr>
          <w:color w:val="000000" w:themeColor="text1"/>
        </w:rPr>
        <w:t>The national bodies are a national resource that could be better used to address some of the shortcomings of current arrangements. They hold very considerable technical expertise in their respective fields, have significant data holdings, are able to observe trends and have ideas about where there are opportunit</w:t>
      </w:r>
      <w:r w:rsidR="00F368CA">
        <w:rPr>
          <w:color w:val="000000" w:themeColor="text1"/>
        </w:rPr>
        <w:t>ies</w:t>
      </w:r>
      <w:r>
        <w:rPr>
          <w:color w:val="000000" w:themeColor="text1"/>
        </w:rPr>
        <w:t xml:space="preserve"> for system improvements. </w:t>
      </w:r>
    </w:p>
    <w:p w14:paraId="4A769D28" w14:textId="7D83E0BE" w:rsidR="004E1519" w:rsidRDefault="004E1519" w:rsidP="00870210">
      <w:pPr>
        <w:keepNext/>
      </w:pPr>
      <w:r>
        <w:rPr>
          <w:color w:val="000000" w:themeColor="text1"/>
        </w:rPr>
        <w:t>In a broad sense, t</w:t>
      </w:r>
      <w:r w:rsidRPr="009D53E0">
        <w:rPr>
          <w:color w:val="000000" w:themeColor="text1"/>
        </w:rPr>
        <w:t xml:space="preserve">here are opportunities to better utilise the national bodies to support reform directions and </w:t>
      </w:r>
      <w:r w:rsidRPr="009D53E0">
        <w:t>incorporate their skills and data into national policy development processes</w:t>
      </w:r>
      <w:r>
        <w:t>, in particular</w:t>
      </w:r>
      <w:r w:rsidR="00F368CA">
        <w:t xml:space="preserve"> </w:t>
      </w:r>
      <w:r w:rsidR="00740654">
        <w:t>through t</w:t>
      </w:r>
      <w:r w:rsidR="00F368CA">
        <w:t>heir</w:t>
      </w:r>
      <w:r>
        <w:t>:</w:t>
      </w:r>
    </w:p>
    <w:p w14:paraId="4377F082" w14:textId="0D3A6EAD" w:rsidR="004E1519" w:rsidRPr="00F368CA" w:rsidRDefault="00AB2FFB" w:rsidP="00870210">
      <w:pPr>
        <w:pStyle w:val="ListBullet"/>
        <w:ind w:left="567"/>
      </w:pPr>
      <w:r>
        <w:t>C</w:t>
      </w:r>
      <w:r w:rsidR="004E1519" w:rsidRPr="00F368CA">
        <w:t>ontribution</w:t>
      </w:r>
      <w:r w:rsidR="004E1519">
        <w:t xml:space="preserve"> to </w:t>
      </w:r>
      <w:r w:rsidR="004E1519" w:rsidRPr="00F368CA">
        <w:t>overarching strategic guidance and direction to support health reform, and a clear vision of a future health system.</w:t>
      </w:r>
    </w:p>
    <w:p w14:paraId="6B52710F" w14:textId="4F1C9B9D" w:rsidR="004E1519" w:rsidRPr="00F368CA" w:rsidRDefault="00AB2FFB" w:rsidP="00870210">
      <w:pPr>
        <w:pStyle w:val="ListBullet"/>
        <w:ind w:left="567"/>
      </w:pPr>
      <w:r>
        <w:t>I</w:t>
      </w:r>
      <w:r w:rsidR="004E1519" w:rsidRPr="00F368CA">
        <w:t>ndependent advice on pricing, cost and Commonwealth/State funding contributions and where these can further develop to support system objectives.</w:t>
      </w:r>
    </w:p>
    <w:p w14:paraId="54C83160" w14:textId="3E05BBFF" w:rsidR="004E1519" w:rsidRDefault="00AB2FFB" w:rsidP="00870210">
      <w:pPr>
        <w:pStyle w:val="ListBullet"/>
        <w:spacing w:after="120"/>
        <w:ind w:left="567"/>
      </w:pPr>
      <w:r>
        <w:t>C</w:t>
      </w:r>
      <w:r w:rsidR="004E1519">
        <w:t>ontribution to p</w:t>
      </w:r>
      <w:r w:rsidR="004E1519" w:rsidRPr="00290EF0">
        <w:t>erformance monitoring and management</w:t>
      </w:r>
      <w:r w:rsidR="004E1519">
        <w:t xml:space="preserve"> of the Agreement and its operation across health and care sectors.</w:t>
      </w:r>
    </w:p>
    <w:p w14:paraId="1F1B237E" w14:textId="3374B832" w:rsidR="004E1519" w:rsidRPr="00B81203" w:rsidRDefault="004E1519" w:rsidP="004E1519">
      <w:pPr>
        <w:rPr>
          <w:color w:val="000000" w:themeColor="text1"/>
        </w:rPr>
      </w:pPr>
      <w:r w:rsidRPr="00B81203">
        <w:rPr>
          <w:color w:val="000000" w:themeColor="text1"/>
        </w:rPr>
        <w:t>Beyond this strategic expansion of the national bodies’ role</w:t>
      </w:r>
      <w:r w:rsidR="002253CD">
        <w:rPr>
          <w:color w:val="000000" w:themeColor="text1"/>
        </w:rPr>
        <w:t>s</w:t>
      </w:r>
      <w:r w:rsidRPr="00B81203">
        <w:rPr>
          <w:color w:val="000000" w:themeColor="text1"/>
        </w:rPr>
        <w:t xml:space="preserve">, their </w:t>
      </w:r>
      <w:r w:rsidRPr="00F840B7">
        <w:rPr>
          <w:color w:val="000000" w:themeColor="text1"/>
        </w:rPr>
        <w:t>day-to-day</w:t>
      </w:r>
      <w:r w:rsidRPr="00B81203">
        <w:rPr>
          <w:color w:val="000000" w:themeColor="text1"/>
        </w:rPr>
        <w:t xml:space="preserve"> operation should also be enhanced through: </w:t>
      </w:r>
    </w:p>
    <w:p w14:paraId="6F2D56A9" w14:textId="0F312955" w:rsidR="004E1519" w:rsidRPr="00B81203" w:rsidRDefault="00AB2FFB" w:rsidP="00A850C3">
      <w:pPr>
        <w:pStyle w:val="ListParagraph"/>
        <w:numPr>
          <w:ilvl w:val="0"/>
          <w:numId w:val="30"/>
        </w:numPr>
        <w:ind w:left="567"/>
        <w:rPr>
          <w:color w:val="000000" w:themeColor="text1"/>
        </w:rPr>
      </w:pPr>
      <w:r>
        <w:rPr>
          <w:color w:val="000000" w:themeColor="text1"/>
        </w:rPr>
        <w:t>S</w:t>
      </w:r>
      <w:r w:rsidR="004E1519" w:rsidRPr="00B81203">
        <w:rPr>
          <w:color w:val="000000" w:themeColor="text1"/>
        </w:rPr>
        <w:t xml:space="preserve">tronger delineation of the roles and responsibilities of the individual national bodies and clarity as to </w:t>
      </w:r>
      <w:r w:rsidR="004E1519" w:rsidRPr="00C770EB">
        <w:rPr>
          <w:color w:val="000000" w:themeColor="text1"/>
        </w:rPr>
        <w:t>how shared</w:t>
      </w:r>
      <w:r w:rsidR="004E1519" w:rsidRPr="00B81203">
        <w:rPr>
          <w:color w:val="000000" w:themeColor="text1"/>
        </w:rPr>
        <w:t xml:space="preserve"> responsibilities will be managed.</w:t>
      </w:r>
    </w:p>
    <w:p w14:paraId="396292F2" w14:textId="033341A7" w:rsidR="004E1519" w:rsidRDefault="00AB2FFB" w:rsidP="00A850C3">
      <w:pPr>
        <w:pStyle w:val="ListParagraph"/>
        <w:numPr>
          <w:ilvl w:val="0"/>
          <w:numId w:val="30"/>
        </w:numPr>
        <w:ind w:left="567"/>
        <w:rPr>
          <w:color w:val="000000" w:themeColor="text1"/>
        </w:rPr>
      </w:pPr>
      <w:r>
        <w:rPr>
          <w:color w:val="000000" w:themeColor="text1"/>
        </w:rPr>
        <w:t>A</w:t>
      </w:r>
      <w:r w:rsidR="004E1519">
        <w:rPr>
          <w:color w:val="000000" w:themeColor="text1"/>
        </w:rPr>
        <w:t xml:space="preserve">n agreement on how </w:t>
      </w:r>
      <w:r w:rsidR="004E1519" w:rsidRPr="0002518D">
        <w:rPr>
          <w:color w:val="000000" w:themeColor="text1"/>
        </w:rPr>
        <w:t>national bodies and jurisdictions will interact</w:t>
      </w:r>
      <w:r w:rsidR="004E1519">
        <w:rPr>
          <w:color w:val="000000" w:themeColor="text1"/>
        </w:rPr>
        <w:t>, with a greater focus on strategic issues, and with a clear process to raise and resolve technical issues.</w:t>
      </w:r>
    </w:p>
    <w:p w14:paraId="15AC2A01" w14:textId="69CF016D" w:rsidR="004E1519" w:rsidRDefault="00AB2FFB" w:rsidP="00A850C3">
      <w:pPr>
        <w:pStyle w:val="ListParagraph"/>
        <w:numPr>
          <w:ilvl w:val="0"/>
          <w:numId w:val="30"/>
        </w:numPr>
        <w:ind w:left="567"/>
        <w:rPr>
          <w:color w:val="000000" w:themeColor="text1"/>
        </w:rPr>
      </w:pPr>
      <w:r>
        <w:rPr>
          <w:color w:val="000000" w:themeColor="text1"/>
        </w:rPr>
        <w:t>M</w:t>
      </w:r>
      <w:r w:rsidR="004E1519">
        <w:rPr>
          <w:color w:val="000000" w:themeColor="text1"/>
        </w:rPr>
        <w:t>echanisms through which the parties to the Agreement and the national bodies can b</w:t>
      </w:r>
      <w:r w:rsidR="004E1519" w:rsidRPr="00604FC1">
        <w:rPr>
          <w:color w:val="000000" w:themeColor="text1"/>
        </w:rPr>
        <w:t>etter support delivery of key reform strategies such as joint planning, collaborative commissioning and</w:t>
      </w:r>
      <w:r w:rsidR="004E1519">
        <w:rPr>
          <w:color w:val="000000" w:themeColor="text1"/>
        </w:rPr>
        <w:t xml:space="preserve"> innovative</w:t>
      </w:r>
      <w:r w:rsidR="004E1519" w:rsidRPr="00604FC1">
        <w:rPr>
          <w:color w:val="000000" w:themeColor="text1"/>
        </w:rPr>
        <w:t xml:space="preserve"> funding</w:t>
      </w:r>
      <w:r w:rsidR="004E1519">
        <w:rPr>
          <w:color w:val="000000" w:themeColor="text1"/>
        </w:rPr>
        <w:t xml:space="preserve"> - at a simple level, there should be a pathway for the national bodies to report to the Health Ministers’ Meeting on system challenges and potential reforms, with formal engagement between the national bodies, Health Ministers and Health Chief Executives at least annually.</w:t>
      </w:r>
    </w:p>
    <w:p w14:paraId="4D98A921" w14:textId="71D0C105" w:rsidR="004E1519" w:rsidRDefault="00AB2FFB" w:rsidP="00A850C3">
      <w:pPr>
        <w:pStyle w:val="ListParagraph"/>
        <w:numPr>
          <w:ilvl w:val="0"/>
          <w:numId w:val="30"/>
        </w:numPr>
        <w:ind w:left="567"/>
        <w:rPr>
          <w:color w:val="000000" w:themeColor="text1"/>
        </w:rPr>
      </w:pPr>
      <w:r>
        <w:rPr>
          <w:color w:val="000000" w:themeColor="text1"/>
        </w:rPr>
        <w:t>C</w:t>
      </w:r>
      <w:r w:rsidR="004E1519" w:rsidRPr="009414B4">
        <w:rPr>
          <w:color w:val="000000" w:themeColor="text1"/>
        </w:rPr>
        <w:t xml:space="preserve">onsistent and </w:t>
      </w:r>
      <w:r w:rsidR="004E1519" w:rsidRPr="00997299">
        <w:rPr>
          <w:color w:val="000000" w:themeColor="text1"/>
        </w:rPr>
        <w:t xml:space="preserve">accountable evaluation </w:t>
      </w:r>
      <w:r w:rsidR="004E1519">
        <w:rPr>
          <w:color w:val="000000" w:themeColor="text1"/>
        </w:rPr>
        <w:t xml:space="preserve">of the performance of the national bodies </w:t>
      </w:r>
      <w:r w:rsidR="004E1519" w:rsidRPr="00997299">
        <w:rPr>
          <w:color w:val="000000" w:themeColor="text1"/>
        </w:rPr>
        <w:t xml:space="preserve">against the goals of the NHRA. </w:t>
      </w:r>
    </w:p>
    <w:p w14:paraId="749D3073" w14:textId="5A49A6A8" w:rsidR="004E1519" w:rsidRPr="00B81203" w:rsidRDefault="004E1519" w:rsidP="004E1519">
      <w:pPr>
        <w:rPr>
          <w:color w:val="000000" w:themeColor="text1"/>
        </w:rPr>
      </w:pPr>
      <w:r>
        <w:rPr>
          <w:color w:val="000000" w:themeColor="text1"/>
        </w:rPr>
        <w:t>Further, there are areas of the current Agreement that would benefit from governance changes. B</w:t>
      </w:r>
      <w:r w:rsidRPr="00B81203">
        <w:rPr>
          <w:color w:val="000000" w:themeColor="text1"/>
        </w:rPr>
        <w:t>oth digital health and workforce are key enablers of health system efficiency and effectiveness</w:t>
      </w:r>
      <w:r w:rsidR="00841A3F">
        <w:rPr>
          <w:color w:val="000000" w:themeColor="text1"/>
        </w:rPr>
        <w:t xml:space="preserve"> (further reference in Section</w:t>
      </w:r>
      <w:r w:rsidR="0060630B">
        <w:rPr>
          <w:color w:val="000000" w:themeColor="text1"/>
        </w:rPr>
        <w:t xml:space="preserve"> </w:t>
      </w:r>
      <w:r w:rsidR="0060630B">
        <w:rPr>
          <w:color w:val="000000" w:themeColor="text1"/>
        </w:rPr>
        <w:fldChar w:fldCharType="begin" w:fldLock="1"/>
      </w:r>
      <w:r w:rsidR="0060630B">
        <w:rPr>
          <w:color w:val="000000" w:themeColor="text1"/>
        </w:rPr>
        <w:instrText xml:space="preserve"> REF _Ref146699586 \w \h </w:instrText>
      </w:r>
      <w:r w:rsidR="0060630B">
        <w:rPr>
          <w:color w:val="000000" w:themeColor="text1"/>
        </w:rPr>
      </w:r>
      <w:r w:rsidR="0060630B">
        <w:rPr>
          <w:color w:val="000000" w:themeColor="text1"/>
        </w:rPr>
        <w:fldChar w:fldCharType="separate"/>
      </w:r>
      <w:r w:rsidR="00FA10A4">
        <w:rPr>
          <w:color w:val="000000" w:themeColor="text1"/>
        </w:rPr>
        <w:t>5.8</w:t>
      </w:r>
      <w:r w:rsidR="0060630B">
        <w:rPr>
          <w:color w:val="000000" w:themeColor="text1"/>
        </w:rPr>
        <w:fldChar w:fldCharType="end"/>
      </w:r>
      <w:r w:rsidR="00841A3F">
        <w:rPr>
          <w:color w:val="000000" w:themeColor="text1"/>
        </w:rPr>
        <w:t>)</w:t>
      </w:r>
      <w:r w:rsidRPr="00B81203">
        <w:rPr>
          <w:color w:val="000000" w:themeColor="text1"/>
        </w:rPr>
        <w:t xml:space="preserve">. </w:t>
      </w:r>
    </w:p>
    <w:p w14:paraId="4D58A755" w14:textId="77777777" w:rsidR="004E1519" w:rsidRPr="00B81203" w:rsidRDefault="004E1519" w:rsidP="00A850C3">
      <w:pPr>
        <w:pStyle w:val="ListParagraph"/>
        <w:numPr>
          <w:ilvl w:val="0"/>
          <w:numId w:val="44"/>
        </w:numPr>
        <w:ind w:left="567" w:hanging="426"/>
        <w:contextualSpacing w:val="0"/>
        <w:rPr>
          <w:color w:val="000000" w:themeColor="text1"/>
        </w:rPr>
      </w:pPr>
      <w:r>
        <w:rPr>
          <w:color w:val="000000" w:themeColor="text1"/>
        </w:rPr>
        <w:t>There is an existing Australian Digital Health Agency whose purpose is to achieve ‘</w:t>
      </w:r>
      <w:r w:rsidRPr="00C47984">
        <w:rPr>
          <w:color w:val="000000" w:themeColor="text1"/>
        </w:rPr>
        <w:t>Better health for all Australians enabled by seamless, safe, secure digital health services and technologies that provide a range of innovative, easy-to-use tools for both patients and providers’. There would be benefit in recognising the ADHA within the Agreement as a national body, noting the significance of its work to a future health system.</w:t>
      </w:r>
    </w:p>
    <w:p w14:paraId="5D1855F2" w14:textId="6ED1EA68" w:rsidR="004E1519" w:rsidRPr="00B81203" w:rsidRDefault="004E1519" w:rsidP="00A850C3">
      <w:pPr>
        <w:pStyle w:val="ListParagraph"/>
        <w:numPr>
          <w:ilvl w:val="0"/>
          <w:numId w:val="44"/>
        </w:numPr>
        <w:ind w:left="567" w:hanging="426"/>
        <w:contextualSpacing w:val="0"/>
        <w:rPr>
          <w:color w:val="000000" w:themeColor="text1"/>
        </w:rPr>
      </w:pPr>
      <w:r w:rsidRPr="00C47984">
        <w:rPr>
          <w:color w:val="000000" w:themeColor="text1"/>
        </w:rPr>
        <w:t xml:space="preserve">A national focus on ensuring a sufficient and quality health workforce should also be recognised in the NHRA, either through a dedicated national </w:t>
      </w:r>
      <w:r w:rsidR="00226B23">
        <w:rPr>
          <w:color w:val="000000" w:themeColor="text1"/>
        </w:rPr>
        <w:t>health</w:t>
      </w:r>
      <w:r w:rsidR="00226B23" w:rsidRPr="00C47984">
        <w:rPr>
          <w:color w:val="000000" w:themeColor="text1"/>
        </w:rPr>
        <w:t xml:space="preserve"> </w:t>
      </w:r>
      <w:r w:rsidRPr="00C47984">
        <w:rPr>
          <w:color w:val="000000" w:themeColor="text1"/>
        </w:rPr>
        <w:t xml:space="preserve">workforce planning body along the lines of the previous Health Workforce Australia or by explicitly identifying where this work will occur and supporting its purpose, </w:t>
      </w:r>
      <w:r w:rsidR="001670E8" w:rsidRPr="00C47984">
        <w:rPr>
          <w:color w:val="000000" w:themeColor="text1"/>
        </w:rPr>
        <w:t>strategies,</w:t>
      </w:r>
      <w:r w:rsidRPr="00C47984">
        <w:rPr>
          <w:color w:val="000000" w:themeColor="text1"/>
        </w:rPr>
        <w:t xml:space="preserve"> and outcomes through shared effort in the NHRA.</w:t>
      </w:r>
    </w:p>
    <w:p w14:paraId="09A61E9A" w14:textId="3EAA8DFD" w:rsidR="004E1519" w:rsidRPr="00B81203" w:rsidRDefault="004E1519" w:rsidP="004E1519">
      <w:pPr>
        <w:rPr>
          <w:color w:val="000000" w:themeColor="text1"/>
        </w:rPr>
      </w:pPr>
      <w:r w:rsidRPr="002B32D0">
        <w:rPr>
          <w:color w:val="000000" w:themeColor="text1"/>
        </w:rPr>
        <w:t>Finally,</w:t>
      </w:r>
      <w:r w:rsidRPr="00B81203">
        <w:rPr>
          <w:color w:val="000000" w:themeColor="text1"/>
        </w:rPr>
        <w:t xml:space="preserve"> it is important to have a dedicated focus in the Agreement on innovation and reform</w:t>
      </w:r>
      <w:r w:rsidR="00841A3F">
        <w:rPr>
          <w:color w:val="000000" w:themeColor="text1"/>
        </w:rPr>
        <w:t xml:space="preserve"> (further reference in Section </w:t>
      </w:r>
      <w:r w:rsidR="00B4061A">
        <w:rPr>
          <w:color w:val="000000" w:themeColor="text1"/>
        </w:rPr>
        <w:fldChar w:fldCharType="begin" w:fldLock="1"/>
      </w:r>
      <w:r w:rsidR="00B4061A">
        <w:rPr>
          <w:color w:val="000000" w:themeColor="text1"/>
        </w:rPr>
        <w:instrText xml:space="preserve"> REF _Ref146699625 \w \h </w:instrText>
      </w:r>
      <w:r w:rsidR="00B4061A">
        <w:rPr>
          <w:color w:val="000000" w:themeColor="text1"/>
        </w:rPr>
      </w:r>
      <w:r w:rsidR="00B4061A">
        <w:rPr>
          <w:color w:val="000000" w:themeColor="text1"/>
        </w:rPr>
        <w:fldChar w:fldCharType="separate"/>
      </w:r>
      <w:r w:rsidR="00FA10A4">
        <w:rPr>
          <w:color w:val="000000" w:themeColor="text1"/>
        </w:rPr>
        <w:t>5.5</w:t>
      </w:r>
      <w:r w:rsidR="00B4061A">
        <w:rPr>
          <w:color w:val="000000" w:themeColor="text1"/>
        </w:rPr>
        <w:fldChar w:fldCharType="end"/>
      </w:r>
      <w:r w:rsidR="00841A3F">
        <w:rPr>
          <w:color w:val="000000" w:themeColor="text1"/>
        </w:rPr>
        <w:t>)</w:t>
      </w:r>
      <w:r w:rsidRPr="00B81203">
        <w:rPr>
          <w:color w:val="000000" w:themeColor="text1"/>
        </w:rPr>
        <w:t xml:space="preserve">. While innovation and </w:t>
      </w:r>
      <w:r w:rsidRPr="0011481D">
        <w:rPr>
          <w:color w:val="000000" w:themeColor="text1"/>
        </w:rPr>
        <w:t>long-term</w:t>
      </w:r>
      <w:r w:rsidRPr="00B81203">
        <w:rPr>
          <w:color w:val="000000" w:themeColor="text1"/>
        </w:rPr>
        <w:t xml:space="preserve"> reform </w:t>
      </w:r>
      <w:r>
        <w:rPr>
          <w:color w:val="000000" w:themeColor="text1"/>
        </w:rPr>
        <w:t>priorities</w:t>
      </w:r>
      <w:r w:rsidRPr="00B81203">
        <w:rPr>
          <w:color w:val="000000" w:themeColor="text1"/>
        </w:rPr>
        <w:t xml:space="preserve"> are widely referenced in the NHRA</w:t>
      </w:r>
      <w:r w:rsidR="003D15A0">
        <w:rPr>
          <w:color w:val="000000" w:themeColor="text1"/>
        </w:rPr>
        <w:t>,</w:t>
      </w:r>
      <w:r w:rsidRPr="00B81203">
        <w:rPr>
          <w:color w:val="000000" w:themeColor="text1"/>
        </w:rPr>
        <w:t xml:space="preserve"> the capacity to deliver against these has been hampered both by insufficient funding and the absence of a dedicated national mechanism to agree priorities and develop joined up solutions. A </w:t>
      </w:r>
      <w:r w:rsidR="007B5700">
        <w:rPr>
          <w:color w:val="000000" w:themeColor="text1"/>
        </w:rPr>
        <w:t>N</w:t>
      </w:r>
      <w:r w:rsidR="007B5700" w:rsidRPr="00B81203">
        <w:rPr>
          <w:color w:val="000000" w:themeColor="text1"/>
        </w:rPr>
        <w:t xml:space="preserve">ational </w:t>
      </w:r>
      <w:r w:rsidR="007B5700">
        <w:rPr>
          <w:color w:val="000000" w:themeColor="text1"/>
        </w:rPr>
        <w:t>I</w:t>
      </w:r>
      <w:r w:rsidR="007B5700" w:rsidRPr="00B81203">
        <w:rPr>
          <w:color w:val="000000" w:themeColor="text1"/>
        </w:rPr>
        <w:t xml:space="preserve">nnovation </w:t>
      </w:r>
      <w:r w:rsidRPr="00B81203">
        <w:rPr>
          <w:color w:val="000000" w:themeColor="text1"/>
        </w:rPr>
        <w:t xml:space="preserve">and </w:t>
      </w:r>
      <w:r w:rsidR="007B5700">
        <w:rPr>
          <w:color w:val="000000" w:themeColor="text1"/>
        </w:rPr>
        <w:t>R</w:t>
      </w:r>
      <w:r w:rsidR="007B5700" w:rsidRPr="00B81203">
        <w:rPr>
          <w:color w:val="000000" w:themeColor="text1"/>
        </w:rPr>
        <w:t xml:space="preserve">eform </w:t>
      </w:r>
      <w:r w:rsidRPr="00B81203">
        <w:rPr>
          <w:color w:val="000000" w:themeColor="text1"/>
        </w:rPr>
        <w:t>body would make it much more likely that the expectations of the Agreement are able to be met.</w:t>
      </w:r>
    </w:p>
    <w:p w14:paraId="44F0ACD2" w14:textId="01EF10A7" w:rsidR="004E1519" w:rsidRDefault="004E1519" w:rsidP="004E1519">
      <w:pPr>
        <w:rPr>
          <w:color w:val="000000" w:themeColor="text1"/>
        </w:rPr>
      </w:pPr>
      <w:r>
        <w:rPr>
          <w:color w:val="000000" w:themeColor="text1"/>
        </w:rPr>
        <w:t xml:space="preserve">The current functions and coverage of the NHRA national bodies is illustrated in </w:t>
      </w:r>
      <w:r w:rsidR="00FC2260">
        <w:rPr>
          <w:color w:val="000000" w:themeColor="text1"/>
        </w:rPr>
        <w:fldChar w:fldCharType="begin" w:fldLock="1"/>
      </w:r>
      <w:r w:rsidR="00FC2260">
        <w:rPr>
          <w:color w:val="000000" w:themeColor="text1"/>
        </w:rPr>
        <w:instrText xml:space="preserve"> REF _Ref144289412 \h </w:instrText>
      </w:r>
      <w:r w:rsidR="00FC2260">
        <w:rPr>
          <w:color w:val="000000" w:themeColor="text1"/>
        </w:rPr>
      </w:r>
      <w:r w:rsidR="00FC2260">
        <w:rPr>
          <w:color w:val="000000" w:themeColor="text1"/>
        </w:rPr>
        <w:fldChar w:fldCharType="separate"/>
      </w:r>
      <w:r w:rsidR="00FA10A4">
        <w:t xml:space="preserve">Figure </w:t>
      </w:r>
      <w:r w:rsidR="00FA10A4">
        <w:rPr>
          <w:noProof/>
        </w:rPr>
        <w:t>29</w:t>
      </w:r>
      <w:r w:rsidR="00FC2260">
        <w:rPr>
          <w:color w:val="000000" w:themeColor="text1"/>
        </w:rPr>
        <w:fldChar w:fldCharType="end"/>
      </w:r>
      <w:r>
        <w:rPr>
          <w:color w:val="000000" w:themeColor="text1"/>
        </w:rPr>
        <w:t>, with specific suggestions for enhancement identified below.</w:t>
      </w:r>
    </w:p>
    <w:p w14:paraId="6022DAF0" w14:textId="0DCF7885" w:rsidR="004E1519" w:rsidRDefault="00CF1265" w:rsidP="004E1519">
      <w:r>
        <w:rPr>
          <w:noProof/>
        </w:rPr>
        <w:drawing>
          <wp:inline distT="0" distB="0" distL="0" distR="0" wp14:anchorId="17057645" wp14:editId="4872D40E">
            <wp:extent cx="6625600" cy="2106047"/>
            <wp:effectExtent l="0" t="0" r="3810" b="8890"/>
            <wp:docPr id="197" name="Picture 197" descr="P13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P1305#yIS1"/>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1924"/>
                    <a:stretch/>
                  </pic:blipFill>
                  <pic:spPr bwMode="auto">
                    <a:xfrm>
                      <a:off x="0" y="0"/>
                      <a:ext cx="6625600" cy="2106047"/>
                    </a:xfrm>
                    <a:prstGeom prst="rect">
                      <a:avLst/>
                    </a:prstGeom>
                    <a:noFill/>
                    <a:ln>
                      <a:noFill/>
                    </a:ln>
                    <a:extLst>
                      <a:ext uri="{53640926-AAD7-44D8-BBD7-CCE9431645EC}">
                        <a14:shadowObscured xmlns:a14="http://schemas.microsoft.com/office/drawing/2010/main"/>
                      </a:ext>
                    </a:extLst>
                  </pic:spPr>
                </pic:pic>
              </a:graphicData>
            </a:graphic>
          </wp:inline>
        </w:drawing>
      </w:r>
    </w:p>
    <w:p w14:paraId="3436238C" w14:textId="1061DD63" w:rsidR="004E1519" w:rsidRDefault="001622AA" w:rsidP="00C2024B">
      <w:pPr>
        <w:pStyle w:val="Caption"/>
      </w:pPr>
      <w:bookmarkStart w:id="218" w:name="_Ref144289412"/>
      <w:bookmarkStart w:id="219" w:name="_Toc148968407"/>
      <w:bookmarkStart w:id="220" w:name="_Toc144882572"/>
      <w:r>
        <w:t xml:space="preserve">Figure </w:t>
      </w:r>
      <w:r>
        <w:fldChar w:fldCharType="begin"/>
      </w:r>
      <w:r>
        <w:instrText xml:space="preserve"> SEQ Figure \* ARABIC </w:instrText>
      </w:r>
      <w:r>
        <w:fldChar w:fldCharType="separate"/>
      </w:r>
      <w:r w:rsidR="003F5D51">
        <w:rPr>
          <w:noProof/>
        </w:rPr>
        <w:t>29</w:t>
      </w:r>
      <w:r>
        <w:rPr>
          <w:noProof/>
        </w:rPr>
        <w:fldChar w:fldCharType="end"/>
      </w:r>
      <w:bookmarkEnd w:id="218"/>
      <w:r w:rsidR="004E1519">
        <w:t>: Functions and NHRA national body coverage</w:t>
      </w:r>
      <w:bookmarkEnd w:id="219"/>
    </w:p>
    <w:bookmarkEnd w:id="220"/>
    <w:p w14:paraId="1BFE7D17" w14:textId="6842AB7C" w:rsidR="004E1519" w:rsidRPr="00870210" w:rsidRDefault="004E1519" w:rsidP="00870210">
      <w:pPr>
        <w:pStyle w:val="Longdotpoints"/>
        <w:numPr>
          <w:ilvl w:val="0"/>
          <w:numId w:val="0"/>
        </w:numPr>
        <w:ind w:left="360" w:hanging="360"/>
        <w:rPr>
          <w:b/>
          <w:bCs/>
        </w:rPr>
      </w:pPr>
      <w:r w:rsidRPr="00870210">
        <w:rPr>
          <w:b/>
          <w:bCs/>
        </w:rPr>
        <w:t xml:space="preserve">IHACPA: </w:t>
      </w:r>
    </w:p>
    <w:p w14:paraId="0D119CEC" w14:textId="77777777" w:rsidR="004E1519" w:rsidRDefault="004E1519" w:rsidP="00870210">
      <w:pPr>
        <w:pStyle w:val="ListBullet"/>
        <w:ind w:left="567"/>
      </w:pPr>
      <w:r>
        <w:t xml:space="preserve">Give increased flexibility to developing payment pathways to bring innovative and integrated programs into the NHRA - a reframed role is required to reflect that </w:t>
      </w:r>
      <w:r w:rsidRPr="001E004F">
        <w:t xml:space="preserve">clinical practice </w:t>
      </w:r>
      <w:r>
        <w:t>can</w:t>
      </w:r>
      <w:r w:rsidRPr="001E004F">
        <w:t xml:space="preserve"> evolve ahead of pricing</w:t>
      </w:r>
      <w:r>
        <w:t>.</w:t>
      </w:r>
    </w:p>
    <w:p w14:paraId="77BDBABC" w14:textId="42F52DC5" w:rsidR="004E1519" w:rsidRPr="000B1743" w:rsidRDefault="004E1519" w:rsidP="00870210">
      <w:pPr>
        <w:pStyle w:val="ListBullet"/>
        <w:ind w:left="567"/>
      </w:pPr>
      <w:r w:rsidRPr="000B1743">
        <w:rPr>
          <w:color w:val="000000" w:themeColor="text1"/>
        </w:rPr>
        <w:t xml:space="preserve">Leverage </w:t>
      </w:r>
      <w:r>
        <w:rPr>
          <w:color w:val="000000" w:themeColor="text1"/>
        </w:rPr>
        <w:t>the benefit of having</w:t>
      </w:r>
      <w:r w:rsidRPr="000B1743">
        <w:rPr>
          <w:color w:val="000000" w:themeColor="text1"/>
        </w:rPr>
        <w:t xml:space="preserve"> aged care and hospital pricing responsibility in one agency to </w:t>
      </w:r>
      <w:r>
        <w:rPr>
          <w:color w:val="000000" w:themeColor="text1"/>
        </w:rPr>
        <w:t>better</w:t>
      </w:r>
      <w:r w:rsidRPr="000B1743">
        <w:rPr>
          <w:color w:val="000000" w:themeColor="text1"/>
        </w:rPr>
        <w:t xml:space="preserve"> align pricing </w:t>
      </w:r>
      <w:r>
        <w:rPr>
          <w:color w:val="000000" w:themeColor="text1"/>
        </w:rPr>
        <w:t xml:space="preserve">and incentives </w:t>
      </w:r>
      <w:r w:rsidRPr="000B1743">
        <w:rPr>
          <w:color w:val="000000" w:themeColor="text1"/>
        </w:rPr>
        <w:t>to achieve better allocative efficiency in and between the hospital and aged care sectors</w:t>
      </w:r>
      <w:r>
        <w:rPr>
          <w:color w:val="000000" w:themeColor="text1"/>
        </w:rPr>
        <w:t xml:space="preserve"> and </w:t>
      </w:r>
      <w:r w:rsidR="001F55B7">
        <w:rPr>
          <w:color w:val="000000" w:themeColor="text1"/>
        </w:rPr>
        <w:t>step-down</w:t>
      </w:r>
      <w:r>
        <w:rPr>
          <w:color w:val="000000" w:themeColor="text1"/>
        </w:rPr>
        <w:t xml:space="preserve"> care</w:t>
      </w:r>
      <w:r w:rsidRPr="000B1743">
        <w:rPr>
          <w:color w:val="000000" w:themeColor="text1"/>
        </w:rPr>
        <w:t>.</w:t>
      </w:r>
    </w:p>
    <w:p w14:paraId="70B553F4" w14:textId="1AAC9B03" w:rsidR="00D30851" w:rsidRPr="00770FD1" w:rsidRDefault="004E1519" w:rsidP="0059718F">
      <w:pPr>
        <w:pStyle w:val="ListBullet"/>
        <w:spacing w:after="120"/>
        <w:ind w:left="567"/>
        <w:contextualSpacing w:val="0"/>
      </w:pPr>
      <w:r>
        <w:t>Contribute</w:t>
      </w:r>
      <w:r w:rsidRPr="00770FD1">
        <w:t xml:space="preserve"> to the development of the NHRA Performance Framework described in section </w:t>
      </w:r>
      <w:r w:rsidR="00390E28">
        <w:fldChar w:fldCharType="begin" w:fldLock="1"/>
      </w:r>
      <w:r w:rsidR="00390E28">
        <w:instrText xml:space="preserve"> REF _Ref146629266 \w \h </w:instrText>
      </w:r>
      <w:r w:rsidR="00390E28">
        <w:fldChar w:fldCharType="separate"/>
      </w:r>
      <w:r w:rsidR="00FA10A4">
        <w:t>5.9</w:t>
      </w:r>
      <w:r w:rsidR="00390E28">
        <w:fldChar w:fldCharType="end"/>
      </w:r>
      <w:r w:rsidR="00D30851" w:rsidRPr="00770FD1">
        <w:t xml:space="preserve"> (together with </w:t>
      </w:r>
      <w:r w:rsidR="0021701B">
        <w:t xml:space="preserve">the </w:t>
      </w:r>
      <w:r w:rsidR="00D30851" w:rsidRPr="00770FD1">
        <w:t>AIHW, ACS</w:t>
      </w:r>
      <w:r w:rsidR="00770FD1" w:rsidRPr="00770FD1">
        <w:t>QHC and NHFB</w:t>
      </w:r>
      <w:r w:rsidR="00D30851" w:rsidRPr="00770FD1">
        <w:t>).</w:t>
      </w:r>
    </w:p>
    <w:p w14:paraId="7762A6D5" w14:textId="5C600C9B" w:rsidR="004E1519" w:rsidRPr="00870210" w:rsidRDefault="004E1519" w:rsidP="00870210">
      <w:pPr>
        <w:pStyle w:val="Longdotpoints"/>
        <w:keepNext/>
        <w:numPr>
          <w:ilvl w:val="0"/>
          <w:numId w:val="0"/>
        </w:numPr>
        <w:ind w:left="360" w:hanging="360"/>
        <w:rPr>
          <w:b/>
          <w:bCs/>
        </w:rPr>
      </w:pPr>
      <w:r w:rsidRPr="00870210">
        <w:rPr>
          <w:b/>
          <w:bCs/>
        </w:rPr>
        <w:t xml:space="preserve">Administrator / NHFB:  </w:t>
      </w:r>
    </w:p>
    <w:p w14:paraId="1EA72880" w14:textId="0937B1DF" w:rsidR="004E1519" w:rsidRDefault="004E1519" w:rsidP="00870210">
      <w:pPr>
        <w:pStyle w:val="ListBullet"/>
        <w:ind w:left="567"/>
      </w:pPr>
      <w:r>
        <w:t>Seek to strengthen reporting and transparency by including all Commonwealth and State funding flowing to public hospitals through NHFB processes</w:t>
      </w:r>
      <w:r w:rsidR="003651B5">
        <w:t>.</w:t>
      </w:r>
    </w:p>
    <w:p w14:paraId="051B54AA" w14:textId="6B422227" w:rsidR="00D30851" w:rsidRPr="00770FD1" w:rsidRDefault="004E1519" w:rsidP="00870210">
      <w:pPr>
        <w:pStyle w:val="ListBullet"/>
        <w:spacing w:after="120"/>
        <w:ind w:left="567"/>
        <w:contextualSpacing w:val="0"/>
      </w:pPr>
      <w:r>
        <w:t>Contribute</w:t>
      </w:r>
      <w:r w:rsidRPr="00770FD1">
        <w:t xml:space="preserve"> to the development of the NHRA Performance Framework described in section </w:t>
      </w:r>
      <w:r w:rsidR="00390E28">
        <w:fldChar w:fldCharType="begin" w:fldLock="1"/>
      </w:r>
      <w:r w:rsidR="00390E28">
        <w:instrText xml:space="preserve"> REF _Ref146629266 \w \h </w:instrText>
      </w:r>
      <w:r w:rsidR="00390E28">
        <w:fldChar w:fldCharType="separate"/>
      </w:r>
      <w:r w:rsidR="00FA10A4">
        <w:t>5.9</w:t>
      </w:r>
      <w:r w:rsidR="00390E28">
        <w:fldChar w:fldCharType="end"/>
      </w:r>
      <w:r w:rsidR="00D30851" w:rsidRPr="00770FD1">
        <w:t xml:space="preserve"> (together with AIHW</w:t>
      </w:r>
      <w:r w:rsidR="00770FD1" w:rsidRPr="00770FD1">
        <w:t>, IHACPA and ACSQHC</w:t>
      </w:r>
      <w:r w:rsidR="00D30851" w:rsidRPr="00770FD1">
        <w:t>).</w:t>
      </w:r>
    </w:p>
    <w:p w14:paraId="048BBF2D" w14:textId="77777777" w:rsidR="004E1519" w:rsidRPr="00870210" w:rsidRDefault="004E1519" w:rsidP="00870210">
      <w:pPr>
        <w:pStyle w:val="Longdotpoints"/>
        <w:numPr>
          <w:ilvl w:val="0"/>
          <w:numId w:val="0"/>
        </w:numPr>
        <w:ind w:left="360" w:hanging="360"/>
        <w:rPr>
          <w:b/>
          <w:bCs/>
        </w:rPr>
      </w:pPr>
      <w:r w:rsidRPr="00870210">
        <w:rPr>
          <w:b/>
          <w:bCs/>
        </w:rPr>
        <w:t xml:space="preserve">ACSQHC: </w:t>
      </w:r>
    </w:p>
    <w:p w14:paraId="0031C46B" w14:textId="4D0FB75D" w:rsidR="004E1519" w:rsidRPr="00770FD1" w:rsidRDefault="004E1519" w:rsidP="00870210">
      <w:pPr>
        <w:pStyle w:val="ListBullet"/>
        <w:ind w:left="567"/>
      </w:pPr>
      <w:r w:rsidRPr="00770FD1">
        <w:t>Play a greater role in collection and provision of data to inform reform across sectors</w:t>
      </w:r>
      <w:r w:rsidR="00487004">
        <w:t>,</w:t>
      </w:r>
      <w:r w:rsidRPr="00770FD1">
        <w:t xml:space="preserve"> innovative models of care and </w:t>
      </w:r>
      <w:r w:rsidR="00D77164">
        <w:t>long-term</w:t>
      </w:r>
      <w:r>
        <w:t xml:space="preserve"> </w:t>
      </w:r>
      <w:r w:rsidR="00487004">
        <w:t>reform areas</w:t>
      </w:r>
      <w:r w:rsidRPr="00770FD1">
        <w:t>.</w:t>
      </w:r>
    </w:p>
    <w:p w14:paraId="1048F0A6" w14:textId="77777777" w:rsidR="00AF3C59" w:rsidRPr="00770FD1" w:rsidRDefault="00A11289" w:rsidP="00870210">
      <w:pPr>
        <w:pStyle w:val="ListBullet"/>
        <w:ind w:left="567"/>
      </w:pPr>
      <w:r w:rsidRPr="00770FD1">
        <w:t>E</w:t>
      </w:r>
      <w:r w:rsidR="00AF3C59" w:rsidRPr="00770FD1">
        <w:t xml:space="preserve">valuate program impact and outcomes to inform jurisdiction program effectiveness and </w:t>
      </w:r>
      <w:r w:rsidR="0055186F" w:rsidRPr="00770FD1">
        <w:t>return on investment</w:t>
      </w:r>
      <w:r w:rsidR="00AF3C59" w:rsidRPr="00770FD1">
        <w:t xml:space="preserve">. </w:t>
      </w:r>
    </w:p>
    <w:p w14:paraId="5944D77D" w14:textId="77777777" w:rsidR="00D80426" w:rsidRPr="00770FD1" w:rsidRDefault="002C1454" w:rsidP="00870210">
      <w:pPr>
        <w:pStyle w:val="ListBullet"/>
        <w:ind w:left="567"/>
      </w:pPr>
      <w:r w:rsidRPr="00770FD1">
        <w:t>D</w:t>
      </w:r>
      <w:r w:rsidR="00AF3C59" w:rsidRPr="00770FD1">
        <w:t>evelop a clearer process for identifying new clinical care standards supported by a framework for assessing priorities.</w:t>
      </w:r>
    </w:p>
    <w:p w14:paraId="410BADAF" w14:textId="1FEB733C" w:rsidR="00AF3C59" w:rsidRPr="00E45D73" w:rsidRDefault="004E1519" w:rsidP="00870210">
      <w:pPr>
        <w:pStyle w:val="ListBullet"/>
        <w:spacing w:after="120"/>
        <w:ind w:left="567"/>
      </w:pPr>
      <w:r>
        <w:t>Contribute</w:t>
      </w:r>
      <w:r w:rsidRPr="00770FD1">
        <w:t xml:space="preserve"> to the development of the NHRA Performance Framework described in section </w:t>
      </w:r>
      <w:r w:rsidR="00390E28">
        <w:fldChar w:fldCharType="begin" w:fldLock="1"/>
      </w:r>
      <w:r w:rsidR="00390E28">
        <w:instrText xml:space="preserve"> REF _Ref146629266 \w \h </w:instrText>
      </w:r>
      <w:r w:rsidR="00390E28">
        <w:fldChar w:fldCharType="separate"/>
      </w:r>
      <w:r w:rsidR="00FA10A4">
        <w:t>5.9</w:t>
      </w:r>
      <w:r w:rsidR="00390E28">
        <w:fldChar w:fldCharType="end"/>
      </w:r>
      <w:r w:rsidR="00C5711B" w:rsidRPr="00770FD1">
        <w:t xml:space="preserve"> (together with AIHW</w:t>
      </w:r>
      <w:r w:rsidR="00770FD1" w:rsidRPr="00770FD1">
        <w:t xml:space="preserve">, IHACPA and </w:t>
      </w:r>
      <w:r w:rsidR="00770FD1" w:rsidRPr="00E45D73">
        <w:t>NHFB</w:t>
      </w:r>
      <w:r w:rsidR="00C5711B" w:rsidRPr="00E45D73">
        <w:t>)</w:t>
      </w:r>
      <w:r w:rsidR="006E5FE7" w:rsidRPr="00E45D73">
        <w:t>.</w:t>
      </w:r>
    </w:p>
    <w:p w14:paraId="7F1AC644" w14:textId="77777777" w:rsidR="00487004" w:rsidRPr="00870210" w:rsidRDefault="00487004" w:rsidP="00870210">
      <w:pPr>
        <w:pStyle w:val="Longdotpoints"/>
        <w:numPr>
          <w:ilvl w:val="0"/>
          <w:numId w:val="0"/>
        </w:numPr>
        <w:ind w:left="360" w:hanging="360"/>
        <w:rPr>
          <w:b/>
          <w:bCs/>
        </w:rPr>
      </w:pPr>
      <w:r w:rsidRPr="00870210">
        <w:rPr>
          <w:b/>
          <w:bCs/>
        </w:rPr>
        <w:t xml:space="preserve">Innovation and Reform (new agency): </w:t>
      </w:r>
    </w:p>
    <w:p w14:paraId="4135281F" w14:textId="77777777" w:rsidR="00487004" w:rsidRPr="004C1DF8" w:rsidRDefault="00487004" w:rsidP="00870210">
      <w:pPr>
        <w:pStyle w:val="ListBullet"/>
        <w:spacing w:after="120"/>
        <w:ind w:left="567"/>
      </w:pPr>
      <w:r>
        <w:t>Provide</w:t>
      </w:r>
      <w:r w:rsidRPr="004C1DF8">
        <w:t xml:space="preserve"> dedicated leadership and </w:t>
      </w:r>
      <w:r>
        <w:t>structures to develop policy responses to emerging health system challenges, including those identified through the performance framework, identify areas for innovation</w:t>
      </w:r>
      <w:r w:rsidRPr="004C1DF8">
        <w:t xml:space="preserve"> </w:t>
      </w:r>
      <w:r>
        <w:t xml:space="preserve">and reform and </w:t>
      </w:r>
      <w:r w:rsidRPr="004C1DF8">
        <w:t xml:space="preserve">drive </w:t>
      </w:r>
      <w:r>
        <w:t>a</w:t>
      </w:r>
      <w:r w:rsidRPr="004C1DF8">
        <w:t xml:space="preserve"> reform agenda. </w:t>
      </w:r>
    </w:p>
    <w:p w14:paraId="7812E55E" w14:textId="77777777" w:rsidR="006E5FE7" w:rsidRPr="00870210" w:rsidRDefault="00110AB0" w:rsidP="00870210">
      <w:pPr>
        <w:pStyle w:val="Longdotpoints"/>
        <w:numPr>
          <w:ilvl w:val="0"/>
          <w:numId w:val="0"/>
        </w:numPr>
        <w:ind w:left="360" w:hanging="360"/>
        <w:rPr>
          <w:b/>
          <w:bCs/>
        </w:rPr>
      </w:pPr>
      <w:r w:rsidRPr="00870210">
        <w:rPr>
          <w:b/>
          <w:bCs/>
        </w:rPr>
        <w:t>AIHW</w:t>
      </w:r>
      <w:r w:rsidR="002E2649" w:rsidRPr="00870210">
        <w:rPr>
          <w:b/>
          <w:bCs/>
        </w:rPr>
        <w:t>:</w:t>
      </w:r>
      <w:r w:rsidRPr="00870210">
        <w:rPr>
          <w:b/>
          <w:bCs/>
        </w:rPr>
        <w:t xml:space="preserve"> </w:t>
      </w:r>
    </w:p>
    <w:p w14:paraId="07F63C57" w14:textId="77777777" w:rsidR="00651F89" w:rsidRPr="00E45D73" w:rsidRDefault="00E261CB" w:rsidP="00870210">
      <w:pPr>
        <w:pStyle w:val="ListBullet"/>
        <w:ind w:left="567"/>
      </w:pPr>
      <w:r w:rsidRPr="00E45D73">
        <w:t>W</w:t>
      </w:r>
      <w:r w:rsidR="00DF576C" w:rsidRPr="00E45D73">
        <w:t xml:space="preserve">ork </w:t>
      </w:r>
      <w:r w:rsidRPr="00E45D73">
        <w:t xml:space="preserve">with </w:t>
      </w:r>
      <w:r w:rsidR="00164856" w:rsidRPr="00E45D73">
        <w:t xml:space="preserve">jurisdictions </w:t>
      </w:r>
      <w:r w:rsidR="00DF576C" w:rsidRPr="00E45D73">
        <w:t xml:space="preserve">to lead national data collection to better inform </w:t>
      </w:r>
      <w:r w:rsidR="00814D59" w:rsidRPr="00E45D73">
        <w:t>agreed priori</w:t>
      </w:r>
      <w:r w:rsidR="0003639E" w:rsidRPr="00E45D73">
        <w:t>ty areas</w:t>
      </w:r>
      <w:r w:rsidR="00DB208E" w:rsidRPr="00E45D73">
        <w:t>.</w:t>
      </w:r>
    </w:p>
    <w:p w14:paraId="0C758C62" w14:textId="6502DFA2" w:rsidR="004E1519" w:rsidRPr="00E45D73" w:rsidRDefault="004E1519" w:rsidP="00870210">
      <w:pPr>
        <w:pStyle w:val="ListBullet"/>
        <w:spacing w:after="120"/>
        <w:ind w:left="567"/>
      </w:pPr>
      <w:r>
        <w:t>Establish</w:t>
      </w:r>
      <w:r w:rsidRPr="00E45D73">
        <w:t xml:space="preserve"> NHRA Performance Framework minimum datasets</w:t>
      </w:r>
      <w:r>
        <w:t xml:space="preserve"> and take the lead role in reporting against the performance framework. </w:t>
      </w:r>
    </w:p>
    <w:p w14:paraId="1497369D" w14:textId="77777777" w:rsidR="004E1519" w:rsidRPr="00870210" w:rsidRDefault="0034684A" w:rsidP="00870210">
      <w:pPr>
        <w:pStyle w:val="Longdotpoints"/>
        <w:numPr>
          <w:ilvl w:val="0"/>
          <w:numId w:val="0"/>
        </w:numPr>
        <w:ind w:left="360" w:hanging="360"/>
        <w:rPr>
          <w:b/>
          <w:bCs/>
        </w:rPr>
      </w:pPr>
      <w:r w:rsidRPr="00870210">
        <w:rPr>
          <w:b/>
          <w:bCs/>
        </w:rPr>
        <w:t xml:space="preserve">ADHA: </w:t>
      </w:r>
    </w:p>
    <w:p w14:paraId="0816E28E" w14:textId="77777777" w:rsidR="0034684A" w:rsidRPr="00642383" w:rsidRDefault="00642383" w:rsidP="00870210">
      <w:pPr>
        <w:pStyle w:val="ListBullet"/>
        <w:spacing w:after="120"/>
        <w:ind w:left="567"/>
      </w:pPr>
      <w:r w:rsidRPr="00642383">
        <w:t xml:space="preserve">Continue to advance </w:t>
      </w:r>
      <w:r>
        <w:t xml:space="preserve">and enable </w:t>
      </w:r>
      <w:r w:rsidRPr="00642383">
        <w:t>the role of digital health solutions in supporting patient-centred care</w:t>
      </w:r>
      <w:r w:rsidR="008230E1">
        <w:t>, including</w:t>
      </w:r>
      <w:r w:rsidR="008230E1" w:rsidRPr="008230E1">
        <w:t xml:space="preserve"> improving health outcomes, access and innovation</w:t>
      </w:r>
      <w:r w:rsidRPr="00642383">
        <w:t>.</w:t>
      </w:r>
    </w:p>
    <w:p w14:paraId="70FE19EE" w14:textId="2FA5E05F" w:rsidR="004E1519" w:rsidRPr="00870210" w:rsidRDefault="004E1519" w:rsidP="001670E8">
      <w:pPr>
        <w:pStyle w:val="Longdotpoints"/>
        <w:keepNext/>
        <w:numPr>
          <w:ilvl w:val="0"/>
          <w:numId w:val="0"/>
        </w:numPr>
        <w:ind w:left="357" w:hanging="357"/>
        <w:rPr>
          <w:b/>
          <w:bCs/>
        </w:rPr>
      </w:pPr>
      <w:r w:rsidRPr="00870210">
        <w:rPr>
          <w:b/>
          <w:bCs/>
        </w:rPr>
        <w:t>Workforce (new</w:t>
      </w:r>
      <w:r w:rsidR="00FE5577" w:rsidRPr="00870210">
        <w:rPr>
          <w:b/>
          <w:bCs/>
        </w:rPr>
        <w:t xml:space="preserve"> focus</w:t>
      </w:r>
      <w:r w:rsidRPr="00870210">
        <w:rPr>
          <w:b/>
          <w:bCs/>
        </w:rPr>
        <w:t xml:space="preserve">): </w:t>
      </w:r>
    </w:p>
    <w:p w14:paraId="7E2B61F6" w14:textId="0E2766D0" w:rsidR="004E1519" w:rsidRPr="004C1DF8" w:rsidRDefault="004E1519" w:rsidP="00870210">
      <w:pPr>
        <w:pStyle w:val="ListBullet"/>
        <w:spacing w:after="120"/>
        <w:ind w:left="567"/>
      </w:pPr>
      <w:r>
        <w:t>Undertake</w:t>
      </w:r>
      <w:r w:rsidRPr="001A6711">
        <w:t xml:space="preserve"> national and jurisdictional health workforce planning and analysis </w:t>
      </w:r>
      <w:r>
        <w:t>and</w:t>
      </w:r>
      <w:r w:rsidRPr="001A6711">
        <w:t xml:space="preserve"> guide health workforce training numbers aligned to community need</w:t>
      </w:r>
      <w:r>
        <w:t xml:space="preserve">, across sectors, </w:t>
      </w:r>
      <w:r w:rsidRPr="0071134F">
        <w:t>across specialisations</w:t>
      </w:r>
      <w:r>
        <w:t>,</w:t>
      </w:r>
      <w:r w:rsidRPr="0071134F">
        <w:t xml:space="preserve"> and geographical location</w:t>
      </w:r>
      <w:r w:rsidR="002B12F9">
        <w:t>s</w:t>
      </w:r>
      <w:r w:rsidRPr="001A6711">
        <w:t xml:space="preserve">. </w:t>
      </w:r>
    </w:p>
    <w:tbl>
      <w:tblPr>
        <w:tblStyle w:val="TableGrid"/>
        <w:tblW w:w="0" w:type="auto"/>
        <w:shd w:val="clear" w:color="auto" w:fill="F2F2F2" w:themeFill="background1" w:themeFillShade="F2"/>
        <w:tblLook w:val="04A0" w:firstRow="1" w:lastRow="0" w:firstColumn="1" w:lastColumn="0" w:noHBand="0" w:noVBand="1"/>
      </w:tblPr>
      <w:tblGrid>
        <w:gridCol w:w="10466"/>
      </w:tblGrid>
      <w:tr w:rsidR="004E1519" w14:paraId="61EF78DB" w14:textId="77777777" w:rsidTr="00B81203">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tcPr>
          <w:p w14:paraId="615A09A2" w14:textId="21445352" w:rsidR="004E1519" w:rsidRDefault="004E1519" w:rsidP="006E65AA">
            <w:pPr>
              <w:pStyle w:val="Summarytable"/>
              <w:keepNext/>
              <w:rPr>
                <w:b w:val="0"/>
                <w:bCs w:val="0"/>
              </w:rPr>
            </w:pPr>
            <w:r>
              <w:rPr>
                <w:noProof/>
                <w:color w:val="0097A9" w:themeColor="accent5"/>
              </w:rPr>
              <w:drawing>
                <wp:inline distT="0" distB="0" distL="0" distR="0" wp14:anchorId="51DE7C05" wp14:editId="66E599FB">
                  <wp:extent cx="270000" cy="270000"/>
                  <wp:effectExtent l="0" t="0" r="0" b="0"/>
                  <wp:docPr id="1489793646" name="Graphic 1489793646" descr="P1328C1T5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46" name="Graphic 1489793646" descr="P1328C1T52#yIS1">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70000" cy="270000"/>
                          </a:xfrm>
                          <a:prstGeom prst="rect">
                            <a:avLst/>
                          </a:prstGeom>
                        </pic:spPr>
                      </pic:pic>
                    </a:graphicData>
                  </a:graphic>
                </wp:inline>
              </w:drawing>
            </w:r>
            <w:r>
              <w:rPr>
                <w:color w:val="00707E" w:themeColor="accent5" w:themeShade="BF"/>
              </w:rPr>
              <w:t xml:space="preserve">Recommendation </w:t>
            </w:r>
            <w:r w:rsidR="00F45F37">
              <w:rPr>
                <w:color w:val="00707E" w:themeColor="accent5" w:themeShade="BF"/>
              </w:rPr>
              <w:t>6</w:t>
            </w:r>
            <w:r w:rsidRPr="00BB2C81">
              <w:rPr>
                <w:color w:val="00707E" w:themeColor="accent5" w:themeShade="BF"/>
              </w:rPr>
              <w:t xml:space="preserve">: </w:t>
            </w:r>
            <w:r w:rsidRPr="00822548">
              <w:rPr>
                <w:b w:val="0"/>
                <w:bCs w:val="0"/>
              </w:rPr>
              <w:t>The general</w:t>
            </w:r>
            <w:r w:rsidRPr="00AA7EA7">
              <w:t xml:space="preserve"> architecture of the national bodies</w:t>
            </w:r>
            <w:r w:rsidRPr="005B7250">
              <w:rPr>
                <w:b w:val="0"/>
                <w:bCs w:val="0"/>
              </w:rPr>
              <w:t xml:space="preserve"> should be retained, but with</w:t>
            </w:r>
            <w:r>
              <w:rPr>
                <w:b w:val="0"/>
                <w:bCs w:val="0"/>
              </w:rPr>
              <w:t>:</w:t>
            </w:r>
          </w:p>
          <w:p w14:paraId="56308203" w14:textId="2B926492" w:rsidR="004E1519" w:rsidRPr="00BA2C60" w:rsidRDefault="004B5E71" w:rsidP="00A850C3">
            <w:pPr>
              <w:pStyle w:val="Summarytable"/>
              <w:numPr>
                <w:ilvl w:val="0"/>
                <w:numId w:val="34"/>
              </w:numPr>
              <w:ind w:left="1134"/>
              <w:rPr>
                <w:b w:val="0"/>
                <w:bCs w:val="0"/>
              </w:rPr>
            </w:pPr>
            <w:r>
              <w:rPr>
                <w:b w:val="0"/>
                <w:bCs w:val="0"/>
              </w:rPr>
              <w:t>N</w:t>
            </w:r>
            <w:r w:rsidR="004E1519" w:rsidRPr="00BA2C60">
              <w:rPr>
                <w:b w:val="0"/>
                <w:bCs w:val="0"/>
              </w:rPr>
              <w:t xml:space="preserve">ational </w:t>
            </w:r>
            <w:r w:rsidR="004E1519" w:rsidRPr="009E29C4">
              <w:rPr>
                <w:b w:val="0"/>
                <w:bCs w:val="0"/>
              </w:rPr>
              <w:t xml:space="preserve">bodies </w:t>
            </w:r>
            <w:r w:rsidR="004E1519" w:rsidRPr="00FE1D0A">
              <w:rPr>
                <w:b w:val="0"/>
                <w:bCs w:val="0"/>
              </w:rPr>
              <w:t>better utilised</w:t>
            </w:r>
            <w:r w:rsidR="004E1519" w:rsidRPr="00BA2C60">
              <w:rPr>
                <w:b w:val="0"/>
                <w:bCs w:val="0"/>
              </w:rPr>
              <w:t xml:space="preserve"> to support reform directions</w:t>
            </w:r>
            <w:r w:rsidR="00487004">
              <w:rPr>
                <w:b w:val="0"/>
                <w:bCs w:val="0"/>
              </w:rPr>
              <w:t>, with</w:t>
            </w:r>
            <w:r w:rsidR="004E1519" w:rsidRPr="00BA2C60">
              <w:rPr>
                <w:b w:val="0"/>
                <w:bCs w:val="0"/>
              </w:rPr>
              <w:t xml:space="preserve"> their </w:t>
            </w:r>
            <w:r w:rsidR="004E1519">
              <w:rPr>
                <w:b w:val="0"/>
                <w:bCs w:val="0"/>
              </w:rPr>
              <w:t>expertise</w:t>
            </w:r>
            <w:r w:rsidR="004E1519" w:rsidRPr="00BA2C60">
              <w:rPr>
                <w:b w:val="0"/>
                <w:bCs w:val="0"/>
              </w:rPr>
              <w:t xml:space="preserve"> and data </w:t>
            </w:r>
            <w:r w:rsidR="004E1519">
              <w:rPr>
                <w:b w:val="0"/>
                <w:bCs w:val="0"/>
              </w:rPr>
              <w:t xml:space="preserve">insights </w:t>
            </w:r>
            <w:r w:rsidR="00487004">
              <w:rPr>
                <w:b w:val="0"/>
                <w:bCs w:val="0"/>
              </w:rPr>
              <w:t xml:space="preserve">integrated </w:t>
            </w:r>
            <w:r w:rsidR="004E1519" w:rsidRPr="00BA2C60">
              <w:rPr>
                <w:b w:val="0"/>
                <w:bCs w:val="0"/>
              </w:rPr>
              <w:t xml:space="preserve">into national policy development processes. </w:t>
            </w:r>
          </w:p>
          <w:p w14:paraId="1DF89817" w14:textId="1FB7AC39" w:rsidR="004E1519" w:rsidRDefault="004B5E71" w:rsidP="00A850C3">
            <w:pPr>
              <w:pStyle w:val="Summarytable"/>
              <w:numPr>
                <w:ilvl w:val="0"/>
                <w:numId w:val="34"/>
              </w:numPr>
              <w:ind w:left="1134"/>
              <w:rPr>
                <w:b w:val="0"/>
                <w:bCs w:val="0"/>
              </w:rPr>
            </w:pPr>
            <w:r>
              <w:rPr>
                <w:b w:val="0"/>
                <w:bCs w:val="0"/>
              </w:rPr>
              <w:t>R</w:t>
            </w:r>
            <w:r w:rsidR="004E1519" w:rsidRPr="005B7250">
              <w:rPr>
                <w:b w:val="0"/>
                <w:bCs w:val="0"/>
              </w:rPr>
              <w:t xml:space="preserve">oles/responsibilities </w:t>
            </w:r>
            <w:r w:rsidR="004E1519">
              <w:rPr>
                <w:b w:val="0"/>
                <w:bCs w:val="0"/>
              </w:rPr>
              <w:t xml:space="preserve">of the national bodies </w:t>
            </w:r>
            <w:r w:rsidR="004E1519" w:rsidRPr="005B7250">
              <w:rPr>
                <w:b w:val="0"/>
                <w:bCs w:val="0"/>
              </w:rPr>
              <w:t>revisited to ensure they are clear and appropriate</w:t>
            </w:r>
            <w:r w:rsidR="004E1519">
              <w:rPr>
                <w:b w:val="0"/>
                <w:bCs w:val="0"/>
              </w:rPr>
              <w:t xml:space="preserve">, and strengthened to enable them to form part of a </w:t>
            </w:r>
            <w:r w:rsidR="004E1519" w:rsidRPr="009A2432">
              <w:rPr>
                <w:b w:val="0"/>
                <w:bCs w:val="0"/>
              </w:rPr>
              <w:t>unified response to emerging healthcare challenges and evolving patient needs</w:t>
            </w:r>
            <w:r w:rsidR="004E1519">
              <w:rPr>
                <w:b w:val="0"/>
                <w:bCs w:val="0"/>
              </w:rPr>
              <w:t>.</w:t>
            </w:r>
          </w:p>
          <w:p w14:paraId="64EF6C84" w14:textId="2A291267" w:rsidR="004E1519" w:rsidRDefault="004B5E71" w:rsidP="00A850C3">
            <w:pPr>
              <w:pStyle w:val="Summarytable"/>
              <w:numPr>
                <w:ilvl w:val="0"/>
                <w:numId w:val="34"/>
              </w:numPr>
              <w:ind w:left="1134"/>
              <w:rPr>
                <w:b w:val="0"/>
                <w:bCs w:val="0"/>
              </w:rPr>
            </w:pPr>
            <w:r>
              <w:rPr>
                <w:b w:val="0"/>
                <w:bCs w:val="0"/>
              </w:rPr>
              <w:t>J</w:t>
            </w:r>
            <w:r w:rsidR="004E1519" w:rsidRPr="005B7250">
              <w:rPr>
                <w:b w:val="0"/>
                <w:bCs w:val="0"/>
              </w:rPr>
              <w:t xml:space="preserve">urisdictional engagement </w:t>
            </w:r>
            <w:r w:rsidR="004E1519">
              <w:rPr>
                <w:b w:val="0"/>
                <w:bCs w:val="0"/>
              </w:rPr>
              <w:t xml:space="preserve">with national bodies </w:t>
            </w:r>
            <w:r w:rsidR="004E1519" w:rsidRPr="005B7250">
              <w:rPr>
                <w:b w:val="0"/>
                <w:bCs w:val="0"/>
              </w:rPr>
              <w:t>better balanced between strategic and technical issues</w:t>
            </w:r>
            <w:r w:rsidR="00CC199C">
              <w:rPr>
                <w:b w:val="0"/>
                <w:bCs w:val="0"/>
              </w:rPr>
              <w:t xml:space="preserve"> (</w:t>
            </w:r>
            <w:r w:rsidR="00487004">
              <w:rPr>
                <w:b w:val="0"/>
                <w:bCs w:val="0"/>
              </w:rPr>
              <w:t>rather than the current technical focus</w:t>
            </w:r>
            <w:r w:rsidR="004E1519">
              <w:rPr>
                <w:b w:val="0"/>
                <w:bCs w:val="0"/>
              </w:rPr>
              <w:t>).</w:t>
            </w:r>
            <w:r w:rsidR="004E1519" w:rsidRPr="005B7250">
              <w:rPr>
                <w:b w:val="0"/>
                <w:bCs w:val="0"/>
              </w:rPr>
              <w:t xml:space="preserve"> </w:t>
            </w:r>
          </w:p>
          <w:p w14:paraId="5022ECB4" w14:textId="4B9A9E2F" w:rsidR="004E1519" w:rsidRDefault="00AE67DA" w:rsidP="00A850C3">
            <w:pPr>
              <w:pStyle w:val="Summarytable"/>
              <w:numPr>
                <w:ilvl w:val="0"/>
                <w:numId w:val="34"/>
              </w:numPr>
              <w:ind w:left="1134"/>
              <w:rPr>
                <w:b w:val="0"/>
                <w:bCs w:val="0"/>
              </w:rPr>
            </w:pPr>
            <w:r>
              <w:rPr>
                <w:b w:val="0"/>
                <w:bCs w:val="0"/>
              </w:rPr>
              <w:t>A</w:t>
            </w:r>
            <w:r w:rsidRPr="0072515B">
              <w:rPr>
                <w:b w:val="0"/>
                <w:bCs w:val="0"/>
              </w:rPr>
              <w:t xml:space="preserve"> </w:t>
            </w:r>
            <w:r w:rsidRPr="00F95F8D">
              <w:t>new performance framework</w:t>
            </w:r>
            <w:r w:rsidR="004E1519" w:rsidRPr="001C6727">
              <w:rPr>
                <w:b w:val="0"/>
                <w:bCs w:val="0"/>
              </w:rPr>
              <w:t xml:space="preserve"> </w:t>
            </w:r>
            <w:r w:rsidR="004E1519">
              <w:rPr>
                <w:b w:val="0"/>
                <w:bCs w:val="0"/>
              </w:rPr>
              <w:t>informed and delivered (</w:t>
            </w:r>
            <w:r w:rsidR="004E1519" w:rsidRPr="00882E81">
              <w:rPr>
                <w:b w:val="0"/>
              </w:rPr>
              <w:t xml:space="preserve">Recommendation </w:t>
            </w:r>
            <w:r w:rsidR="004A04C7">
              <w:rPr>
                <w:b w:val="0"/>
                <w:bCs w:val="0"/>
              </w:rPr>
              <w:t>4</w:t>
            </w:r>
            <w:r w:rsidR="005B04DE">
              <w:rPr>
                <w:b w:val="0"/>
                <w:bCs w:val="0"/>
              </w:rPr>
              <w:t>1</w:t>
            </w:r>
            <w:r w:rsidR="00487004">
              <w:rPr>
                <w:b w:val="0"/>
                <w:bCs w:val="0"/>
              </w:rPr>
              <w:t>)</w:t>
            </w:r>
            <w:r w:rsidR="004E1519">
              <w:rPr>
                <w:b w:val="0"/>
                <w:bCs w:val="0"/>
              </w:rPr>
              <w:t xml:space="preserve"> with input from all jurisdictions and the national bodies</w:t>
            </w:r>
            <w:r w:rsidR="00906BC9">
              <w:rPr>
                <w:b w:val="0"/>
                <w:bCs w:val="0"/>
              </w:rPr>
              <w:t>, and that includes the progress of the national bodies in delivering their accountabilities</w:t>
            </w:r>
            <w:r w:rsidR="004E1519">
              <w:rPr>
                <w:b w:val="0"/>
                <w:bCs w:val="0"/>
              </w:rPr>
              <w:t>.</w:t>
            </w:r>
          </w:p>
          <w:p w14:paraId="07A1C1CC" w14:textId="719C35FD" w:rsidR="00487004" w:rsidRDefault="004B5E71" w:rsidP="00802B29">
            <w:pPr>
              <w:pStyle w:val="Summarytable"/>
              <w:numPr>
                <w:ilvl w:val="0"/>
                <w:numId w:val="34"/>
              </w:numPr>
              <w:ind w:left="1134"/>
              <w:rPr>
                <w:b w:val="0"/>
                <w:bCs w:val="0"/>
              </w:rPr>
            </w:pPr>
            <w:r>
              <w:rPr>
                <w:b w:val="0"/>
                <w:bCs w:val="0"/>
              </w:rPr>
              <w:t>A</w:t>
            </w:r>
            <w:r w:rsidR="00487004">
              <w:rPr>
                <w:b w:val="0"/>
                <w:bCs w:val="0"/>
              </w:rPr>
              <w:t xml:space="preserve"> </w:t>
            </w:r>
            <w:r w:rsidR="00487004" w:rsidRPr="006932D4">
              <w:t>new</w:t>
            </w:r>
            <w:r w:rsidR="00487004">
              <w:rPr>
                <w:b w:val="0"/>
                <w:bCs w:val="0"/>
              </w:rPr>
              <w:t xml:space="preserve"> </w:t>
            </w:r>
            <w:r w:rsidR="007B5700" w:rsidRPr="00802B29">
              <w:t xml:space="preserve">National </w:t>
            </w:r>
            <w:r w:rsidR="00487004" w:rsidRPr="00802B29">
              <w:t xml:space="preserve">Innovation and </w:t>
            </w:r>
            <w:r w:rsidR="007B5700" w:rsidRPr="00802B29">
              <w:t xml:space="preserve">Reform </w:t>
            </w:r>
            <w:r w:rsidR="00802B29">
              <w:t>A</w:t>
            </w:r>
            <w:r w:rsidR="00802B29" w:rsidRPr="00802B29">
              <w:t>gency</w:t>
            </w:r>
            <w:r w:rsidR="00802B29">
              <w:t>,</w:t>
            </w:r>
            <w:r w:rsidR="00802B29" w:rsidRPr="00802B29">
              <w:t xml:space="preserve"> </w:t>
            </w:r>
            <w:r w:rsidR="00487004">
              <w:rPr>
                <w:b w:val="0"/>
                <w:bCs w:val="0"/>
              </w:rPr>
              <w:t>responsible</w:t>
            </w:r>
            <w:r w:rsidR="00487004" w:rsidRPr="00620AEF">
              <w:rPr>
                <w:b w:val="0"/>
                <w:bCs w:val="0"/>
              </w:rPr>
              <w:t xml:space="preserve"> for </w:t>
            </w:r>
            <w:r w:rsidR="00487004">
              <w:rPr>
                <w:b w:val="0"/>
                <w:bCs w:val="0"/>
              </w:rPr>
              <w:t>identifying emerging system pressures and driving innovation and long-term reform</w:t>
            </w:r>
            <w:r w:rsidR="0051161D">
              <w:rPr>
                <w:b w:val="0"/>
                <w:bCs w:val="0"/>
              </w:rPr>
              <w:t>,</w:t>
            </w:r>
            <w:r w:rsidR="00487004">
              <w:rPr>
                <w:b w:val="0"/>
                <w:bCs w:val="0"/>
              </w:rPr>
              <w:t xml:space="preserve"> </w:t>
            </w:r>
            <w:r w:rsidR="0051161D">
              <w:rPr>
                <w:b w:val="0"/>
                <w:bCs w:val="0"/>
              </w:rPr>
              <w:t xml:space="preserve">working closely with HCEF and Health Ministers </w:t>
            </w:r>
            <w:r w:rsidR="00487004">
              <w:rPr>
                <w:b w:val="0"/>
                <w:bCs w:val="0"/>
              </w:rPr>
              <w:t>(</w:t>
            </w:r>
            <w:r w:rsidR="00CF13F9">
              <w:rPr>
                <w:b w:val="0"/>
                <w:bCs w:val="0"/>
              </w:rPr>
              <w:t xml:space="preserve">linked to </w:t>
            </w:r>
            <w:r w:rsidR="00487004" w:rsidRPr="00F120F0">
              <w:rPr>
                <w:b w:val="0"/>
              </w:rPr>
              <w:t xml:space="preserve">Recommendation </w:t>
            </w:r>
            <w:r w:rsidR="005B7371">
              <w:rPr>
                <w:b w:val="0"/>
                <w:bCs w:val="0"/>
              </w:rPr>
              <w:t>3</w:t>
            </w:r>
            <w:r w:rsidR="005B04DE">
              <w:rPr>
                <w:b w:val="0"/>
                <w:bCs w:val="0"/>
              </w:rPr>
              <w:t>4</w:t>
            </w:r>
            <w:r w:rsidR="00487004">
              <w:rPr>
                <w:b w:val="0"/>
                <w:bCs w:val="0"/>
              </w:rPr>
              <w:t>).</w:t>
            </w:r>
          </w:p>
          <w:p w14:paraId="66DF8CAE" w14:textId="77469DAF" w:rsidR="004E1519" w:rsidRDefault="004B5E71" w:rsidP="00A850C3">
            <w:pPr>
              <w:pStyle w:val="Summarytable"/>
              <w:numPr>
                <w:ilvl w:val="0"/>
                <w:numId w:val="34"/>
              </w:numPr>
              <w:ind w:left="1134"/>
              <w:rPr>
                <w:b w:val="0"/>
                <w:bCs w:val="0"/>
              </w:rPr>
            </w:pPr>
            <w:r w:rsidRPr="00F95F8D">
              <w:t>D</w:t>
            </w:r>
            <w:r w:rsidR="004E1519" w:rsidRPr="00F95F8D">
              <w:t>igital health and workforce recognised</w:t>
            </w:r>
            <w:r w:rsidR="004E1519">
              <w:rPr>
                <w:b w:val="0"/>
                <w:bCs w:val="0"/>
              </w:rPr>
              <w:t xml:space="preserve"> through dedicated bodies </w:t>
            </w:r>
            <w:r w:rsidR="00487004">
              <w:rPr>
                <w:b w:val="0"/>
                <w:bCs w:val="0"/>
              </w:rPr>
              <w:t xml:space="preserve">(existing or new) </w:t>
            </w:r>
            <w:r w:rsidR="004E1519">
              <w:rPr>
                <w:b w:val="0"/>
                <w:bCs w:val="0"/>
              </w:rPr>
              <w:t>referenced in the Agreement, with relevant purpose, strategies and outcomes incorporated.</w:t>
            </w:r>
          </w:p>
          <w:p w14:paraId="06C580EB" w14:textId="33F31838" w:rsidR="004E1519" w:rsidRPr="00A806FC" w:rsidRDefault="004B5E71" w:rsidP="00A850C3">
            <w:pPr>
              <w:pStyle w:val="Summarytable"/>
              <w:numPr>
                <w:ilvl w:val="0"/>
                <w:numId w:val="34"/>
              </w:numPr>
              <w:ind w:left="1134"/>
              <w:rPr>
                <w:b w:val="0"/>
                <w:bCs w:val="0"/>
              </w:rPr>
            </w:pPr>
            <w:r>
              <w:rPr>
                <w:b w:val="0"/>
                <w:bCs w:val="0"/>
              </w:rPr>
              <w:t>S</w:t>
            </w:r>
            <w:r w:rsidR="004E1519" w:rsidRPr="005B7250">
              <w:rPr>
                <w:b w:val="0"/>
                <w:bCs w:val="0"/>
              </w:rPr>
              <w:t xml:space="preserve">trategic engagement between national bodies, Health Ministers and Health Chief Executives </w:t>
            </w:r>
            <w:r w:rsidR="004E1519">
              <w:rPr>
                <w:b w:val="0"/>
                <w:bCs w:val="0"/>
              </w:rPr>
              <w:t>to occur</w:t>
            </w:r>
            <w:r w:rsidR="004E1519" w:rsidRPr="005B7250">
              <w:rPr>
                <w:b w:val="0"/>
                <w:bCs w:val="0"/>
              </w:rPr>
              <w:t xml:space="preserve"> at least annually.</w:t>
            </w:r>
          </w:p>
        </w:tc>
      </w:tr>
    </w:tbl>
    <w:p w14:paraId="4F97D79E" w14:textId="3B1F55A3" w:rsidR="00303E7C" w:rsidRDefault="00303E7C" w:rsidP="0061538F">
      <w:pPr>
        <w:rPr>
          <w:rFonts w:eastAsiaTheme="majorEastAsia" w:cstheme="majorBidi"/>
          <w:color w:val="0097A9" w:themeColor="accent5"/>
          <w:sz w:val="32"/>
          <w:szCs w:val="32"/>
        </w:rPr>
      </w:pPr>
      <w:r>
        <w:br w:type="page"/>
      </w:r>
    </w:p>
    <w:p w14:paraId="38F6AABE" w14:textId="317FD2A2" w:rsidR="004001B0" w:rsidRDefault="00B0091A" w:rsidP="004001B0">
      <w:pPr>
        <w:pStyle w:val="Heading2"/>
      </w:pPr>
      <w:bookmarkStart w:id="221" w:name="_Toc143291689"/>
      <w:bookmarkStart w:id="222" w:name="_Ref144217682"/>
      <w:bookmarkStart w:id="223" w:name="_Ref146090650"/>
      <w:r>
        <w:rPr>
          <w:noProof/>
        </w:rPr>
        <w:drawing>
          <wp:anchor distT="0" distB="0" distL="114300" distR="114300" simplePos="0" relativeHeight="251613184" behindDoc="0" locked="0" layoutInCell="1" allowOverlap="1" wp14:anchorId="0FC05DF5" wp14:editId="22FB0266">
            <wp:simplePos x="0" y="0"/>
            <wp:positionH relativeFrom="column">
              <wp:posOffset>5826677</wp:posOffset>
            </wp:positionH>
            <wp:positionV relativeFrom="paragraph">
              <wp:posOffset>-71755</wp:posOffset>
            </wp:positionV>
            <wp:extent cx="810260" cy="723265"/>
            <wp:effectExtent l="0" t="0" r="8890" b="635"/>
            <wp:wrapNone/>
            <wp:docPr id="37" name="Picture 37" descr="P133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1338#y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810260" cy="723265"/>
                    </a:xfrm>
                    <a:prstGeom prst="rect">
                      <a:avLst/>
                    </a:prstGeom>
                  </pic:spPr>
                </pic:pic>
              </a:graphicData>
            </a:graphic>
            <wp14:sizeRelH relativeFrom="page">
              <wp14:pctWidth>0</wp14:pctWidth>
            </wp14:sizeRelH>
            <wp14:sizeRelV relativeFrom="page">
              <wp14:pctHeight>0</wp14:pctHeight>
            </wp14:sizeRelV>
          </wp:anchor>
        </w:drawing>
      </w:r>
      <w:r w:rsidR="004001B0" w:rsidRPr="00B57EC8">
        <w:t xml:space="preserve">A </w:t>
      </w:r>
      <w:r w:rsidR="004001B0">
        <w:t>focus and platform for intersectoral collaboration</w:t>
      </w:r>
      <w:bookmarkEnd w:id="221"/>
      <w:bookmarkEnd w:id="222"/>
      <w:bookmarkEnd w:id="223"/>
    </w:p>
    <w:p w14:paraId="116725B4" w14:textId="77777777" w:rsidR="00FC3011" w:rsidRPr="00C32CF2" w:rsidRDefault="00E47A4B" w:rsidP="00A200BD">
      <w:pPr>
        <w:pStyle w:val="Heading3"/>
        <w:rPr>
          <w:b w:val="0"/>
        </w:rPr>
      </w:pPr>
      <w:bookmarkStart w:id="224" w:name="_Ref144990938"/>
      <w:r w:rsidRPr="00C32CF2">
        <w:t>Governance structures and mechanisms</w:t>
      </w:r>
      <w:r w:rsidR="00C32CF2" w:rsidRPr="00C32CF2">
        <w:t xml:space="preserve"> facilitating alignment and collaboration </w:t>
      </w:r>
      <w:r w:rsidR="00D217B9">
        <w:br/>
      </w:r>
      <w:r w:rsidR="00C32CF2" w:rsidRPr="00C32CF2">
        <w:t>between PHNs, LHNs, and ACCHOs</w:t>
      </w:r>
      <w:bookmarkEnd w:id="224"/>
    </w:p>
    <w:p w14:paraId="623F22A1" w14:textId="6513F2E7" w:rsidR="006A1721" w:rsidRDefault="006A1721" w:rsidP="006A1721">
      <w:r>
        <w:t>The current</w:t>
      </w:r>
      <w:r w:rsidDel="001D011A">
        <w:t xml:space="preserve"> </w:t>
      </w:r>
      <w:r>
        <w:t>Addendum recognises the importance of ‘…better coordination between the hospital, GP and primary health care, disability services and aged care systems…to ensure the health system meets the needs of communities</w:t>
      </w:r>
      <w:r w:rsidR="00520CE2">
        <w:t>. It includes a</w:t>
      </w:r>
      <w:r>
        <w:t xml:space="preserve"> dedicat</w:t>
      </w:r>
      <w:r w:rsidR="00520CE2">
        <w:t>ed</w:t>
      </w:r>
      <w:r>
        <w:t xml:space="preserve"> Schedule </w:t>
      </w:r>
      <w:r w:rsidR="001972EB">
        <w:t>that details the</w:t>
      </w:r>
      <w:r>
        <w:t xml:space="preserve"> shared objectives, roles and responsibilities and commitments to ‘…improve care coordination, particularly for people with chronic conditions and a disability, and transitions between residential aged care and primary and acute care settings’</w:t>
      </w:r>
      <w:r w:rsidR="00B256DB">
        <w:t xml:space="preserve"> (Clause F10)</w:t>
      </w:r>
      <w:r>
        <w:t xml:space="preserve">. </w:t>
      </w:r>
    </w:p>
    <w:p w14:paraId="2B2069E9" w14:textId="0DDAB389" w:rsidR="006A1721" w:rsidRDefault="006A1721" w:rsidP="006A1721">
      <w:r>
        <w:t xml:space="preserve">The Addendum recognises </w:t>
      </w:r>
      <w:r w:rsidR="00665949">
        <w:t xml:space="preserve">that the current health care system is fragmented </w:t>
      </w:r>
      <w:r>
        <w:t>and the difficulties as a result for people to receive well-coordinated care</w:t>
      </w:r>
      <w:r w:rsidR="00665949">
        <w:t>,</w:t>
      </w:r>
      <w:r>
        <w:t xml:space="preserve"> putting particularly those patients with complex needs at risk. In part this is a natural product of different levels of government bearing responsibility for different parts of the system, but </w:t>
      </w:r>
      <w:r w:rsidR="00C52F89">
        <w:t>it impacts on</w:t>
      </w:r>
      <w:r>
        <w:t xml:space="preserve"> the ability of the system to conceive, deliver</w:t>
      </w:r>
      <w:r w:rsidR="00C52F89">
        <w:t xml:space="preserve"> </w:t>
      </w:r>
      <w:r>
        <w:t xml:space="preserve">and scale good practice. </w:t>
      </w:r>
    </w:p>
    <w:p w14:paraId="098EA6FD" w14:textId="4CEFE3D1" w:rsidR="00852292" w:rsidRDefault="006A1721" w:rsidP="006A1721">
      <w:r>
        <w:t>While there are shared commitments outlined in the Addendum to improve governance</w:t>
      </w:r>
      <w:r w:rsidR="001D011A">
        <w:t>,</w:t>
      </w:r>
      <w:r>
        <w:t xml:space="preserve"> particularly between PHNs and LHNs, these have not been consistently realised in practice. Action in this area is pressing, noting the rise in chronic and complex conditions and the importance of providing early intervention and multidisciplinary care.</w:t>
      </w:r>
      <w:r w:rsidR="007948B2">
        <w:t xml:space="preserve"> </w:t>
      </w:r>
      <w:r w:rsidR="00665949">
        <w:rPr>
          <w:rFonts w:cstheme="minorHAnsi"/>
        </w:rPr>
        <w:t>The increased</w:t>
      </w:r>
      <w:r w:rsidR="00665949" w:rsidRPr="009A3DF7">
        <w:rPr>
          <w:rFonts w:cstheme="minorHAnsi"/>
        </w:rPr>
        <w:t xml:space="preserve"> </w:t>
      </w:r>
      <w:r w:rsidR="00852292" w:rsidRPr="009A3DF7">
        <w:rPr>
          <w:rFonts w:cstheme="minorHAnsi"/>
        </w:rPr>
        <w:t xml:space="preserve">prevalence of chronic conditions has elevated the rate of multimorbidity, where individuals have two or more chronic health conditions, requiring more specialised and coordinated care across the health system. </w:t>
      </w:r>
    </w:p>
    <w:p w14:paraId="2E5BE757" w14:textId="4E175FCA" w:rsidR="006A1721" w:rsidRDefault="006A1721" w:rsidP="006A1721">
      <w:r>
        <w:t>While the current Addendum highlights the importance of considering and consulting with PHNs, it falls short of recommending formal participation or establish</w:t>
      </w:r>
      <w:r w:rsidR="00207AF8">
        <w:t>ing</w:t>
      </w:r>
      <w:r>
        <w:t xml:space="preserve"> structures for planning and implementation. Consequently, PHNs are often overlooked in the initial stages of planning and their input is sought too late in the process to have a meaningful impact.</w:t>
      </w:r>
    </w:p>
    <w:p w14:paraId="16C6BBA4" w14:textId="77777777" w:rsidR="006A1721" w:rsidRDefault="006A1721" w:rsidP="006A1721">
      <w:r>
        <w:t xml:space="preserve">A core element of the Addendum is the commitment to reform ‘Joint Planning and Funding at a Local Level’ (one of the six LTRs), with a shared commitment to local commissioning, coordinated and pooled funding, shared reporting and accountability and better integrated and accessible patient-centred care. While the Review saw some examples where progress had been made along these lines, it was by no means systemic and there was a clear gap between aspirations and outcome. </w:t>
      </w:r>
    </w:p>
    <w:p w14:paraId="45DAE447" w14:textId="0057B682" w:rsidR="008B3B60" w:rsidRDefault="006A1721">
      <w:r>
        <w:t xml:space="preserve">The governance landscape is further complicated by the variability in collaborative practices of LHN Governing Councils, which are highly dependent on their respective Terms of Reference, with PHNs often having limited influence. This disconnect </w:t>
      </w:r>
      <w:r w:rsidR="00665949">
        <w:t>creates</w:t>
      </w:r>
      <w:r>
        <w:t xml:space="preserve"> coordination challenges when attempting to provide primary care responses to broader healthcare issues, such as emergency response, due to the lack of inclusion and engagement with the primary care system. </w:t>
      </w:r>
      <w:r w:rsidR="00665949">
        <w:t>There</w:t>
      </w:r>
      <w:r>
        <w:t xml:space="preserve"> are currently no tangible consequences or incentives in place to enforce cross-sectoral collaboration as envisioned in the NHRA Addendum.</w:t>
      </w:r>
      <w:r w:rsidR="002D5D3C">
        <w:t xml:space="preserve"> </w:t>
      </w:r>
    </w:p>
    <w:p w14:paraId="5F7E56BB" w14:textId="77777777" w:rsidR="006A1721" w:rsidRDefault="006A1721" w:rsidP="006A1721">
      <w:r>
        <w:t>While the Addendum has a set of clauses intended to encourage intersectoral collaboration between LHNs, PHNs, and health stakeholders, the effectiveness of these collaborative efforts varies significantly across Australia. Success is often reliant on personal relationships or specific resourced initiatives, and the degree of success can vary widely depending on the experience and networks of key personnel. Additionally, collaboration efforts are often challenged due to the lack of reciprocal engagement from key system partners and reluctance to share data.</w:t>
      </w:r>
    </w:p>
    <w:p w14:paraId="78C38D70" w14:textId="4D4EC9B0" w:rsidR="006A1721" w:rsidRDefault="006A1721" w:rsidP="006A1721">
      <w:pPr>
        <w:spacing w:after="60"/>
      </w:pPr>
      <w:r>
        <w:t xml:space="preserve">Despite </w:t>
      </w:r>
      <w:r w:rsidR="00022E11">
        <w:t>this</w:t>
      </w:r>
      <w:r>
        <w:t>, there is evidence of successful joint planning and funding activities, some of which have been nurtured through informal relationships. However, achieving nationwide, sustainable, and systemic change requires a coordinated strategy and guiding principles that encourage and facilitate collaboration across PHNs, LHNs, and ACCHOs. There is a need to strengthen intersectoral governance structures and mechanisms to foster alignment and collaboration between PHNs, LHNs, and ACCHOs through formal requirements in the Agreement.</w:t>
      </w:r>
    </w:p>
    <w:tbl>
      <w:tblPr>
        <w:tblStyle w:val="TableGrid"/>
        <w:tblW w:w="0" w:type="auto"/>
        <w:tblBorders>
          <w:top w:val="dotted" w:sz="4" w:space="0" w:color="00707E" w:themeColor="accent5" w:themeShade="BF"/>
          <w:left w:val="dotted" w:sz="4" w:space="0" w:color="00707E" w:themeColor="accent5" w:themeShade="BF"/>
          <w:bottom w:val="dotted" w:sz="4" w:space="0" w:color="00707E" w:themeColor="accent5" w:themeShade="BF"/>
          <w:right w:val="dotted" w:sz="4" w:space="0" w:color="00707E" w:themeColor="accent5" w:themeShade="BF"/>
        </w:tblBorders>
        <w:tblLook w:val="04A0" w:firstRow="1" w:lastRow="0" w:firstColumn="1" w:lastColumn="0" w:noHBand="0" w:noVBand="1"/>
      </w:tblPr>
      <w:tblGrid>
        <w:gridCol w:w="10456"/>
      </w:tblGrid>
      <w:tr w:rsidR="006A1721" w14:paraId="38917850" w14:textId="77777777" w:rsidTr="0084556B">
        <w:trPr>
          <w:cnfStyle w:val="100000000000" w:firstRow="1" w:lastRow="0" w:firstColumn="0" w:lastColumn="0" w:oddVBand="0" w:evenVBand="0" w:oddHBand="0" w:evenHBand="0" w:firstRowFirstColumn="0" w:firstRowLastColumn="0" w:lastRowFirstColumn="0" w:lastRowLastColumn="0"/>
        </w:trPr>
        <w:tc>
          <w:tcPr>
            <w:tcW w:w="10456" w:type="dxa"/>
            <w:tcBorders>
              <w:top w:val="dotted" w:sz="4" w:space="0" w:color="00707E" w:themeColor="accent5" w:themeShade="BF"/>
              <w:left w:val="dotted" w:sz="4" w:space="0" w:color="00707E" w:themeColor="accent5" w:themeShade="BF"/>
              <w:bottom w:val="dotted" w:sz="4" w:space="0" w:color="00707E" w:themeColor="accent5" w:themeShade="BF"/>
              <w:right w:val="dotted" w:sz="4" w:space="0" w:color="00707E" w:themeColor="accent5" w:themeShade="BF"/>
            </w:tcBorders>
            <w:hideMark/>
          </w:tcPr>
          <w:p w14:paraId="0115EF03" w14:textId="5FBF11F0" w:rsidR="006A1721" w:rsidRDefault="006A1721">
            <w:pPr>
              <w:pStyle w:val="Summarytable"/>
              <w:rPr>
                <w:color w:val="00707E" w:themeColor="accent5" w:themeShade="BF"/>
                <w:lang w:val="en-GB"/>
              </w:rPr>
            </w:pPr>
            <w:r>
              <w:rPr>
                <w:noProof/>
                <w:lang w:val="en-GB"/>
              </w:rPr>
              <w:drawing>
                <wp:inline distT="0" distB="0" distL="0" distR="0" wp14:anchorId="1DCAD77C" wp14:editId="181AF8E9">
                  <wp:extent cx="269875" cy="269875"/>
                  <wp:effectExtent l="0" t="0" r="0" b="0"/>
                  <wp:docPr id="193" name="Graphic 193" descr="P1348C1T53#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3" name="Graphic 193" descr="P1348C1T53#yIS1">
                            <a:extLst>
                              <a:ext uri="{C183D7F6-B498-43B3-948B-1728B52AA6E4}">
                                <adec:decorative xmlns:adec="http://schemas.microsoft.com/office/drawing/2017/decorative" val="1"/>
                              </a:ext>
                            </a:extLst>
                          </pic:cNvPr>
                          <pic:cNvPicPr>
                            <a:picLocks noChangeAspect="1"/>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269875" cy="269875"/>
                          </a:xfrm>
                          <a:prstGeom prst="rect">
                            <a:avLst/>
                          </a:prstGeom>
                        </pic:spPr>
                      </pic:pic>
                    </a:graphicData>
                  </a:graphic>
                </wp:inline>
              </w:drawing>
            </w:r>
            <w:r w:rsidRPr="00661067">
              <w:rPr>
                <w:color w:val="00707E" w:themeColor="accent5" w:themeShade="BF"/>
                <w:lang w:val="en-GB"/>
              </w:rPr>
              <w:t>Case study:</w:t>
            </w:r>
            <w:r>
              <w:rPr>
                <w:color w:val="00707E" w:themeColor="accent5" w:themeShade="BF"/>
                <w:lang w:val="en-GB"/>
              </w:rPr>
              <w:t xml:space="preserve"> </w:t>
            </w:r>
            <w:r>
              <w:rPr>
                <w:b w:val="0"/>
                <w:bCs w:val="0"/>
                <w:color w:val="00707E" w:themeColor="accent5" w:themeShade="BF"/>
                <w:lang w:val="en-GB"/>
              </w:rPr>
              <w:t xml:space="preserve">The </w:t>
            </w:r>
            <w:r w:rsidR="00B552E3" w:rsidRPr="00B552E3">
              <w:rPr>
                <w:b w:val="0"/>
                <w:bCs w:val="0"/>
                <w:color w:val="00707E" w:themeColor="accent5" w:themeShade="BF"/>
                <w:lang w:val="en-GB"/>
              </w:rPr>
              <w:t>New South Wales</w:t>
            </w:r>
            <w:r>
              <w:rPr>
                <w:b w:val="0"/>
                <w:bCs w:val="0"/>
                <w:color w:val="00707E" w:themeColor="accent5" w:themeShade="BF"/>
                <w:lang w:val="en-GB"/>
              </w:rPr>
              <w:t xml:space="preserve"> Joint Statement – a template for success</w:t>
            </w:r>
          </w:p>
          <w:p w14:paraId="417EFA2A" w14:textId="609A359E" w:rsidR="006A1721" w:rsidRDefault="00B552E3" w:rsidP="0084556B">
            <w:pPr>
              <w:widowControl w:val="0"/>
              <w:ind w:left="142"/>
              <w:rPr>
                <w:lang w:val="en-GB"/>
              </w:rPr>
            </w:pPr>
            <w:r w:rsidRPr="00B552E3">
              <w:rPr>
                <w:lang w:val="en-GB"/>
              </w:rPr>
              <w:t>New South Wales</w:t>
            </w:r>
            <w:r w:rsidR="006A1721">
              <w:rPr>
                <w:lang w:val="en-GB"/>
              </w:rPr>
              <w:t xml:space="preserve"> PHNs, </w:t>
            </w:r>
            <w:r w:rsidRPr="00B552E3">
              <w:rPr>
                <w:lang w:val="en-GB"/>
              </w:rPr>
              <w:t>New South Wales</w:t>
            </w:r>
            <w:r w:rsidR="006A1721">
              <w:rPr>
                <w:lang w:val="en-GB"/>
              </w:rPr>
              <w:t xml:space="preserve"> Health and its Local Health Districts (LHDs) have had a productive working relationship that is growing. The strength of these relationships has led to the development of the </w:t>
            </w:r>
            <w:r w:rsidRPr="00B552E3">
              <w:rPr>
                <w:lang w:val="en-GB"/>
              </w:rPr>
              <w:t>New South Wales</w:t>
            </w:r>
            <w:r w:rsidR="006A1721">
              <w:rPr>
                <w:lang w:val="en-GB"/>
              </w:rPr>
              <w:t xml:space="preserve"> Joint Statement which provides </w:t>
            </w:r>
            <w:r w:rsidR="001D011A">
              <w:rPr>
                <w:lang w:val="en-GB"/>
              </w:rPr>
              <w:t>a</w:t>
            </w:r>
            <w:r w:rsidR="006A1721">
              <w:rPr>
                <w:lang w:val="en-GB"/>
              </w:rPr>
              <w:t xml:space="preserve"> framework for joint planning and commissioning that has the potential to be replicated in other jurisdictions. The Joint Statement aims to advance:  </w:t>
            </w:r>
          </w:p>
          <w:p w14:paraId="3F500051" w14:textId="77777777" w:rsidR="006A1721" w:rsidRPr="0065086D" w:rsidRDefault="006A1721" w:rsidP="00A850C3">
            <w:pPr>
              <w:pStyle w:val="ListParagraph"/>
              <w:widowControl w:val="0"/>
              <w:numPr>
                <w:ilvl w:val="0"/>
                <w:numId w:val="50"/>
              </w:numPr>
              <w:ind w:left="709" w:hanging="425"/>
              <w:rPr>
                <w:lang w:val="en-GB"/>
              </w:rPr>
            </w:pPr>
            <w:r w:rsidRPr="0065086D">
              <w:rPr>
                <w:lang w:val="en-GB"/>
              </w:rPr>
              <w:t xml:space="preserve">A </w:t>
            </w:r>
            <w:r w:rsidRPr="00650E28">
              <w:rPr>
                <w:lang w:val="en-GB"/>
              </w:rPr>
              <w:t>one health system mindset</w:t>
            </w:r>
            <w:r w:rsidRPr="0065086D">
              <w:rPr>
                <w:lang w:val="en-GB"/>
              </w:rPr>
              <w:t xml:space="preserve"> which supports thinking and acting beyond the current structures and boundaries in healthcare.  </w:t>
            </w:r>
          </w:p>
          <w:p w14:paraId="7B28E74F" w14:textId="77777777" w:rsidR="006A1721" w:rsidRPr="0065086D" w:rsidRDefault="006A1721" w:rsidP="00A850C3">
            <w:pPr>
              <w:pStyle w:val="ListParagraph"/>
              <w:widowControl w:val="0"/>
              <w:numPr>
                <w:ilvl w:val="0"/>
                <w:numId w:val="50"/>
              </w:numPr>
              <w:ind w:left="709" w:hanging="425"/>
              <w:rPr>
                <w:lang w:val="en-GB"/>
              </w:rPr>
            </w:pPr>
            <w:r w:rsidRPr="00650E28">
              <w:rPr>
                <w:lang w:val="en-GB"/>
              </w:rPr>
              <w:t>Working together with shared principles and shared focus areas</w:t>
            </w:r>
            <w:r w:rsidRPr="0065086D">
              <w:rPr>
                <w:lang w:val="en-GB"/>
              </w:rPr>
              <w:t xml:space="preserve"> to address shared challenges. </w:t>
            </w:r>
          </w:p>
          <w:p w14:paraId="6B3EB144" w14:textId="77777777" w:rsidR="006A1721" w:rsidRPr="0065086D" w:rsidRDefault="006A1721" w:rsidP="00A850C3">
            <w:pPr>
              <w:pStyle w:val="ListParagraph"/>
              <w:widowControl w:val="0"/>
              <w:numPr>
                <w:ilvl w:val="0"/>
                <w:numId w:val="50"/>
              </w:numPr>
              <w:ind w:left="709" w:hanging="425"/>
              <w:rPr>
                <w:lang w:val="en-GB"/>
              </w:rPr>
            </w:pPr>
            <w:r w:rsidRPr="00650E28">
              <w:rPr>
                <w:lang w:val="en-GB"/>
              </w:rPr>
              <w:t>A regional focus</w:t>
            </w:r>
            <w:r w:rsidRPr="0065086D">
              <w:rPr>
                <w:lang w:val="en-GB"/>
              </w:rPr>
              <w:t xml:space="preserve"> for planning, commissioning, designing, and delivering healthcare backed by the right system support from the State and the Commonwealth.</w:t>
            </w:r>
          </w:p>
          <w:p w14:paraId="5F236960" w14:textId="77777777" w:rsidR="006A1721" w:rsidRPr="00650E28" w:rsidRDefault="006A1721" w:rsidP="00A850C3">
            <w:pPr>
              <w:pStyle w:val="ListParagraph"/>
              <w:widowControl w:val="0"/>
              <w:numPr>
                <w:ilvl w:val="0"/>
                <w:numId w:val="50"/>
              </w:numPr>
              <w:ind w:left="709" w:hanging="425"/>
              <w:rPr>
                <w:lang w:val="en-GB"/>
              </w:rPr>
            </w:pPr>
            <w:r w:rsidRPr="00650E28">
              <w:rPr>
                <w:lang w:val="en-GB"/>
              </w:rPr>
              <w:t>Planning and evaluating</w:t>
            </w:r>
            <w:r w:rsidRPr="0065086D">
              <w:rPr>
                <w:lang w:val="en-GB"/>
              </w:rPr>
              <w:t xml:space="preserve"> actions to improve healthcare experiences, population health outcomes and health system cost efficiency.  </w:t>
            </w:r>
          </w:p>
          <w:p w14:paraId="6C8E6276" w14:textId="45E6A865" w:rsidR="006A1721" w:rsidRDefault="006A1721">
            <w:pPr>
              <w:ind w:left="142"/>
              <w:rPr>
                <w:lang w:val="en-GB"/>
              </w:rPr>
            </w:pPr>
            <w:r>
              <w:rPr>
                <w:lang w:val="en-GB"/>
              </w:rPr>
              <w:t xml:space="preserve">Under the </w:t>
            </w:r>
            <w:r w:rsidR="00B552E3" w:rsidRPr="00B552E3">
              <w:rPr>
                <w:lang w:val="en-GB"/>
              </w:rPr>
              <w:t>New South Wales</w:t>
            </w:r>
            <w:r>
              <w:rPr>
                <w:lang w:val="en-GB"/>
              </w:rPr>
              <w:t xml:space="preserve"> Joint Statement, three Working Groups </w:t>
            </w:r>
            <w:r w:rsidR="001D011A">
              <w:rPr>
                <w:lang w:val="en-GB"/>
              </w:rPr>
              <w:t>advance</w:t>
            </w:r>
            <w:r>
              <w:rPr>
                <w:lang w:val="en-GB"/>
              </w:rPr>
              <w:t xml:space="preserve"> key priority areas including: Care in the Community; Establishing Regional Planning Processes and Governance; and Data and Outcomes. The latter</w:t>
            </w:r>
            <w:r w:rsidDel="009679EE">
              <w:rPr>
                <w:lang w:val="en-GB"/>
              </w:rPr>
              <w:t xml:space="preserve"> </w:t>
            </w:r>
            <w:r>
              <w:rPr>
                <w:lang w:val="en-GB"/>
              </w:rPr>
              <w:t xml:space="preserve">is implementing indicators to provide a shared understanding of performance in key areas of focus and support coordinated delivery of services across both LHDs and PHNs in response to key health system challenges including: </w:t>
            </w:r>
          </w:p>
          <w:p w14:paraId="2D6439DC" w14:textId="77777777" w:rsidR="006A1721" w:rsidRDefault="006A1721" w:rsidP="00A850C3">
            <w:pPr>
              <w:pStyle w:val="ListParagraph"/>
              <w:numPr>
                <w:ilvl w:val="0"/>
                <w:numId w:val="51"/>
              </w:numPr>
              <w:rPr>
                <w:lang w:val="en-GB"/>
              </w:rPr>
            </w:pPr>
            <w:r w:rsidRPr="00650E28">
              <w:rPr>
                <w:bCs/>
                <w:lang w:val="en-GB"/>
              </w:rPr>
              <w:t>Growing demand for healthcare services</w:t>
            </w:r>
            <w:r>
              <w:rPr>
                <w:lang w:val="en-GB"/>
              </w:rPr>
              <w:t xml:space="preserve"> – to support joint regional planning to efficiently address the growing healthcare demand in local communities. </w:t>
            </w:r>
          </w:p>
          <w:p w14:paraId="790C8376" w14:textId="77777777" w:rsidR="006A1721" w:rsidRPr="0065086D" w:rsidRDefault="006A1721" w:rsidP="00A850C3">
            <w:pPr>
              <w:pStyle w:val="ListParagraph"/>
              <w:numPr>
                <w:ilvl w:val="0"/>
                <w:numId w:val="51"/>
              </w:numPr>
              <w:rPr>
                <w:bCs/>
                <w:lang w:val="en-GB"/>
              </w:rPr>
            </w:pPr>
            <w:r w:rsidRPr="00650E28">
              <w:rPr>
                <w:bCs/>
                <w:lang w:val="en-GB"/>
              </w:rPr>
              <w:t>Lack of shared governance and coordination</w:t>
            </w:r>
            <w:r w:rsidRPr="0065086D">
              <w:rPr>
                <w:bCs/>
                <w:lang w:val="en-GB"/>
              </w:rPr>
              <w:t xml:space="preserve"> – informing a shared governance and coordinated approach by implementing a set of shared indicators to provide visibility over the whole health experience (i.e., not just PHNs or LHDs). </w:t>
            </w:r>
          </w:p>
          <w:p w14:paraId="701C3E33" w14:textId="77777777" w:rsidR="006A1721" w:rsidRPr="0065086D" w:rsidRDefault="006A1721" w:rsidP="00A850C3">
            <w:pPr>
              <w:pStyle w:val="ListParagraph"/>
              <w:numPr>
                <w:ilvl w:val="0"/>
                <w:numId w:val="51"/>
              </w:numPr>
              <w:rPr>
                <w:bCs/>
                <w:lang w:val="en-GB"/>
              </w:rPr>
            </w:pPr>
            <w:r w:rsidRPr="00650E28">
              <w:rPr>
                <w:bCs/>
                <w:lang w:val="en-GB"/>
              </w:rPr>
              <w:t>The need for more early intervention and prevention</w:t>
            </w:r>
            <w:r w:rsidRPr="0065086D">
              <w:rPr>
                <w:bCs/>
                <w:lang w:val="en-GB"/>
              </w:rPr>
              <w:t xml:space="preserve"> – including measures of screening and risk factors to understand the effectiveness of preventative health initiatives over time. </w:t>
            </w:r>
          </w:p>
          <w:p w14:paraId="22552C4E" w14:textId="2A03A131" w:rsidR="006A1721" w:rsidRPr="009B0E68" w:rsidRDefault="006A1721" w:rsidP="00A850C3">
            <w:pPr>
              <w:pStyle w:val="ListParagraph"/>
              <w:numPr>
                <w:ilvl w:val="0"/>
                <w:numId w:val="51"/>
              </w:numPr>
              <w:rPr>
                <w:lang w:val="en-GB"/>
              </w:rPr>
            </w:pPr>
            <w:r w:rsidRPr="00650E28">
              <w:rPr>
                <w:bCs/>
                <w:lang w:val="en-GB"/>
              </w:rPr>
              <w:t>The need for greater integration across the system</w:t>
            </w:r>
            <w:r w:rsidRPr="0065086D">
              <w:rPr>
                <w:bCs/>
                <w:lang w:val="en-GB"/>
              </w:rPr>
              <w:t xml:space="preserve"> – including intended measures of the individual experience of care in the Community Reported Measure</w:t>
            </w:r>
            <w:r w:rsidR="007B5700" w:rsidRPr="0065086D">
              <w:rPr>
                <w:bCs/>
                <w:lang w:val="en-GB"/>
              </w:rPr>
              <w:t>.</w:t>
            </w:r>
            <w:r>
              <w:rPr>
                <w:lang w:val="en-GB"/>
              </w:rPr>
              <w:t xml:space="preserve"> </w:t>
            </w:r>
          </w:p>
        </w:tc>
      </w:tr>
    </w:tbl>
    <w:p w14:paraId="525A8E14" w14:textId="77777777" w:rsidR="00E22463" w:rsidRDefault="00E22463" w:rsidP="00E22463"/>
    <w:p w14:paraId="7BD6996E" w14:textId="61F014CB" w:rsidR="004C67E1" w:rsidRPr="008C28B2" w:rsidRDefault="004C67E1" w:rsidP="008C28B2">
      <w:pPr>
        <w:pStyle w:val="Heading3"/>
      </w:pPr>
      <w:bookmarkStart w:id="225" w:name="_Ref148441855"/>
      <w:r w:rsidRPr="00933614">
        <w:t>The role of PHNs in commissioning and driving an integrated health service</w:t>
      </w:r>
      <w:bookmarkEnd w:id="225"/>
      <w:r w:rsidRPr="00933614">
        <w:t xml:space="preserve"> </w:t>
      </w:r>
    </w:p>
    <w:p w14:paraId="72C90CF7" w14:textId="0A813CD7" w:rsidR="006A1721" w:rsidRDefault="006A1721" w:rsidP="006A1721">
      <w:r>
        <w:t xml:space="preserve">The concept of a primary care integrating layer that can participate in local planning and commissioning of services and has a role in filling service gaps and delivering against local priorities has been a part of the NHRA since its inception, initially through Medicare Locals and now 31 PHNs across Australia.  Getting these on the ground services right is essential in supporting care to be delivered where it is going to have the greatest impact and managing patient pathways at the interface of </w:t>
      </w:r>
      <w:r w:rsidR="001972EB">
        <w:t xml:space="preserve">the </w:t>
      </w:r>
      <w:r>
        <w:t>primary and acute care systems.</w:t>
      </w:r>
    </w:p>
    <w:p w14:paraId="26035140" w14:textId="1F2EFC8E" w:rsidR="006A1721" w:rsidRDefault="006A1721" w:rsidP="006A1721">
      <w:r>
        <w:t xml:space="preserve">While the role of PHNs is written into the NHRA, the capacity of the PHNs to deliver on the ground has been variable. In part this relates to the capacity of a PHN to operate as a genuine equal partner in local planning, when it has much less funding and fewer resources than LHNs, does not often align with LHN boundaries, and does not directly hold the care delivery levers which are in the hands of private providers of primary care services.  </w:t>
      </w:r>
    </w:p>
    <w:p w14:paraId="6850BEEB" w14:textId="407FE31D" w:rsidR="006A1721" w:rsidRDefault="006A1721" w:rsidP="006A1721">
      <w:r>
        <w:t>Further, the services and programs commissioned through PHNs have often been overly prescriptive, with limited funding and tight timeframes, restricting the development of co-designed, fit-for-purpose models suitable to local needs. Currently, PHNs operate with constrained and inflexible budgets, limited authority and capacity to plan, coordinate, and influence the development of integrated healthcare services and workforce planning.</w:t>
      </w:r>
    </w:p>
    <w:p w14:paraId="7CB91FD3" w14:textId="0EEDD1C7" w:rsidR="006A1721" w:rsidRDefault="00665949" w:rsidP="006A1721">
      <w:r>
        <w:t>That said,</w:t>
      </w:r>
      <w:r w:rsidR="006A1721">
        <w:t xml:space="preserve"> </w:t>
      </w:r>
      <w:r>
        <w:t>t</w:t>
      </w:r>
      <w:r w:rsidR="006A1721">
        <w:t xml:space="preserve">here are </w:t>
      </w:r>
      <w:r>
        <w:t xml:space="preserve">a number of </w:t>
      </w:r>
      <w:r w:rsidR="006A1721">
        <w:t>high performing PHNs that have demonstrated the positive impacts these structures can have on communities at a local level and shown their ability to progress reform activity in the primary care space. Where most effective</w:t>
      </w:r>
      <w:r w:rsidR="009679EE">
        <w:t>,</w:t>
      </w:r>
      <w:r w:rsidR="006A1721">
        <w:t xml:space="preserve"> PHNs play a pivotal role in:</w:t>
      </w:r>
    </w:p>
    <w:p w14:paraId="308CA925" w14:textId="77777777" w:rsidR="004C67E1" w:rsidRDefault="004C67E1" w:rsidP="00A850C3">
      <w:pPr>
        <w:pStyle w:val="ListParagraph"/>
        <w:numPr>
          <w:ilvl w:val="0"/>
          <w:numId w:val="52"/>
        </w:numPr>
      </w:pPr>
      <w:r>
        <w:t>System coordination and integration</w:t>
      </w:r>
    </w:p>
    <w:p w14:paraId="1F41BFB8" w14:textId="77777777" w:rsidR="004C67E1" w:rsidRDefault="004C67E1" w:rsidP="00A850C3">
      <w:pPr>
        <w:pStyle w:val="ListParagraph"/>
        <w:numPr>
          <w:ilvl w:val="0"/>
          <w:numId w:val="52"/>
        </w:numPr>
      </w:pPr>
      <w:r>
        <w:t>Regional commissioning</w:t>
      </w:r>
    </w:p>
    <w:p w14:paraId="3864BB91" w14:textId="77777777" w:rsidR="004C67E1" w:rsidRDefault="004C67E1" w:rsidP="00A850C3">
      <w:pPr>
        <w:pStyle w:val="ListParagraph"/>
        <w:numPr>
          <w:ilvl w:val="0"/>
          <w:numId w:val="52"/>
        </w:numPr>
      </w:pPr>
      <w:r>
        <w:t>Primary care system stewardship and management</w:t>
      </w:r>
    </w:p>
    <w:p w14:paraId="0B7C70F9" w14:textId="77777777" w:rsidR="004C67E1" w:rsidRDefault="004C67E1" w:rsidP="00A850C3">
      <w:pPr>
        <w:pStyle w:val="ListParagraph"/>
        <w:numPr>
          <w:ilvl w:val="0"/>
          <w:numId w:val="52"/>
        </w:numPr>
      </w:pPr>
      <w:r>
        <w:t>Primary health care education, training, and workforce development</w:t>
      </w:r>
    </w:p>
    <w:p w14:paraId="4006C099" w14:textId="41B4FBCD" w:rsidR="004C67E1" w:rsidRDefault="004C67E1" w:rsidP="00A850C3">
      <w:pPr>
        <w:pStyle w:val="ListParagraph"/>
        <w:numPr>
          <w:ilvl w:val="0"/>
          <w:numId w:val="52"/>
        </w:numPr>
      </w:pPr>
      <w:r>
        <w:t>Health system transformation and reform</w:t>
      </w:r>
      <w:r w:rsidR="004B0E14">
        <w:t>.</w:t>
      </w:r>
    </w:p>
    <w:p w14:paraId="24C355A7" w14:textId="1D805CB8" w:rsidR="006A1721" w:rsidRDefault="006A1721" w:rsidP="006A1721">
      <w:r>
        <w:t>There are many examples presented to the Review where PHNs have assumed leadership roles within their communities to foster the development and performance of the primary care sector and are offering integrated care solutions across sectors</w:t>
      </w:r>
      <w:r w:rsidR="00180DAE">
        <w:t xml:space="preserve"> (see </w:t>
      </w:r>
      <w:r w:rsidR="00E53B79">
        <w:t>Case Study</w:t>
      </w:r>
      <w:r w:rsidR="00180DAE">
        <w:t>: North Sydney Elderly and Frail Care Collaborative Commissioning initiative)</w:t>
      </w:r>
      <w:r>
        <w:t xml:space="preserve">. </w:t>
      </w:r>
    </w:p>
    <w:p w14:paraId="74B9AFE5" w14:textId="7A565CE5" w:rsidR="006A1721" w:rsidRDefault="006A1721" w:rsidP="006A1721">
      <w:r>
        <w:t>As part of a larger network, both at the national level through the PHN Cooperative</w:t>
      </w:r>
      <w:r w:rsidR="003F5D51">
        <w:rPr>
          <w:rFonts w:ascii="ZWAdobeF" w:hAnsi="ZWAdobeF" w:cs="ZWAdobeF"/>
          <w:sz w:val="2"/>
          <w:szCs w:val="2"/>
        </w:rPr>
        <w:t>107F</w:t>
      </w:r>
      <w:r>
        <w:rPr>
          <w:rStyle w:val="FootnoteReference"/>
        </w:rPr>
        <w:footnoteReference w:id="109"/>
      </w:r>
      <w:r>
        <w:t xml:space="preserve"> (collective function of which all 31 PHNs in Australia are members) and within their respective </w:t>
      </w:r>
      <w:r w:rsidR="0001275B">
        <w:t>S</w:t>
      </w:r>
      <w:r>
        <w:t xml:space="preserve">tates and </w:t>
      </w:r>
      <w:r w:rsidR="0001275B">
        <w:t>T</w:t>
      </w:r>
      <w:r>
        <w:t xml:space="preserve">erritories, PHNs share successful models, lessons learned and resources to achieve shared objectives. </w:t>
      </w:r>
    </w:p>
    <w:p w14:paraId="129DE84B" w14:textId="167251CE" w:rsidR="006A1721" w:rsidRDefault="006A1721" w:rsidP="006A1721">
      <w:r>
        <w:t>However, a lack of consistent recognition of PHNs' roles and responsibilities remains a challenge. The role and responsibilities of PHNs should be strengthened in the Addendum, with a requirement that they participate effectively in joint planning and commissioning activities. A genuine commitment from Commonwealth and States and Territory governments</w:t>
      </w:r>
      <w:r w:rsidRPr="00B32669">
        <w:rPr>
          <w:rStyle w:val="CommentReference"/>
          <w:sz w:val="20"/>
          <w:szCs w:val="20"/>
        </w:rPr>
        <w:t xml:space="preserve"> is </w:t>
      </w:r>
      <w:r>
        <w:t>required to foster this authorising environment, one that recognises the unique role and capabilities of PHNs within primary healthcare and local health services to plan and deliver targeted, impactful services</w:t>
      </w:r>
      <w:r w:rsidR="001657D8">
        <w:t xml:space="preserve">, and </w:t>
      </w:r>
      <w:r w:rsidR="0056716A">
        <w:t>provides sufficient flexibility in their funding to respond to local needs</w:t>
      </w:r>
      <w:r w:rsidR="009B411F">
        <w:t xml:space="preserve"> (see </w:t>
      </w:r>
      <w:r w:rsidR="001657D8">
        <w:t>Case Study</w:t>
      </w:r>
      <w:r w:rsidR="009B411F">
        <w:t>: The Health Alliance – Care Collective)</w:t>
      </w:r>
      <w:r>
        <w:t>.</w:t>
      </w:r>
    </w:p>
    <w:p w14:paraId="4EE541B6" w14:textId="3462226A" w:rsidR="006A1721" w:rsidRDefault="006A1721" w:rsidP="006A1721">
      <w:r>
        <w:t xml:space="preserve">These requirements should be extended to the ACCHO sector. While there is only passing reference to ACCHOs in the current Addendum, they form part of the primary care landscape and should be required to work collaboratively with PHNs and LHNs to plan and commission local services. </w:t>
      </w:r>
    </w:p>
    <w:tbl>
      <w:tblPr>
        <w:tblStyle w:val="TableGrid"/>
        <w:tblW w:w="0" w:type="auto"/>
        <w:tblBorders>
          <w:top w:val="dotted" w:sz="4" w:space="0" w:color="00707E" w:themeColor="accent5" w:themeShade="BF"/>
          <w:left w:val="dotted" w:sz="4" w:space="0" w:color="00707E" w:themeColor="accent5" w:themeShade="BF"/>
          <w:bottom w:val="dotted" w:sz="4" w:space="0" w:color="00707E" w:themeColor="accent5" w:themeShade="BF"/>
          <w:right w:val="dotted" w:sz="4" w:space="0" w:color="00707E" w:themeColor="accent5" w:themeShade="BF"/>
        </w:tblBorders>
        <w:tblLook w:val="04A0" w:firstRow="1" w:lastRow="0" w:firstColumn="1" w:lastColumn="0" w:noHBand="0" w:noVBand="1"/>
      </w:tblPr>
      <w:tblGrid>
        <w:gridCol w:w="10456"/>
      </w:tblGrid>
      <w:tr w:rsidR="006A1721" w14:paraId="78819C20" w14:textId="77777777" w:rsidTr="006A1721">
        <w:trPr>
          <w:cnfStyle w:val="100000000000" w:firstRow="1" w:lastRow="0" w:firstColumn="0" w:lastColumn="0" w:oddVBand="0" w:evenVBand="0" w:oddHBand="0" w:evenHBand="0" w:firstRowFirstColumn="0" w:firstRowLastColumn="0" w:lastRowFirstColumn="0" w:lastRowLastColumn="0"/>
        </w:trPr>
        <w:tc>
          <w:tcPr>
            <w:tcW w:w="10456" w:type="dxa"/>
            <w:tcBorders>
              <w:top w:val="dotted" w:sz="4" w:space="0" w:color="00707E" w:themeColor="accent5" w:themeShade="BF"/>
              <w:left w:val="dotted" w:sz="4" w:space="0" w:color="00707E" w:themeColor="accent5" w:themeShade="BF"/>
              <w:bottom w:val="dotted" w:sz="4" w:space="0" w:color="00707E" w:themeColor="accent5" w:themeShade="BF"/>
              <w:right w:val="dotted" w:sz="4" w:space="0" w:color="00707E" w:themeColor="accent5" w:themeShade="BF"/>
            </w:tcBorders>
            <w:hideMark/>
          </w:tcPr>
          <w:p w14:paraId="4C16D35C" w14:textId="33CEFD52" w:rsidR="006A1721" w:rsidRDefault="006A1721" w:rsidP="00661067">
            <w:pPr>
              <w:pStyle w:val="Summarytable"/>
              <w:rPr>
                <w:color w:val="00707E" w:themeColor="accent5" w:themeShade="BF"/>
                <w:lang w:val="en-GB"/>
              </w:rPr>
            </w:pPr>
            <w:r>
              <w:rPr>
                <w:noProof/>
                <w:lang w:val="en-GB"/>
              </w:rPr>
              <w:drawing>
                <wp:inline distT="0" distB="0" distL="0" distR="0" wp14:anchorId="09B96A1F" wp14:editId="33B9A2FA">
                  <wp:extent cx="269875" cy="269875"/>
                  <wp:effectExtent l="0" t="0" r="0" b="0"/>
                  <wp:docPr id="192" name="Graphic 192" descr="P1375C1T54#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2" name="Graphic 192" descr="P1375C1T54#yIS1">
                            <a:extLst>
                              <a:ext uri="{C183D7F6-B498-43B3-948B-1728B52AA6E4}">
                                <adec:decorative xmlns:adec="http://schemas.microsoft.com/office/drawing/2017/decorative" val="1"/>
                              </a:ext>
                            </a:extLst>
                          </pic:cNvPr>
                          <pic:cNvPicPr>
                            <a:picLocks noChangeAspect="1"/>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269875" cy="269875"/>
                          </a:xfrm>
                          <a:prstGeom prst="rect">
                            <a:avLst/>
                          </a:prstGeom>
                        </pic:spPr>
                      </pic:pic>
                    </a:graphicData>
                  </a:graphic>
                </wp:inline>
              </w:drawing>
            </w:r>
            <w:r w:rsidRPr="004B4926">
              <w:rPr>
                <w:color w:val="00707E" w:themeColor="accent5" w:themeShade="BF"/>
                <w:lang w:val="en-GB"/>
              </w:rPr>
              <w:t>Case study:</w:t>
            </w:r>
            <w:r>
              <w:rPr>
                <w:color w:val="00707E" w:themeColor="accent5" w:themeShade="BF"/>
                <w:lang w:val="en-GB"/>
              </w:rPr>
              <w:t xml:space="preserve"> </w:t>
            </w:r>
            <w:r>
              <w:rPr>
                <w:b w:val="0"/>
                <w:bCs w:val="0"/>
                <w:color w:val="00707E" w:themeColor="accent5" w:themeShade="BF"/>
                <w:lang w:val="en-GB"/>
              </w:rPr>
              <w:t>North Sydney Elderly and Frail Care Collaborative Commissioning initiative</w:t>
            </w:r>
          </w:p>
          <w:p w14:paraId="089FE0D9" w14:textId="43DEC16D" w:rsidR="006A1721" w:rsidRDefault="002A7793" w:rsidP="00661067">
            <w:pPr>
              <w:pStyle w:val="ListBullet"/>
              <w:numPr>
                <w:ilvl w:val="0"/>
                <w:numId w:val="0"/>
              </w:numPr>
              <w:spacing w:after="120"/>
              <w:ind w:left="142"/>
              <w:rPr>
                <w:b/>
                <w:bCs/>
                <w:lang w:val="en-GB"/>
              </w:rPr>
            </w:pPr>
            <w:r>
              <w:t>This</w:t>
            </w:r>
            <w:r w:rsidR="00075F1C">
              <w:t xml:space="preserve"> joint</w:t>
            </w:r>
            <w:r>
              <w:t xml:space="preserve"> initiative </w:t>
            </w:r>
            <w:r w:rsidR="00075F1C">
              <w:t xml:space="preserve">between Northern Sydney LHD and Sydney North PHN, </w:t>
            </w:r>
            <w:r>
              <w:t xml:space="preserve">focused on improving rapid care for frail and older people in Northern Sydney. </w:t>
            </w:r>
            <w:r w:rsidRPr="005A5847">
              <w:rPr>
                <w:lang w:val="en-GB"/>
              </w:rPr>
              <w:t>GPs identify patients at high risk of hospitalisation who would benefit from more proactive care. The GPs then receive additional support for care coordination and navigation services to coordinate patients’ care. The initiative provides access to specialist geriatricians, specialised exercise programs, falls prevention programs, home modifications, mental health services and nutrition guidance.</w:t>
            </w:r>
            <w:r>
              <w:rPr>
                <w:lang w:val="en-GB"/>
              </w:rPr>
              <w:t xml:space="preserve"> </w:t>
            </w:r>
            <w:r w:rsidRPr="006F4661">
              <w:rPr>
                <w:lang w:val="en-GB"/>
              </w:rPr>
              <w:t>Additional support is provided by Health Navigators who deliver concierge services and are available to provide support for health care professionals in Norther</w:t>
            </w:r>
            <w:r>
              <w:rPr>
                <w:lang w:val="en-GB"/>
              </w:rPr>
              <w:t>n</w:t>
            </w:r>
            <w:r w:rsidRPr="006F4661">
              <w:rPr>
                <w:lang w:val="en-GB"/>
              </w:rPr>
              <w:t xml:space="preserve"> Sydney to navigate, troubleshoot and coordinate community-based primary health, aged and social care and some hospital-based services for frail and vulnerable people within their care</w:t>
            </w:r>
          </w:p>
        </w:tc>
      </w:tr>
    </w:tbl>
    <w:p w14:paraId="1F4F79C7" w14:textId="77777777" w:rsidR="00823D62" w:rsidRDefault="00823D62" w:rsidP="008C7836"/>
    <w:p w14:paraId="46FF8E66" w14:textId="77777777" w:rsidR="006A1721" w:rsidRDefault="006A1721" w:rsidP="006A1721">
      <w:r>
        <w:t xml:space="preserve">The importance of PHNs’ role in co-designing relevant, best practice and place-based solutions has been recognised in the </w:t>
      </w:r>
      <w:r w:rsidRPr="00D2518E">
        <w:rPr>
          <w:i/>
          <w:iCs/>
        </w:rPr>
        <w:t>Primary Health Care 10 Year Plan</w:t>
      </w:r>
      <w:r>
        <w:t xml:space="preserve">, the </w:t>
      </w:r>
      <w:r w:rsidRPr="00D2518E">
        <w:rPr>
          <w:i/>
          <w:iCs/>
        </w:rPr>
        <w:t>Strengthening Medicare Taskforce</w:t>
      </w:r>
      <w:r>
        <w:t>, and partially within the Addendum. However, to enable PHNs to fulfil this role more fully, explicit authority codified within relevant agreements should support PHNs to plan, coordinate, and commission local primary health care services.</w:t>
      </w:r>
    </w:p>
    <w:p w14:paraId="1AB46C6C" w14:textId="7E701C68" w:rsidR="004C67E1" w:rsidRDefault="00F60DC3" w:rsidP="004C67E1">
      <w:r>
        <w:t>T</w:t>
      </w:r>
      <w:r w:rsidR="004C67E1">
        <w:t xml:space="preserve">his approach would enable PHNs to leverage their unique position as 'neutral players' in the market, offering a distinctive perspective and fostering collaboration among healthcare stakeholders in a non-competitive manner. </w:t>
      </w:r>
    </w:p>
    <w:tbl>
      <w:tblPr>
        <w:tblStyle w:val="TableGrid"/>
        <w:tblpPr w:leftFromText="180" w:rightFromText="180" w:vertAnchor="text" w:horzAnchor="margin" w:tblpY="35"/>
        <w:tblW w:w="0" w:type="auto"/>
        <w:tblBorders>
          <w:top w:val="dotted" w:sz="4" w:space="0" w:color="00707E" w:themeColor="accent5" w:themeShade="BF"/>
          <w:left w:val="dotted" w:sz="4" w:space="0" w:color="00707E" w:themeColor="accent5" w:themeShade="BF"/>
          <w:bottom w:val="dotted" w:sz="4" w:space="0" w:color="00707E" w:themeColor="accent5" w:themeShade="BF"/>
          <w:right w:val="dotted" w:sz="4" w:space="0" w:color="00707E" w:themeColor="accent5" w:themeShade="BF"/>
        </w:tblBorders>
        <w:tblLook w:val="04A0" w:firstRow="1" w:lastRow="0" w:firstColumn="1" w:lastColumn="0" w:noHBand="0" w:noVBand="1"/>
      </w:tblPr>
      <w:tblGrid>
        <w:gridCol w:w="10456"/>
      </w:tblGrid>
      <w:tr w:rsidR="002D5D3C" w14:paraId="25ED002C" w14:textId="77777777">
        <w:trPr>
          <w:cnfStyle w:val="100000000000" w:firstRow="1" w:lastRow="0" w:firstColumn="0" w:lastColumn="0" w:oddVBand="0" w:evenVBand="0" w:oddHBand="0" w:evenHBand="0" w:firstRowFirstColumn="0" w:firstRowLastColumn="0" w:lastRowFirstColumn="0" w:lastRowLastColumn="0"/>
        </w:trPr>
        <w:tc>
          <w:tcPr>
            <w:tcW w:w="10456" w:type="dxa"/>
            <w:tcBorders>
              <w:top w:val="dotted" w:sz="4" w:space="0" w:color="00707E" w:themeColor="accent5" w:themeShade="BF"/>
              <w:left w:val="dotted" w:sz="4" w:space="0" w:color="00707E" w:themeColor="accent5" w:themeShade="BF"/>
              <w:bottom w:val="dotted" w:sz="4" w:space="0" w:color="00707E" w:themeColor="accent5" w:themeShade="BF"/>
              <w:right w:val="dotted" w:sz="4" w:space="0" w:color="00707E" w:themeColor="accent5" w:themeShade="BF"/>
            </w:tcBorders>
            <w:hideMark/>
          </w:tcPr>
          <w:p w14:paraId="16B035B7" w14:textId="0818D4A2" w:rsidR="002D5D3C" w:rsidRDefault="002D5D3C">
            <w:pPr>
              <w:pStyle w:val="Summarytable"/>
              <w:rPr>
                <w:color w:val="00707E" w:themeColor="accent5" w:themeShade="BF"/>
                <w:lang w:val="en-GB"/>
              </w:rPr>
            </w:pPr>
            <w:r>
              <w:rPr>
                <w:noProof/>
                <w:lang w:val="en-GB"/>
              </w:rPr>
              <w:drawing>
                <wp:inline distT="0" distB="0" distL="0" distR="0" wp14:anchorId="102C555B" wp14:editId="0AA08F42">
                  <wp:extent cx="269875" cy="269875"/>
                  <wp:effectExtent l="0" t="0" r="0" b="0"/>
                  <wp:docPr id="194" name="Graphic 194" descr="P1381C1T55#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4" name="Graphic 194" descr="P1381C1T55#yIS1">
                            <a:extLst>
                              <a:ext uri="{C183D7F6-B498-43B3-948B-1728B52AA6E4}">
                                <adec:decorative xmlns:adec="http://schemas.microsoft.com/office/drawing/2017/decorative" val="1"/>
                              </a:ext>
                            </a:extLst>
                          </pic:cNvPr>
                          <pic:cNvPicPr>
                            <a:picLocks noChangeAspect="1"/>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269875" cy="269875"/>
                          </a:xfrm>
                          <a:prstGeom prst="rect">
                            <a:avLst/>
                          </a:prstGeom>
                        </pic:spPr>
                      </pic:pic>
                    </a:graphicData>
                  </a:graphic>
                </wp:inline>
              </w:drawing>
            </w:r>
            <w:r w:rsidRPr="004B4926">
              <w:rPr>
                <w:color w:val="00707E" w:themeColor="accent5" w:themeShade="BF"/>
                <w:lang w:val="en-GB"/>
              </w:rPr>
              <w:t>Case study:</w:t>
            </w:r>
            <w:r>
              <w:rPr>
                <w:color w:val="00707E" w:themeColor="accent5" w:themeShade="BF"/>
                <w:lang w:val="en-GB"/>
              </w:rPr>
              <w:t xml:space="preserve"> </w:t>
            </w:r>
            <w:r>
              <w:rPr>
                <w:b w:val="0"/>
                <w:bCs w:val="0"/>
                <w:color w:val="00707E" w:themeColor="accent5" w:themeShade="BF"/>
                <w:lang w:val="en-GB"/>
              </w:rPr>
              <w:t>The Health Alliance – Care Collective: Improving access to primary healthcare and care coordination</w:t>
            </w:r>
          </w:p>
          <w:p w14:paraId="01097617" w14:textId="2DD88C84" w:rsidR="002D5D3C" w:rsidRDefault="002D5D3C">
            <w:pPr>
              <w:ind w:left="142"/>
              <w:rPr>
                <w:lang w:val="en-GB"/>
              </w:rPr>
            </w:pPr>
            <w:r>
              <w:rPr>
                <w:lang w:val="en-GB"/>
              </w:rPr>
              <w:t>In 2017, Metro North Health and Brisbane North PHN established the Health Alliance – building on the track record of collaboration and partnership in the North Brisbane and Moreton Bay region. A Joint Board Committee, drawing membership from both organisations provides</w:t>
            </w:r>
            <w:r w:rsidDel="009679EE">
              <w:rPr>
                <w:lang w:val="en-GB"/>
              </w:rPr>
              <w:t xml:space="preserve"> </w:t>
            </w:r>
            <w:r>
              <w:rPr>
                <w:lang w:val="en-GB"/>
              </w:rPr>
              <w:t xml:space="preserve">shared governance, joint identification of issues and a collaborative response to health challenges that no </w:t>
            </w:r>
            <w:r w:rsidR="009679EE">
              <w:rPr>
                <w:lang w:val="en-GB"/>
              </w:rPr>
              <w:t xml:space="preserve">one </w:t>
            </w:r>
            <w:r>
              <w:rPr>
                <w:lang w:val="en-GB"/>
              </w:rPr>
              <w:t xml:space="preserve">organisation can solve on its own. </w:t>
            </w:r>
          </w:p>
          <w:p w14:paraId="2C223368" w14:textId="3DF2D981" w:rsidR="002D5D3C" w:rsidRDefault="002D5D3C">
            <w:pPr>
              <w:ind w:left="142"/>
              <w:rPr>
                <w:lang w:val="en-GB"/>
              </w:rPr>
            </w:pPr>
            <w:r>
              <w:rPr>
                <w:lang w:val="en-GB"/>
              </w:rPr>
              <w:t xml:space="preserve">The Care Collective </w:t>
            </w:r>
            <w:r w:rsidR="00D27192">
              <w:rPr>
                <w:lang w:val="en-GB"/>
              </w:rPr>
              <w:t>collaborates with stakeholders across Metro North Health, Brisbane North PHN, and local primary health care providers</w:t>
            </w:r>
            <w:r>
              <w:rPr>
                <w:lang w:val="en-GB"/>
              </w:rPr>
              <w:t xml:space="preserve"> to reduce demand on EDs by identifying a targeted cohort of complex patients and implementing a case management approach</w:t>
            </w:r>
            <w:r w:rsidR="0021347E">
              <w:rPr>
                <w:lang w:val="en-GB"/>
              </w:rPr>
              <w:t xml:space="preserve"> for </w:t>
            </w:r>
            <w:r w:rsidR="00D27192">
              <w:rPr>
                <w:lang w:val="en-GB"/>
              </w:rPr>
              <w:t>chronic conditions such as</w:t>
            </w:r>
            <w:r>
              <w:rPr>
                <w:lang w:val="en-GB"/>
              </w:rPr>
              <w:t xml:space="preserve"> chronic obstructive pulmonary disease (COPD)</w:t>
            </w:r>
            <w:r w:rsidR="00D27192">
              <w:rPr>
                <w:lang w:val="en-GB"/>
              </w:rPr>
              <w:t xml:space="preserve"> and</w:t>
            </w:r>
            <w:r>
              <w:rPr>
                <w:lang w:val="en-GB"/>
              </w:rPr>
              <w:t xml:space="preserve"> congestive heart failure (CHF). </w:t>
            </w:r>
            <w:r w:rsidR="00665949">
              <w:rPr>
                <w:lang w:val="en-GB"/>
              </w:rPr>
              <w:t>The</w:t>
            </w:r>
            <w:r>
              <w:rPr>
                <w:lang w:val="en-GB"/>
              </w:rPr>
              <w:t xml:space="preserve"> initiative places a Complex Care Coordinator in </w:t>
            </w:r>
            <w:r w:rsidR="00537EA2">
              <w:rPr>
                <w:lang w:val="en-GB"/>
              </w:rPr>
              <w:t>GPs</w:t>
            </w:r>
            <w:r w:rsidR="009679EE">
              <w:rPr>
                <w:lang w:val="en-GB"/>
              </w:rPr>
              <w:t xml:space="preserve"> </w:t>
            </w:r>
            <w:r>
              <w:rPr>
                <w:lang w:val="en-GB"/>
              </w:rPr>
              <w:t xml:space="preserve">to enhance practice capacity and improve patient quality of life, health literacy, health outcomes and reduce ED presentations and hospital admissions. </w:t>
            </w:r>
          </w:p>
          <w:p w14:paraId="371AED08" w14:textId="44221448" w:rsidR="002D5D3C" w:rsidRDefault="002D5D3C">
            <w:pPr>
              <w:ind w:left="142"/>
              <w:rPr>
                <w:lang w:val="en-GB"/>
              </w:rPr>
            </w:pPr>
            <w:r>
              <w:rPr>
                <w:lang w:val="en-GB"/>
              </w:rPr>
              <w:t xml:space="preserve">The </w:t>
            </w:r>
            <w:r w:rsidR="001242A1">
              <w:rPr>
                <w:lang w:val="en-GB"/>
              </w:rPr>
              <w:t>Care Caboolture Evaluation Report, finalised in August 2023,</w:t>
            </w:r>
            <w:r>
              <w:rPr>
                <w:lang w:val="en-GB"/>
              </w:rPr>
              <w:t xml:space="preserve"> showed</w:t>
            </w:r>
            <w:r w:rsidR="007B5700">
              <w:rPr>
                <w:lang w:val="en-GB"/>
              </w:rPr>
              <w:t xml:space="preserve"> a </w:t>
            </w:r>
            <w:r w:rsidR="005A2B91">
              <w:rPr>
                <w:lang w:val="en-GB"/>
              </w:rPr>
              <w:t>75</w:t>
            </w:r>
            <w:r w:rsidR="007B5700">
              <w:rPr>
                <w:lang w:val="en-GB"/>
              </w:rPr>
              <w:t xml:space="preserve">% reduction in ED presentations for patients enrolled in the program, a </w:t>
            </w:r>
            <w:r w:rsidR="005A2B91">
              <w:rPr>
                <w:lang w:val="en-GB"/>
              </w:rPr>
              <w:t>48</w:t>
            </w:r>
            <w:r w:rsidR="007B5700">
              <w:rPr>
                <w:lang w:val="en-GB"/>
              </w:rPr>
              <w:t xml:space="preserve">% decrease in the proportion of clients with greater than one ED presentation per month and a significant reduction in unplanned admissions. Early data suggests the initiative is producing savings of more than </w:t>
            </w:r>
            <w:r w:rsidR="00317A76">
              <w:rPr>
                <w:lang w:val="en-GB"/>
              </w:rPr>
              <w:t xml:space="preserve">quadruple </w:t>
            </w:r>
            <w:r w:rsidR="007B5700">
              <w:rPr>
                <w:lang w:val="en-GB"/>
              </w:rPr>
              <w:t>its funding in reduced hospital service use (return on investment savings of $</w:t>
            </w:r>
            <w:r w:rsidR="00317A76">
              <w:rPr>
                <w:lang w:val="en-GB"/>
              </w:rPr>
              <w:t>1971</w:t>
            </w:r>
            <w:r w:rsidR="007B5700">
              <w:rPr>
                <w:lang w:val="en-GB"/>
              </w:rPr>
              <w:t xml:space="preserve"> per month per client). </w:t>
            </w:r>
            <w:r w:rsidR="00C805DC">
              <w:rPr>
                <w:lang w:val="en-GB"/>
              </w:rPr>
              <w:t xml:space="preserve">Due to the early demonstrated effectiveness of the </w:t>
            </w:r>
            <w:r w:rsidR="00652C27">
              <w:rPr>
                <w:lang w:val="en-GB"/>
              </w:rPr>
              <w:t>Care Collective-Caboolture, the program was funded for an additional two years by Queensland Health, as part of the Commonwealth Primary Care Pilot program. This additional $5.3 million investment will facilitate the scale of the Care Collective in Caboolture and spread into Redcliffe, where a need for complex care coordination was also identified.</w:t>
            </w:r>
          </w:p>
          <w:p w14:paraId="6FEB035D" w14:textId="75BDE7AF" w:rsidR="002D5D3C" w:rsidRDefault="00C657DA" w:rsidP="006948E0">
            <w:pPr>
              <w:ind w:left="142"/>
              <w:rPr>
                <w:b/>
                <w:bCs/>
                <w:lang w:val="en-GB"/>
              </w:rPr>
            </w:pPr>
            <w:r>
              <w:rPr>
                <w:lang w:val="en-GB"/>
              </w:rPr>
              <w:t>This case study highlights how</w:t>
            </w:r>
            <w:r w:rsidR="00D355C2">
              <w:rPr>
                <w:lang w:val="en-GB"/>
              </w:rPr>
              <w:t xml:space="preserve"> </w:t>
            </w:r>
            <w:r w:rsidR="006948E0">
              <w:rPr>
                <w:lang w:val="en-GB"/>
              </w:rPr>
              <w:t xml:space="preserve">governance mechanisms can facilitate effective </w:t>
            </w:r>
            <w:r w:rsidR="00D355C2">
              <w:rPr>
                <w:lang w:val="en-GB"/>
              </w:rPr>
              <w:t>joint planning and commissioning between LHNs and PHN</w:t>
            </w:r>
            <w:r w:rsidR="00212B9A">
              <w:rPr>
                <w:lang w:val="en-GB"/>
              </w:rPr>
              <w:t xml:space="preserve"> in collaboration with local health services </w:t>
            </w:r>
            <w:r w:rsidR="006948E0">
              <w:rPr>
                <w:lang w:val="en-GB"/>
              </w:rPr>
              <w:t>to</w:t>
            </w:r>
            <w:r w:rsidR="00D355C2">
              <w:rPr>
                <w:lang w:val="en-GB"/>
              </w:rPr>
              <w:t xml:space="preserve"> </w:t>
            </w:r>
            <w:r w:rsidR="006948E0">
              <w:rPr>
                <w:lang w:val="en-GB"/>
              </w:rPr>
              <w:t xml:space="preserve">deliver targeted, impactful services that </w:t>
            </w:r>
            <w:r w:rsidR="00D355C2">
              <w:rPr>
                <w:lang w:val="en-GB"/>
              </w:rPr>
              <w:t xml:space="preserve">address the </w:t>
            </w:r>
            <w:r w:rsidR="004662E2">
              <w:rPr>
                <w:lang w:val="en-GB"/>
              </w:rPr>
              <w:t>health needs of the local communit</w:t>
            </w:r>
            <w:r w:rsidR="006948E0">
              <w:rPr>
                <w:lang w:val="en-GB"/>
              </w:rPr>
              <w:t>y.</w:t>
            </w:r>
          </w:p>
        </w:tc>
      </w:tr>
    </w:tbl>
    <w:p w14:paraId="315D9635" w14:textId="77777777" w:rsidR="002D5D3C" w:rsidRDefault="002D5D3C" w:rsidP="004C67E1"/>
    <w:tbl>
      <w:tblPr>
        <w:tblStyle w:val="TableGrid"/>
        <w:tblW w:w="0" w:type="auto"/>
        <w:shd w:val="clear" w:color="auto" w:fill="F2F2F2" w:themeFill="background1" w:themeFillShade="F2"/>
        <w:tblLook w:val="04A0" w:firstRow="1" w:lastRow="0" w:firstColumn="1" w:lastColumn="0" w:noHBand="0" w:noVBand="1"/>
      </w:tblPr>
      <w:tblGrid>
        <w:gridCol w:w="10466"/>
      </w:tblGrid>
      <w:tr w:rsidR="006A1721" w14:paraId="2017A36E" w14:textId="77777777" w:rsidTr="006A1721">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tcPr>
          <w:p w14:paraId="6C43A51E" w14:textId="3AB90349" w:rsidR="006A1721" w:rsidRDefault="006A1721">
            <w:pPr>
              <w:pStyle w:val="Summarytable"/>
              <w:rPr>
                <w:b w:val="0"/>
                <w:bCs w:val="0"/>
                <w:lang w:val="en-GB"/>
              </w:rPr>
            </w:pPr>
            <w:r>
              <w:rPr>
                <w:noProof/>
                <w:lang w:val="en-GB"/>
              </w:rPr>
              <w:drawing>
                <wp:inline distT="0" distB="0" distL="0" distR="0" wp14:anchorId="2928D1F9" wp14:editId="4CF9FEB1">
                  <wp:extent cx="269875" cy="269875"/>
                  <wp:effectExtent l="0" t="0" r="0" b="0"/>
                  <wp:docPr id="52379518" name="Graphic 52379518" descr="P1388C1T56#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2379518" name="Graphic 52379518" descr="P1388C1T56#yIS1">
                            <a:extLst>
                              <a:ext uri="{C183D7F6-B498-43B3-948B-1728B52AA6E4}">
                                <adec:decorative xmlns:adec="http://schemas.microsoft.com/office/drawing/2017/decorative" val="1"/>
                              </a:ext>
                            </a:extLst>
                          </pic:cNvPr>
                          <pic:cNvPicPr>
                            <a:picLocks noChangeAspect="1"/>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69875" cy="269875"/>
                          </a:xfrm>
                          <a:prstGeom prst="rect">
                            <a:avLst/>
                          </a:prstGeom>
                        </pic:spPr>
                      </pic:pic>
                    </a:graphicData>
                  </a:graphic>
                </wp:inline>
              </w:drawing>
            </w:r>
            <w:r>
              <w:rPr>
                <w:color w:val="00707E" w:themeColor="accent5" w:themeShade="BF"/>
                <w:lang w:val="en-GB"/>
              </w:rPr>
              <w:t xml:space="preserve">Recommendation </w:t>
            </w:r>
            <w:r w:rsidR="004A04C7">
              <w:rPr>
                <w:color w:val="00707E" w:themeColor="accent5" w:themeShade="BF"/>
                <w:lang w:val="en-GB"/>
              </w:rPr>
              <w:t>7</w:t>
            </w:r>
            <w:r w:rsidR="002C3F6F">
              <w:rPr>
                <w:color w:val="00707E" w:themeColor="accent5" w:themeShade="BF"/>
                <w:lang w:val="en-GB"/>
              </w:rPr>
              <w:t>:</w:t>
            </w:r>
            <w:r>
              <w:rPr>
                <w:color w:val="00707E" w:themeColor="accent5" w:themeShade="BF"/>
                <w:lang w:val="en-GB"/>
              </w:rPr>
              <w:t xml:space="preserve"> </w:t>
            </w:r>
            <w:r>
              <w:rPr>
                <w:b w:val="0"/>
                <w:bCs w:val="0"/>
                <w:lang w:val="en-GB"/>
              </w:rPr>
              <w:t xml:space="preserve">The </w:t>
            </w:r>
            <w:r w:rsidRPr="007D1297">
              <w:rPr>
                <w:lang w:val="en-GB"/>
              </w:rPr>
              <w:t>intersectoral architecture set out in the NHRA should be reinforced and improved</w:t>
            </w:r>
            <w:r>
              <w:rPr>
                <w:b w:val="0"/>
                <w:bCs w:val="0"/>
                <w:lang w:val="en-GB"/>
              </w:rPr>
              <w:t xml:space="preserve"> with a commitment to greater alignment and collaboration between PHNs, LHN</w:t>
            </w:r>
            <w:r w:rsidR="009C7989">
              <w:rPr>
                <w:b w:val="0"/>
                <w:bCs w:val="0"/>
                <w:lang w:val="en-GB"/>
              </w:rPr>
              <w:t>s</w:t>
            </w:r>
            <w:r>
              <w:rPr>
                <w:b w:val="0"/>
                <w:bCs w:val="0"/>
                <w:lang w:val="en-GB"/>
              </w:rPr>
              <w:t xml:space="preserve"> and ACCHO</w:t>
            </w:r>
            <w:r w:rsidR="009C7989">
              <w:rPr>
                <w:b w:val="0"/>
                <w:bCs w:val="0"/>
                <w:lang w:val="en-GB"/>
              </w:rPr>
              <w:t>s</w:t>
            </w:r>
            <w:r>
              <w:rPr>
                <w:b w:val="0"/>
                <w:bCs w:val="0"/>
                <w:lang w:val="en-GB"/>
              </w:rPr>
              <w:t>. The future Agreement should:</w:t>
            </w:r>
          </w:p>
          <w:p w14:paraId="7A226F6C" w14:textId="34B2F8D7" w:rsidR="006A1721" w:rsidRDefault="006A1721" w:rsidP="00A850C3">
            <w:pPr>
              <w:pStyle w:val="ListParagraph"/>
              <w:numPr>
                <w:ilvl w:val="0"/>
                <w:numId w:val="42"/>
              </w:numPr>
              <w:ind w:left="567"/>
              <w:rPr>
                <w:lang w:val="en-GB"/>
              </w:rPr>
            </w:pPr>
            <w:r>
              <w:rPr>
                <w:lang w:val="en-GB"/>
              </w:rPr>
              <w:t xml:space="preserve">Establish a </w:t>
            </w:r>
            <w:r w:rsidRPr="00DB1E1B">
              <w:rPr>
                <w:b/>
                <w:bCs/>
                <w:lang w:val="en-GB"/>
              </w:rPr>
              <w:t>nationally consistent governance framework</w:t>
            </w:r>
            <w:r>
              <w:rPr>
                <w:lang w:val="en-GB"/>
              </w:rPr>
              <w:t xml:space="preserve"> with formal governance structures, mechanisms, and roles and responsibilities that </w:t>
            </w:r>
            <w:r w:rsidRPr="0022041D">
              <w:rPr>
                <w:lang w:val="en-GB"/>
              </w:rPr>
              <w:t>drive and enforce integration</w:t>
            </w:r>
            <w:r>
              <w:rPr>
                <w:lang w:val="en-GB"/>
              </w:rPr>
              <w:t xml:space="preserve"> between LHNs, PHNs, and ACCHOs. This national governance framework should have the flexibility to accommodate jurisdictional variance and unique regional needs</w:t>
            </w:r>
            <w:r w:rsidR="003B2C48">
              <w:rPr>
                <w:lang w:val="en-GB"/>
              </w:rPr>
              <w:t xml:space="preserve"> and reiterate current Agreement expectations of clinician and community engagement, particularly relat</w:t>
            </w:r>
            <w:r w:rsidR="00E51AF9">
              <w:rPr>
                <w:lang w:val="en-GB"/>
              </w:rPr>
              <w:t>ed</w:t>
            </w:r>
            <w:r w:rsidR="003B2C48">
              <w:rPr>
                <w:lang w:val="en-GB"/>
              </w:rPr>
              <w:t xml:space="preserve"> to safety and quality of health care</w:t>
            </w:r>
            <w:r>
              <w:rPr>
                <w:lang w:val="en-GB"/>
              </w:rPr>
              <w:t>.</w:t>
            </w:r>
          </w:p>
          <w:p w14:paraId="1619886F" w14:textId="2212FDC9" w:rsidR="006A1721" w:rsidRDefault="00B00AA3" w:rsidP="00A850C3">
            <w:pPr>
              <w:pStyle w:val="Summarytable"/>
              <w:numPr>
                <w:ilvl w:val="0"/>
                <w:numId w:val="42"/>
              </w:numPr>
              <w:spacing w:before="0" w:after="60"/>
              <w:ind w:left="567" w:hanging="357"/>
              <w:rPr>
                <w:lang w:val="en-GB"/>
              </w:rPr>
            </w:pPr>
            <w:r>
              <w:rPr>
                <w:b w:val="0"/>
                <w:bCs w:val="0"/>
                <w:lang w:val="en-GB"/>
              </w:rPr>
              <w:t>Detail minimum requirements</w:t>
            </w:r>
            <w:r w:rsidR="00053F14">
              <w:rPr>
                <w:b w:val="0"/>
                <w:bCs w:val="0"/>
                <w:lang w:val="en-GB"/>
              </w:rPr>
              <w:t xml:space="preserve"> </w:t>
            </w:r>
            <w:r w:rsidR="00EF7C54">
              <w:rPr>
                <w:b w:val="0"/>
                <w:bCs w:val="0"/>
                <w:lang w:val="en-GB"/>
              </w:rPr>
              <w:t xml:space="preserve">for how the Commonwealth </w:t>
            </w:r>
            <w:r w:rsidR="007B5700">
              <w:rPr>
                <w:b w:val="0"/>
                <w:bCs w:val="0"/>
                <w:lang w:val="en-GB"/>
              </w:rPr>
              <w:t>and</w:t>
            </w:r>
            <w:r w:rsidR="00EF7C54">
              <w:rPr>
                <w:b w:val="0"/>
                <w:bCs w:val="0"/>
                <w:lang w:val="en-GB"/>
              </w:rPr>
              <w:t xml:space="preserve"> State and Territory health departments, PHNs, LHNs and ACCHOs</w:t>
            </w:r>
            <w:r w:rsidR="00F66F18">
              <w:rPr>
                <w:b w:val="0"/>
                <w:bCs w:val="0"/>
                <w:lang w:val="en-GB"/>
              </w:rPr>
              <w:t xml:space="preserve"> will work together on </w:t>
            </w:r>
            <w:r w:rsidR="00F66F18" w:rsidRPr="00DB1E1B">
              <w:rPr>
                <w:lang w:val="en-GB"/>
              </w:rPr>
              <w:t>joint planning and commissioning</w:t>
            </w:r>
            <w:r w:rsidR="00F66F18">
              <w:rPr>
                <w:b w:val="0"/>
                <w:bCs w:val="0"/>
                <w:lang w:val="en-GB"/>
              </w:rPr>
              <w:t>. These requirements should contain the following elements:</w:t>
            </w:r>
            <w:r w:rsidR="00053F14">
              <w:rPr>
                <w:b w:val="0"/>
                <w:bCs w:val="0"/>
                <w:lang w:val="en-GB"/>
              </w:rPr>
              <w:t xml:space="preserve"> </w:t>
            </w:r>
          </w:p>
          <w:p w14:paraId="6C93CA16" w14:textId="4B91A0BA" w:rsidR="006A1721" w:rsidRDefault="00C353EA" w:rsidP="00CF1265">
            <w:pPr>
              <w:pStyle w:val="Longdotpoints"/>
              <w:ind w:left="1134"/>
              <w:rPr>
                <w:lang w:val="en-GB"/>
              </w:rPr>
            </w:pPr>
            <w:r>
              <w:rPr>
                <w:lang w:val="en-GB"/>
              </w:rPr>
              <w:t>Balanced</w:t>
            </w:r>
            <w:r w:rsidR="006A1721">
              <w:rPr>
                <w:lang w:val="en-GB"/>
              </w:rPr>
              <w:t xml:space="preserve"> representation in local governance.</w:t>
            </w:r>
          </w:p>
          <w:p w14:paraId="7CBC9DEF" w14:textId="77777777" w:rsidR="006A1721" w:rsidRDefault="006A1721" w:rsidP="00CF1265">
            <w:pPr>
              <w:pStyle w:val="Longdotpoints"/>
              <w:ind w:left="1134"/>
              <w:rPr>
                <w:lang w:val="en-GB"/>
              </w:rPr>
            </w:pPr>
            <w:r>
              <w:rPr>
                <w:lang w:val="en-GB"/>
              </w:rPr>
              <w:t>Local planning and co-commissioning focused on improving patient pathways and outcomes, with flexibility to innovate and design care models that are fit-for-purpose and support long-term health reform goals.</w:t>
            </w:r>
          </w:p>
          <w:p w14:paraId="6B03C20C" w14:textId="36768219" w:rsidR="006A1721" w:rsidRDefault="006A1721" w:rsidP="00CF1265">
            <w:pPr>
              <w:pStyle w:val="Longdotpoints"/>
              <w:ind w:left="1134"/>
              <w:rPr>
                <w:lang w:val="en-GB"/>
              </w:rPr>
            </w:pPr>
            <w:r>
              <w:rPr>
                <w:lang w:val="en-GB"/>
              </w:rPr>
              <w:t xml:space="preserve">Shared </w:t>
            </w:r>
            <w:r w:rsidR="00A5792F">
              <w:rPr>
                <w:lang w:val="en-GB"/>
              </w:rPr>
              <w:t xml:space="preserve">and, where possible, linked </w:t>
            </w:r>
            <w:r>
              <w:rPr>
                <w:lang w:val="en-GB"/>
              </w:rPr>
              <w:t>datasets on population and service utilisation at the local level.</w:t>
            </w:r>
          </w:p>
          <w:p w14:paraId="0A3839AD" w14:textId="77777777" w:rsidR="006A1721" w:rsidRDefault="006A1721" w:rsidP="00CF1265">
            <w:pPr>
              <w:pStyle w:val="Longdotpoints"/>
              <w:ind w:left="1134"/>
              <w:rPr>
                <w:lang w:val="en-GB"/>
              </w:rPr>
            </w:pPr>
            <w:r>
              <w:rPr>
                <w:lang w:val="en-GB"/>
              </w:rPr>
              <w:t>Agreed programs of work that address local health priorities, with greater funding flexibility for PHNs and ACCHOs to support local service needs.</w:t>
            </w:r>
          </w:p>
          <w:p w14:paraId="463FFE9D" w14:textId="6B70770A" w:rsidR="00FE26E7" w:rsidRPr="00294198" w:rsidRDefault="006A1721" w:rsidP="00294198">
            <w:pPr>
              <w:pStyle w:val="Longdotpoints"/>
              <w:ind w:left="1134"/>
              <w:rPr>
                <w:lang w:val="en-GB"/>
              </w:rPr>
            </w:pPr>
            <w:r>
              <w:rPr>
                <w:lang w:val="en-GB"/>
              </w:rPr>
              <w:t>Shared reporting and accountability arrangements to measure progress against initiatives and the impact on health outcomes and the quality of health services.</w:t>
            </w:r>
          </w:p>
        </w:tc>
      </w:tr>
    </w:tbl>
    <w:p w14:paraId="6B7FD83C" w14:textId="77777777" w:rsidR="008C78A5" w:rsidRDefault="008C78A5" w:rsidP="008C78A5"/>
    <w:p w14:paraId="04DB557A" w14:textId="5243D0B7" w:rsidR="00FC3011" w:rsidRPr="00C73F61" w:rsidRDefault="00142BF8" w:rsidP="008C28B2">
      <w:pPr>
        <w:pStyle w:val="Heading3"/>
      </w:pPr>
      <w:bookmarkStart w:id="226" w:name="_Ref144991026"/>
      <w:r>
        <w:t>Health system interface</w:t>
      </w:r>
      <w:r w:rsidR="00361F60">
        <w:t>s</w:t>
      </w:r>
      <w:bookmarkEnd w:id="226"/>
    </w:p>
    <w:p w14:paraId="63EC14A5" w14:textId="6D5E97EB" w:rsidR="006A1721" w:rsidRDefault="006A1721" w:rsidP="006A1721">
      <w:r>
        <w:t xml:space="preserve">A major area of concern identified in consultations is the way in which the interface between the acute, </w:t>
      </w:r>
      <w:r w:rsidR="00B16DED">
        <w:t xml:space="preserve">primary, </w:t>
      </w:r>
      <w:r>
        <w:t xml:space="preserve">aged and disability care sectors operate and how transitions between sectors are managed. The Agreement recognises at Clause F2 a shared responsibility to support consumers, carers and their families to better navigate these sectors </w:t>
      </w:r>
      <w:r w:rsidR="009679EE">
        <w:t>to</w:t>
      </w:r>
      <w:r w:rsidDel="009679EE">
        <w:t xml:space="preserve"> </w:t>
      </w:r>
      <w:r w:rsidR="009679EE">
        <w:t xml:space="preserve">optimise </w:t>
      </w:r>
      <w:r>
        <w:t xml:space="preserve">care and support and </w:t>
      </w:r>
      <w:r w:rsidR="009679EE">
        <w:t xml:space="preserve">reduce </w:t>
      </w:r>
      <w:r>
        <w:t xml:space="preserve">avoidable hospital admissions. However, it does not identify concrete actions through which this will occur, nor how the roles and responsibilities of the parties will be managed. </w:t>
      </w:r>
    </w:p>
    <w:p w14:paraId="60F6F187" w14:textId="736CE2BC" w:rsidR="00431E63" w:rsidRPr="00A96AFA" w:rsidRDefault="00431E63" w:rsidP="007745A8">
      <w:pPr>
        <w:pStyle w:val="Heading4"/>
      </w:pPr>
      <w:bookmarkStart w:id="227" w:name="_Ref148441887"/>
      <w:r w:rsidRPr="00A96AFA">
        <w:t>Primary care interface</w:t>
      </w:r>
      <w:bookmarkEnd w:id="227"/>
    </w:p>
    <w:p w14:paraId="26FF2D38" w14:textId="4ACF1F75" w:rsidR="00ED1F84" w:rsidRDefault="008E18BA" w:rsidP="00ED1F84">
      <w:r>
        <w:t>Finding a</w:t>
      </w:r>
      <w:r w:rsidR="00094DDD">
        <w:t xml:space="preserve"> more effective and responsive way to manage </w:t>
      </w:r>
      <w:r w:rsidR="00431E63">
        <w:t xml:space="preserve">the interface between the primary and acute care sectors was an issue raised across all </w:t>
      </w:r>
      <w:r w:rsidR="0037239D">
        <w:t>S</w:t>
      </w:r>
      <w:r w:rsidR="00431E63">
        <w:t xml:space="preserve">tates and </w:t>
      </w:r>
      <w:r w:rsidR="0037239D">
        <w:t>T</w:t>
      </w:r>
      <w:r w:rsidR="00431E63">
        <w:t xml:space="preserve">erritories in consultations and in many submissions to the Review. </w:t>
      </w:r>
      <w:r w:rsidR="00ED1F84">
        <w:t xml:space="preserve">Reduced access to primary care puts pressure on State-based health services, </w:t>
      </w:r>
      <w:r w:rsidR="009D2FCF">
        <w:t xml:space="preserve">which operate </w:t>
      </w:r>
      <w:r w:rsidR="00ED1F84">
        <w:t xml:space="preserve">as the provider of last resort for vulnerable communities. This is particularly the case where there are thin </w:t>
      </w:r>
      <w:r w:rsidR="009D2FCF">
        <w:t xml:space="preserve">and failing </w:t>
      </w:r>
      <w:r w:rsidR="00ED1F84">
        <w:t>markets, often</w:t>
      </w:r>
      <w:r w:rsidR="009D2FCF">
        <w:t>,</w:t>
      </w:r>
      <w:r w:rsidR="00ED1F84">
        <w:t xml:space="preserve"> but not always in rural areas. </w:t>
      </w:r>
    </w:p>
    <w:p w14:paraId="51CD0D35" w14:textId="154BBD5D" w:rsidR="00094DDD" w:rsidRDefault="00431E63" w:rsidP="006A1721">
      <w:r>
        <w:t xml:space="preserve">The impact of an insufficient or inaccessible primary </w:t>
      </w:r>
      <w:r w:rsidR="00094DDD">
        <w:t xml:space="preserve">care </w:t>
      </w:r>
      <w:r>
        <w:t xml:space="preserve">sector, </w:t>
      </w:r>
      <w:r w:rsidR="00244201">
        <w:t xml:space="preserve">lack of </w:t>
      </w:r>
      <w:r>
        <w:t xml:space="preserve">availability of multidisciplinary care </w:t>
      </w:r>
      <w:r w:rsidR="00244201">
        <w:t>and</w:t>
      </w:r>
      <w:r>
        <w:t xml:space="preserve"> care coordination </w:t>
      </w:r>
      <w:r w:rsidR="00244201">
        <w:t xml:space="preserve">in the community </w:t>
      </w:r>
      <w:r>
        <w:t xml:space="preserve">was </w:t>
      </w:r>
      <w:r w:rsidR="00321257">
        <w:t>seen</w:t>
      </w:r>
      <w:r>
        <w:t xml:space="preserve"> as </w:t>
      </w:r>
      <w:r w:rsidR="00094DDD">
        <w:t xml:space="preserve">having a serious impact on patient outcomes and </w:t>
      </w:r>
      <w:r>
        <w:t xml:space="preserve">building pressure on </w:t>
      </w:r>
      <w:r w:rsidR="0001275B">
        <w:t>S</w:t>
      </w:r>
      <w:r>
        <w:t>tate</w:t>
      </w:r>
      <w:r w:rsidR="0001275B">
        <w:t xml:space="preserve"> and Territory</w:t>
      </w:r>
      <w:r>
        <w:t>-based health services, across emergency departments, out-patients and</w:t>
      </w:r>
      <w:r w:rsidR="00094DDD">
        <w:t xml:space="preserve"> community-based health.</w:t>
      </w:r>
      <w:r>
        <w:t xml:space="preserve">  </w:t>
      </w:r>
    </w:p>
    <w:p w14:paraId="4709212D" w14:textId="39485A58" w:rsidR="001412DB" w:rsidRDefault="00094DDD" w:rsidP="006A1721">
      <w:r>
        <w:t>While this issue was strongly held and argued,</w:t>
      </w:r>
      <w:r w:rsidR="001412DB">
        <w:t xml:space="preserve"> a decline in affordability of GP services is not yet being seen strongly at a national level though there are some signs</w:t>
      </w:r>
      <w:r>
        <w:t>. As proxy measures of access, national bulk-billing rates</w:t>
      </w:r>
      <w:r w:rsidR="00244201">
        <w:t>, while falling,</w:t>
      </w:r>
      <w:r>
        <w:t xml:space="preserve"> remain high with over 85% of non-referred attendances bulk-billed</w:t>
      </w:r>
      <w:r w:rsidR="00DC1FB5">
        <w:t xml:space="preserve"> (Figure 30)</w:t>
      </w:r>
      <w:r w:rsidR="001412DB">
        <w:t xml:space="preserve">, though there has been a recent decline in the numbers of people who </w:t>
      </w:r>
      <w:r w:rsidR="00EB6182">
        <w:t xml:space="preserve">report that they </w:t>
      </w:r>
      <w:r w:rsidR="001412DB">
        <w:t>are always or usually bulk-billed (</w:t>
      </w:r>
      <w:r w:rsidR="00DC1FB5">
        <w:t>Chapter 4:</w:t>
      </w:r>
      <w:r w:rsidR="00A01CAA">
        <w:t xml:space="preserve"> </w:t>
      </w:r>
      <w:r w:rsidR="00A01CAA">
        <w:fldChar w:fldCharType="begin" w:fldLock="1"/>
      </w:r>
      <w:r w:rsidR="00A01CAA">
        <w:instrText xml:space="preserve"> REF _Ref145018774 \h </w:instrText>
      </w:r>
      <w:r w:rsidR="00A01CAA">
        <w:fldChar w:fldCharType="separate"/>
      </w:r>
      <w:r w:rsidR="00FA10A4">
        <w:t xml:space="preserve">Figure </w:t>
      </w:r>
      <w:r w:rsidR="00FA10A4">
        <w:rPr>
          <w:noProof/>
        </w:rPr>
        <w:t>20</w:t>
      </w:r>
      <w:r w:rsidR="00A01CAA">
        <w:fldChar w:fldCharType="end"/>
      </w:r>
      <w:r w:rsidR="001412DB">
        <w:t xml:space="preserve">). </w:t>
      </w:r>
      <w:r>
        <w:t>While growth in out-of-pocket costs for non-bulk</w:t>
      </w:r>
      <w:r w:rsidR="00E121FB">
        <w:t xml:space="preserve"> </w:t>
      </w:r>
      <w:r>
        <w:t>billed services can be observed</w:t>
      </w:r>
      <w:r w:rsidR="00244201">
        <w:t>, growth has been reasonably steady</w:t>
      </w:r>
      <w:r>
        <w:t xml:space="preserve"> </w:t>
      </w:r>
      <w:r w:rsidR="00244201">
        <w:t>over a long period</w:t>
      </w:r>
      <w:r w:rsidR="00C16FF0">
        <w:t xml:space="preserve"> (</w:t>
      </w:r>
      <w:r w:rsidR="00C16FF0">
        <w:fldChar w:fldCharType="begin" w:fldLock="1"/>
      </w:r>
      <w:r w:rsidR="00C16FF0">
        <w:instrText xml:space="preserve"> REF _Ref147663746 \h </w:instrText>
      </w:r>
      <w:r w:rsidR="00C16FF0">
        <w:fldChar w:fldCharType="separate"/>
      </w:r>
      <w:r w:rsidR="00FA10A4">
        <w:t xml:space="preserve">Figure </w:t>
      </w:r>
      <w:r w:rsidR="00FA10A4">
        <w:rPr>
          <w:noProof/>
        </w:rPr>
        <w:t>31</w:t>
      </w:r>
      <w:r w:rsidR="00C16FF0">
        <w:fldChar w:fldCharType="end"/>
      </w:r>
      <w:r w:rsidR="00C16FF0">
        <w:t>)</w:t>
      </w:r>
      <w:r>
        <w:t xml:space="preserve">. </w:t>
      </w:r>
    </w:p>
    <w:tbl>
      <w:tblPr>
        <w:tblStyle w:val="TableGrid"/>
        <w:tblW w:w="0" w:type="auto"/>
        <w:tblLook w:val="04A0" w:firstRow="1" w:lastRow="0" w:firstColumn="1" w:lastColumn="0" w:noHBand="0" w:noVBand="1"/>
      </w:tblPr>
      <w:tblGrid>
        <w:gridCol w:w="5233"/>
        <w:gridCol w:w="5233"/>
      </w:tblGrid>
      <w:tr w:rsidR="005C5207" w14:paraId="621C699D" w14:textId="77777777" w:rsidTr="00650E28">
        <w:trPr>
          <w:cnfStyle w:val="100000000000" w:firstRow="1" w:lastRow="0" w:firstColumn="0" w:lastColumn="0" w:oddVBand="0" w:evenVBand="0" w:oddHBand="0" w:evenHBand="0" w:firstRowFirstColumn="0" w:firstRowLastColumn="0" w:lastRowFirstColumn="0" w:lastRowLastColumn="0"/>
        </w:trPr>
        <w:tc>
          <w:tcPr>
            <w:tcW w:w="5233" w:type="dxa"/>
          </w:tcPr>
          <w:p w14:paraId="3B4A073F" w14:textId="7B38134C" w:rsidR="00005FFF" w:rsidRPr="00650E28" w:rsidRDefault="00005FFF" w:rsidP="00650E28">
            <w:pPr>
              <w:spacing w:after="0"/>
              <w:rPr>
                <w:b/>
                <w:bCs/>
              </w:rPr>
            </w:pPr>
            <w:r w:rsidRPr="00650E28">
              <w:rPr>
                <w:b/>
                <w:bCs/>
              </w:rPr>
              <w:t>Bulk billing rates for GP attendances over time, by key age groups</w:t>
            </w:r>
          </w:p>
          <w:p w14:paraId="53675CF3" w14:textId="7ACA3B18" w:rsidR="005C5207" w:rsidRDefault="006C7C1D" w:rsidP="006A1721">
            <w:r>
              <w:rPr>
                <w:noProof/>
              </w:rPr>
              <w:drawing>
                <wp:inline distT="0" distB="0" distL="0" distR="0" wp14:anchorId="15230F2B" wp14:editId="465364AD">
                  <wp:extent cx="3200400" cy="1941909"/>
                  <wp:effectExtent l="0" t="0" r="0" b="0"/>
                  <wp:docPr id="481345101" name="Picture 481345101" descr="P1405C1T5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45101" name="Picture 481345101" descr="P1405C1T57#yIS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05521" cy="1945016"/>
                          </a:xfrm>
                          <a:prstGeom prst="rect">
                            <a:avLst/>
                          </a:prstGeom>
                          <a:noFill/>
                        </pic:spPr>
                      </pic:pic>
                    </a:graphicData>
                  </a:graphic>
                </wp:inline>
              </w:drawing>
            </w:r>
          </w:p>
          <w:p w14:paraId="78D2684D" w14:textId="3D51B550" w:rsidR="005C5207" w:rsidRDefault="00217FB0" w:rsidP="00C2024B">
            <w:pPr>
              <w:pStyle w:val="Caption"/>
            </w:pPr>
            <w:bookmarkStart w:id="228" w:name="_Ref147663737"/>
            <w:bookmarkStart w:id="229" w:name="_Toc148968408"/>
            <w:r>
              <w:t xml:space="preserve">Figure </w:t>
            </w:r>
            <w:r>
              <w:fldChar w:fldCharType="begin"/>
            </w:r>
            <w:r>
              <w:instrText xml:space="preserve"> SEQ Figure \* ARABIC </w:instrText>
            </w:r>
            <w:r>
              <w:fldChar w:fldCharType="separate"/>
            </w:r>
            <w:r w:rsidR="003F5D51">
              <w:rPr>
                <w:noProof/>
              </w:rPr>
              <w:t>30</w:t>
            </w:r>
            <w:r>
              <w:fldChar w:fldCharType="end"/>
            </w:r>
            <w:bookmarkEnd w:id="228"/>
            <w:r>
              <w:t>:</w:t>
            </w:r>
            <w:r w:rsidR="00005FFF">
              <w:t xml:space="preserve"> </w:t>
            </w:r>
            <w:r w:rsidR="00005FFF" w:rsidRPr="00005FFF">
              <w:t>Bulk billing rates for GP attendances over time, by key age groups</w:t>
            </w:r>
            <w:bookmarkEnd w:id="229"/>
          </w:p>
        </w:tc>
        <w:tc>
          <w:tcPr>
            <w:tcW w:w="5233" w:type="dxa"/>
          </w:tcPr>
          <w:p w14:paraId="6A8B82D2" w14:textId="6100A848" w:rsidR="005C5207" w:rsidRPr="00650E28" w:rsidRDefault="009E027B" w:rsidP="00650E28">
            <w:pPr>
              <w:keepNext/>
              <w:spacing w:after="0"/>
              <w:rPr>
                <w:b/>
                <w:bCs/>
              </w:rPr>
            </w:pPr>
            <w:r w:rsidRPr="00650E28">
              <w:rPr>
                <w:b/>
                <w:bCs/>
              </w:rPr>
              <w:t>Out of pocket costs for GP services over time, by age group (dollars presented as 21-22 dollars, using total CPI)</w:t>
            </w:r>
          </w:p>
          <w:p w14:paraId="2F4EE47E" w14:textId="3401EDBB" w:rsidR="009E027B" w:rsidRDefault="009E027B" w:rsidP="005C5207">
            <w:pPr>
              <w:keepNext/>
            </w:pPr>
            <w:r>
              <w:rPr>
                <w:noProof/>
              </w:rPr>
              <w:drawing>
                <wp:inline distT="0" distB="0" distL="0" distR="0" wp14:anchorId="4909DE9F" wp14:editId="015AAF1D">
                  <wp:extent cx="3289300" cy="1892238"/>
                  <wp:effectExtent l="0" t="0" r="0" b="0"/>
                  <wp:docPr id="481345102" name="Picture 481345102" descr="P1408C2T5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45102" name="Picture 481345102" descr="P1408C2T57#yIS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92722" cy="1894207"/>
                          </a:xfrm>
                          <a:prstGeom prst="rect">
                            <a:avLst/>
                          </a:prstGeom>
                          <a:noFill/>
                        </pic:spPr>
                      </pic:pic>
                    </a:graphicData>
                  </a:graphic>
                </wp:inline>
              </w:drawing>
            </w:r>
          </w:p>
          <w:p w14:paraId="3AF8492F" w14:textId="2C79CE1E" w:rsidR="00217FB0" w:rsidRDefault="00217FB0" w:rsidP="00C2024B">
            <w:pPr>
              <w:pStyle w:val="Caption"/>
            </w:pPr>
            <w:bookmarkStart w:id="230" w:name="_Ref147663746"/>
            <w:bookmarkStart w:id="231" w:name="_Toc148968409"/>
            <w:r>
              <w:t xml:space="preserve">Figure </w:t>
            </w:r>
            <w:r>
              <w:fldChar w:fldCharType="begin"/>
            </w:r>
            <w:r>
              <w:instrText xml:space="preserve"> SEQ Figure \* ARABIC </w:instrText>
            </w:r>
            <w:r>
              <w:fldChar w:fldCharType="separate"/>
            </w:r>
            <w:r w:rsidR="003F5D51">
              <w:rPr>
                <w:noProof/>
              </w:rPr>
              <w:t>31</w:t>
            </w:r>
            <w:r>
              <w:fldChar w:fldCharType="end"/>
            </w:r>
            <w:bookmarkEnd w:id="230"/>
            <w:r>
              <w:t>:</w:t>
            </w:r>
            <w:r w:rsidR="009E027B">
              <w:t xml:space="preserve"> </w:t>
            </w:r>
            <w:r w:rsidR="009E027B" w:rsidRPr="009E027B">
              <w:t xml:space="preserve">Out of pocket costs for GP services over time, by age group (dollars presented as </w:t>
            </w:r>
            <w:r w:rsidR="009E027B">
              <w:t>20</w:t>
            </w:r>
            <w:r w:rsidR="009E027B" w:rsidRPr="009E027B">
              <w:t>21-22 dollars, using total CPI)</w:t>
            </w:r>
            <w:bookmarkEnd w:id="231"/>
          </w:p>
        </w:tc>
      </w:tr>
    </w:tbl>
    <w:p w14:paraId="008A5456" w14:textId="5E36C94E" w:rsidR="00094DDD" w:rsidRDefault="00772C6E" w:rsidP="006A1721">
      <w:r>
        <w:t>Measures</w:t>
      </w:r>
      <w:r w:rsidR="00244201">
        <w:t xml:space="preserve"> of access to primary care are difficult to </w:t>
      </w:r>
      <w:r w:rsidR="001412DB">
        <w:t xml:space="preserve">interpret at </w:t>
      </w:r>
      <w:r w:rsidR="00321257">
        <w:t>a</w:t>
      </w:r>
      <w:r w:rsidR="001412DB">
        <w:t xml:space="preserve"> highly aggregated</w:t>
      </w:r>
      <w:r w:rsidR="00244201">
        <w:t xml:space="preserve"> national level and more work is needed to develop a clear picture</w:t>
      </w:r>
      <w:r w:rsidR="006C2341">
        <w:t>, both nationally and</w:t>
      </w:r>
      <w:r w:rsidR="00244201">
        <w:t xml:space="preserve"> </w:t>
      </w:r>
      <w:r w:rsidR="001412DB">
        <w:t>locally</w:t>
      </w:r>
      <w:r w:rsidR="00244201">
        <w:t xml:space="preserve">. </w:t>
      </w:r>
      <w:r w:rsidR="00094DDD">
        <w:t xml:space="preserve">As noted by the </w:t>
      </w:r>
      <w:r w:rsidR="00094DDD" w:rsidRPr="00650E28">
        <w:rPr>
          <w:i/>
          <w:iCs/>
        </w:rPr>
        <w:t>Strengthening Medicare Taskforce Report</w:t>
      </w:r>
      <w:r w:rsidR="00094DDD">
        <w:t xml:space="preserve">, </w:t>
      </w:r>
      <w:r w:rsidR="00244201">
        <w:t>‘…while most Australians enjoy access to quality primary care services…accessing primary care for some Australians is becoming harder. Since the pandemic began, more people are presenting at emergency departments or delaying care, practices are finding it harder to recruit GPs and other health workers, and bulkbilling rates are falling’</w:t>
      </w:r>
      <w:r w:rsidR="003F5D51">
        <w:rPr>
          <w:rFonts w:ascii="ZWAdobeF" w:hAnsi="ZWAdobeF" w:cs="ZWAdobeF"/>
          <w:sz w:val="2"/>
          <w:szCs w:val="2"/>
        </w:rPr>
        <w:t>108F</w:t>
      </w:r>
      <w:r w:rsidR="00244201">
        <w:rPr>
          <w:rStyle w:val="FootnoteReference"/>
        </w:rPr>
        <w:footnoteReference w:id="110"/>
      </w:r>
      <w:r w:rsidR="00244201">
        <w:t>.</w:t>
      </w:r>
    </w:p>
    <w:p w14:paraId="650847D8" w14:textId="69385BBE" w:rsidR="00094DDD" w:rsidRDefault="006C2341" w:rsidP="006A1721">
      <w:r>
        <w:t xml:space="preserve">There are two </w:t>
      </w:r>
      <w:r w:rsidR="00321257">
        <w:t>elements</w:t>
      </w:r>
      <w:r>
        <w:t xml:space="preserve"> to the primary care interface relevant to the effective operation of the NHRA:</w:t>
      </w:r>
    </w:p>
    <w:p w14:paraId="2D6CC613" w14:textId="7D3A8B38" w:rsidR="006C2341" w:rsidRDefault="002970EF" w:rsidP="00650E28">
      <w:pPr>
        <w:pStyle w:val="Longdotpoints"/>
        <w:ind w:left="709"/>
      </w:pPr>
      <w:r>
        <w:t>A</w:t>
      </w:r>
      <w:r w:rsidR="006C2341">
        <w:t xml:space="preserve">re consumers receiving quality care in the community with early intervention and coordination across primary care providers acting to prevent or delay hospital admission? The </w:t>
      </w:r>
      <w:r w:rsidR="006C2341" w:rsidRPr="00650E28">
        <w:rPr>
          <w:i/>
          <w:iCs/>
        </w:rPr>
        <w:t>Strengthening Medicare Taskforce Report</w:t>
      </w:r>
      <w:r w:rsidR="006C2341">
        <w:t xml:space="preserve"> observed that the impact of fee-for-service primary care focused on </w:t>
      </w:r>
      <w:r w:rsidR="00537EA2">
        <w:t>GP</w:t>
      </w:r>
      <w:r w:rsidR="006C2341">
        <w:t xml:space="preserve"> rewarded episodic care and fast throughput, rather than comprehensive continuity of care that is team-based.</w:t>
      </w:r>
    </w:p>
    <w:p w14:paraId="4516271C" w14:textId="5D97CC50" w:rsidR="006C2341" w:rsidRDefault="002970EF" w:rsidP="00650E28">
      <w:pPr>
        <w:pStyle w:val="Longdotpoints"/>
        <w:ind w:left="709"/>
      </w:pPr>
      <w:r>
        <w:t>A</w:t>
      </w:r>
      <w:r w:rsidR="006C2341">
        <w:t xml:space="preserve">re quality primary care services able to be accessed when they are needed at the local level, preventing avoidable emergency department presentations or admissions? It was </w:t>
      </w:r>
      <w:r w:rsidR="00321257">
        <w:t>clear</w:t>
      </w:r>
      <w:r w:rsidR="006C2341">
        <w:t xml:space="preserve"> from submissions that there </w:t>
      </w:r>
      <w:r w:rsidR="00321257">
        <w:t>are</w:t>
      </w:r>
      <w:r w:rsidR="006C2341">
        <w:t xml:space="preserve"> significant gaps at the local level, </w:t>
      </w:r>
      <w:r w:rsidR="00CA3541">
        <w:t xml:space="preserve">particularly </w:t>
      </w:r>
      <w:r w:rsidR="006C2341">
        <w:t xml:space="preserve">where there </w:t>
      </w:r>
      <w:r w:rsidR="00AA55E2">
        <w:t>are</w:t>
      </w:r>
      <w:r w:rsidR="006C2341">
        <w:t xml:space="preserve"> thin markets and the continued provision of primary care relie</w:t>
      </w:r>
      <w:r w:rsidR="00AA55E2">
        <w:t>s</w:t>
      </w:r>
      <w:r w:rsidR="006C2341">
        <w:t xml:space="preserve"> on a small number of providers. These were often, but not always in rural areas</w:t>
      </w:r>
      <w:r w:rsidR="00184B9F">
        <w:t xml:space="preserve">, with some jurisdictions </w:t>
      </w:r>
      <w:r w:rsidR="00E121FB">
        <w:t xml:space="preserve">reporting </w:t>
      </w:r>
      <w:r w:rsidR="00184B9F">
        <w:t>wait times of three to four weeks in capital city areas</w:t>
      </w:r>
      <w:r w:rsidR="006C2341">
        <w:t xml:space="preserve">. </w:t>
      </w:r>
    </w:p>
    <w:p w14:paraId="0DF6A32C" w14:textId="3604EA11" w:rsidR="00F56AFF" w:rsidRDefault="00184B9F" w:rsidP="006A1721">
      <w:r>
        <w:t xml:space="preserve">A range of recent Commonwealth government initiatives are seeking to improve access to primary care with a $6 billion </w:t>
      </w:r>
      <w:r w:rsidRPr="00650E28">
        <w:rPr>
          <w:i/>
          <w:iCs/>
        </w:rPr>
        <w:t>Strengthening Medicare</w:t>
      </w:r>
      <w:r>
        <w:t xml:space="preserve"> package announced in the 2023-24 Budget</w:t>
      </w:r>
      <w:r w:rsidR="009B7EDF">
        <w:t>, which includes tripling bulk-billing incentives</w:t>
      </w:r>
      <w:r>
        <w:t>. However, there is more to do in the context of a new NHRA to better monitor and map primary care access and to develop models of care that can respond to service gaps by making the best use of scarce resources, with equitable and sustainable funding attached</w:t>
      </w:r>
      <w:r w:rsidR="009B7EDF">
        <w:t xml:space="preserve">. These models need </w:t>
      </w:r>
      <w:r w:rsidR="009B7EDF" w:rsidRPr="00C3640F">
        <w:t xml:space="preserve">to be </w:t>
      </w:r>
      <w:r w:rsidRPr="00C3640F">
        <w:t xml:space="preserve">able to be stood up quickly at the local level while long term solutions are being developed. This will require a collaborative approach building on the co-commissioning flagged at Recommendation </w:t>
      </w:r>
      <w:r w:rsidR="00C3640F" w:rsidRPr="00C3640F">
        <w:t>7</w:t>
      </w:r>
      <w:r w:rsidRPr="00C3640F">
        <w:t xml:space="preserve"> and the optimal models of care at Recommendation </w:t>
      </w:r>
      <w:r w:rsidR="00C3640F" w:rsidRPr="00C3640F">
        <w:t>11</w:t>
      </w:r>
      <w:r w:rsidRPr="00C3640F">
        <w:t>.</w:t>
      </w:r>
    </w:p>
    <w:tbl>
      <w:tblPr>
        <w:tblStyle w:val="TableGrid"/>
        <w:tblW w:w="0" w:type="auto"/>
        <w:shd w:val="clear" w:color="auto" w:fill="F2F2F2" w:themeFill="background1" w:themeFillShade="F2"/>
        <w:tblLook w:val="04A0" w:firstRow="1" w:lastRow="0" w:firstColumn="1" w:lastColumn="0" w:noHBand="0" w:noVBand="1"/>
      </w:tblPr>
      <w:tblGrid>
        <w:gridCol w:w="10466"/>
      </w:tblGrid>
      <w:tr w:rsidR="00241303" w14:paraId="2CCB8F17" w14:textId="77777777" w:rsidTr="00F26329">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tcPr>
          <w:p w14:paraId="47C4F074" w14:textId="77777777" w:rsidR="003A2C6D" w:rsidRDefault="00241303" w:rsidP="00650E28">
            <w:pPr>
              <w:pStyle w:val="Summarytable"/>
              <w:rPr>
                <w:b w:val="0"/>
                <w:bCs w:val="0"/>
                <w:color w:val="000000" w:themeColor="text1"/>
                <w:lang w:val="en-GB"/>
              </w:rPr>
            </w:pPr>
            <w:r>
              <w:rPr>
                <w:noProof/>
                <w:lang w:val="en-GB"/>
              </w:rPr>
              <w:drawing>
                <wp:inline distT="0" distB="0" distL="0" distR="0" wp14:anchorId="183D201A" wp14:editId="7BC49A9A">
                  <wp:extent cx="269875" cy="269875"/>
                  <wp:effectExtent l="0" t="0" r="0" b="0"/>
                  <wp:docPr id="481345103" name="Graphic 481345103" descr="P1416C1T58#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1345103" name="Graphic 481345103" descr="P1416C1T58#yIS1">
                            <a:extLst>
                              <a:ext uri="{C183D7F6-B498-43B3-948B-1728B52AA6E4}">
                                <adec:decorative xmlns:adec="http://schemas.microsoft.com/office/drawing/2017/decorative" val="1"/>
                              </a:ext>
                            </a:extLst>
                          </pic:cNvPr>
                          <pic:cNvPicPr>
                            <a:picLocks noChangeAspect="1"/>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69875" cy="269875"/>
                          </a:xfrm>
                          <a:prstGeom prst="rect">
                            <a:avLst/>
                          </a:prstGeom>
                        </pic:spPr>
                      </pic:pic>
                    </a:graphicData>
                  </a:graphic>
                </wp:inline>
              </w:drawing>
            </w:r>
            <w:r>
              <w:rPr>
                <w:color w:val="00707E" w:themeColor="accent5" w:themeShade="BF"/>
                <w:lang w:val="en-GB"/>
              </w:rPr>
              <w:t xml:space="preserve">Recommendation 8: </w:t>
            </w:r>
            <w:r w:rsidRPr="00650E28">
              <w:rPr>
                <w:color w:val="000000" w:themeColor="text1"/>
                <w:lang w:val="en-GB"/>
              </w:rPr>
              <w:t>Measures of primary care access</w:t>
            </w:r>
            <w:r w:rsidRPr="00650E28">
              <w:rPr>
                <w:b w:val="0"/>
                <w:bCs w:val="0"/>
                <w:color w:val="000000" w:themeColor="text1"/>
                <w:lang w:val="en-GB"/>
              </w:rPr>
              <w:t>, able to be monitored at the local level, should inform the operation of the NHRA, including</w:t>
            </w:r>
            <w:r w:rsidR="003A2C6D">
              <w:rPr>
                <w:b w:val="0"/>
                <w:bCs w:val="0"/>
                <w:color w:val="000000" w:themeColor="text1"/>
                <w:lang w:val="en-GB"/>
              </w:rPr>
              <w:t>:</w:t>
            </w:r>
          </w:p>
          <w:p w14:paraId="493F9A8B" w14:textId="7DE29B3A" w:rsidR="003A2C6D" w:rsidRPr="00E53CBB" w:rsidRDefault="00241303" w:rsidP="00E53CBB">
            <w:pPr>
              <w:pStyle w:val="Summarytable"/>
              <w:numPr>
                <w:ilvl w:val="0"/>
                <w:numId w:val="132"/>
              </w:numPr>
              <w:ind w:left="709"/>
              <w:rPr>
                <w:b w:val="0"/>
                <w:bCs w:val="0"/>
                <w:lang w:val="en-GB"/>
              </w:rPr>
            </w:pPr>
            <w:r w:rsidRPr="00E53CBB">
              <w:rPr>
                <w:b w:val="0"/>
                <w:bCs w:val="0"/>
                <w:color w:val="000000" w:themeColor="text1"/>
                <w:lang w:val="en-GB"/>
              </w:rPr>
              <w:t xml:space="preserve">whether and when </w:t>
            </w:r>
            <w:r w:rsidRPr="00F95F8D">
              <w:rPr>
                <w:color w:val="000000" w:themeColor="text1"/>
                <w:lang w:val="en-GB"/>
              </w:rPr>
              <w:t>different models of care are mobilised</w:t>
            </w:r>
            <w:r w:rsidRPr="00E53CBB">
              <w:rPr>
                <w:b w:val="0"/>
                <w:bCs w:val="0"/>
                <w:color w:val="000000" w:themeColor="text1"/>
                <w:lang w:val="en-GB"/>
              </w:rPr>
              <w:t xml:space="preserve"> to respond to serious service gaps</w:t>
            </w:r>
            <w:r w:rsidRPr="00650E28">
              <w:rPr>
                <w:b w:val="0"/>
                <w:bCs w:val="0"/>
                <w:color w:val="000000" w:themeColor="text1"/>
                <w:lang w:val="en-GB"/>
              </w:rPr>
              <w:t xml:space="preserve"> that would otherwise result in avoidable hospital presentations</w:t>
            </w:r>
          </w:p>
          <w:p w14:paraId="0793A0F6" w14:textId="45E3F246" w:rsidR="00E31E93" w:rsidRPr="00E53CBB" w:rsidRDefault="00A62230" w:rsidP="00E53CBB">
            <w:pPr>
              <w:pStyle w:val="Summarytable"/>
              <w:numPr>
                <w:ilvl w:val="0"/>
                <w:numId w:val="132"/>
              </w:numPr>
              <w:ind w:left="709"/>
              <w:rPr>
                <w:b w:val="0"/>
                <w:bCs w:val="0"/>
                <w:lang w:val="en-GB"/>
              </w:rPr>
            </w:pPr>
            <w:r w:rsidRPr="00F95F8D">
              <w:rPr>
                <w:color w:val="000000" w:themeColor="text1"/>
                <w:lang w:val="en-GB"/>
              </w:rPr>
              <w:t xml:space="preserve">collaborative planning </w:t>
            </w:r>
            <w:r w:rsidR="00E31E93" w:rsidRPr="00F95F8D">
              <w:rPr>
                <w:color w:val="000000" w:themeColor="text1"/>
                <w:lang w:val="en-GB"/>
              </w:rPr>
              <w:t>at the local level</w:t>
            </w:r>
            <w:r w:rsidR="00E31E93">
              <w:rPr>
                <w:b w:val="0"/>
                <w:bCs w:val="0"/>
                <w:color w:val="000000" w:themeColor="text1"/>
                <w:lang w:val="en-GB"/>
              </w:rPr>
              <w:t xml:space="preserve"> </w:t>
            </w:r>
            <w:r>
              <w:rPr>
                <w:b w:val="0"/>
                <w:bCs w:val="0"/>
                <w:color w:val="000000" w:themeColor="text1"/>
                <w:lang w:val="en-GB"/>
              </w:rPr>
              <w:t xml:space="preserve">that would underpin the need for action and the </w:t>
            </w:r>
            <w:r w:rsidR="00720988">
              <w:rPr>
                <w:b w:val="0"/>
                <w:bCs w:val="0"/>
                <w:color w:val="000000" w:themeColor="text1"/>
                <w:lang w:val="en-GB"/>
              </w:rPr>
              <w:t xml:space="preserve">escalation pathways through which </w:t>
            </w:r>
            <w:r w:rsidR="00E31E93">
              <w:rPr>
                <w:b w:val="0"/>
                <w:bCs w:val="0"/>
                <w:color w:val="000000" w:themeColor="text1"/>
                <w:lang w:val="en-GB"/>
              </w:rPr>
              <w:t>action would be taken</w:t>
            </w:r>
          </w:p>
          <w:p w14:paraId="7771DBE9" w14:textId="77777777" w:rsidR="00E31E93" w:rsidRPr="00E53CBB" w:rsidRDefault="00E31E93" w:rsidP="00E53CBB">
            <w:pPr>
              <w:pStyle w:val="Summarytable"/>
              <w:numPr>
                <w:ilvl w:val="0"/>
                <w:numId w:val="132"/>
              </w:numPr>
              <w:ind w:left="709"/>
              <w:rPr>
                <w:b w:val="0"/>
                <w:bCs w:val="0"/>
                <w:lang w:val="en-GB"/>
              </w:rPr>
            </w:pPr>
            <w:r w:rsidRPr="00650E28">
              <w:rPr>
                <w:b w:val="0"/>
                <w:bCs w:val="0"/>
                <w:color w:val="000000" w:themeColor="text1"/>
                <w:lang w:val="en-GB"/>
              </w:rPr>
              <w:t>a capacity to act quickly to use available resources to greatest effect with equitable funding arrangements agreed in advance.</w:t>
            </w:r>
            <w:r w:rsidR="00241303" w:rsidRPr="00650E28">
              <w:rPr>
                <w:b w:val="0"/>
                <w:bCs w:val="0"/>
                <w:color w:val="000000" w:themeColor="text1"/>
                <w:lang w:val="en-GB"/>
              </w:rPr>
              <w:t xml:space="preserve"> </w:t>
            </w:r>
          </w:p>
          <w:p w14:paraId="2319B899" w14:textId="50853E22" w:rsidR="00241303" w:rsidRPr="00650E28" w:rsidRDefault="00241303" w:rsidP="00E53CBB">
            <w:pPr>
              <w:pStyle w:val="Summarytable"/>
              <w:ind w:left="188"/>
              <w:rPr>
                <w:b w:val="0"/>
                <w:bCs w:val="0"/>
                <w:lang w:val="en-GB"/>
              </w:rPr>
            </w:pPr>
            <w:r w:rsidRPr="00650E28">
              <w:rPr>
                <w:b w:val="0"/>
                <w:bCs w:val="0"/>
                <w:color w:val="000000" w:themeColor="text1"/>
                <w:lang w:val="en-GB"/>
              </w:rPr>
              <w:t xml:space="preserve">The triggers for this need to be negotiated as part of a new Agreement but should ensure there is every incentive for primary care to work effectively without intervention. </w:t>
            </w:r>
          </w:p>
        </w:tc>
      </w:tr>
    </w:tbl>
    <w:p w14:paraId="03E769E9" w14:textId="77777777" w:rsidR="005C049D" w:rsidRDefault="005C049D" w:rsidP="00E53CBB"/>
    <w:p w14:paraId="2973103C" w14:textId="36A48296" w:rsidR="004F3DE0" w:rsidRPr="00D93DAE" w:rsidRDefault="004F3DE0" w:rsidP="007745A8">
      <w:pPr>
        <w:pStyle w:val="Heading4"/>
      </w:pPr>
      <w:r w:rsidRPr="00D93DAE">
        <w:t>Aged and disability interface</w:t>
      </w:r>
    </w:p>
    <w:p w14:paraId="3BADECAF" w14:textId="02950D5E" w:rsidR="006A1721" w:rsidRDefault="006A1721" w:rsidP="00D61A4D">
      <w:r>
        <w:t xml:space="preserve">A common concern raised with the Review was delays in transitioning elderly patients and NDIS participants who are ready to be discharged from public hospitals to appropriate accommodation. These often stem from a lack of access to appropriate aged care and disability services, particularly in rural areas, </w:t>
      </w:r>
      <w:r w:rsidR="00E121FB">
        <w:t xml:space="preserve">and </w:t>
      </w:r>
      <w:r>
        <w:t>can also lead to potentially preventable ED and hospital admissions. Discharge delays lead to greater numbers of “maintenance type” patients occupying acute care beds, which can result in poorer patient outcomes and experiences</w:t>
      </w:r>
      <w:r w:rsidR="009679EE">
        <w:t xml:space="preserve"> and</w:t>
      </w:r>
      <w:r>
        <w:t xml:space="preserve"> limits the number of beds available for individuals who require acute care. These interface issues compound the demand for public hospital services, which often serve as the provider of last resort. </w:t>
      </w:r>
    </w:p>
    <w:p w14:paraId="1DA892D2" w14:textId="77E6AAE8" w:rsidR="0086219A" w:rsidRPr="001E118A" w:rsidRDefault="0086219A" w:rsidP="00934A64">
      <w:pPr>
        <w:keepNext/>
        <w:rPr>
          <w:b/>
          <w:bCs/>
        </w:rPr>
      </w:pPr>
      <w:r w:rsidRPr="001E118A">
        <w:rPr>
          <w:b/>
          <w:bCs/>
        </w:rPr>
        <w:t>Discharge issues at the public hospital and aged care interface</w:t>
      </w:r>
    </w:p>
    <w:p w14:paraId="5589FEC3" w14:textId="30677ABF" w:rsidR="003A7A4A" w:rsidRDefault="007068A9" w:rsidP="003A7A4A">
      <w:r>
        <w:t>Reports</w:t>
      </w:r>
      <w:r w:rsidR="003A7A4A">
        <w:t xml:space="preserve"> from jurisdictional health departments </w:t>
      </w:r>
      <w:r w:rsidR="006A1721">
        <w:t>highlighted</w:t>
      </w:r>
      <w:r>
        <w:t xml:space="preserve"> the </w:t>
      </w:r>
      <w:r w:rsidR="009679EE">
        <w:t xml:space="preserve">impact of </w:t>
      </w:r>
      <w:r w:rsidR="003A7A4A">
        <w:t>aged care</w:t>
      </w:r>
      <w:r>
        <w:t>-</w:t>
      </w:r>
      <w:r w:rsidR="003A7A4A">
        <w:t xml:space="preserve">related discharge delays </w:t>
      </w:r>
      <w:r>
        <w:t>in public hospitals.</w:t>
      </w:r>
      <w:r w:rsidR="003A7A4A">
        <w:t xml:space="preserve"> </w:t>
      </w:r>
      <w:r w:rsidR="0022004E">
        <w:t>In 2020-21,</w:t>
      </w:r>
      <w:r w:rsidR="0022004E" w:rsidRPr="0044217C" w:rsidDel="00FA2251">
        <w:t xml:space="preserve"> </w:t>
      </w:r>
      <w:r w:rsidR="0022004E" w:rsidRPr="0044217C">
        <w:t xml:space="preserve">a total of over 286,000 hospital patient days across Australia </w:t>
      </w:r>
      <w:r w:rsidR="00FA2251">
        <w:t xml:space="preserve">were reported </w:t>
      </w:r>
      <w:r w:rsidR="0022004E" w:rsidRPr="0044217C">
        <w:t xml:space="preserve">for </w:t>
      </w:r>
      <w:r w:rsidR="004840D5">
        <w:t>individuals</w:t>
      </w:r>
      <w:r w:rsidR="0022004E" w:rsidRPr="0044217C">
        <w:t xml:space="preserve"> eligible and waiting for residential age</w:t>
      </w:r>
      <w:r w:rsidR="0022004E">
        <w:t>d</w:t>
      </w:r>
      <w:r w:rsidR="0022004E" w:rsidRPr="000A5295">
        <w:t xml:space="preserve"> </w:t>
      </w:r>
      <w:r w:rsidR="0022004E">
        <w:t>care</w:t>
      </w:r>
      <w:r w:rsidR="00767946">
        <w:t>, translating</w:t>
      </w:r>
      <w:r w:rsidR="0022004E" w:rsidRPr="0044217C">
        <w:t xml:space="preserve"> to 9.2 hospital patient days per 1000 patient days</w:t>
      </w:r>
      <w:r w:rsidR="003F5D51">
        <w:rPr>
          <w:rFonts w:ascii="ZWAdobeF" w:hAnsi="ZWAdobeF" w:cs="ZWAdobeF"/>
          <w:sz w:val="2"/>
          <w:szCs w:val="2"/>
        </w:rPr>
        <w:t>109F</w:t>
      </w:r>
      <w:r w:rsidR="009E4715">
        <w:rPr>
          <w:rStyle w:val="FootnoteReference"/>
        </w:rPr>
        <w:footnoteReference w:id="111"/>
      </w:r>
      <w:r w:rsidR="00F84565">
        <w:t xml:space="preserve">, with anecdotal evidence </w:t>
      </w:r>
      <w:r w:rsidR="00F241FA">
        <w:t xml:space="preserve">identified to the Review </w:t>
      </w:r>
      <w:r w:rsidR="00F84565">
        <w:t xml:space="preserve">that this figure has </w:t>
      </w:r>
      <w:r w:rsidR="00F241FA">
        <w:t xml:space="preserve">since </w:t>
      </w:r>
      <w:r w:rsidR="00F84565">
        <w:t>increased</w:t>
      </w:r>
      <w:r w:rsidR="0022004E" w:rsidRPr="0044217C">
        <w:t>.</w:t>
      </w:r>
      <w:r w:rsidR="0022004E" w:rsidRPr="000A5295">
        <w:t xml:space="preserve"> </w:t>
      </w:r>
      <w:r w:rsidR="00EA575B">
        <w:t xml:space="preserve">Notably, </w:t>
      </w:r>
      <w:r w:rsidR="00F84565">
        <w:t>there is marked variation</w:t>
      </w:r>
      <w:r w:rsidR="00EA575B">
        <w:t xml:space="preserve"> when comparing major cities </w:t>
      </w:r>
      <w:r w:rsidR="007C600F" w:rsidRPr="0044217C">
        <w:t xml:space="preserve">(7 hospital patient days per 1000 patient days) </w:t>
      </w:r>
      <w:r w:rsidR="00B33D3A">
        <w:t>to</w:t>
      </w:r>
      <w:r w:rsidR="0022004E" w:rsidRPr="0044217C">
        <w:t xml:space="preserve"> regional and remote </w:t>
      </w:r>
      <w:r w:rsidR="00B33D3A">
        <w:t>areas</w:t>
      </w:r>
      <w:r w:rsidR="00916CAD">
        <w:t xml:space="preserve"> (</w:t>
      </w:r>
      <w:r w:rsidR="0022004E" w:rsidRPr="0044217C">
        <w:t>47.6 hospital patient days per 1000 patient days).</w:t>
      </w:r>
      <w:r w:rsidR="0022004E">
        <w:t xml:space="preserve"> </w:t>
      </w:r>
      <w:r w:rsidR="006A1721">
        <w:t xml:space="preserve">By way of example, </w:t>
      </w:r>
      <w:r w:rsidR="00B552E3" w:rsidRPr="00B552E3">
        <w:t>New South Wales</w:t>
      </w:r>
      <w:r w:rsidR="00826951">
        <w:t xml:space="preserve"> </w:t>
      </w:r>
      <w:r w:rsidR="00DE57A2">
        <w:t xml:space="preserve">reported </w:t>
      </w:r>
      <w:r w:rsidR="003A6B15">
        <w:t xml:space="preserve">385 </w:t>
      </w:r>
      <w:r w:rsidR="00E06339" w:rsidRPr="00E06339">
        <w:t>Residential Aged Care Facilit</w:t>
      </w:r>
      <w:r w:rsidR="00B176CF">
        <w:t>y (</w:t>
      </w:r>
      <w:r w:rsidR="00114197">
        <w:t>RACF</w:t>
      </w:r>
      <w:r w:rsidR="00B176CF">
        <w:t>)</w:t>
      </w:r>
      <w:r w:rsidR="003A6B15">
        <w:t xml:space="preserve"> patient</w:t>
      </w:r>
      <w:r w:rsidR="00562A1D">
        <w:t>s</w:t>
      </w:r>
      <w:r w:rsidR="003A6B15">
        <w:t xml:space="preserve"> in </w:t>
      </w:r>
      <w:r w:rsidR="00B552E3" w:rsidRPr="00B552E3">
        <w:t>New South Wales</w:t>
      </w:r>
      <w:r w:rsidR="00F97BF3">
        <w:t xml:space="preserve"> public </w:t>
      </w:r>
      <w:r w:rsidR="003A6B15">
        <w:t>hospitals</w:t>
      </w:r>
      <w:r w:rsidR="00A104CF">
        <w:t xml:space="preserve"> on 26 April 2023</w:t>
      </w:r>
      <w:r w:rsidR="00064FB9">
        <w:t>,</w:t>
      </w:r>
      <w:r w:rsidR="003A6B15">
        <w:t xml:space="preserve"> </w:t>
      </w:r>
      <w:r w:rsidR="00A16B4B">
        <w:t xml:space="preserve">collectively </w:t>
      </w:r>
      <w:r w:rsidR="003A6B15">
        <w:t xml:space="preserve">exceeding their expected discharge date </w:t>
      </w:r>
      <w:r w:rsidR="00064FB9">
        <w:t>by a total of</w:t>
      </w:r>
      <w:r w:rsidR="003A6B15">
        <w:t xml:space="preserve"> 15,034 bed days</w:t>
      </w:r>
      <w:r w:rsidR="003F5D51">
        <w:rPr>
          <w:rFonts w:ascii="ZWAdobeF" w:hAnsi="ZWAdobeF" w:cs="ZWAdobeF"/>
          <w:sz w:val="2"/>
          <w:szCs w:val="2"/>
        </w:rPr>
        <w:t>110F</w:t>
      </w:r>
      <w:r w:rsidR="003A6B15">
        <w:rPr>
          <w:rStyle w:val="FootnoteReference"/>
        </w:rPr>
        <w:footnoteReference w:id="112"/>
      </w:r>
      <w:r w:rsidR="003A6B15">
        <w:t xml:space="preserve">. </w:t>
      </w:r>
      <w:r w:rsidR="003A7A4A">
        <w:t xml:space="preserve">These challenges </w:t>
      </w:r>
      <w:r w:rsidR="00E2741A">
        <w:t xml:space="preserve">are </w:t>
      </w:r>
      <w:r w:rsidR="003A7A4A">
        <w:t xml:space="preserve">more </w:t>
      </w:r>
      <w:r w:rsidR="00E2741A">
        <w:t>pronounced</w:t>
      </w:r>
      <w:r w:rsidR="003A7A4A">
        <w:t xml:space="preserve"> in regional and rural areas. </w:t>
      </w:r>
      <w:r w:rsidR="00502FA2">
        <w:t xml:space="preserve">In </w:t>
      </w:r>
      <w:r w:rsidR="00B552E3" w:rsidRPr="00B552E3">
        <w:t>Western Australia</w:t>
      </w:r>
      <w:r w:rsidR="00502FA2">
        <w:t>, a</w:t>
      </w:r>
      <w:r w:rsidR="007828BA">
        <w:t xml:space="preserve">s </w:t>
      </w:r>
      <w:r w:rsidR="00706C29">
        <w:t>of</w:t>
      </w:r>
      <w:r w:rsidR="007828BA">
        <w:t xml:space="preserve"> 3 May 2023</w:t>
      </w:r>
      <w:r w:rsidR="003A7A4A">
        <w:t xml:space="preserve">, </w:t>
      </w:r>
      <w:r w:rsidR="00502FA2">
        <w:t>the</w:t>
      </w:r>
      <w:r w:rsidR="003A7A4A">
        <w:t xml:space="preserve"> wait times for aged care services </w:t>
      </w:r>
      <w:r w:rsidR="00E31189">
        <w:t>were</w:t>
      </w:r>
      <w:r w:rsidR="003A7A4A">
        <w:t xml:space="preserve"> more than four times higher </w:t>
      </w:r>
      <w:r w:rsidR="00E31189">
        <w:t>than in metropolitan areas</w:t>
      </w:r>
      <w:r w:rsidR="003A7A4A">
        <w:t xml:space="preserve"> (50 days compared to 11.5 days)</w:t>
      </w:r>
      <w:r w:rsidR="003F5D51">
        <w:rPr>
          <w:rFonts w:ascii="ZWAdobeF" w:hAnsi="ZWAdobeF" w:cs="ZWAdobeF"/>
          <w:sz w:val="2"/>
          <w:szCs w:val="2"/>
        </w:rPr>
        <w:t>111F</w:t>
      </w:r>
      <w:r w:rsidR="003A7A4A">
        <w:rPr>
          <w:rStyle w:val="FootnoteReference"/>
        </w:rPr>
        <w:footnoteReference w:id="113"/>
      </w:r>
      <w:r w:rsidR="003A7A4A">
        <w:t>.</w:t>
      </w:r>
      <w:r w:rsidR="00EA3652">
        <w:t xml:space="preserve"> </w:t>
      </w:r>
      <w:r w:rsidR="005C3F4E">
        <w:t xml:space="preserve">The shortage of aged care beds in these regional and rural areas </w:t>
      </w:r>
      <w:r w:rsidR="006A1721">
        <w:t>can prevent</w:t>
      </w:r>
      <w:r w:rsidR="005C3F4E">
        <w:t xml:space="preserve"> patients from being discharged safely to their homes, </w:t>
      </w:r>
      <w:r w:rsidR="00A94882">
        <w:t>disrupt</w:t>
      </w:r>
      <w:r w:rsidR="00552951">
        <w:t>ing</w:t>
      </w:r>
      <w:r w:rsidR="00BA6BCC">
        <w:t xml:space="preserve"> patient flow and </w:t>
      </w:r>
      <w:r w:rsidR="00A94882">
        <w:t>affect</w:t>
      </w:r>
      <w:r w:rsidR="00552951">
        <w:t>ing</w:t>
      </w:r>
      <w:r w:rsidR="00A94882">
        <w:t xml:space="preserve"> overall patient</w:t>
      </w:r>
      <w:r w:rsidR="00FE7EBC">
        <w:t xml:space="preserve"> </w:t>
      </w:r>
      <w:r w:rsidR="00BA6BCC">
        <w:t>outcomes.</w:t>
      </w:r>
      <w:r w:rsidR="00630EE5">
        <w:t xml:space="preserve"> </w:t>
      </w:r>
    </w:p>
    <w:p w14:paraId="0F9241D6" w14:textId="71F01C88" w:rsidR="0086219A" w:rsidRPr="001E118A" w:rsidRDefault="0086219A" w:rsidP="003A7A4A">
      <w:pPr>
        <w:rPr>
          <w:b/>
          <w:bCs/>
        </w:rPr>
      </w:pPr>
      <w:r w:rsidRPr="001E118A">
        <w:rPr>
          <w:b/>
          <w:bCs/>
        </w:rPr>
        <w:t>Discharge issues at the public hospital and disability care interface</w:t>
      </w:r>
    </w:p>
    <w:p w14:paraId="256C4487" w14:textId="0D67468E" w:rsidR="00770ECC" w:rsidRDefault="00815118" w:rsidP="00770ECC">
      <w:r>
        <w:t xml:space="preserve">As of 31 May 2023, </w:t>
      </w:r>
      <w:r w:rsidR="00936A0A">
        <w:t>there were</w:t>
      </w:r>
      <w:r>
        <w:t xml:space="preserve"> </w:t>
      </w:r>
      <w:r w:rsidR="0092310A">
        <w:t>1331</w:t>
      </w:r>
      <w:r>
        <w:t xml:space="preserve"> </w:t>
      </w:r>
      <w:r w:rsidR="00314A56">
        <w:t>NDIS participants medically ready for discharge in public hospitals across Australia</w:t>
      </w:r>
      <w:bookmarkStart w:id="232" w:name="_Ref146633254"/>
      <w:r w:rsidR="003F5D51">
        <w:rPr>
          <w:rFonts w:ascii="ZWAdobeF" w:hAnsi="ZWAdobeF" w:cs="ZWAdobeF"/>
          <w:sz w:val="2"/>
          <w:szCs w:val="2"/>
        </w:rPr>
        <w:t>112F</w:t>
      </w:r>
      <w:r w:rsidR="00017929">
        <w:rPr>
          <w:rStyle w:val="FootnoteReference"/>
        </w:rPr>
        <w:footnoteReference w:id="114"/>
      </w:r>
      <w:bookmarkEnd w:id="232"/>
      <w:r w:rsidR="00A773F3">
        <w:t>.</w:t>
      </w:r>
      <w:r w:rsidR="000921B0">
        <w:t>The</w:t>
      </w:r>
      <w:r>
        <w:t xml:space="preserve"> average duration </w:t>
      </w:r>
      <w:r w:rsidR="001933ED">
        <w:t>of</w:t>
      </w:r>
      <w:r>
        <w:t xml:space="preserve"> </w:t>
      </w:r>
      <w:r w:rsidR="000921B0">
        <w:t>their</w:t>
      </w:r>
      <w:r>
        <w:t xml:space="preserve"> read</w:t>
      </w:r>
      <w:r w:rsidR="000921B0">
        <w:t>iness</w:t>
      </w:r>
      <w:r>
        <w:t xml:space="preserve"> for discharge and actual discharge </w:t>
      </w:r>
      <w:r w:rsidR="000921B0">
        <w:t>was</w:t>
      </w:r>
      <w:r>
        <w:t xml:space="preserve"> 26 days</w:t>
      </w:r>
      <w:r w:rsidR="00756B21" w:rsidRPr="00756B21">
        <w:rPr>
          <w:rFonts w:cstheme="minorHAnsi"/>
          <w:vertAlign w:val="superscript"/>
        </w:rPr>
        <w:fldChar w:fldCharType="begin"/>
      </w:r>
      <w:r w:rsidR="00756B21" w:rsidRPr="00756B21">
        <w:rPr>
          <w:vertAlign w:val="superscript"/>
        </w:rPr>
        <w:instrText xml:space="preserve"> NOTEREF _Ref146633254 \h </w:instrText>
      </w:r>
      <w:r w:rsidR="00756B21" w:rsidRPr="00756B21">
        <w:rPr>
          <w:rFonts w:cstheme="minorHAnsi"/>
          <w:vertAlign w:val="superscript"/>
        </w:rPr>
        <w:instrText xml:space="preserve"> \* MERGEFORMAT </w:instrText>
      </w:r>
      <w:r w:rsidR="00756B21" w:rsidRPr="00756B21">
        <w:rPr>
          <w:rFonts w:cstheme="minorHAnsi"/>
          <w:vertAlign w:val="superscript"/>
        </w:rPr>
      </w:r>
      <w:r w:rsidR="00756B21" w:rsidRPr="00756B21">
        <w:rPr>
          <w:rFonts w:cstheme="minorHAnsi"/>
          <w:vertAlign w:val="superscript"/>
        </w:rPr>
        <w:fldChar w:fldCharType="separate"/>
      </w:r>
      <w:r w:rsidR="003F5D51">
        <w:rPr>
          <w:vertAlign w:val="superscript"/>
        </w:rPr>
        <w:t>113</w:t>
      </w:r>
      <w:r w:rsidR="00756B21" w:rsidRPr="00756B21">
        <w:rPr>
          <w:rFonts w:cstheme="minorHAnsi"/>
          <w:vertAlign w:val="superscript"/>
        </w:rPr>
        <w:fldChar w:fldCharType="end"/>
      </w:r>
      <w:r>
        <w:t xml:space="preserve">. </w:t>
      </w:r>
      <w:r w:rsidR="00E521EC">
        <w:t xml:space="preserve">NDIS participants in hospital face </w:t>
      </w:r>
      <w:r w:rsidR="000E223E">
        <w:t>similar discharge barriers</w:t>
      </w:r>
      <w:r w:rsidR="00DF658E">
        <w:t xml:space="preserve"> to elderly patients</w:t>
      </w:r>
      <w:r w:rsidR="002E0ABE">
        <w:t xml:space="preserve">, such as </w:t>
      </w:r>
      <w:r w:rsidR="0048743F">
        <w:t>administrative delays</w:t>
      </w:r>
      <w:r w:rsidR="004F72F2">
        <w:t xml:space="preserve"> and</w:t>
      </w:r>
      <w:r w:rsidR="0048743F">
        <w:t xml:space="preserve"> lack of appropriate accommodation and support services</w:t>
      </w:r>
      <w:r w:rsidR="004F72F2">
        <w:t>,</w:t>
      </w:r>
      <w:r w:rsidR="0093375A">
        <w:t xml:space="preserve"> particularly in regional and rural areas</w:t>
      </w:r>
      <w:r w:rsidR="0048743F">
        <w:t>.</w:t>
      </w:r>
      <w:r w:rsidR="00AD5A11">
        <w:t xml:space="preserve"> </w:t>
      </w:r>
      <w:r w:rsidR="004F72F2">
        <w:t>These difficulties compound</w:t>
      </w:r>
      <w:r w:rsidR="00770ECC">
        <w:t xml:space="preserve"> the already significant challenges </w:t>
      </w:r>
      <w:r w:rsidR="004F72F2">
        <w:t>faced by</w:t>
      </w:r>
      <w:r w:rsidR="00770ECC">
        <w:t xml:space="preserve"> rural and regional residents</w:t>
      </w:r>
      <w:r w:rsidR="00E23690">
        <w:t>, making their</w:t>
      </w:r>
      <w:r w:rsidR="00770ECC">
        <w:t xml:space="preserve"> health </w:t>
      </w:r>
      <w:r w:rsidR="00E23690">
        <w:t xml:space="preserve">care </w:t>
      </w:r>
      <w:r w:rsidR="00770ECC">
        <w:t xml:space="preserve">journey </w:t>
      </w:r>
      <w:r w:rsidR="00E23690">
        <w:t>considerably more arduous than that of their</w:t>
      </w:r>
      <w:r w:rsidR="00770ECC">
        <w:t xml:space="preserve"> metropolitan </w:t>
      </w:r>
      <w:r w:rsidR="00E23690">
        <w:t>counterparts</w:t>
      </w:r>
      <w:r w:rsidR="00770ECC">
        <w:t xml:space="preserve">. </w:t>
      </w:r>
    </w:p>
    <w:p w14:paraId="54E66C99" w14:textId="77777777" w:rsidR="006A1721" w:rsidRDefault="006A1721" w:rsidP="006A1721">
      <w:r>
        <w:t xml:space="preserve">Nationally, there is a growing recognition of these problems, and a desire to accelerate practical solutions that support seamless and efficient care across the health system interfaces. While the causes of discharge delay are multi-factorial, key contributing factors include the lack of real-time data on residential beds and community aged care places, the absence of available and appropriate aged care and disability accommodation and support services, a lack of clarity as to who is coordinating patient transitions and family choice not supporting timely discharge. </w:t>
      </w:r>
    </w:p>
    <w:p w14:paraId="26E1122F" w14:textId="499135B4" w:rsidR="006A1721" w:rsidRPr="00EE75E6" w:rsidRDefault="008939B9" w:rsidP="007745A8">
      <w:pPr>
        <w:pStyle w:val="Heading4"/>
      </w:pPr>
      <w:r w:rsidRPr="00EE75E6">
        <w:t>Optimise d</w:t>
      </w:r>
      <w:r w:rsidR="006A1721" w:rsidRPr="00EE75E6">
        <w:t xml:space="preserve">ata collection, integration and governance </w:t>
      </w:r>
    </w:p>
    <w:p w14:paraId="23835E6E" w14:textId="7F47EAA2" w:rsidR="006A1721" w:rsidRDefault="006A1721" w:rsidP="006A1721">
      <w:r>
        <w:t xml:space="preserve">A fundamental </w:t>
      </w:r>
      <w:r w:rsidR="0031084C">
        <w:t xml:space="preserve">gap </w:t>
      </w:r>
      <w:r>
        <w:t>is</w:t>
      </w:r>
      <w:r w:rsidR="0031084C">
        <w:t xml:space="preserve"> the absence of a nationally consistent approach to collecting data on </w:t>
      </w:r>
      <w:r w:rsidR="004A5EEC">
        <w:t>patients</w:t>
      </w:r>
      <w:r w:rsidR="00B4357B">
        <w:t xml:space="preserve"> </w:t>
      </w:r>
      <w:r w:rsidR="00F84669">
        <w:t xml:space="preserve">who are occupying a hospital bed while awaiting aged care or disability services </w:t>
      </w:r>
      <w:r w:rsidR="00BB5BEA">
        <w:t>when</w:t>
      </w:r>
      <w:r w:rsidR="00F84669">
        <w:t xml:space="preserve"> medically ready for discharge (</w:t>
      </w:r>
      <w:r w:rsidR="00546A80">
        <w:t xml:space="preserve">long-stay </w:t>
      </w:r>
      <w:r w:rsidR="00F84669">
        <w:t>patients)</w:t>
      </w:r>
      <w:r w:rsidR="003B5326">
        <w:t>.</w:t>
      </w:r>
      <w:r w:rsidR="00D5486F">
        <w:t xml:space="preserve"> </w:t>
      </w:r>
      <w:r w:rsidR="00FA2251">
        <w:t xml:space="preserve">Accurately </w:t>
      </w:r>
      <w:r w:rsidR="009A41B4">
        <w:t xml:space="preserve">quantifying the magnitude of </w:t>
      </w:r>
      <w:r w:rsidR="00BB5BEA">
        <w:t xml:space="preserve">this </w:t>
      </w:r>
      <w:r w:rsidR="009A41B4">
        <w:t>issue</w:t>
      </w:r>
      <w:r w:rsidR="00574E27">
        <w:t xml:space="preserve"> in a timely manner, and </w:t>
      </w:r>
      <w:r w:rsidR="004B1B02">
        <w:t>it</w:t>
      </w:r>
      <w:r w:rsidR="009A41B4">
        <w:t xml:space="preserve">s impact on bed availability, </w:t>
      </w:r>
      <w:r>
        <w:t xml:space="preserve">including at the regional level, </w:t>
      </w:r>
      <w:r w:rsidR="006A527D">
        <w:t xml:space="preserve">is currently </w:t>
      </w:r>
      <w:r w:rsidR="00BB5BEA">
        <w:t>limited</w:t>
      </w:r>
      <w:r w:rsidR="006A527D">
        <w:t>.</w:t>
      </w:r>
      <w:r w:rsidR="00546A80">
        <w:t xml:space="preserve"> </w:t>
      </w:r>
    </w:p>
    <w:p w14:paraId="33E43B00" w14:textId="597ADFD1" w:rsidR="00EA3E22" w:rsidRDefault="00FA2251" w:rsidP="00B316C3">
      <w:r>
        <w:t>R</w:t>
      </w:r>
      <w:r w:rsidR="00546A80">
        <w:t>eal</w:t>
      </w:r>
      <w:r w:rsidR="00B03FAE">
        <w:t>-</w:t>
      </w:r>
      <w:r w:rsidR="00D5486F">
        <w:t>time</w:t>
      </w:r>
      <w:r w:rsidR="00546A80">
        <w:t xml:space="preserve"> data sharing </w:t>
      </w:r>
      <w:r>
        <w:t xml:space="preserve">on long-stay patients through the </w:t>
      </w:r>
      <w:r w:rsidR="0049112F">
        <w:t xml:space="preserve">inclusion of </w:t>
      </w:r>
      <w:r w:rsidR="00546A80">
        <w:t>disability and aged care identifiers in hospital data collections</w:t>
      </w:r>
      <w:r>
        <w:t xml:space="preserve">, and on the availability of aged care and disability places at the local level, would support </w:t>
      </w:r>
      <w:r w:rsidR="00842858">
        <w:t xml:space="preserve">more </w:t>
      </w:r>
      <w:r>
        <w:t>proactive management</w:t>
      </w:r>
      <w:r w:rsidR="00842858">
        <w:t xml:space="preserve"> of these patients from the point of admission</w:t>
      </w:r>
      <w:r w:rsidR="00CA1E62">
        <w:t xml:space="preserve"> (see </w:t>
      </w:r>
      <w:r w:rsidR="006A48D8">
        <w:t>Case Study</w:t>
      </w:r>
      <w:r w:rsidR="00CA1E62">
        <w:t>: Western Australia’s Real-time Data Portal for Aged Care)</w:t>
      </w:r>
      <w:r>
        <w:t xml:space="preserve">. </w:t>
      </w:r>
    </w:p>
    <w:p w14:paraId="1D07A95D" w14:textId="6E5EE0A3" w:rsidR="00774867" w:rsidRDefault="0058685C" w:rsidP="006D032E">
      <w:r>
        <w:t xml:space="preserve">Stronger cross-portfolio governance and accountability for performance at the interface is </w:t>
      </w:r>
      <w:r w:rsidR="00FA2251">
        <w:t xml:space="preserve">also </w:t>
      </w:r>
      <w:r>
        <w:t>require</w:t>
      </w:r>
      <w:r w:rsidR="000F1C28">
        <w:t>d</w:t>
      </w:r>
      <w:r w:rsidR="00FA2251">
        <w:t xml:space="preserve">. </w:t>
      </w:r>
      <w:r w:rsidR="00BB5BEA">
        <w:t>In</w:t>
      </w:r>
      <w:r w:rsidR="00950F0B">
        <w:t xml:space="preserve"> July 2022, preliminary work by the AIHW </w:t>
      </w:r>
      <w:r w:rsidR="00BB5BEA">
        <w:t>identified</w:t>
      </w:r>
      <w:r w:rsidR="00950F0B">
        <w:t xml:space="preserve"> a</w:t>
      </w:r>
      <w:r w:rsidR="00F81D8F">
        <w:t xml:space="preserve"> very</w:t>
      </w:r>
      <w:r w:rsidR="00950F0B">
        <w:t xml:space="preserve"> limited set of formal health system performance indicators </w:t>
      </w:r>
      <w:r w:rsidR="00A12089">
        <w:t>that</w:t>
      </w:r>
      <w:r w:rsidR="00950F0B">
        <w:t xml:space="preserve"> </w:t>
      </w:r>
      <w:r w:rsidR="00A12089">
        <w:t xml:space="preserve">jurisdictions </w:t>
      </w:r>
      <w:r w:rsidR="00950F0B">
        <w:t>agree</w:t>
      </w:r>
      <w:r w:rsidR="00A12089">
        <w:t xml:space="preserve"> are suitable </w:t>
      </w:r>
      <w:r w:rsidR="00950F0B">
        <w:t xml:space="preserve">for national reporting. </w:t>
      </w:r>
      <w:r w:rsidR="007E0CD4">
        <w:t xml:space="preserve">This program of work </w:t>
      </w:r>
      <w:r w:rsidR="00BB5BEA">
        <w:t xml:space="preserve">will be </w:t>
      </w:r>
      <w:r w:rsidR="00F513A1">
        <w:t xml:space="preserve">critical </w:t>
      </w:r>
      <w:r w:rsidR="00BB5BEA">
        <w:t>in enabling</w:t>
      </w:r>
      <w:r w:rsidR="00F513A1">
        <w:t xml:space="preserve"> comprehensive intersectoral performance data</w:t>
      </w:r>
      <w:r w:rsidR="00842858">
        <w:t xml:space="preserve"> and</w:t>
      </w:r>
      <w:r w:rsidR="0017288E">
        <w:t xml:space="preserve"> fostering</w:t>
      </w:r>
      <w:r w:rsidR="007800B5">
        <w:t xml:space="preserve"> collaboration across</w:t>
      </w:r>
      <w:r w:rsidR="00922C1F">
        <w:t xml:space="preserve"> all relevant sectors</w:t>
      </w:r>
      <w:r w:rsidR="0017288E">
        <w:t>.</w:t>
      </w:r>
    </w:p>
    <w:tbl>
      <w:tblPr>
        <w:tblStyle w:val="TableGrid"/>
        <w:tblW w:w="0" w:type="auto"/>
        <w:tblBorders>
          <w:top w:val="dotted" w:sz="4" w:space="0" w:color="00707E" w:themeColor="accent5" w:themeShade="BF"/>
          <w:left w:val="dotted" w:sz="4" w:space="0" w:color="00707E" w:themeColor="accent5" w:themeShade="BF"/>
          <w:bottom w:val="dotted" w:sz="4" w:space="0" w:color="00707E" w:themeColor="accent5" w:themeShade="BF"/>
          <w:right w:val="dotted" w:sz="4" w:space="0" w:color="00707E" w:themeColor="accent5" w:themeShade="BF"/>
        </w:tblBorders>
        <w:tblLook w:val="04A0" w:firstRow="1" w:lastRow="0" w:firstColumn="1" w:lastColumn="0" w:noHBand="0" w:noVBand="1"/>
      </w:tblPr>
      <w:tblGrid>
        <w:gridCol w:w="10456"/>
      </w:tblGrid>
      <w:tr w:rsidR="006A1721" w14:paraId="28CC42C6" w14:textId="77777777" w:rsidTr="006A1721">
        <w:trPr>
          <w:cnfStyle w:val="100000000000" w:firstRow="1" w:lastRow="0" w:firstColumn="0" w:lastColumn="0" w:oddVBand="0" w:evenVBand="0" w:oddHBand="0" w:evenHBand="0" w:firstRowFirstColumn="0" w:firstRowLastColumn="0" w:lastRowFirstColumn="0" w:lastRowLastColumn="0"/>
        </w:trPr>
        <w:tc>
          <w:tcPr>
            <w:tcW w:w="10456" w:type="dxa"/>
            <w:tcBorders>
              <w:top w:val="dotted" w:sz="4" w:space="0" w:color="00707E" w:themeColor="accent5" w:themeShade="BF"/>
              <w:left w:val="dotted" w:sz="4" w:space="0" w:color="00707E" w:themeColor="accent5" w:themeShade="BF"/>
              <w:bottom w:val="dotted" w:sz="4" w:space="0" w:color="00707E" w:themeColor="accent5" w:themeShade="BF"/>
              <w:right w:val="dotted" w:sz="4" w:space="0" w:color="00707E" w:themeColor="accent5" w:themeShade="BF"/>
            </w:tcBorders>
            <w:hideMark/>
          </w:tcPr>
          <w:p w14:paraId="10490390" w14:textId="0ACA29C1" w:rsidR="006A1721" w:rsidRDefault="006A1721" w:rsidP="00B63FCA">
            <w:pPr>
              <w:pStyle w:val="Summarytable"/>
              <w:rPr>
                <w:color w:val="00707E" w:themeColor="accent5" w:themeShade="BF"/>
                <w:lang w:val="en-GB"/>
              </w:rPr>
            </w:pPr>
            <w:r>
              <w:rPr>
                <w:noProof/>
                <w:lang w:val="en-GB"/>
              </w:rPr>
              <w:drawing>
                <wp:inline distT="0" distB="0" distL="0" distR="0" wp14:anchorId="1E0C0577" wp14:editId="69A250AE">
                  <wp:extent cx="269875" cy="269875"/>
                  <wp:effectExtent l="0" t="0" r="0" b="0"/>
                  <wp:docPr id="52379517" name="Graphic 52379517" descr="P1434C1T59#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2379517" name="Graphic 52379517" descr="P1434C1T59#yIS1">
                            <a:extLst>
                              <a:ext uri="{C183D7F6-B498-43B3-948B-1728B52AA6E4}">
                                <adec:decorative xmlns:adec="http://schemas.microsoft.com/office/drawing/2017/decorative" val="1"/>
                              </a:ext>
                            </a:extLst>
                          </pic:cNvPr>
                          <pic:cNvPicPr>
                            <a:picLocks noChangeAspect="1"/>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269875" cy="269875"/>
                          </a:xfrm>
                          <a:prstGeom prst="rect">
                            <a:avLst/>
                          </a:prstGeom>
                        </pic:spPr>
                      </pic:pic>
                    </a:graphicData>
                  </a:graphic>
                </wp:inline>
              </w:drawing>
            </w:r>
            <w:r w:rsidRPr="00EA1E78">
              <w:rPr>
                <w:color w:val="00707E" w:themeColor="accent5" w:themeShade="BF"/>
                <w:lang w:val="en-GB"/>
              </w:rPr>
              <w:t>Case study:</w:t>
            </w:r>
            <w:r>
              <w:rPr>
                <w:color w:val="00707E" w:themeColor="accent5" w:themeShade="BF"/>
                <w:lang w:val="en-GB"/>
              </w:rPr>
              <w:t xml:space="preserve"> </w:t>
            </w:r>
            <w:r>
              <w:rPr>
                <w:b w:val="0"/>
                <w:bCs w:val="0"/>
                <w:color w:val="00707E" w:themeColor="accent5" w:themeShade="BF"/>
                <w:lang w:val="en-GB"/>
              </w:rPr>
              <w:t>Western Australia’s Real-time Data Portal for Aged Care</w:t>
            </w:r>
          </w:p>
          <w:p w14:paraId="5C1A7484" w14:textId="0576CE57" w:rsidR="006A1721" w:rsidRDefault="006A1721" w:rsidP="00B63FCA">
            <w:pPr>
              <w:ind w:left="142"/>
              <w:rPr>
                <w:lang w:val="en-GB"/>
              </w:rPr>
            </w:pPr>
            <w:r>
              <w:rPr>
                <w:lang w:val="en-GB"/>
              </w:rPr>
              <w:t>Western Australia estimates that</w:t>
            </w:r>
            <w:r w:rsidDel="00BB5BEA">
              <w:rPr>
                <w:lang w:val="en-GB"/>
              </w:rPr>
              <w:t xml:space="preserve"> </w:t>
            </w:r>
            <w:r w:rsidR="00BB5BEA">
              <w:rPr>
                <w:lang w:val="en-GB"/>
              </w:rPr>
              <w:t xml:space="preserve">on </w:t>
            </w:r>
            <w:r>
              <w:rPr>
                <w:lang w:val="en-GB"/>
              </w:rPr>
              <w:t xml:space="preserve">any given day, there are over 100 older people waiting in Western Australian hospitals for aged care services, including residential aged care beds. There is no nationally consistent database to easily identify appropriate and available aged care beds. As a result, hospital staff can spend many hours across several days calling </w:t>
            </w:r>
            <w:r w:rsidR="000A250F">
              <w:rPr>
                <w:lang w:val="en-GB"/>
              </w:rPr>
              <w:t xml:space="preserve">residential </w:t>
            </w:r>
            <w:r>
              <w:rPr>
                <w:lang w:val="en-GB"/>
              </w:rPr>
              <w:t xml:space="preserve">aged care facilities searching for available and appropriate beds for their patients. This distracts hospital staff from their core duties and contributes to discharge delay, with older patients waiting in hospital beds despite being medically ready for discharge while looking for available beds. </w:t>
            </w:r>
          </w:p>
          <w:p w14:paraId="7DF4D78C" w14:textId="5E34082A" w:rsidR="006A1721" w:rsidRDefault="006A1721" w:rsidP="00B63FCA">
            <w:pPr>
              <w:ind w:left="142"/>
              <w:rPr>
                <w:lang w:val="en-GB"/>
              </w:rPr>
            </w:pPr>
            <w:r>
              <w:rPr>
                <w:lang w:val="en-GB"/>
              </w:rPr>
              <w:t xml:space="preserve">The </w:t>
            </w:r>
            <w:r w:rsidR="00B552E3" w:rsidRPr="00B552E3">
              <w:rPr>
                <w:lang w:val="en-GB"/>
              </w:rPr>
              <w:t xml:space="preserve">Western Australia </w:t>
            </w:r>
            <w:r>
              <w:rPr>
                <w:lang w:val="en-GB"/>
              </w:rPr>
              <w:t xml:space="preserve">Government is working collaboratively with the aged care peak body, Aged and Community Care Providers Association (ACCPA) to deliver a real time bed availability portal. The </w:t>
            </w:r>
            <w:r w:rsidR="00B552E3" w:rsidRPr="00B552E3">
              <w:rPr>
                <w:lang w:val="en-GB"/>
              </w:rPr>
              <w:t>Western Australia</w:t>
            </w:r>
            <w:r>
              <w:rPr>
                <w:lang w:val="en-GB"/>
              </w:rPr>
              <w:t xml:space="preserve"> Government has provided a grant to the ACCPA to support the development of the portal, </w:t>
            </w:r>
            <w:r w:rsidR="006273DF">
              <w:rPr>
                <w:lang w:val="en-GB"/>
              </w:rPr>
              <w:t>to</w:t>
            </w:r>
            <w:r>
              <w:rPr>
                <w:lang w:val="en-GB"/>
              </w:rPr>
              <w:t xml:space="preserve"> be launched in June 2023. The portal will be sector owned and led.</w:t>
            </w:r>
          </w:p>
          <w:p w14:paraId="34FE0FC5" w14:textId="20E60358" w:rsidR="006A1721" w:rsidRDefault="006A1721" w:rsidP="00B63FCA">
            <w:pPr>
              <w:ind w:left="142"/>
              <w:rPr>
                <w:lang w:val="en-GB"/>
              </w:rPr>
            </w:pPr>
            <w:r>
              <w:rPr>
                <w:lang w:val="en-GB"/>
              </w:rPr>
              <w:t xml:space="preserve">In </w:t>
            </w:r>
            <w:r w:rsidR="000A250F">
              <w:rPr>
                <w:lang w:val="en-GB"/>
              </w:rPr>
              <w:t xml:space="preserve">the </w:t>
            </w:r>
            <w:r>
              <w:rPr>
                <w:lang w:val="en-GB"/>
              </w:rPr>
              <w:t>first instance, the portal will be accessed by hospital staff to identify appropriate and available aged care beds for patients awaiting aged care services. The portal will include residential aged care beds, transition care program beds, and respite beds. It will support search functions by location, bed type, or care needs.</w:t>
            </w:r>
          </w:p>
          <w:p w14:paraId="11AFC06D" w14:textId="223E2A17" w:rsidR="006A1721" w:rsidRDefault="006A1721" w:rsidP="00B63FCA">
            <w:pPr>
              <w:ind w:left="142"/>
              <w:rPr>
                <w:lang w:val="en-GB"/>
              </w:rPr>
            </w:pPr>
            <w:r>
              <w:rPr>
                <w:lang w:val="en-GB"/>
              </w:rPr>
              <w:t>The portal is anticipated to decrease discharge delay by reducing the time older people spend in hospital while available aged care beds are identified. This reduces risks for the older person, improves overall patient flow and ensures hospital beds are available for people who need hospital care. The portal will also allow hospital staff to focus more on hospital care, rather than spending time contacting aged care facilities. The portal will also improve efficiencies for aged care providers who currently send emails to multiple health service providers with their bed availability.</w:t>
            </w:r>
          </w:p>
          <w:p w14:paraId="1E75D07E" w14:textId="7F565867" w:rsidR="006A1721" w:rsidRDefault="006A1721" w:rsidP="00B63FCA">
            <w:pPr>
              <w:ind w:left="142"/>
              <w:rPr>
                <w:b/>
                <w:bCs/>
                <w:lang w:val="en-GB"/>
              </w:rPr>
            </w:pPr>
            <w:r>
              <w:rPr>
                <w:lang w:val="en-GB"/>
              </w:rPr>
              <w:t>This case study demonstrates how a real time bed availability portal has the potential to facilitate discharge from public hospitals, achieving better patient outcomes and experiences while reducing costs associated with bed block. There is potential for a similar tool to be applied nationally across both aged care and disability sectors</w:t>
            </w:r>
            <w:r w:rsidR="00BB5BEA">
              <w:rPr>
                <w:lang w:val="en-GB"/>
              </w:rPr>
              <w:t xml:space="preserve"> to </w:t>
            </w:r>
            <w:r>
              <w:rPr>
                <w:lang w:val="en-GB"/>
              </w:rPr>
              <w:t>inform national discussions around the supply, distribution and funding of aged care and disability accommodation and support services.</w:t>
            </w:r>
          </w:p>
        </w:tc>
      </w:tr>
    </w:tbl>
    <w:p w14:paraId="3F2A66F8" w14:textId="77777777" w:rsidR="006A1721" w:rsidRDefault="006A1721" w:rsidP="006A1721"/>
    <w:p w14:paraId="58BD050B" w14:textId="696541DF" w:rsidR="006A1721" w:rsidRDefault="00D12CDF" w:rsidP="007745A8">
      <w:pPr>
        <w:pStyle w:val="Heading4"/>
      </w:pPr>
      <w:bookmarkStart w:id="234" w:name="_Ref148441910"/>
      <w:r>
        <w:t>Increase capacity</w:t>
      </w:r>
      <w:r w:rsidR="006A1721">
        <w:t xml:space="preserve"> of timely and appropriate aged care and disability accommodation and support services</w:t>
      </w:r>
      <w:bookmarkEnd w:id="234"/>
    </w:p>
    <w:p w14:paraId="667765BD" w14:textId="46BE2551" w:rsidR="006A1721" w:rsidRDefault="006A1721" w:rsidP="006A1721">
      <w:r>
        <w:t>The availability of timely and appropriate aged care and disability services, particularly in regional and rural areas, has been presented to the Review as a key driver of discharge delays and potentially preventable hospital admissions. A number of factors have been put forward as contributing to this including:</w:t>
      </w:r>
    </w:p>
    <w:p w14:paraId="0728E5B3" w14:textId="0A1A6807" w:rsidR="00D44454" w:rsidRDefault="0022294B" w:rsidP="0010078A">
      <w:pPr>
        <w:pStyle w:val="Longdotpoints"/>
        <w:ind w:left="567"/>
      </w:pPr>
      <w:r w:rsidRPr="00432EB4">
        <w:t>The financial viability of aged care services: the StewartBrown report</w:t>
      </w:r>
      <w:r w:rsidR="003F5D51">
        <w:rPr>
          <w:rFonts w:ascii="ZWAdobeF" w:hAnsi="ZWAdobeF" w:cs="ZWAdobeF"/>
          <w:sz w:val="2"/>
          <w:szCs w:val="2"/>
        </w:rPr>
        <w:t>113F</w:t>
      </w:r>
      <w:r w:rsidR="007B1274">
        <w:rPr>
          <w:rStyle w:val="FootnoteReference"/>
        </w:rPr>
        <w:footnoteReference w:id="115"/>
      </w:r>
      <w:r w:rsidR="007B1274" w:rsidRPr="00432EB4">
        <w:t xml:space="preserve"> </w:t>
      </w:r>
      <w:r w:rsidRPr="00432EB4">
        <w:t xml:space="preserve">released in October 2023 revealed that the national average operating cost of RACFs, both public and private, results in a loss of $16.54 per bed day, despite the Commonwealth's additional Basic Daily Fee supplement of $10 per bed day and the short-term transition benefit arising from the introduction of the </w:t>
      </w:r>
      <w:r w:rsidR="00F60097" w:rsidRPr="00F60097">
        <w:t xml:space="preserve">Australian National Aged Care Classification </w:t>
      </w:r>
      <w:r w:rsidR="00F60097">
        <w:t>(</w:t>
      </w:r>
      <w:r w:rsidRPr="00432EB4">
        <w:t>AN-ACC</w:t>
      </w:r>
      <w:r w:rsidR="00F60097">
        <w:t>)</w:t>
      </w:r>
      <w:r w:rsidRPr="00432EB4">
        <w:t xml:space="preserve"> subsidy from October 2022. This financial strain impacts bed availability with residential aged care providers sometimes reluctant to accommodate older individuals with complex needs.</w:t>
      </w:r>
      <w:r w:rsidR="00AE3432">
        <w:t xml:space="preserve"> </w:t>
      </w:r>
    </w:p>
    <w:p w14:paraId="0C986A65" w14:textId="1C4466CF" w:rsidR="006A1721" w:rsidRPr="0010078A" w:rsidRDefault="005874D3" w:rsidP="0010078A">
      <w:pPr>
        <w:pStyle w:val="Longdotpoints"/>
        <w:ind w:left="567"/>
      </w:pPr>
      <w:r w:rsidRPr="0010078A">
        <w:t>T</w:t>
      </w:r>
      <w:r w:rsidR="006A1721" w:rsidRPr="0010078A">
        <w:t xml:space="preserve">he capacity of Aged Care Assessment Teams (ACATs) to keep up with the assessment and planning processes and to proactively monitor and support older patients can lead to delays in hospital discharges or unnecessary admissions. </w:t>
      </w:r>
    </w:p>
    <w:p w14:paraId="502B4C05" w14:textId="14D9A327" w:rsidR="00665949" w:rsidRDefault="003B3705" w:rsidP="00665949">
      <w:pPr>
        <w:pStyle w:val="Longdotpoints"/>
        <w:ind w:left="567"/>
      </w:pPr>
      <w:r>
        <w:t>L</w:t>
      </w:r>
      <w:r w:rsidR="00BB5BEA">
        <w:t xml:space="preserve">ack of </w:t>
      </w:r>
      <w:r w:rsidR="006A1721">
        <w:t xml:space="preserve">transition care places and step-down beds to provide short-term placement </w:t>
      </w:r>
      <w:r w:rsidR="00BB5BEA">
        <w:t xml:space="preserve">options </w:t>
      </w:r>
      <w:r w:rsidR="006A1721">
        <w:t xml:space="preserve">while </w:t>
      </w:r>
      <w:r w:rsidR="006A1721" w:rsidDel="00842858">
        <w:t xml:space="preserve">an </w:t>
      </w:r>
      <w:r w:rsidR="00842858">
        <w:t>aged or disability patient</w:t>
      </w:r>
      <w:r w:rsidR="006A1721">
        <w:t xml:space="preserve"> is awaiting </w:t>
      </w:r>
      <w:r w:rsidR="00842858">
        <w:t>a residential bed</w:t>
      </w:r>
      <w:r w:rsidR="00A609F1">
        <w:t xml:space="preserve"> or aged care </w:t>
      </w:r>
      <w:r w:rsidR="00842858">
        <w:t>package</w:t>
      </w:r>
      <w:r w:rsidR="006A1721">
        <w:t xml:space="preserve"> or receiving rehabilitation services </w:t>
      </w:r>
      <w:r w:rsidR="00BB5BEA">
        <w:t>to</w:t>
      </w:r>
      <w:r w:rsidR="006A1721">
        <w:t xml:space="preserve"> support their discharge.  </w:t>
      </w:r>
    </w:p>
    <w:p w14:paraId="637F17CB" w14:textId="2EB4263A" w:rsidR="006C61A4" w:rsidRDefault="006A1721" w:rsidP="00D2518E">
      <w:pPr>
        <w:pStyle w:val="Longdotpoints"/>
        <w:numPr>
          <w:ilvl w:val="0"/>
          <w:numId w:val="0"/>
        </w:numPr>
      </w:pPr>
      <w:r>
        <w:t xml:space="preserve">There </w:t>
      </w:r>
      <w:r w:rsidR="00BB5BEA">
        <w:t xml:space="preserve">appears to be </w:t>
      </w:r>
      <w:r>
        <w:t>a</w:t>
      </w:r>
      <w:r w:rsidDel="00BB5BEA">
        <w:t xml:space="preserve"> </w:t>
      </w:r>
      <w:r>
        <w:t>gap in the current system in providing proactive management and service planning for older patients</w:t>
      </w:r>
      <w:r w:rsidR="00BB650A">
        <w:t xml:space="preserve"> and people with disabilities</w:t>
      </w:r>
      <w:r>
        <w:t xml:space="preserve"> once admitted to hospital and in providing sufficient transition care or step-down beds to enable timely discharge and support better outcomes. </w:t>
      </w:r>
    </w:p>
    <w:p w14:paraId="6E66742A" w14:textId="2D7DB294" w:rsidR="006C61A4" w:rsidRDefault="006C61A4" w:rsidP="006C61A4">
      <w:r>
        <w:t xml:space="preserve">Despite the limitations in the current </w:t>
      </w:r>
      <w:r w:rsidR="00C353EA">
        <w:t>approach, there are examples of</w:t>
      </w:r>
      <w:r>
        <w:t xml:space="preserve"> innovative and efficient initiatives </w:t>
      </w:r>
      <w:r w:rsidR="00C353EA">
        <w:t xml:space="preserve">that </w:t>
      </w:r>
      <w:r>
        <w:t>facilitate timely patient discharge and prevent unnecessary hospital admissions</w:t>
      </w:r>
      <w:r w:rsidR="00EB1B5E">
        <w:t xml:space="preserve"> (see </w:t>
      </w:r>
      <w:r w:rsidR="006A48D8">
        <w:t>Case Study</w:t>
      </w:r>
      <w:r w:rsidR="00EB1B5E">
        <w:t>: Residential Aged Care District Assessment and Referral Service Rapid Response)</w:t>
      </w:r>
      <w:r>
        <w:t xml:space="preserve">. Initiatives to address the </w:t>
      </w:r>
      <w:r w:rsidR="00C353EA">
        <w:t>access</w:t>
      </w:r>
      <w:r>
        <w:t xml:space="preserve"> block </w:t>
      </w:r>
      <w:r w:rsidR="00C353EA">
        <w:t>related to</w:t>
      </w:r>
      <w:r>
        <w:t xml:space="preserve"> long stay older patients include mobile outreach and rapid response teams for elderly patients in RACFs, top up payments to RACFs/community providers, funding home modifications and increasing nursing supports. Successful initiatives implemented at the local level should be evaluated, shared</w:t>
      </w:r>
      <w:r w:rsidR="00265F77">
        <w:t xml:space="preserve"> and </w:t>
      </w:r>
      <w:r>
        <w:t>implemented more broadly across Australia.</w:t>
      </w:r>
    </w:p>
    <w:p w14:paraId="6B83656B" w14:textId="55FAC798" w:rsidR="006C61A4" w:rsidRDefault="006C61A4" w:rsidP="006C61A4">
      <w:pPr>
        <w:rPr>
          <w:rFonts w:ascii="Segoe UI" w:eastAsia="Times New Roman" w:hAnsi="Segoe UI" w:cs="Segoe UI"/>
          <w:sz w:val="18"/>
          <w:szCs w:val="18"/>
          <w:lang w:eastAsia="en-AU"/>
        </w:rPr>
      </w:pPr>
      <w:r>
        <w:rPr>
          <w:rFonts w:ascii="Segoe UI" w:eastAsia="Times New Roman" w:hAnsi="Segoe UI" w:cs="Segoe UI"/>
          <w:sz w:val="18"/>
          <w:szCs w:val="18"/>
          <w:lang w:eastAsia="en-AU"/>
        </w:rPr>
        <w:t xml:space="preserve">While there is acknowledgement of shared responsibility between the Commonwealth, States and Territories at the public hospital interface, the Addendum does not have </w:t>
      </w:r>
      <w:r w:rsidR="00E966DB">
        <w:rPr>
          <w:rFonts w:ascii="Segoe UI" w:eastAsia="Times New Roman" w:hAnsi="Segoe UI" w:cs="Segoe UI"/>
          <w:sz w:val="18"/>
          <w:szCs w:val="18"/>
          <w:lang w:eastAsia="en-AU"/>
        </w:rPr>
        <w:t xml:space="preserve">explicit </w:t>
      </w:r>
      <w:r>
        <w:rPr>
          <w:rFonts w:ascii="Segoe UI" w:eastAsia="Times New Roman" w:hAnsi="Segoe UI" w:cs="Segoe UI"/>
          <w:sz w:val="18"/>
          <w:szCs w:val="18"/>
          <w:lang w:eastAsia="en-AU"/>
        </w:rPr>
        <w:t xml:space="preserve">financial incentives to facilitate the timely discharge of elderly patients. The future Agreement could strengthen collaboration between the aged care sector and public hospitals by introducing financial incentives and/or cost sharing arrangements to encourage the timely discharge of elderly patients. </w:t>
      </w:r>
    </w:p>
    <w:tbl>
      <w:tblPr>
        <w:tblStyle w:val="TableGrid"/>
        <w:tblW w:w="0" w:type="auto"/>
        <w:tblBorders>
          <w:top w:val="dotted" w:sz="4" w:space="0" w:color="00707E" w:themeColor="accent5" w:themeShade="BF"/>
          <w:left w:val="dotted" w:sz="4" w:space="0" w:color="00707E" w:themeColor="accent5" w:themeShade="BF"/>
          <w:bottom w:val="dotted" w:sz="4" w:space="0" w:color="00707E" w:themeColor="accent5" w:themeShade="BF"/>
          <w:right w:val="dotted" w:sz="4" w:space="0" w:color="00707E" w:themeColor="accent5" w:themeShade="BF"/>
        </w:tblBorders>
        <w:tblLook w:val="04A0" w:firstRow="1" w:lastRow="0" w:firstColumn="1" w:lastColumn="0" w:noHBand="0" w:noVBand="1"/>
      </w:tblPr>
      <w:tblGrid>
        <w:gridCol w:w="10456"/>
      </w:tblGrid>
      <w:tr w:rsidR="006A1721" w14:paraId="629DB5CE" w14:textId="77777777" w:rsidTr="006A1721">
        <w:trPr>
          <w:cnfStyle w:val="100000000000" w:firstRow="1" w:lastRow="0" w:firstColumn="0" w:lastColumn="0" w:oddVBand="0" w:evenVBand="0" w:oddHBand="0" w:evenHBand="0" w:firstRowFirstColumn="0" w:firstRowLastColumn="0" w:lastRowFirstColumn="0" w:lastRowLastColumn="0"/>
        </w:trPr>
        <w:tc>
          <w:tcPr>
            <w:tcW w:w="10456" w:type="dxa"/>
            <w:tcBorders>
              <w:top w:val="dotted" w:sz="4" w:space="0" w:color="00707E" w:themeColor="accent5" w:themeShade="BF"/>
              <w:left w:val="dotted" w:sz="4" w:space="0" w:color="00707E" w:themeColor="accent5" w:themeShade="BF"/>
              <w:bottom w:val="dotted" w:sz="4" w:space="0" w:color="00707E" w:themeColor="accent5" w:themeShade="BF"/>
              <w:right w:val="dotted" w:sz="4" w:space="0" w:color="00707E" w:themeColor="accent5" w:themeShade="BF"/>
            </w:tcBorders>
            <w:hideMark/>
          </w:tcPr>
          <w:p w14:paraId="0815DE06" w14:textId="46161EB1" w:rsidR="006A1721" w:rsidRDefault="006A1721">
            <w:pPr>
              <w:pStyle w:val="Summarytable"/>
              <w:rPr>
                <w:color w:val="00707E" w:themeColor="accent5" w:themeShade="BF"/>
                <w:lang w:val="en-GB"/>
              </w:rPr>
            </w:pPr>
            <w:r>
              <w:rPr>
                <w:noProof/>
                <w:lang w:val="en-GB"/>
              </w:rPr>
              <w:drawing>
                <wp:inline distT="0" distB="0" distL="0" distR="0" wp14:anchorId="4E3A6F0F" wp14:editId="170DD29D">
                  <wp:extent cx="269875" cy="269875"/>
                  <wp:effectExtent l="0" t="0" r="0" b="0"/>
                  <wp:docPr id="52379516" name="Graphic 52379516" descr="P1450C1T60#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2379516" name="Graphic 52379516" descr="P1450C1T60#yIS1">
                            <a:extLst>
                              <a:ext uri="{C183D7F6-B498-43B3-948B-1728B52AA6E4}">
                                <adec:decorative xmlns:adec="http://schemas.microsoft.com/office/drawing/2017/decorative" val="1"/>
                              </a:ext>
                            </a:extLst>
                          </pic:cNvPr>
                          <pic:cNvPicPr>
                            <a:picLocks noChangeAspect="1"/>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269875" cy="269875"/>
                          </a:xfrm>
                          <a:prstGeom prst="rect">
                            <a:avLst/>
                          </a:prstGeom>
                        </pic:spPr>
                      </pic:pic>
                    </a:graphicData>
                  </a:graphic>
                </wp:inline>
              </w:drawing>
            </w:r>
            <w:r w:rsidRPr="00EA1E78">
              <w:rPr>
                <w:color w:val="00707E" w:themeColor="accent5" w:themeShade="BF"/>
                <w:lang w:val="en-GB"/>
              </w:rPr>
              <w:t>Case study:</w:t>
            </w:r>
            <w:r>
              <w:rPr>
                <w:color w:val="00707E" w:themeColor="accent5" w:themeShade="BF"/>
                <w:lang w:val="en-GB"/>
              </w:rPr>
              <w:t xml:space="preserve"> </w:t>
            </w:r>
            <w:r>
              <w:rPr>
                <w:b w:val="0"/>
                <w:bCs w:val="0"/>
                <w:color w:val="00707E" w:themeColor="accent5" w:themeShade="BF"/>
                <w:lang w:val="en-GB"/>
              </w:rPr>
              <w:t>Residential Aged Care District Assessment and Referral Service Rapid Response (RADAR RR)</w:t>
            </w:r>
          </w:p>
          <w:p w14:paraId="49F3383D" w14:textId="2A8BBCF3" w:rsidR="006A1721" w:rsidRDefault="006A1721">
            <w:pPr>
              <w:ind w:left="142"/>
              <w:rPr>
                <w:lang w:val="en-GB"/>
              </w:rPr>
            </w:pPr>
            <w:r>
              <w:rPr>
                <w:lang w:val="en-GB"/>
              </w:rPr>
              <w:t>RADAR RR is a Queensland Ambulance Service (QAS) emergency substitution model of care. It has been implemented as part of the wider RADAR service focusing on improving the health of older persons residing in RACFs by providing a comprehensive, acute care consultative nursing, medical and pharmacy outreach, or telehealth service. The service provides early intervention for deteriorating or dying elderly individuals and facilitates subsequent on-referral to specialist outpatient teams or initiation of appropriate end of life care pathways. It also provides individual complex case management including for frequent ED presenters, or those with specialist needs such as behavioural and psychological symptoms of dementia; working in partnerships to facilitate best practice across the health care continuum.</w:t>
            </w:r>
          </w:p>
          <w:p w14:paraId="12C14E82" w14:textId="2E7FB4C2" w:rsidR="006A1721" w:rsidRDefault="006A1721">
            <w:pPr>
              <w:ind w:left="142"/>
              <w:rPr>
                <w:lang w:val="en-GB"/>
              </w:rPr>
            </w:pPr>
            <w:r>
              <w:rPr>
                <w:lang w:val="en-GB"/>
              </w:rPr>
              <w:t xml:space="preserve">RADAR RR comprises a multi-disciplinary team led by emergency and geriatric consultants, nurse practitioners, nurse navigators and pharmacists. It provides out of hours support for RACF staff and GPs to ensure a safe alternative to ED transfer and management </w:t>
            </w:r>
            <w:r w:rsidR="00631A04">
              <w:rPr>
                <w:lang w:val="en-GB"/>
              </w:rPr>
              <w:t>and</w:t>
            </w:r>
            <w:r>
              <w:rPr>
                <w:lang w:val="en-GB"/>
              </w:rPr>
              <w:t xml:space="preserve"> assist</w:t>
            </w:r>
            <w:r w:rsidR="00631A04">
              <w:rPr>
                <w:lang w:val="en-GB"/>
              </w:rPr>
              <w:t>s</w:t>
            </w:r>
            <w:r>
              <w:rPr>
                <w:lang w:val="en-GB"/>
              </w:rPr>
              <w:t xml:space="preserve"> with navigation of the health care system.</w:t>
            </w:r>
          </w:p>
          <w:p w14:paraId="1CED9C9B" w14:textId="77777777" w:rsidR="006A1721" w:rsidRDefault="006A1721">
            <w:pPr>
              <w:ind w:left="142"/>
              <w:rPr>
                <w:b/>
                <w:bCs/>
                <w:lang w:val="en-GB"/>
              </w:rPr>
            </w:pPr>
            <w:r>
              <w:rPr>
                <w:lang w:val="en-GB"/>
              </w:rPr>
              <w:t>This case study demonstrates shared accountability and shared benefit at the interface of public hospitals and aged care sectors to provide patient-centred care for high-risk elderly individuals in RACF. It demonstrates how data can be collected and shared under intersectoral governance structures to provide effective care, mitigating unnecessary hospital admissions.</w:t>
            </w:r>
          </w:p>
        </w:tc>
      </w:tr>
    </w:tbl>
    <w:p w14:paraId="43C65ADE" w14:textId="77777777" w:rsidR="00B02730" w:rsidRDefault="00B02730" w:rsidP="00891D14"/>
    <w:tbl>
      <w:tblPr>
        <w:tblStyle w:val="TableGrid"/>
        <w:tblW w:w="0" w:type="auto"/>
        <w:shd w:val="clear" w:color="auto" w:fill="F2F2F2" w:themeFill="background1" w:themeFillShade="F2"/>
        <w:tblLook w:val="04A0" w:firstRow="1" w:lastRow="0" w:firstColumn="1" w:lastColumn="0" w:noHBand="0" w:noVBand="1"/>
      </w:tblPr>
      <w:tblGrid>
        <w:gridCol w:w="10466"/>
      </w:tblGrid>
      <w:tr w:rsidR="001C7A13" w14:paraId="4DC32E1F" w14:textId="77777777" w:rsidTr="00913B2F">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hideMark/>
          </w:tcPr>
          <w:p w14:paraId="2B98CD6B" w14:textId="2BE27666" w:rsidR="001C7A13" w:rsidRDefault="001C7A13" w:rsidP="00913B2F">
            <w:pPr>
              <w:pStyle w:val="Summarytable"/>
              <w:rPr>
                <w:b w:val="0"/>
                <w:bCs w:val="0"/>
                <w:lang w:val="en-GB"/>
              </w:rPr>
            </w:pPr>
            <w:r w:rsidRPr="00E56864">
              <w:rPr>
                <w:noProof/>
                <w:color w:val="00707E" w:themeColor="accent5" w:themeShade="BF"/>
                <w:lang w:val="en-GB"/>
              </w:rPr>
              <w:drawing>
                <wp:inline distT="0" distB="0" distL="0" distR="0" wp14:anchorId="00A38D55" wp14:editId="4DB63E81">
                  <wp:extent cx="269875" cy="269875"/>
                  <wp:effectExtent l="0" t="0" r="0" b="0"/>
                  <wp:docPr id="52379514" name="Graphic 52379514" descr="P1456C1T61#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2379514" name="Graphic 52379514" descr="P1456C1T61#yIS1">
                            <a:extLst>
                              <a:ext uri="{C183D7F6-B498-43B3-948B-1728B52AA6E4}">
                                <adec:decorative xmlns:adec="http://schemas.microsoft.com/office/drawing/2017/decorative" val="1"/>
                              </a:ext>
                            </a:extLst>
                          </pic:cNvPr>
                          <pic:cNvPicPr>
                            <a:picLocks noChangeAspect="1"/>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69875" cy="269875"/>
                          </a:xfrm>
                          <a:prstGeom prst="rect">
                            <a:avLst/>
                          </a:prstGeom>
                        </pic:spPr>
                      </pic:pic>
                    </a:graphicData>
                  </a:graphic>
                </wp:inline>
              </w:drawing>
            </w:r>
            <w:r w:rsidRPr="00E56864">
              <w:rPr>
                <w:color w:val="00707E" w:themeColor="accent5" w:themeShade="BF"/>
                <w:lang w:val="en-GB"/>
              </w:rPr>
              <w:t xml:space="preserve">Recommendation </w:t>
            </w:r>
            <w:r w:rsidR="002B2F90">
              <w:rPr>
                <w:color w:val="00707E" w:themeColor="accent5" w:themeShade="BF"/>
                <w:lang w:val="en-GB"/>
              </w:rPr>
              <w:t>9</w:t>
            </w:r>
            <w:r>
              <w:rPr>
                <w:color w:val="00707E" w:themeColor="accent5" w:themeShade="BF"/>
                <w:lang w:val="en-GB"/>
              </w:rPr>
              <w:t xml:space="preserve">: </w:t>
            </w:r>
            <w:r w:rsidRPr="00A83F1C">
              <w:rPr>
                <w:lang w:val="en-GB"/>
              </w:rPr>
              <w:t>Collaboration between Aged Care and public hospitals should be strengthened</w:t>
            </w:r>
            <w:r>
              <w:rPr>
                <w:b w:val="0"/>
                <w:bCs w:val="0"/>
                <w:lang w:val="en-GB"/>
              </w:rPr>
              <w:t xml:space="preserve"> through shared responsibility for supporting older patients to be discharged from hospital when clinically ready and to reduce avoidable ED presentations and hospital admissions. New strategies to address these long stay older patients (LSOP) include: </w:t>
            </w:r>
          </w:p>
          <w:p w14:paraId="200D4263" w14:textId="1A555025" w:rsidR="001C7A13" w:rsidRDefault="00A951D0" w:rsidP="00A850C3">
            <w:pPr>
              <w:pStyle w:val="Summarytable"/>
              <w:numPr>
                <w:ilvl w:val="0"/>
                <w:numId w:val="43"/>
              </w:numPr>
              <w:rPr>
                <w:b w:val="0"/>
                <w:bCs w:val="0"/>
                <w:lang w:val="en-GB"/>
              </w:rPr>
            </w:pPr>
            <w:r>
              <w:rPr>
                <w:b w:val="0"/>
                <w:bCs w:val="0"/>
                <w:lang w:val="en-GB"/>
              </w:rPr>
              <w:t>A</w:t>
            </w:r>
            <w:r w:rsidR="001C7A13">
              <w:rPr>
                <w:b w:val="0"/>
                <w:bCs w:val="0"/>
                <w:lang w:val="en-GB"/>
              </w:rPr>
              <w:t xml:space="preserve"> </w:t>
            </w:r>
            <w:r w:rsidR="001C7A13" w:rsidRPr="00D2518E">
              <w:rPr>
                <w:lang w:val="en-GB"/>
              </w:rPr>
              <w:t>national data collection</w:t>
            </w:r>
            <w:r w:rsidR="001C7A13">
              <w:rPr>
                <w:b w:val="0"/>
                <w:bCs w:val="0"/>
                <w:lang w:val="en-GB"/>
              </w:rPr>
              <w:t xml:space="preserve"> to assess number and acuity/needs of LSOP</w:t>
            </w:r>
            <w:r w:rsidR="007D271E">
              <w:rPr>
                <w:b w:val="0"/>
                <w:bCs w:val="0"/>
                <w:lang w:val="en-GB"/>
              </w:rPr>
              <w:t xml:space="preserve">. </w:t>
            </w:r>
            <w:r w:rsidR="001C7A13">
              <w:rPr>
                <w:b w:val="0"/>
                <w:bCs w:val="0"/>
                <w:lang w:val="en-GB"/>
              </w:rPr>
              <w:t>This is an early foundation that should commence immediately.</w:t>
            </w:r>
          </w:p>
          <w:p w14:paraId="37B89281" w14:textId="4805AC6E" w:rsidR="001C7A13" w:rsidRDefault="001C7A13" w:rsidP="00A850C3">
            <w:pPr>
              <w:pStyle w:val="Summarytable"/>
              <w:numPr>
                <w:ilvl w:val="0"/>
                <w:numId w:val="43"/>
              </w:numPr>
              <w:rPr>
                <w:b w:val="0"/>
                <w:bCs w:val="0"/>
                <w:lang w:val="en-GB"/>
              </w:rPr>
            </w:pPr>
            <w:r>
              <w:rPr>
                <w:b w:val="0"/>
                <w:bCs w:val="0"/>
                <w:lang w:val="en-GB"/>
              </w:rPr>
              <w:t xml:space="preserve">Greater </w:t>
            </w:r>
            <w:r w:rsidR="00802073">
              <w:rPr>
                <w:b w:val="0"/>
                <w:bCs w:val="0"/>
                <w:lang w:val="en-GB"/>
              </w:rPr>
              <w:t xml:space="preserve">availability and </w:t>
            </w:r>
            <w:r>
              <w:rPr>
                <w:b w:val="0"/>
                <w:bCs w:val="0"/>
                <w:lang w:val="en-GB"/>
              </w:rPr>
              <w:t xml:space="preserve">use of </w:t>
            </w:r>
            <w:r w:rsidRPr="00D2518E">
              <w:rPr>
                <w:lang w:val="en-GB"/>
              </w:rPr>
              <w:t>transition care places</w:t>
            </w:r>
            <w:r>
              <w:rPr>
                <w:b w:val="0"/>
                <w:bCs w:val="0"/>
                <w:lang w:val="en-GB"/>
              </w:rPr>
              <w:t xml:space="preserve"> to support discharge from hospital to home, including step-down beds that are cost-shared and can bridge the gap between the hospital and a residential facility or community package.</w:t>
            </w:r>
          </w:p>
          <w:p w14:paraId="3ED91DBB" w14:textId="1B80E3C8" w:rsidR="001C7A13" w:rsidRDefault="001C7A13" w:rsidP="00A850C3">
            <w:pPr>
              <w:pStyle w:val="Summarytable"/>
              <w:numPr>
                <w:ilvl w:val="0"/>
                <w:numId w:val="43"/>
              </w:numPr>
              <w:rPr>
                <w:b w:val="0"/>
                <w:bCs w:val="0"/>
                <w:lang w:val="en-GB"/>
              </w:rPr>
            </w:pPr>
            <w:r>
              <w:rPr>
                <w:b w:val="0"/>
                <w:bCs w:val="0"/>
                <w:lang w:val="en-GB"/>
              </w:rPr>
              <w:t xml:space="preserve">Creation of </w:t>
            </w:r>
            <w:r w:rsidR="0007747E">
              <w:rPr>
                <w:b w:val="0"/>
                <w:bCs w:val="0"/>
                <w:lang w:val="en-GB"/>
              </w:rPr>
              <w:t xml:space="preserve">mechanisms (such as </w:t>
            </w:r>
            <w:r w:rsidR="006C2039">
              <w:rPr>
                <w:b w:val="0"/>
                <w:bCs w:val="0"/>
                <w:lang w:val="en-GB"/>
              </w:rPr>
              <w:t xml:space="preserve">brokers, </w:t>
            </w:r>
            <w:r w:rsidR="00802073">
              <w:rPr>
                <w:b w:val="0"/>
                <w:bCs w:val="0"/>
                <w:lang w:val="en-GB"/>
              </w:rPr>
              <w:t>real time bed</w:t>
            </w:r>
            <w:r w:rsidR="00717529">
              <w:rPr>
                <w:b w:val="0"/>
                <w:bCs w:val="0"/>
                <w:lang w:val="en-GB"/>
              </w:rPr>
              <w:t xml:space="preserve"> availability </w:t>
            </w:r>
            <w:r w:rsidR="00802073">
              <w:rPr>
                <w:b w:val="0"/>
                <w:bCs w:val="0"/>
                <w:lang w:val="en-GB"/>
              </w:rPr>
              <w:t>data</w:t>
            </w:r>
            <w:r w:rsidR="00717529">
              <w:rPr>
                <w:b w:val="0"/>
                <w:bCs w:val="0"/>
                <w:lang w:val="en-GB"/>
              </w:rPr>
              <w:t xml:space="preserve">, </w:t>
            </w:r>
            <w:r w:rsidRPr="009E6DCF">
              <w:rPr>
                <w:b w:val="0"/>
                <w:bCs w:val="0"/>
                <w:lang w:val="en-GB"/>
              </w:rPr>
              <w:t>hospital liaison officers</w:t>
            </w:r>
            <w:r w:rsidR="00802073">
              <w:rPr>
                <w:b w:val="0"/>
                <w:bCs w:val="0"/>
                <w:lang w:val="en-GB"/>
              </w:rPr>
              <w:t>)</w:t>
            </w:r>
            <w:r>
              <w:rPr>
                <w:b w:val="0"/>
                <w:bCs w:val="0"/>
                <w:lang w:val="en-GB"/>
              </w:rPr>
              <w:t xml:space="preserve"> to </w:t>
            </w:r>
            <w:r w:rsidRPr="009E6DCF">
              <w:rPr>
                <w:lang w:val="en-GB"/>
              </w:rPr>
              <w:t>actively manage placement of older people</w:t>
            </w:r>
            <w:r>
              <w:rPr>
                <w:b w:val="0"/>
                <w:bCs w:val="0"/>
                <w:lang w:val="en-GB"/>
              </w:rPr>
              <w:t>, from the point of admission to discharge.</w:t>
            </w:r>
          </w:p>
          <w:p w14:paraId="2A56519F" w14:textId="6CE095A4" w:rsidR="001C7A13" w:rsidRDefault="001C7A13" w:rsidP="00A850C3">
            <w:pPr>
              <w:pStyle w:val="Summarytable"/>
              <w:numPr>
                <w:ilvl w:val="0"/>
                <w:numId w:val="43"/>
              </w:numPr>
              <w:rPr>
                <w:b w:val="0"/>
                <w:bCs w:val="0"/>
                <w:lang w:val="en-GB"/>
              </w:rPr>
            </w:pPr>
            <w:r>
              <w:rPr>
                <w:b w:val="0"/>
                <w:bCs w:val="0"/>
                <w:lang w:val="en-GB"/>
              </w:rPr>
              <w:t xml:space="preserve">New models within residential aged care and the community (mobile outreach or rapid response teams) to support </w:t>
            </w:r>
            <w:r w:rsidRPr="00650E28">
              <w:rPr>
                <w:lang w:val="en-GB"/>
              </w:rPr>
              <w:t>placement of hard-to-place individuals</w:t>
            </w:r>
            <w:r>
              <w:rPr>
                <w:b w:val="0"/>
                <w:bCs w:val="0"/>
                <w:lang w:val="en-GB"/>
              </w:rPr>
              <w:t xml:space="preserve"> (including role of specialist dementia units and dementia training programs)</w:t>
            </w:r>
            <w:r w:rsidR="00526416">
              <w:rPr>
                <w:b w:val="0"/>
                <w:bCs w:val="0"/>
                <w:lang w:val="en-GB"/>
              </w:rPr>
              <w:t>.</w:t>
            </w:r>
            <w:r>
              <w:rPr>
                <w:b w:val="0"/>
                <w:bCs w:val="0"/>
                <w:lang w:val="en-GB"/>
              </w:rPr>
              <w:t xml:space="preserve"> </w:t>
            </w:r>
          </w:p>
          <w:p w14:paraId="4C860D90" w14:textId="3288DF7A" w:rsidR="001C7A13" w:rsidRDefault="001C7A13" w:rsidP="00A850C3">
            <w:pPr>
              <w:pStyle w:val="Summarytable"/>
              <w:numPr>
                <w:ilvl w:val="0"/>
                <w:numId w:val="43"/>
              </w:numPr>
              <w:rPr>
                <w:lang w:val="en-GB"/>
              </w:rPr>
            </w:pPr>
            <w:r w:rsidRPr="00D2518E">
              <w:rPr>
                <w:lang w:val="en-GB"/>
              </w:rPr>
              <w:t>Financial incentives</w:t>
            </w:r>
            <w:r>
              <w:rPr>
                <w:b w:val="0"/>
                <w:bCs w:val="0"/>
                <w:lang w:val="en-GB"/>
              </w:rPr>
              <w:t xml:space="preserve"> to better share risk where discharge is delayed</w:t>
            </w:r>
            <w:r w:rsidR="00923615">
              <w:rPr>
                <w:b w:val="0"/>
                <w:bCs w:val="0"/>
                <w:lang w:val="en-GB"/>
              </w:rPr>
              <w:t xml:space="preserve"> and, for those with </w:t>
            </w:r>
            <w:r w:rsidR="000D2F78">
              <w:rPr>
                <w:b w:val="0"/>
                <w:bCs w:val="0"/>
                <w:lang w:val="en-GB"/>
              </w:rPr>
              <w:t xml:space="preserve">particularly </w:t>
            </w:r>
            <w:r w:rsidR="00923615">
              <w:rPr>
                <w:b w:val="0"/>
                <w:bCs w:val="0"/>
                <w:lang w:val="en-GB"/>
              </w:rPr>
              <w:t xml:space="preserve">complex needs, potential top-up payments to support </w:t>
            </w:r>
            <w:r w:rsidR="00526416">
              <w:rPr>
                <w:b w:val="0"/>
                <w:bCs w:val="0"/>
                <w:lang w:val="en-GB"/>
              </w:rPr>
              <w:t>placement with</w:t>
            </w:r>
            <w:r w:rsidR="00923615">
              <w:rPr>
                <w:b w:val="0"/>
                <w:bCs w:val="0"/>
                <w:lang w:val="en-GB"/>
              </w:rPr>
              <w:t xml:space="preserve"> a RACF or </w:t>
            </w:r>
            <w:r w:rsidR="00526416">
              <w:rPr>
                <w:b w:val="0"/>
                <w:bCs w:val="0"/>
                <w:lang w:val="en-GB"/>
              </w:rPr>
              <w:t>community provider</w:t>
            </w:r>
            <w:r>
              <w:rPr>
                <w:b w:val="0"/>
                <w:bCs w:val="0"/>
                <w:lang w:val="en-GB"/>
              </w:rPr>
              <w:t>.</w:t>
            </w:r>
          </w:p>
        </w:tc>
      </w:tr>
    </w:tbl>
    <w:p w14:paraId="2136862E" w14:textId="77777777" w:rsidR="006A1721" w:rsidDel="006C61A4" w:rsidRDefault="006A1721" w:rsidP="006A1721"/>
    <w:p w14:paraId="22633744" w14:textId="276F7B18" w:rsidR="004101D4" w:rsidRDefault="006A1721" w:rsidP="00891D14">
      <w:r>
        <w:t>A significant hurdle in providing timely care is the shortage of appropriately skilled health workers, a challenge shared across health, aged care and disability sectors. Inconsistencies in salaries, pricing</w:t>
      </w:r>
      <w:r w:rsidR="00891D14">
        <w:t xml:space="preserve"> and payment arrangements for similar services </w:t>
      </w:r>
      <w:r w:rsidR="007E647A">
        <w:t>acr</w:t>
      </w:r>
      <w:r w:rsidR="005A631C">
        <w:t>oss sectors</w:t>
      </w:r>
      <w:r w:rsidR="00891D14">
        <w:t xml:space="preserve"> further exacerbate workforce issues, leading to resource allocation distortions. These disparities may increase over time and result in more individuals seeking care in public hospitals due to the unavailability of services in the aged care or disability sectors, particularly in regional and remote areas. </w:t>
      </w:r>
      <w:r w:rsidR="009F1168">
        <w:t>Actions from one</w:t>
      </w:r>
      <w:r w:rsidR="009F1168" w:rsidDel="00842858">
        <w:t xml:space="preserve"> </w:t>
      </w:r>
      <w:r w:rsidR="009F1168">
        <w:t xml:space="preserve">sector to improve the available supply of services may negatively impact supply of services in </w:t>
      </w:r>
      <w:r w:rsidR="00842858">
        <w:t>another</w:t>
      </w:r>
      <w:r w:rsidR="009F1168">
        <w:t xml:space="preserve">. </w:t>
      </w:r>
      <w:r w:rsidR="00891D14">
        <w:t>Addressing these</w:t>
      </w:r>
      <w:r w:rsidR="00DB3706">
        <w:t xml:space="preserve"> </w:t>
      </w:r>
      <w:r w:rsidR="000676B5">
        <w:t>interconnected</w:t>
      </w:r>
      <w:r w:rsidR="00891D14">
        <w:t xml:space="preserve"> workforce issues </w:t>
      </w:r>
      <w:r w:rsidR="00B0346C">
        <w:t>across health and social care sectors</w:t>
      </w:r>
      <w:r w:rsidR="00891D14">
        <w:t xml:space="preserve"> </w:t>
      </w:r>
      <w:r>
        <w:t>requires</w:t>
      </w:r>
      <w:r w:rsidR="00891D14">
        <w:t xml:space="preserve"> joint solutions from all levels of government</w:t>
      </w:r>
      <w:r w:rsidR="00B42120">
        <w:t>.</w:t>
      </w:r>
    </w:p>
    <w:p w14:paraId="16A8A9EB" w14:textId="3ECF2B92" w:rsidR="005D4608" w:rsidRDefault="005D4608" w:rsidP="007745A8">
      <w:pPr>
        <w:pStyle w:val="Heading4"/>
      </w:pPr>
      <w:bookmarkStart w:id="235" w:name="_Ref148441940"/>
      <w:r>
        <w:t>Proactive</w:t>
      </w:r>
      <w:r w:rsidR="00D12CDF">
        <w:t>ly</w:t>
      </w:r>
      <w:r>
        <w:t xml:space="preserve"> </w:t>
      </w:r>
      <w:r w:rsidR="00540B35">
        <w:t>facilitate NDIS participant discharge from public hospitals</w:t>
      </w:r>
      <w:bookmarkEnd w:id="235"/>
    </w:p>
    <w:p w14:paraId="0E29AF8F" w14:textId="32157FC7" w:rsidR="00A70199" w:rsidRDefault="00A70199" w:rsidP="006C61A4">
      <w:r>
        <w:t>The NDIA, with input from Disability Ministers, ha</w:t>
      </w:r>
      <w:r w:rsidR="009F0FE8">
        <w:t>s</w:t>
      </w:r>
      <w:r>
        <w:t xml:space="preserve"> introduced operational improvements and actions that have advanced hospital discharge reforms, such as monthly dashboards and an increased number of hospital liaison officers that help to facilitate faster discharge. Since the implementation of these initiatives, the average duration between medically ready and discharge for NDIS participants in hospital has decreased from 39 days on 31 October 2022 to 26 days on 31 May 2023</w:t>
      </w:r>
      <w:r w:rsidR="003F5D51">
        <w:rPr>
          <w:rFonts w:ascii="ZWAdobeF" w:hAnsi="ZWAdobeF" w:cs="ZWAdobeF"/>
          <w:sz w:val="2"/>
          <w:szCs w:val="2"/>
        </w:rPr>
        <w:t>114F</w:t>
      </w:r>
      <w:r>
        <w:rPr>
          <w:rStyle w:val="FootnoteReference"/>
        </w:rPr>
        <w:footnoteReference w:id="116"/>
      </w:r>
      <w:r>
        <w:t>.</w:t>
      </w:r>
      <w:r w:rsidR="007A527A">
        <w:t xml:space="preserve"> </w:t>
      </w:r>
      <w:r w:rsidR="000556B6">
        <w:t>Th</w:t>
      </w:r>
      <w:r w:rsidR="00F77CE2">
        <w:t xml:space="preserve">e discharge process should </w:t>
      </w:r>
      <w:r w:rsidR="000556B6">
        <w:t>ensur</w:t>
      </w:r>
      <w:r w:rsidR="00F77CE2">
        <w:t>e</w:t>
      </w:r>
      <w:r w:rsidR="000556B6">
        <w:t xml:space="preserve"> </w:t>
      </w:r>
      <w:r w:rsidR="00220FA8">
        <w:t>continuity</w:t>
      </w:r>
      <w:r w:rsidR="00494411">
        <w:t xml:space="preserve"> of care </w:t>
      </w:r>
      <w:r w:rsidR="00045860">
        <w:t>involving</w:t>
      </w:r>
      <w:r w:rsidR="00130DF6">
        <w:t xml:space="preserve"> clear communication about, and coordination of, participant care between providers, health care staff, participants</w:t>
      </w:r>
      <w:r w:rsidR="00045860">
        <w:t>,</w:t>
      </w:r>
      <w:r w:rsidR="00130DF6">
        <w:t xml:space="preserve"> and their support network</w:t>
      </w:r>
      <w:r w:rsidR="00352600">
        <w:t xml:space="preserve"> (see </w:t>
      </w:r>
      <w:r w:rsidR="006A48D8">
        <w:t>Case Study</w:t>
      </w:r>
      <w:r w:rsidR="00352600">
        <w:t>: Regency Green)</w:t>
      </w:r>
      <w:r w:rsidR="00130DF6">
        <w:t>.</w:t>
      </w:r>
      <w:r>
        <w:t xml:space="preserve"> Progress in this area should be consolidated and advanced further through the integration of real time data and strengthened intersectoral governance mechanisms.</w:t>
      </w:r>
    </w:p>
    <w:tbl>
      <w:tblPr>
        <w:tblStyle w:val="TableGrid"/>
        <w:tblW w:w="0" w:type="auto"/>
        <w:tblBorders>
          <w:top w:val="dotted" w:sz="4" w:space="0" w:color="00707E" w:themeColor="accent5" w:themeShade="BF"/>
          <w:left w:val="dotted" w:sz="4" w:space="0" w:color="00707E" w:themeColor="accent5" w:themeShade="BF"/>
          <w:bottom w:val="dotted" w:sz="4" w:space="0" w:color="00707E" w:themeColor="accent5" w:themeShade="BF"/>
          <w:right w:val="dotted" w:sz="4" w:space="0" w:color="00707E" w:themeColor="accent5" w:themeShade="BF"/>
        </w:tblBorders>
        <w:tblLook w:val="04A0" w:firstRow="1" w:lastRow="0" w:firstColumn="1" w:lastColumn="0" w:noHBand="0" w:noVBand="1"/>
      </w:tblPr>
      <w:tblGrid>
        <w:gridCol w:w="10456"/>
      </w:tblGrid>
      <w:tr w:rsidR="00D06516" w14:paraId="696DD40D" w14:textId="77777777">
        <w:trPr>
          <w:cnfStyle w:val="100000000000" w:firstRow="1" w:lastRow="0" w:firstColumn="0" w:lastColumn="0" w:oddVBand="0" w:evenVBand="0" w:oddHBand="0" w:evenHBand="0" w:firstRowFirstColumn="0" w:firstRowLastColumn="0" w:lastRowFirstColumn="0" w:lastRowLastColumn="0"/>
        </w:trPr>
        <w:tc>
          <w:tcPr>
            <w:tcW w:w="10456" w:type="dxa"/>
            <w:tcBorders>
              <w:top w:val="dotted" w:sz="4" w:space="0" w:color="00707E" w:themeColor="accent5" w:themeShade="BF"/>
              <w:left w:val="dotted" w:sz="4" w:space="0" w:color="00707E" w:themeColor="accent5" w:themeShade="BF"/>
              <w:bottom w:val="dotted" w:sz="4" w:space="0" w:color="00707E" w:themeColor="accent5" w:themeShade="BF"/>
              <w:right w:val="dotted" w:sz="4" w:space="0" w:color="00707E" w:themeColor="accent5" w:themeShade="BF"/>
            </w:tcBorders>
            <w:hideMark/>
          </w:tcPr>
          <w:p w14:paraId="00CBCDB4" w14:textId="113DBE22" w:rsidR="00D06516" w:rsidRDefault="00D06516" w:rsidP="00FE1D0A">
            <w:pPr>
              <w:pStyle w:val="Summarytable"/>
              <w:keepNext/>
              <w:rPr>
                <w:color w:val="00707E" w:themeColor="accent5" w:themeShade="BF"/>
                <w:lang w:val="en-GB"/>
              </w:rPr>
            </w:pPr>
            <w:r>
              <w:rPr>
                <w:noProof/>
                <w:lang w:val="en-GB"/>
              </w:rPr>
              <w:drawing>
                <wp:inline distT="0" distB="0" distL="0" distR="0" wp14:anchorId="2D1F183E" wp14:editId="770CF66B">
                  <wp:extent cx="269875" cy="269875"/>
                  <wp:effectExtent l="0" t="0" r="0" b="0"/>
                  <wp:docPr id="1489793634" name="Graphic 1489793634" descr="P1467C1T62#yIS1"/>
                  <wp:cNvGraphicFramePr/>
                  <a:graphic xmlns:a="http://schemas.openxmlformats.org/drawingml/2006/main">
                    <a:graphicData uri="http://schemas.openxmlformats.org/drawingml/2006/picture">
                      <pic:pic xmlns:pic="http://schemas.openxmlformats.org/drawingml/2006/picture">
                        <pic:nvPicPr>
                          <pic:cNvPr id="1489793634" name="Graphic 1489793634" descr="P1467C1T62#yIS1"/>
                          <pic:cNvPicPr>
                            <a:picLocks noChangeAspect="1"/>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269875" cy="269875"/>
                          </a:xfrm>
                          <a:prstGeom prst="rect">
                            <a:avLst/>
                          </a:prstGeom>
                        </pic:spPr>
                      </pic:pic>
                    </a:graphicData>
                  </a:graphic>
                </wp:inline>
              </w:drawing>
            </w:r>
            <w:r w:rsidRPr="00EA1E78">
              <w:rPr>
                <w:color w:val="00707E" w:themeColor="accent5" w:themeShade="BF"/>
                <w:lang w:val="en-GB"/>
              </w:rPr>
              <w:t>Case study:</w:t>
            </w:r>
            <w:r>
              <w:rPr>
                <w:color w:val="00707E" w:themeColor="accent5" w:themeShade="BF"/>
                <w:lang w:val="en-GB"/>
              </w:rPr>
              <w:t xml:space="preserve"> </w:t>
            </w:r>
            <w:r>
              <w:rPr>
                <w:b w:val="0"/>
                <w:bCs w:val="0"/>
                <w:color w:val="00707E" w:themeColor="accent5" w:themeShade="BF"/>
                <w:lang w:val="en-GB"/>
              </w:rPr>
              <w:t>Regency Green – transitional support and accommodation for NDIS participants</w:t>
            </w:r>
          </w:p>
          <w:p w14:paraId="259F13BC" w14:textId="46735133" w:rsidR="00D06516" w:rsidRDefault="00D06516">
            <w:pPr>
              <w:ind w:left="142"/>
              <w:rPr>
                <w:lang w:val="en-GB"/>
              </w:rPr>
            </w:pPr>
            <w:r>
              <w:rPr>
                <w:lang w:val="en-GB"/>
              </w:rPr>
              <w:t xml:space="preserve">Due to the critical pressures on the hospital system, </w:t>
            </w:r>
            <w:r w:rsidR="00B552E3" w:rsidRPr="00B552E3">
              <w:rPr>
                <w:lang w:val="en-GB"/>
              </w:rPr>
              <w:t>South Australia</w:t>
            </w:r>
            <w:r>
              <w:rPr>
                <w:lang w:val="en-GB"/>
              </w:rPr>
              <w:t xml:space="preserve"> Health established Regency Green to ensure people can access support in a more appropriate setting </w:t>
            </w:r>
            <w:r w:rsidR="006C61A4">
              <w:rPr>
                <w:lang w:val="en-GB"/>
              </w:rPr>
              <w:t xml:space="preserve">and </w:t>
            </w:r>
            <w:r>
              <w:rPr>
                <w:lang w:val="en-GB"/>
              </w:rPr>
              <w:t xml:space="preserve">free up hospital beds for those who have acute care needs. </w:t>
            </w:r>
          </w:p>
          <w:p w14:paraId="62C4E69E" w14:textId="77777777" w:rsidR="00D06516" w:rsidRDefault="00D06516">
            <w:pPr>
              <w:ind w:left="142"/>
              <w:rPr>
                <w:lang w:val="en-GB"/>
              </w:rPr>
            </w:pPr>
            <w:r>
              <w:rPr>
                <w:lang w:val="en-GB"/>
              </w:rPr>
              <w:t xml:space="preserve">Regency Green is a 21-bed transitional support and accommodation service used to enable NDIS participants with a primary psychosocial disability, who no longer require acute medical care to discharge from hospital whilst they await longer term arrangements. Participants in the service continue to receive their mental health care through the relevant LHN Community Mental Health team and also engage with their usual NDIS providers for community engagement. </w:t>
            </w:r>
          </w:p>
          <w:p w14:paraId="36D02024" w14:textId="77777777" w:rsidR="00D06516" w:rsidRDefault="00D06516">
            <w:pPr>
              <w:ind w:left="142"/>
              <w:rPr>
                <w:b/>
                <w:bCs/>
                <w:lang w:val="en-GB"/>
              </w:rPr>
            </w:pPr>
            <w:r>
              <w:rPr>
                <w:lang w:val="en-GB"/>
              </w:rPr>
              <w:t>This case study demonstrates the benefit to participants and to functioning of the interface between systems of a more joined up model of care. There is potential to apply a similar model for long-stay older patients across the nation.</w:t>
            </w:r>
          </w:p>
        </w:tc>
      </w:tr>
    </w:tbl>
    <w:p w14:paraId="06A0EEBA" w14:textId="7140B3A7" w:rsidR="006D08B4" w:rsidRDefault="006D08B4" w:rsidP="00D50025"/>
    <w:tbl>
      <w:tblPr>
        <w:tblStyle w:val="TableGrid"/>
        <w:tblW w:w="0" w:type="auto"/>
        <w:shd w:val="clear" w:color="auto" w:fill="F2F2F2" w:themeFill="background1" w:themeFillShade="F2"/>
        <w:tblLook w:val="04A0" w:firstRow="1" w:lastRow="0" w:firstColumn="1" w:lastColumn="0" w:noHBand="0" w:noVBand="1"/>
      </w:tblPr>
      <w:tblGrid>
        <w:gridCol w:w="10466"/>
      </w:tblGrid>
      <w:tr w:rsidR="006A1721" w14:paraId="1D1E54CA" w14:textId="77777777" w:rsidTr="006A1721">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hideMark/>
          </w:tcPr>
          <w:p w14:paraId="433681CC" w14:textId="6917FB37" w:rsidR="006A1721" w:rsidRDefault="006A1721">
            <w:pPr>
              <w:pStyle w:val="Summarytable"/>
              <w:rPr>
                <w:lang w:val="en-GB"/>
              </w:rPr>
            </w:pPr>
            <w:bookmarkStart w:id="236" w:name="_Toc143291690"/>
            <w:bookmarkStart w:id="237" w:name="_Ref144385074"/>
            <w:bookmarkStart w:id="238" w:name="_Ref145594723"/>
            <w:r w:rsidRPr="00E56864">
              <w:rPr>
                <w:noProof/>
                <w:color w:val="00707E" w:themeColor="accent5" w:themeShade="BF"/>
                <w:lang w:val="en-GB"/>
              </w:rPr>
              <w:drawing>
                <wp:inline distT="0" distB="0" distL="0" distR="0" wp14:anchorId="0B8AADED" wp14:editId="367C9AD1">
                  <wp:extent cx="269875" cy="269875"/>
                  <wp:effectExtent l="0" t="0" r="0" b="0"/>
                  <wp:docPr id="52379513" name="Graphic 52379513" descr="P1473C1T63#yIS1"/>
                  <wp:cNvGraphicFramePr/>
                  <a:graphic xmlns:a="http://schemas.openxmlformats.org/drawingml/2006/main">
                    <a:graphicData uri="http://schemas.openxmlformats.org/drawingml/2006/picture">
                      <pic:pic xmlns:pic="http://schemas.openxmlformats.org/drawingml/2006/picture">
                        <pic:nvPicPr>
                          <pic:cNvPr id="52379513" name="Graphic 52379513" descr="P1473C1T63#yIS1"/>
                          <pic:cNvPicPr>
                            <a:picLocks noChangeAspect="1"/>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69875" cy="269875"/>
                          </a:xfrm>
                          <a:prstGeom prst="rect">
                            <a:avLst/>
                          </a:prstGeom>
                        </pic:spPr>
                      </pic:pic>
                    </a:graphicData>
                  </a:graphic>
                </wp:inline>
              </w:drawing>
            </w:r>
            <w:r w:rsidRPr="00E56864">
              <w:rPr>
                <w:color w:val="00707E" w:themeColor="accent5" w:themeShade="BF"/>
                <w:lang w:val="en-GB"/>
              </w:rPr>
              <w:t>Recommendation</w:t>
            </w:r>
            <w:r>
              <w:rPr>
                <w:color w:val="00707E" w:themeColor="accent5" w:themeShade="BF"/>
                <w:lang w:val="en-GB"/>
              </w:rPr>
              <w:t xml:space="preserve"> </w:t>
            </w:r>
            <w:r w:rsidR="003203D9">
              <w:rPr>
                <w:color w:val="00707E" w:themeColor="accent5" w:themeShade="BF"/>
                <w:lang w:val="en-GB"/>
              </w:rPr>
              <w:t>10</w:t>
            </w:r>
            <w:r>
              <w:rPr>
                <w:color w:val="00707E" w:themeColor="accent5" w:themeShade="BF"/>
                <w:lang w:val="en-GB"/>
              </w:rPr>
              <w:t xml:space="preserve">: </w:t>
            </w:r>
            <w:r w:rsidR="00842858">
              <w:rPr>
                <w:b w:val="0"/>
                <w:bCs w:val="0"/>
                <w:lang w:val="en-GB"/>
              </w:rPr>
              <w:t xml:space="preserve">The proactive approach being taken to </w:t>
            </w:r>
            <w:r w:rsidRPr="000F7627">
              <w:rPr>
                <w:lang w:val="en-GB"/>
              </w:rPr>
              <w:t>support</w:t>
            </w:r>
            <w:r w:rsidRPr="000F7627" w:rsidDel="00842858">
              <w:rPr>
                <w:lang w:val="en-GB"/>
              </w:rPr>
              <w:t xml:space="preserve"> </w:t>
            </w:r>
            <w:r w:rsidRPr="000F7627">
              <w:rPr>
                <w:lang w:val="en-GB"/>
              </w:rPr>
              <w:t>the transition out of hospital to home of people with a disability who are NDIS eligible and ready for discharge</w:t>
            </w:r>
            <w:r>
              <w:rPr>
                <w:b w:val="0"/>
                <w:bCs w:val="0"/>
                <w:lang w:val="en-GB"/>
              </w:rPr>
              <w:t xml:space="preserve"> </w:t>
            </w:r>
            <w:r w:rsidR="00842858">
              <w:rPr>
                <w:b w:val="0"/>
                <w:bCs w:val="0"/>
                <w:lang w:val="en-GB"/>
              </w:rPr>
              <w:t xml:space="preserve">should continue, </w:t>
            </w:r>
            <w:r w:rsidR="006B1121">
              <w:rPr>
                <w:b w:val="0"/>
                <w:bCs w:val="0"/>
                <w:lang w:val="en-GB"/>
              </w:rPr>
              <w:t xml:space="preserve">supported by </w:t>
            </w:r>
            <w:r w:rsidR="007D271E">
              <w:rPr>
                <w:b w:val="0"/>
                <w:bCs w:val="0"/>
                <w:lang w:val="en-GB"/>
              </w:rPr>
              <w:t xml:space="preserve">its own </w:t>
            </w:r>
            <w:r w:rsidR="006B1121">
              <w:rPr>
                <w:b w:val="0"/>
                <w:bCs w:val="0"/>
                <w:lang w:val="en-GB"/>
              </w:rPr>
              <w:t>national data</w:t>
            </w:r>
            <w:r w:rsidR="0018654F">
              <w:rPr>
                <w:b w:val="0"/>
                <w:bCs w:val="0"/>
                <w:lang w:val="en-GB"/>
              </w:rPr>
              <w:t xml:space="preserve"> </w:t>
            </w:r>
            <w:r w:rsidR="00DA3C28">
              <w:rPr>
                <w:b w:val="0"/>
                <w:bCs w:val="0"/>
                <w:lang w:val="en-GB"/>
              </w:rPr>
              <w:t xml:space="preserve">collection </w:t>
            </w:r>
            <w:r w:rsidR="007D271E">
              <w:rPr>
                <w:b w:val="0"/>
                <w:bCs w:val="0"/>
                <w:lang w:val="en-GB"/>
              </w:rPr>
              <w:t xml:space="preserve">along the lines of that at </w:t>
            </w:r>
            <w:r w:rsidR="0018654F">
              <w:rPr>
                <w:b w:val="0"/>
                <w:bCs w:val="0"/>
                <w:lang w:val="en-GB"/>
              </w:rPr>
              <w:t>Recommendation 9(a),</w:t>
            </w:r>
            <w:r w:rsidR="006B1121">
              <w:rPr>
                <w:b w:val="0"/>
                <w:bCs w:val="0"/>
                <w:lang w:val="en-GB"/>
              </w:rPr>
              <w:t xml:space="preserve"> </w:t>
            </w:r>
            <w:r w:rsidR="009A1F2F">
              <w:rPr>
                <w:b w:val="0"/>
                <w:bCs w:val="0"/>
                <w:lang w:val="en-GB"/>
              </w:rPr>
              <w:t>with</w:t>
            </w:r>
            <w:r w:rsidR="006B2073">
              <w:rPr>
                <w:b w:val="0"/>
                <w:bCs w:val="0"/>
                <w:lang w:val="en-GB"/>
              </w:rPr>
              <w:t xml:space="preserve"> a focus on delivery of joint and concurrent responses across sectors, and</w:t>
            </w:r>
            <w:r w:rsidR="009A1F2F">
              <w:rPr>
                <w:b w:val="0"/>
                <w:bCs w:val="0"/>
                <w:lang w:val="en-GB"/>
              </w:rPr>
              <w:t xml:space="preserve"> further review of the mechanisms to ensure </w:t>
            </w:r>
            <w:r w:rsidRPr="00D2518E">
              <w:rPr>
                <w:lang w:val="en-GB"/>
              </w:rPr>
              <w:t>continuity of care</w:t>
            </w:r>
            <w:r>
              <w:rPr>
                <w:b w:val="0"/>
                <w:bCs w:val="0"/>
                <w:lang w:val="en-GB"/>
              </w:rPr>
              <w:t xml:space="preserve"> for NDIS participants during </w:t>
            </w:r>
            <w:r w:rsidR="00386369">
              <w:rPr>
                <w:b w:val="0"/>
                <w:bCs w:val="0"/>
                <w:lang w:val="en-GB"/>
              </w:rPr>
              <w:t xml:space="preserve">a </w:t>
            </w:r>
            <w:r>
              <w:rPr>
                <w:b w:val="0"/>
                <w:bCs w:val="0"/>
                <w:lang w:val="en-GB"/>
              </w:rPr>
              <w:t>hospital stay</w:t>
            </w:r>
            <w:r w:rsidR="00842858">
              <w:rPr>
                <w:b w:val="0"/>
                <w:bCs w:val="0"/>
                <w:lang w:val="en-GB"/>
              </w:rPr>
              <w:t xml:space="preserve"> to ensure optimal patient outcomes</w:t>
            </w:r>
            <w:r>
              <w:rPr>
                <w:b w:val="0"/>
                <w:bCs w:val="0"/>
                <w:lang w:val="en-GB"/>
              </w:rPr>
              <w:t>.</w:t>
            </w:r>
          </w:p>
        </w:tc>
      </w:tr>
    </w:tbl>
    <w:p w14:paraId="0AFC1EB0" w14:textId="3D9CD6CA" w:rsidR="006E6D09" w:rsidRDefault="006E6D09" w:rsidP="006E6D09">
      <w:pPr>
        <w:pStyle w:val="Heading2"/>
        <w:pageBreakBefore/>
      </w:pPr>
      <w:bookmarkStart w:id="239" w:name="_Ref146701823"/>
      <w:bookmarkStart w:id="240" w:name="_Ref145942286"/>
      <w:r>
        <w:rPr>
          <w:noProof/>
        </w:rPr>
        <w:drawing>
          <wp:anchor distT="0" distB="0" distL="114300" distR="114300" simplePos="0" relativeHeight="251685888" behindDoc="0" locked="0" layoutInCell="1" allowOverlap="1" wp14:anchorId="7E490F37" wp14:editId="3CA45386">
            <wp:simplePos x="0" y="0"/>
            <wp:positionH relativeFrom="column">
              <wp:posOffset>5794375</wp:posOffset>
            </wp:positionH>
            <wp:positionV relativeFrom="paragraph">
              <wp:posOffset>190</wp:posOffset>
            </wp:positionV>
            <wp:extent cx="847898" cy="783771"/>
            <wp:effectExtent l="0" t="0" r="0" b="0"/>
            <wp:wrapSquare wrapText="bothSides"/>
            <wp:docPr id="1489793652" name="Picture 1489793652" descr="P147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52" name="Picture 1489793652" descr="P1475#y1">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847898" cy="783771"/>
                    </a:xfrm>
                    <a:prstGeom prst="rect">
                      <a:avLst/>
                    </a:prstGeom>
                  </pic:spPr>
                </pic:pic>
              </a:graphicData>
            </a:graphic>
            <wp14:sizeRelH relativeFrom="page">
              <wp14:pctWidth>0</wp14:pctWidth>
            </wp14:sizeRelH>
            <wp14:sizeRelV relativeFrom="page">
              <wp14:pctHeight>0</wp14:pctHeight>
            </wp14:sizeRelV>
          </wp:anchor>
        </w:drawing>
      </w:r>
      <w:r>
        <w:t>Optimal models of care</w:t>
      </w:r>
      <w:bookmarkEnd w:id="239"/>
      <w:r>
        <w:t xml:space="preserve"> </w:t>
      </w:r>
      <w:bookmarkEnd w:id="240"/>
    </w:p>
    <w:p w14:paraId="2FE926A8" w14:textId="77777777" w:rsidR="00A62FC6" w:rsidRDefault="006E6D09" w:rsidP="006E6D09">
      <w:r>
        <w:t xml:space="preserve">To adapt to the changing health needs of the population (including the effects of population ageing and increase in chronic and complex conditions), future models of care need to enable collaboration between, and blending of, services along the care continuum where services and supports are tailored to the needs of the individual rather than the funding constraints of the system. </w:t>
      </w:r>
    </w:p>
    <w:p w14:paraId="74D78ADD" w14:textId="2D3D3FF2" w:rsidR="00372278" w:rsidRDefault="00372278" w:rsidP="00372278">
      <w:pPr>
        <w:pStyle w:val="Heading3"/>
      </w:pPr>
      <w:r>
        <w:t xml:space="preserve">NHRA enabling </w:t>
      </w:r>
      <w:r w:rsidR="00F243A9">
        <w:t>care across the continuum</w:t>
      </w:r>
    </w:p>
    <w:p w14:paraId="670F6223" w14:textId="3510E87B" w:rsidR="006E6D09" w:rsidRDefault="00A62FC6" w:rsidP="006E6D09">
      <w:r>
        <w:t xml:space="preserve">The </w:t>
      </w:r>
      <w:r w:rsidR="002046AE">
        <w:t xml:space="preserve">Addendum </w:t>
      </w:r>
      <w:r w:rsidR="00902C46">
        <w:t>acknowledges th</w:t>
      </w:r>
      <w:r w:rsidR="00EA03C0">
        <w:t>at public hospitals operate within a broader health and social care eco-system</w:t>
      </w:r>
      <w:r w:rsidR="00ED5FD6">
        <w:t>,</w:t>
      </w:r>
      <w:r w:rsidR="00EA03C0">
        <w:t xml:space="preserve"> however stop</w:t>
      </w:r>
      <w:r w:rsidR="00005873">
        <w:t>s</w:t>
      </w:r>
      <w:r w:rsidR="00EA03C0">
        <w:t xml:space="preserve"> short of defining the mechanisms and incentives required to enable </w:t>
      </w:r>
      <w:r w:rsidR="00AA5228">
        <w:t>the design and scaled delivery of innovative care models that meet the evolving needs of the community and individuals</w:t>
      </w:r>
      <w:r w:rsidR="00DB0729">
        <w:t xml:space="preserve">. </w:t>
      </w:r>
      <w:r w:rsidR="00753A14">
        <w:t xml:space="preserve">Rather than </w:t>
      </w:r>
      <w:r w:rsidR="009A1F2F">
        <w:t xml:space="preserve">promoting </w:t>
      </w:r>
      <w:r w:rsidR="00753A14">
        <w:t xml:space="preserve">the development </w:t>
      </w:r>
      <w:r w:rsidR="00C457A9">
        <w:t>of</w:t>
      </w:r>
      <w:r w:rsidR="00753A14">
        <w:t xml:space="preserve"> contemporary care models, the </w:t>
      </w:r>
      <w:r w:rsidR="003A7074">
        <w:t>current arrangement</w:t>
      </w:r>
      <w:r w:rsidR="009B41ED">
        <w:t>s tend to</w:t>
      </w:r>
      <w:r w:rsidR="003A7074">
        <w:t xml:space="preserve"> discourage innovation particularly </w:t>
      </w:r>
      <w:r w:rsidR="00F56247">
        <w:t xml:space="preserve">at scale by </w:t>
      </w:r>
      <w:r w:rsidR="0067208D">
        <w:t xml:space="preserve">the way </w:t>
      </w:r>
      <w:r w:rsidR="00EC17D9">
        <w:t>services</w:t>
      </w:r>
      <w:r w:rsidR="0067208D">
        <w:t xml:space="preserve"> </w:t>
      </w:r>
      <w:r w:rsidR="002A3656">
        <w:t>are</w:t>
      </w:r>
      <w:r w:rsidR="0067208D">
        <w:t xml:space="preserve"> defined, </w:t>
      </w:r>
      <w:r w:rsidR="00F11CEE">
        <w:t>counted and funded</w:t>
      </w:r>
      <w:r w:rsidR="009A60CE">
        <w:t xml:space="preserve"> in</w:t>
      </w:r>
      <w:r w:rsidR="00341E08">
        <w:t xml:space="preserve"> the </w:t>
      </w:r>
      <w:r w:rsidR="009A60CE">
        <w:t>Addendum</w:t>
      </w:r>
      <w:r w:rsidR="00F11CEE">
        <w:t>.</w:t>
      </w:r>
      <w:r w:rsidR="00341E08">
        <w:t xml:space="preserve"> </w:t>
      </w:r>
      <w:r w:rsidR="00DB0729">
        <w:t xml:space="preserve"> </w:t>
      </w:r>
    </w:p>
    <w:p w14:paraId="34E97687" w14:textId="67FE0861" w:rsidR="00673B14" w:rsidRDefault="00892F09" w:rsidP="006E6D09">
      <w:r>
        <w:t xml:space="preserve">The </w:t>
      </w:r>
      <w:r w:rsidR="00F60F4E">
        <w:t xml:space="preserve">illustrated patient pathway </w:t>
      </w:r>
      <w:r w:rsidR="004515CB">
        <w:t xml:space="preserve">in </w:t>
      </w:r>
      <w:r w:rsidR="004515CB">
        <w:fldChar w:fldCharType="begin" w:fldLock="1"/>
      </w:r>
      <w:r w:rsidR="004515CB">
        <w:instrText xml:space="preserve"> REF _Ref148446623 \h </w:instrText>
      </w:r>
      <w:r w:rsidR="004515CB">
        <w:fldChar w:fldCharType="separate"/>
      </w:r>
      <w:r w:rsidR="00FA10A4">
        <w:t xml:space="preserve">Figure </w:t>
      </w:r>
      <w:r w:rsidR="00FA10A4">
        <w:rPr>
          <w:noProof/>
        </w:rPr>
        <w:t>32</w:t>
      </w:r>
      <w:r w:rsidR="004515CB">
        <w:fldChar w:fldCharType="end"/>
      </w:r>
      <w:r w:rsidR="004515CB">
        <w:t xml:space="preserve"> </w:t>
      </w:r>
      <w:r w:rsidR="009A1F2F">
        <w:t xml:space="preserve">(provided by a jurisdiction) </w:t>
      </w:r>
      <w:r w:rsidR="00F60F4E">
        <w:t xml:space="preserve">highlights the pain points for </w:t>
      </w:r>
      <w:r w:rsidR="00204374">
        <w:t xml:space="preserve">the system </w:t>
      </w:r>
      <w:r w:rsidR="002307E4">
        <w:t xml:space="preserve">in </w:t>
      </w:r>
      <w:r w:rsidR="00204374">
        <w:t xml:space="preserve">designing and delivering services </w:t>
      </w:r>
      <w:r w:rsidR="00D71D20">
        <w:t xml:space="preserve">that meet </w:t>
      </w:r>
      <w:r w:rsidR="009B41ED">
        <w:t xml:space="preserve">an individual’s </w:t>
      </w:r>
      <w:r w:rsidR="00D71D20">
        <w:t xml:space="preserve">needs </w:t>
      </w:r>
      <w:r w:rsidR="00723675">
        <w:t>and reflect</w:t>
      </w:r>
      <w:r w:rsidR="002307E4">
        <w:t>ing</w:t>
      </w:r>
      <w:r w:rsidR="00723675">
        <w:t xml:space="preserve"> contemporary best practice</w:t>
      </w:r>
      <w:r w:rsidR="002307E4">
        <w:t>,</w:t>
      </w:r>
      <w:r w:rsidR="00493D59">
        <w:t xml:space="preserve"> especially for priority patient cohorts</w:t>
      </w:r>
      <w:r w:rsidR="00A268DB">
        <w:t xml:space="preserve"> that traverse care setting</w:t>
      </w:r>
      <w:r w:rsidR="000B7DA5">
        <w:t>s, such as</w:t>
      </w:r>
      <w:r w:rsidR="00493D59">
        <w:t xml:space="preserve"> </w:t>
      </w:r>
      <w:r w:rsidR="002110CD">
        <w:t xml:space="preserve">the frail elderly, </w:t>
      </w:r>
      <w:r w:rsidR="000B7DA5">
        <w:t xml:space="preserve">people living with </w:t>
      </w:r>
      <w:r w:rsidR="002110CD">
        <w:t>chronic diseases</w:t>
      </w:r>
      <w:r w:rsidR="000B7DA5">
        <w:t xml:space="preserve"> and/or</w:t>
      </w:r>
      <w:r w:rsidR="002110CD">
        <w:t xml:space="preserve"> mental health</w:t>
      </w:r>
      <w:r w:rsidR="000B7DA5">
        <w:t xml:space="preserve"> issues</w:t>
      </w:r>
      <w:r w:rsidR="002110CD">
        <w:t xml:space="preserve">, </w:t>
      </w:r>
      <w:r w:rsidR="0031044A">
        <w:t xml:space="preserve">and </w:t>
      </w:r>
      <w:r w:rsidR="002110CD">
        <w:t>maternity</w:t>
      </w:r>
      <w:r w:rsidR="002F7E92">
        <w:t xml:space="preserve"> </w:t>
      </w:r>
      <w:r w:rsidR="000B7DA5">
        <w:t xml:space="preserve">care patients. </w:t>
      </w:r>
    </w:p>
    <w:p w14:paraId="7B59123C" w14:textId="51380FB0" w:rsidR="00B24F38" w:rsidRDefault="00287922" w:rsidP="005319D8">
      <w:r>
        <w:rPr>
          <w:noProof/>
        </w:rPr>
        <w:drawing>
          <wp:inline distT="0" distB="0" distL="0" distR="0" wp14:anchorId="3373D9EE" wp14:editId="24E4FD4E">
            <wp:extent cx="6612082" cy="4106798"/>
            <wp:effectExtent l="0" t="0" r="0" b="8255"/>
            <wp:docPr id="36" name="Picture 36" descr="P148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1480#yIS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630088" cy="4117982"/>
                    </a:xfrm>
                    <a:prstGeom prst="rect">
                      <a:avLst/>
                    </a:prstGeom>
                    <a:noFill/>
                  </pic:spPr>
                </pic:pic>
              </a:graphicData>
            </a:graphic>
          </wp:inline>
        </w:drawing>
      </w:r>
    </w:p>
    <w:p w14:paraId="3D9E4944" w14:textId="2C9126ED" w:rsidR="00B24F38" w:rsidRDefault="00B24F38" w:rsidP="00C2024B">
      <w:pPr>
        <w:pStyle w:val="Caption"/>
      </w:pPr>
      <w:bookmarkStart w:id="241" w:name="_Ref148446623"/>
      <w:bookmarkStart w:id="242" w:name="_Toc148968410"/>
      <w:r>
        <w:t xml:space="preserve">Figure </w:t>
      </w:r>
      <w:r>
        <w:fldChar w:fldCharType="begin"/>
      </w:r>
      <w:r>
        <w:instrText xml:space="preserve"> SEQ Figure \* ARABIC </w:instrText>
      </w:r>
      <w:r>
        <w:fldChar w:fldCharType="separate"/>
      </w:r>
      <w:r w:rsidR="003F5D51">
        <w:rPr>
          <w:noProof/>
        </w:rPr>
        <w:t>32</w:t>
      </w:r>
      <w:r>
        <w:rPr>
          <w:noProof/>
        </w:rPr>
        <w:fldChar w:fldCharType="end"/>
      </w:r>
      <w:bookmarkEnd w:id="241"/>
      <w:r>
        <w:t xml:space="preserve">: </w:t>
      </w:r>
      <w:r w:rsidR="002F742C">
        <w:t xml:space="preserve">Frail Elderly Patient pathway – suboptimal </w:t>
      </w:r>
      <w:r w:rsidR="00741EB7">
        <w:t>and optimal</w:t>
      </w:r>
      <w:bookmarkEnd w:id="242"/>
    </w:p>
    <w:p w14:paraId="3446159E" w14:textId="4D7FA024" w:rsidR="005319D8" w:rsidRDefault="0031044A" w:rsidP="005319D8">
      <w:r>
        <w:t>Clauses</w:t>
      </w:r>
      <w:r w:rsidR="005319D8">
        <w:t xml:space="preserve"> A96 through A101 of the NHRA explicitly outlines mechanisms to explore and trial new and innovative models of care supported by appropriate funding models. As noted in the discussion of </w:t>
      </w:r>
      <w:r w:rsidR="00681570">
        <w:fldChar w:fldCharType="begin" w:fldLock="1"/>
      </w:r>
      <w:r w:rsidR="00681570">
        <w:instrText xml:space="preserve"> REF _Ref146093879 \h </w:instrText>
      </w:r>
      <w:r w:rsidR="00681570">
        <w:fldChar w:fldCharType="separate"/>
      </w:r>
      <w:r w:rsidR="00FA10A4">
        <w:t>Long-term health reforms</w:t>
      </w:r>
      <w:r w:rsidR="00681570">
        <w:fldChar w:fldCharType="end"/>
      </w:r>
      <w:r w:rsidR="00681570">
        <w:t xml:space="preserve"> </w:t>
      </w:r>
      <w:r w:rsidR="005319D8">
        <w:t>(section</w:t>
      </w:r>
      <w:r w:rsidR="00681570">
        <w:t xml:space="preserve"> </w:t>
      </w:r>
      <w:r w:rsidR="00681570">
        <w:fldChar w:fldCharType="begin" w:fldLock="1"/>
      </w:r>
      <w:r w:rsidR="00681570">
        <w:instrText xml:space="preserve"> REF _Ref146093879 \w \h </w:instrText>
      </w:r>
      <w:r w:rsidR="00681570">
        <w:fldChar w:fldCharType="separate"/>
      </w:r>
      <w:r w:rsidR="00FA10A4">
        <w:t>3.5</w:t>
      </w:r>
      <w:r w:rsidR="00681570">
        <w:fldChar w:fldCharType="end"/>
      </w:r>
      <w:r w:rsidR="005319D8">
        <w:t xml:space="preserve">), it was identified by stakeholders that the exploration and </w:t>
      </w:r>
      <w:r w:rsidR="00BB4BE5">
        <w:t>trialling</w:t>
      </w:r>
      <w:r w:rsidR="005319D8">
        <w:t xml:space="preserve"> of innovative models of care has been slow and impacted by the COVID-19 pandemic. It was felt that current funding models are focused on pure activity rather than outcomes and integration of the end-to-end healthcare journey. At present, there is limited or no reference to outcomes for patients or the relative efficiency of providing care in alternate settings. This view is further highlighted through limitations in the metrics to quantify and understand patient reported experience and outcomes.</w:t>
      </w:r>
    </w:p>
    <w:p w14:paraId="65607028" w14:textId="369C2B80" w:rsidR="001F1B4A" w:rsidRPr="00156EFB" w:rsidRDefault="001F1B4A" w:rsidP="001F1B4A">
      <w:r>
        <w:t xml:space="preserve">The case study below provides </w:t>
      </w:r>
      <w:r w:rsidR="009B41ED">
        <w:t xml:space="preserve">an </w:t>
      </w:r>
      <w:r>
        <w:t>example where a service has been established targeting patients with diabetes in Victoria.</w:t>
      </w:r>
    </w:p>
    <w:tbl>
      <w:tblPr>
        <w:tblStyle w:val="TableGrid"/>
        <w:tblW w:w="0" w:type="auto"/>
        <w:tblBorders>
          <w:top w:val="dotted" w:sz="4" w:space="0" w:color="0097A9" w:themeColor="accent5"/>
          <w:left w:val="dotted" w:sz="4" w:space="0" w:color="0097A9" w:themeColor="accent5"/>
          <w:bottom w:val="dotted" w:sz="4" w:space="0" w:color="0097A9" w:themeColor="accent5"/>
          <w:right w:val="dotted" w:sz="4" w:space="0" w:color="0097A9" w:themeColor="accent5"/>
        </w:tblBorders>
        <w:tblLook w:val="04A0" w:firstRow="1" w:lastRow="0" w:firstColumn="1" w:lastColumn="0" w:noHBand="0" w:noVBand="1"/>
      </w:tblPr>
      <w:tblGrid>
        <w:gridCol w:w="10456"/>
      </w:tblGrid>
      <w:tr w:rsidR="00CC13EB" w14:paraId="4CF1C543" w14:textId="77777777" w:rsidTr="001E118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E97B880" w14:textId="4EDD9A9D" w:rsidR="00CC13EB" w:rsidRPr="00EF6DC0" w:rsidRDefault="00CC13EB" w:rsidP="00C2225F">
            <w:pPr>
              <w:pStyle w:val="Summarytable"/>
              <w:rPr>
                <w:color w:val="00707E" w:themeColor="accent5" w:themeShade="BF"/>
              </w:rPr>
            </w:pPr>
            <w:r w:rsidRPr="005376F5">
              <w:rPr>
                <w:noProof/>
                <w:color w:val="00707E" w:themeColor="accent5" w:themeShade="BF"/>
              </w:rPr>
              <w:drawing>
                <wp:inline distT="0" distB="0" distL="0" distR="0" wp14:anchorId="72297D91" wp14:editId="34FD43EB">
                  <wp:extent cx="270000" cy="270000"/>
                  <wp:effectExtent l="0" t="0" r="0" b="0"/>
                  <wp:docPr id="1489793623" name="Graphic 1489793623" descr="P1484C1T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23" name="Graphic 1489793623" descr="P1484C1T64#yIS1"/>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270000" cy="270000"/>
                          </a:xfrm>
                          <a:prstGeom prst="rect">
                            <a:avLst/>
                          </a:prstGeom>
                        </pic:spPr>
                      </pic:pic>
                    </a:graphicData>
                  </a:graphic>
                </wp:inline>
              </w:drawing>
            </w:r>
            <w:r w:rsidRPr="005376F5">
              <w:rPr>
                <w:color w:val="00707E" w:themeColor="accent5" w:themeShade="BF"/>
              </w:rPr>
              <w:t>Case study:</w:t>
            </w:r>
            <w:r w:rsidRPr="00EF6DC0">
              <w:rPr>
                <w:color w:val="00707E" w:themeColor="accent5" w:themeShade="BF"/>
              </w:rPr>
              <w:t xml:space="preserve"> </w:t>
            </w:r>
            <w:r w:rsidRPr="00EF6DC0">
              <w:rPr>
                <w:b w:val="0"/>
                <w:bCs w:val="0"/>
                <w:color w:val="00707E" w:themeColor="accent5" w:themeShade="BF"/>
              </w:rPr>
              <w:t>Integrated Diabetes Education and Assessment Service (IDEAS) in Victoria</w:t>
            </w:r>
          </w:p>
          <w:p w14:paraId="0606F5D2" w14:textId="77777777" w:rsidR="005F1268" w:rsidRDefault="005F1268" w:rsidP="005350DC">
            <w:pPr>
              <w:ind w:left="142"/>
            </w:pPr>
            <w:r>
              <w:rPr>
                <w:rFonts w:eastAsia="Calibri"/>
                <w:color w:val="000000" w:themeColor="text1"/>
                <w:lang w:val="en-US"/>
              </w:rPr>
              <w:t xml:space="preserve">IDEAS is a Victorian Community Health-led alternative to hospital outpatient services for people with Type 2 diabetes. </w:t>
            </w:r>
            <w:r>
              <w:rPr>
                <w:rFonts w:eastAsia="Calibri"/>
                <w:color w:val="242424"/>
                <w:lang w:val="en-US"/>
              </w:rPr>
              <w:t xml:space="preserve">IDEAS was developed by healthAbility and Eastern Health in 2009 and is now delivered across six community health service sites, integrating with outpatient departments across Eastern Melbourne. </w:t>
            </w:r>
            <w:r>
              <w:rPr>
                <w:rFonts w:eastAsia="Calibri"/>
                <w:color w:val="000000" w:themeColor="text1"/>
                <w:lang w:val="en-US"/>
              </w:rPr>
              <w:t>IDEAS diverts patients from busy public hospital waitlists and delivers comprehensive diabetes care from specialist doctors in the community, combined with community health wrap around support services. The model has resulted in reduced wait times for patients, reduced demand on hospital services, and provides cost-effective, accessible care</w:t>
            </w:r>
            <w:r>
              <w:rPr>
                <w:rFonts w:eastAsia="Calibri"/>
                <w:color w:val="FF0000"/>
                <w:lang w:val="en-US"/>
              </w:rPr>
              <w:t xml:space="preserve"> </w:t>
            </w:r>
            <w:r>
              <w:rPr>
                <w:rFonts w:eastAsia="Calibri"/>
                <w:color w:val="000000" w:themeColor="text1"/>
                <w:lang w:val="en-US"/>
              </w:rPr>
              <w:t xml:space="preserve">in community-based settings.  </w:t>
            </w:r>
          </w:p>
          <w:p w14:paraId="287288AB" w14:textId="0853E395" w:rsidR="00CC13EB" w:rsidRPr="00EF6DC0" w:rsidRDefault="005F1268" w:rsidP="005350DC">
            <w:pPr>
              <w:ind w:left="142"/>
            </w:pPr>
            <w:r>
              <w:rPr>
                <w:rFonts w:eastAsia="Calibri"/>
                <w:color w:val="000000" w:themeColor="text1"/>
                <w:lang w:val="en-US"/>
              </w:rPr>
              <w:t xml:space="preserve"> There is no dedicated funding source for IDEAS, so providers draw on funding from multiple sources, including the MBS and the </w:t>
            </w:r>
            <w:r w:rsidR="001D5A64">
              <w:rPr>
                <w:rFonts w:eastAsia="Calibri"/>
                <w:color w:val="000000" w:themeColor="text1"/>
                <w:lang w:val="en-US"/>
              </w:rPr>
              <w:t>S</w:t>
            </w:r>
            <w:r>
              <w:rPr>
                <w:rFonts w:eastAsia="Calibri"/>
                <w:color w:val="000000" w:themeColor="text1"/>
                <w:lang w:val="en-US"/>
              </w:rPr>
              <w:t xml:space="preserve">tate funded Community Health Program. Current funding arrangements for IDEAS are unsustainable and prevent scalability. Innovation is hampered by the funding parameters of the NHRA, that </w:t>
            </w:r>
            <w:r w:rsidR="00EA553D">
              <w:rPr>
                <w:rFonts w:eastAsia="Calibri"/>
                <w:color w:val="000000" w:themeColor="text1"/>
                <w:lang w:val="en-US"/>
              </w:rPr>
              <w:t>do</w:t>
            </w:r>
            <w:r>
              <w:rPr>
                <w:rFonts w:eastAsia="Calibri"/>
                <w:color w:val="000000" w:themeColor="text1"/>
                <w:lang w:val="en-US"/>
              </w:rPr>
              <w:t xml:space="preserve"> not recognise community health service providers or support non-clinical care. The sustainability and scalability of IDEAS will require a funding model that facilitates care outside of hospital settings, supports both clinical and non-clinical care, and recognises the role that community health or other like public services can play in reducing hospital demand.</w:t>
            </w:r>
          </w:p>
        </w:tc>
      </w:tr>
    </w:tbl>
    <w:p w14:paraId="68966175" w14:textId="77777777" w:rsidR="00FE207B" w:rsidRDefault="00FE207B" w:rsidP="005319D8"/>
    <w:p w14:paraId="1D943384" w14:textId="5423C8D8" w:rsidR="002313FA" w:rsidRDefault="005F4130" w:rsidP="005F4130">
      <w:pPr>
        <w:pStyle w:val="Heading3"/>
      </w:pPr>
      <w:bookmarkStart w:id="243" w:name="_Ref148441964"/>
      <w:r>
        <w:t>P</w:t>
      </w:r>
      <w:r w:rsidR="00C324E1">
        <w:t>riority areas of focus</w:t>
      </w:r>
      <w:bookmarkEnd w:id="243"/>
    </w:p>
    <w:p w14:paraId="43CD7279" w14:textId="3D0D25B3" w:rsidR="007C6D00" w:rsidRDefault="007C6D00" w:rsidP="007C6D00">
      <w:r>
        <w:t>It is acknowledged that services develop in response to the funding, governance structures and incentives that exist within the system. While</w:t>
      </w:r>
      <w:r w:rsidDel="009B41ED">
        <w:t xml:space="preserve"> </w:t>
      </w:r>
      <w:r>
        <w:t xml:space="preserve">improvements have been made within individual service streams (such as acute, primary and disability settings), there </w:t>
      </w:r>
      <w:r w:rsidR="0037082A">
        <w:t xml:space="preserve">is </w:t>
      </w:r>
      <w:r>
        <w:t xml:space="preserve">consistent feedback from stakeholders of service gaps and coordination challenges across patient pathways. </w:t>
      </w:r>
      <w:r w:rsidR="0037082A">
        <w:t>Further, a</w:t>
      </w:r>
      <w:r>
        <w:t xml:space="preserve"> level of unwarranted variation in healthcare persists and the</w:t>
      </w:r>
      <w:r w:rsidR="0037082A">
        <w:t>re is an</w:t>
      </w:r>
      <w:r>
        <w:t xml:space="preserve"> opportunity for the NHRA to reinforce established care pathways </w:t>
      </w:r>
      <w:r w:rsidR="009A1F2F">
        <w:t>system wide</w:t>
      </w:r>
      <w:r>
        <w:t xml:space="preserve">. </w:t>
      </w:r>
    </w:p>
    <w:p w14:paraId="3BAD60DA" w14:textId="70689550" w:rsidR="007C6D00" w:rsidRDefault="007C6D00" w:rsidP="007C6D00">
      <w:r>
        <w:t xml:space="preserve">While much work has been progressed by the ACSQHC, IHACPA and NHFB exploring innovation in service design and funding, there has not been defined priority areas of focus and a clear mechanism to </w:t>
      </w:r>
      <w:r w:rsidR="005D4275">
        <w:t>develop</w:t>
      </w:r>
      <w:r>
        <w:t xml:space="preserve"> and adopt new models through the Addendum. Section </w:t>
      </w:r>
      <w:r>
        <w:fldChar w:fldCharType="begin" w:fldLock="1"/>
      </w:r>
      <w:r>
        <w:instrText xml:space="preserve"> REF _Ref146090650 \w \h </w:instrText>
      </w:r>
      <w:r>
        <w:fldChar w:fldCharType="separate"/>
      </w:r>
      <w:r w:rsidR="00FA10A4">
        <w:t>5.2</w:t>
      </w:r>
      <w:r>
        <w:fldChar w:fldCharType="end"/>
      </w:r>
      <w:r>
        <w:t xml:space="preserve"> (</w:t>
      </w:r>
      <w:r>
        <w:fldChar w:fldCharType="begin" w:fldLock="1"/>
      </w:r>
      <w:r>
        <w:instrText xml:space="preserve"> REF _Ref146090650 \h </w:instrText>
      </w:r>
      <w:r>
        <w:fldChar w:fldCharType="separate"/>
      </w:r>
      <w:r w:rsidR="00FA10A4" w:rsidRPr="00B57EC8">
        <w:t xml:space="preserve">A </w:t>
      </w:r>
      <w:r w:rsidR="00FA10A4">
        <w:t>focus and platform for intersectoral collaboration</w:t>
      </w:r>
      <w:r>
        <w:fldChar w:fldCharType="end"/>
      </w:r>
      <w:r>
        <w:t xml:space="preserve">) highlighted the important interface points between the acute, primary, aged and disability services systems in creating a more joined up system of care. </w:t>
      </w:r>
    </w:p>
    <w:p w14:paraId="05695D52" w14:textId="26317A6D" w:rsidR="007C6D00" w:rsidRDefault="007C6D00" w:rsidP="007C6D00">
      <w:r>
        <w:t xml:space="preserve">The </w:t>
      </w:r>
      <w:r w:rsidR="009F017E" w:rsidRPr="00650E28">
        <w:rPr>
          <w:i/>
          <w:iCs/>
        </w:rPr>
        <w:t>2023</w:t>
      </w:r>
      <w:r w:rsidR="009F017E">
        <w:t xml:space="preserve"> </w:t>
      </w:r>
      <w:r w:rsidRPr="00D16C69">
        <w:rPr>
          <w:i/>
          <w:iCs/>
        </w:rPr>
        <w:t>Intergenerational Report</w:t>
      </w:r>
      <w:r>
        <w:t xml:space="preserve"> projects that demand for health and social care services </w:t>
      </w:r>
      <w:r w:rsidR="009A1F2F">
        <w:t xml:space="preserve">over the next four decades </w:t>
      </w:r>
      <w:r>
        <w:t>will grow faster than the economy, posing a significant fiscal threat</w:t>
      </w:r>
      <w:bookmarkStart w:id="244" w:name="_Ref146792998"/>
      <w:r w:rsidR="003F5D51">
        <w:rPr>
          <w:rFonts w:ascii="ZWAdobeF" w:hAnsi="ZWAdobeF" w:cs="ZWAdobeF"/>
          <w:sz w:val="2"/>
          <w:szCs w:val="2"/>
        </w:rPr>
        <w:t>115F</w:t>
      </w:r>
      <w:r w:rsidR="00B77318">
        <w:rPr>
          <w:rStyle w:val="FootnoteReference"/>
        </w:rPr>
        <w:footnoteReference w:id="117"/>
      </w:r>
      <w:bookmarkEnd w:id="244"/>
      <w:r>
        <w:t xml:space="preserve">. This growth is partly explained by population growth and </w:t>
      </w:r>
      <w:r w:rsidR="00A55F7B">
        <w:t xml:space="preserve">an </w:t>
      </w:r>
      <w:r>
        <w:t>ageing dynamic</w:t>
      </w:r>
      <w:r w:rsidR="00C353EA">
        <w:t>, but also by</w:t>
      </w:r>
      <w:r>
        <w:t xml:space="preserve"> non-demographic growth related to consumer expectations and advances in technology</w:t>
      </w:r>
      <w:r w:rsidR="0035326E" w:rsidRPr="0035326E">
        <w:rPr>
          <w:vertAlign w:val="superscript"/>
        </w:rPr>
        <w:fldChar w:fldCharType="begin"/>
      </w:r>
      <w:r w:rsidR="0035326E" w:rsidRPr="0035326E">
        <w:rPr>
          <w:vertAlign w:val="superscript"/>
        </w:rPr>
        <w:instrText xml:space="preserve"> NOTEREF _Ref146792998 \h </w:instrText>
      </w:r>
      <w:r w:rsidR="0035326E">
        <w:rPr>
          <w:vertAlign w:val="superscript"/>
        </w:rPr>
        <w:instrText xml:space="preserve"> \* MERGEFORMAT </w:instrText>
      </w:r>
      <w:r w:rsidR="0035326E" w:rsidRPr="0035326E">
        <w:rPr>
          <w:vertAlign w:val="superscript"/>
        </w:rPr>
      </w:r>
      <w:r w:rsidR="0035326E" w:rsidRPr="0035326E">
        <w:rPr>
          <w:vertAlign w:val="superscript"/>
        </w:rPr>
        <w:fldChar w:fldCharType="separate"/>
      </w:r>
      <w:r w:rsidR="003F5D51">
        <w:rPr>
          <w:vertAlign w:val="superscript"/>
        </w:rPr>
        <w:t>116</w:t>
      </w:r>
      <w:r w:rsidR="0035326E" w:rsidRPr="0035326E">
        <w:rPr>
          <w:vertAlign w:val="superscript"/>
        </w:rPr>
        <w:fldChar w:fldCharType="end"/>
      </w:r>
      <w:r>
        <w:t>. The NHRA requires a focus and a set of priorities that moves beyond simply responding to demand to one that shapes demand for health to keep people well and enable their participation in society. This</w:t>
      </w:r>
      <w:r w:rsidDel="009B41ED">
        <w:t xml:space="preserve"> </w:t>
      </w:r>
      <w:r w:rsidR="009B41ED">
        <w:t xml:space="preserve">requires </w:t>
      </w:r>
      <w:r>
        <w:t xml:space="preserve">a connected care model that lowers the trajectory of demand especially for acute care.  </w:t>
      </w:r>
    </w:p>
    <w:p w14:paraId="362DC943" w14:textId="77777777" w:rsidR="007C6D00" w:rsidRDefault="007C6D00" w:rsidP="007C6D00">
      <w:r>
        <w:t>A future Agreement must set key areas of priority focus or problem statements that will form the basis of the next evolution of funding and service reform, enabling and driving progress towards improved models of care that:</w:t>
      </w:r>
    </w:p>
    <w:p w14:paraId="1C2D72E7" w14:textId="01DAAD0B" w:rsidR="0022666F" w:rsidRDefault="0022666F">
      <w:pPr>
        <w:pStyle w:val="ListParagraph"/>
        <w:numPr>
          <w:ilvl w:val="1"/>
          <w:numId w:val="84"/>
        </w:numPr>
        <w:ind w:left="709"/>
        <w:contextualSpacing w:val="0"/>
      </w:pPr>
      <w:r>
        <w:rPr>
          <w:b/>
          <w:bCs/>
        </w:rPr>
        <w:t>Respond to demand</w:t>
      </w:r>
      <w:r>
        <w:t xml:space="preserve"> – through volume and price signals, ensure services are delivered efficiently and meet the needs of patients. The Addendum has taken large and important strides forward in the measurement and funding of services delivered to patients. The next evolution of the Agreement </w:t>
      </w:r>
      <w:r w:rsidR="009B41ED">
        <w:t xml:space="preserve">should </w:t>
      </w:r>
      <w:r>
        <w:t>look to build on these foundations and the work progressed by various bodies to better meet the needs of the community through the lens of quality, value and evidence.</w:t>
      </w:r>
    </w:p>
    <w:p w14:paraId="47EEE913" w14:textId="331A8A03" w:rsidR="0022666F" w:rsidRDefault="0022666F" w:rsidP="003537CD">
      <w:pPr>
        <w:pStyle w:val="ListParagraph"/>
        <w:ind w:left="709"/>
        <w:contextualSpacing w:val="0"/>
      </w:pPr>
      <w:r>
        <w:t>Priority areas of focus for improving models of care that respond to demand include:</w:t>
      </w:r>
    </w:p>
    <w:p w14:paraId="4B0FDFA8" w14:textId="1CA67551" w:rsidR="0022666F" w:rsidRDefault="009B41ED">
      <w:pPr>
        <w:pStyle w:val="ListParagraph"/>
        <w:numPr>
          <w:ilvl w:val="2"/>
          <w:numId w:val="84"/>
        </w:numPr>
        <w:ind w:left="1418"/>
        <w:contextualSpacing w:val="0"/>
      </w:pPr>
      <w:r>
        <w:t xml:space="preserve">The </w:t>
      </w:r>
      <w:r w:rsidR="0022666F">
        <w:t xml:space="preserve">17 clinical standards that have been developed and additional Standards that are under development by the ACSQHC </w:t>
      </w:r>
    </w:p>
    <w:p w14:paraId="34BF172F" w14:textId="4B476B7F" w:rsidR="0022666F" w:rsidRDefault="0022666F">
      <w:pPr>
        <w:pStyle w:val="ListParagraph"/>
        <w:numPr>
          <w:ilvl w:val="2"/>
          <w:numId w:val="84"/>
        </w:numPr>
        <w:ind w:left="1418"/>
        <w:contextualSpacing w:val="0"/>
      </w:pPr>
      <w:r>
        <w:t>Accelerating data sharing and governance across providers and with consumers</w:t>
      </w:r>
    </w:p>
    <w:p w14:paraId="25FB562D" w14:textId="6A5B6428" w:rsidR="0022666F" w:rsidRDefault="0022666F" w:rsidP="00C353EA">
      <w:pPr>
        <w:pStyle w:val="ListParagraph"/>
        <w:numPr>
          <w:ilvl w:val="2"/>
          <w:numId w:val="84"/>
        </w:numPr>
        <w:ind w:left="1418" w:hanging="142"/>
        <w:contextualSpacing w:val="0"/>
      </w:pPr>
      <w:r>
        <w:t xml:space="preserve">Developing bundles of care for discrete patient needs, for example related to </w:t>
      </w:r>
      <w:r w:rsidR="0024768D">
        <w:t xml:space="preserve">uncomplicated maternity care, </w:t>
      </w:r>
      <w:r w:rsidR="009A1F2F">
        <w:t xml:space="preserve">hip </w:t>
      </w:r>
      <w:r w:rsidR="0024768D">
        <w:t>and knee replacement</w:t>
      </w:r>
      <w:r w:rsidR="009A1F2F">
        <w:t xml:space="preserve"> or stroke</w:t>
      </w:r>
      <w:r w:rsidR="0024768D">
        <w:t>,</w:t>
      </w:r>
      <w:r>
        <w:t xml:space="preserve"> where a package of care is defined to drive improvements in quality, value and cost.</w:t>
      </w:r>
    </w:p>
    <w:p w14:paraId="3625C03C" w14:textId="22C0CFF4" w:rsidR="0022666F" w:rsidRDefault="0022666F">
      <w:pPr>
        <w:pStyle w:val="ListParagraph"/>
        <w:numPr>
          <w:ilvl w:val="1"/>
          <w:numId w:val="84"/>
        </w:numPr>
        <w:ind w:left="709"/>
        <w:contextualSpacing w:val="0"/>
      </w:pPr>
      <w:r>
        <w:rPr>
          <w:b/>
          <w:bCs/>
        </w:rPr>
        <w:t>Shapes demand</w:t>
      </w:r>
      <w:r>
        <w:t xml:space="preserve"> – </w:t>
      </w:r>
      <w:r w:rsidR="00F90D61">
        <w:t xml:space="preserve">encouraging </w:t>
      </w:r>
      <w:r>
        <w:t xml:space="preserve">health systems to plan for, and develop services and processes, that better meet the needs of the community earlier in </w:t>
      </w:r>
      <w:r w:rsidR="00C353EA">
        <w:t xml:space="preserve">a </w:t>
      </w:r>
      <w:r>
        <w:t>care pathway, reducing the reliance on acute care interventions.</w:t>
      </w:r>
      <w:r w:rsidR="00455AD9">
        <w:t xml:space="preserve"> </w:t>
      </w:r>
      <w:r>
        <w:t xml:space="preserve">This call on acute capacity coupled with known demographic and non-demographic growth pressures </w:t>
      </w:r>
      <w:r w:rsidR="009A1F2F">
        <w:t xml:space="preserve">is </w:t>
      </w:r>
      <w:r>
        <w:t>a useful starting point to develop better models of care. The priority areas of focus identified to the Review include models that seek to:</w:t>
      </w:r>
    </w:p>
    <w:p w14:paraId="7316FCCF" w14:textId="4A1BB1C6" w:rsidR="0022666F" w:rsidRDefault="005D55A0">
      <w:pPr>
        <w:pStyle w:val="ListParagraph"/>
        <w:numPr>
          <w:ilvl w:val="2"/>
          <w:numId w:val="84"/>
        </w:numPr>
        <w:ind w:left="1418"/>
        <w:contextualSpacing w:val="0"/>
      </w:pPr>
      <w:r w:rsidRPr="00E51C14">
        <w:rPr>
          <w:b/>
          <w:bCs/>
        </w:rPr>
        <w:t>Reduc</w:t>
      </w:r>
      <w:r w:rsidR="0078176F" w:rsidRPr="00E51C14">
        <w:rPr>
          <w:b/>
          <w:bCs/>
        </w:rPr>
        <w:t>e</w:t>
      </w:r>
      <w:r w:rsidR="00A320BF" w:rsidRPr="00E51C14" w:rsidDel="00000282">
        <w:rPr>
          <w:b/>
          <w:bCs/>
        </w:rPr>
        <w:t xml:space="preserve"> </w:t>
      </w:r>
      <w:r w:rsidR="00000282">
        <w:rPr>
          <w:b/>
          <w:bCs/>
        </w:rPr>
        <w:t>potentially preventable hospitalisations (PPH)</w:t>
      </w:r>
      <w:r w:rsidR="00000282" w:rsidRPr="00E51C14">
        <w:rPr>
          <w:b/>
          <w:bCs/>
        </w:rPr>
        <w:t xml:space="preserve"> </w:t>
      </w:r>
      <w:r w:rsidR="00A320BF" w:rsidRPr="00E51C14">
        <w:rPr>
          <w:b/>
          <w:bCs/>
        </w:rPr>
        <w:t>as reported by the AIHW</w:t>
      </w:r>
      <w:r w:rsidR="00E51C14">
        <w:t>: Almost 50% of all PPHs are for five common conditions</w:t>
      </w:r>
      <w:r w:rsidR="00E51C14" w:rsidDel="00735B30">
        <w:t xml:space="preserve"> </w:t>
      </w:r>
      <w:r w:rsidR="00735B30">
        <w:t xml:space="preserve">(see </w:t>
      </w:r>
      <w:r w:rsidR="00C353EA">
        <w:t>Observation</w:t>
      </w:r>
      <w:r w:rsidR="00D70014">
        <w:t>: Healthcare Variations and Cost</w:t>
      </w:r>
      <w:r w:rsidR="00735B30">
        <w:t>)</w:t>
      </w:r>
      <w:r w:rsidR="000B209D" w:rsidRPr="000B209D">
        <w:rPr>
          <w:rFonts w:cstheme="minorHAnsi"/>
          <w:vertAlign w:val="superscript"/>
        </w:rPr>
        <w:fldChar w:fldCharType="begin"/>
      </w:r>
      <w:r w:rsidR="000B209D" w:rsidRPr="000B209D">
        <w:rPr>
          <w:vertAlign w:val="superscript"/>
        </w:rPr>
        <w:instrText xml:space="preserve"> NOTEREF _Ref146726223 \h </w:instrText>
      </w:r>
      <w:r w:rsidR="000B209D">
        <w:rPr>
          <w:rFonts w:cstheme="minorHAnsi"/>
          <w:vertAlign w:val="superscript"/>
        </w:rPr>
        <w:instrText xml:space="preserve"> \* MERGEFORMAT </w:instrText>
      </w:r>
      <w:r w:rsidR="000B209D" w:rsidRPr="000B209D">
        <w:rPr>
          <w:rFonts w:cstheme="minorHAnsi"/>
          <w:vertAlign w:val="superscript"/>
        </w:rPr>
      </w:r>
      <w:r w:rsidR="000B209D" w:rsidRPr="000B209D">
        <w:rPr>
          <w:rFonts w:cstheme="minorHAnsi"/>
          <w:vertAlign w:val="superscript"/>
        </w:rPr>
        <w:fldChar w:fldCharType="separate"/>
      </w:r>
      <w:r w:rsidR="003F5D51">
        <w:rPr>
          <w:vertAlign w:val="superscript"/>
        </w:rPr>
        <w:t>120</w:t>
      </w:r>
      <w:r w:rsidR="000B209D" w:rsidRPr="000B209D">
        <w:rPr>
          <w:rFonts w:cstheme="minorHAnsi"/>
          <w:vertAlign w:val="superscript"/>
        </w:rPr>
        <w:fldChar w:fldCharType="end"/>
      </w:r>
      <w:r w:rsidR="000B209D">
        <w:rPr>
          <w:rFonts w:cstheme="minorHAnsi"/>
        </w:rPr>
        <w:t>.</w:t>
      </w:r>
      <w:r w:rsidR="00354C92">
        <w:rPr>
          <w:rFonts w:cstheme="minorHAnsi"/>
        </w:rPr>
        <w:t xml:space="preserve"> While clinical pathways have been developed to lower admission rates, they have not been consistently implemented across Australia</w:t>
      </w:r>
      <w:r w:rsidR="00605BCC" w:rsidRPr="00605BCC">
        <w:rPr>
          <w:rFonts w:cstheme="minorHAnsi"/>
          <w:vertAlign w:val="superscript"/>
        </w:rPr>
        <w:fldChar w:fldCharType="begin"/>
      </w:r>
      <w:r w:rsidR="00605BCC" w:rsidRPr="00605BCC">
        <w:rPr>
          <w:rFonts w:cstheme="minorHAnsi"/>
          <w:vertAlign w:val="superscript"/>
        </w:rPr>
        <w:instrText xml:space="preserve"> NOTEREF _Ref146726223 \h </w:instrText>
      </w:r>
      <w:r w:rsidR="00605BCC">
        <w:rPr>
          <w:rFonts w:cstheme="minorHAnsi"/>
          <w:vertAlign w:val="superscript"/>
        </w:rPr>
        <w:instrText xml:space="preserve"> \* MERGEFORMAT </w:instrText>
      </w:r>
      <w:r w:rsidR="00605BCC" w:rsidRPr="00605BCC">
        <w:rPr>
          <w:rFonts w:cstheme="minorHAnsi"/>
          <w:vertAlign w:val="superscript"/>
        </w:rPr>
      </w:r>
      <w:r w:rsidR="00605BCC" w:rsidRPr="00605BCC">
        <w:rPr>
          <w:rFonts w:cstheme="minorHAnsi"/>
          <w:vertAlign w:val="superscript"/>
        </w:rPr>
        <w:fldChar w:fldCharType="separate"/>
      </w:r>
      <w:r w:rsidR="003F5D51">
        <w:rPr>
          <w:rFonts w:cstheme="minorHAnsi"/>
          <w:vertAlign w:val="superscript"/>
        </w:rPr>
        <w:t>120</w:t>
      </w:r>
      <w:r w:rsidR="00605BCC" w:rsidRPr="00605BCC">
        <w:rPr>
          <w:rFonts w:cstheme="minorHAnsi"/>
          <w:vertAlign w:val="superscript"/>
        </w:rPr>
        <w:fldChar w:fldCharType="end"/>
      </w:r>
      <w:r w:rsidR="00354C92">
        <w:rPr>
          <w:rFonts w:cstheme="minorHAnsi"/>
        </w:rPr>
        <w:t xml:space="preserve">. Innovative models of care that </w:t>
      </w:r>
      <w:r w:rsidR="00354C92">
        <w:t>more effectively prevent and manage these</w:t>
      </w:r>
      <w:r w:rsidR="00E51C14" w:rsidRPr="000A3ED7">
        <w:t xml:space="preserve"> </w:t>
      </w:r>
      <w:r w:rsidR="00E51C14">
        <w:t xml:space="preserve">five </w:t>
      </w:r>
      <w:r w:rsidR="00E51C14" w:rsidRPr="000A3ED7">
        <w:t>conditions</w:t>
      </w:r>
      <w:r w:rsidR="00354C92">
        <w:t xml:space="preserve"> </w:t>
      </w:r>
      <w:r w:rsidR="007B15F9">
        <w:t xml:space="preserve">(acute and chronic) </w:t>
      </w:r>
      <w:r w:rsidR="00354C92">
        <w:t>have the potential to significantly reduce the rate of PPH</w:t>
      </w:r>
      <w:r w:rsidR="00E51C14" w:rsidRPr="00A32CDA">
        <w:t>.</w:t>
      </w:r>
    </w:p>
    <w:p w14:paraId="4FE3F699" w14:textId="10315579" w:rsidR="0022666F" w:rsidRDefault="0022666F">
      <w:pPr>
        <w:pStyle w:val="ListParagraph"/>
        <w:numPr>
          <w:ilvl w:val="2"/>
          <w:numId w:val="84"/>
        </w:numPr>
        <w:ind w:left="1418"/>
        <w:contextualSpacing w:val="0"/>
      </w:pPr>
      <w:r w:rsidRPr="00354C92">
        <w:rPr>
          <w:b/>
          <w:bCs/>
        </w:rPr>
        <w:t>Address frail elderly care</w:t>
      </w:r>
      <w:r w:rsidR="00354C92">
        <w:t xml:space="preserve">: </w:t>
      </w:r>
      <w:r w:rsidR="0081468C">
        <w:t>Frailty develops because of age-related decline, which results in vulnerability to sudden health status changes triggered by relatively minor stressor events. It is estimated that a quarter to half of people over 85 years are frail, and these people have significantly increased risk of falls, disability, long-term care and death</w:t>
      </w:r>
      <w:r w:rsidR="003F5D51">
        <w:rPr>
          <w:rFonts w:ascii="ZWAdobeF" w:hAnsi="ZWAdobeF" w:cs="ZWAdobeF"/>
          <w:sz w:val="2"/>
          <w:szCs w:val="2"/>
        </w:rPr>
        <w:t>116F</w:t>
      </w:r>
      <w:r w:rsidR="0049203F">
        <w:rPr>
          <w:rStyle w:val="FootnoteReference"/>
        </w:rPr>
        <w:footnoteReference w:id="118"/>
      </w:r>
      <w:r w:rsidR="0081468C">
        <w:t xml:space="preserve">. </w:t>
      </w:r>
      <w:r w:rsidR="0026290C">
        <w:t xml:space="preserve">More holistic and </w:t>
      </w:r>
      <w:r w:rsidR="00737CB6">
        <w:t>wellness-focused</w:t>
      </w:r>
      <w:r w:rsidR="0026290C">
        <w:t xml:space="preserve"> </w:t>
      </w:r>
      <w:r w:rsidR="007E5AFD">
        <w:t>models</w:t>
      </w:r>
      <w:r w:rsidR="0081468C">
        <w:t xml:space="preserve"> of care that </w:t>
      </w:r>
      <w:r w:rsidR="006A68A4">
        <w:t>involve education, enablement and rehabilitation to optimise function</w:t>
      </w:r>
      <w:r w:rsidR="0081468C">
        <w:t xml:space="preserve"> in older people can reduce PPHs</w:t>
      </w:r>
      <w:r w:rsidR="003F5D51">
        <w:rPr>
          <w:rFonts w:ascii="ZWAdobeF" w:hAnsi="ZWAdobeF" w:cs="ZWAdobeF"/>
          <w:sz w:val="2"/>
          <w:szCs w:val="2"/>
        </w:rPr>
        <w:t>117F</w:t>
      </w:r>
      <w:r w:rsidR="002427EC">
        <w:rPr>
          <w:rStyle w:val="FootnoteReference"/>
        </w:rPr>
        <w:footnoteReference w:id="119"/>
      </w:r>
      <w:r w:rsidR="0081468C">
        <w:t>.</w:t>
      </w:r>
    </w:p>
    <w:p w14:paraId="77781F20" w14:textId="4FA8B30F" w:rsidR="0022666F" w:rsidRDefault="0022666F">
      <w:pPr>
        <w:pStyle w:val="ListParagraph"/>
        <w:numPr>
          <w:ilvl w:val="2"/>
          <w:numId w:val="84"/>
        </w:numPr>
        <w:ind w:left="1418"/>
        <w:contextualSpacing w:val="0"/>
      </w:pPr>
      <w:r w:rsidRPr="001B311E">
        <w:rPr>
          <w:b/>
          <w:bCs/>
        </w:rPr>
        <w:t>Improve primary and emergency care</w:t>
      </w:r>
      <w:r w:rsidR="001B311E">
        <w:t xml:space="preserve">: </w:t>
      </w:r>
      <w:r w:rsidR="006E4430">
        <w:t>Increasing the availability and effectiveness of primary health care</w:t>
      </w:r>
      <w:r w:rsidR="00D106EF">
        <w:t xml:space="preserve"> to provide more continuous and coordinated care across healthcare settings can reduce the number of PPH</w:t>
      </w:r>
      <w:r w:rsidR="001F5AAA">
        <w:t>s</w:t>
      </w:r>
      <w:r w:rsidR="003F5D51">
        <w:rPr>
          <w:rFonts w:ascii="ZWAdobeF" w:hAnsi="ZWAdobeF" w:cs="ZWAdobeF"/>
          <w:sz w:val="2"/>
          <w:szCs w:val="2"/>
        </w:rPr>
        <w:t>118F</w:t>
      </w:r>
      <w:r w:rsidR="001F5AAA">
        <w:rPr>
          <w:rStyle w:val="FootnoteReference"/>
        </w:rPr>
        <w:footnoteReference w:id="120"/>
      </w:r>
      <w:r w:rsidR="00D106EF">
        <w:t>.</w:t>
      </w:r>
      <w:r w:rsidR="006E4430">
        <w:t xml:space="preserve"> </w:t>
      </w:r>
      <w:r w:rsidR="00C6241D">
        <w:t>Additionally, m</w:t>
      </w:r>
      <w:r w:rsidR="003D07E7">
        <w:t>odels of care that provide</w:t>
      </w:r>
      <w:r w:rsidR="00CD3DDE">
        <w:t xml:space="preserve"> </w:t>
      </w:r>
      <w:r w:rsidR="00E5351B">
        <w:t>urgent care</w:t>
      </w:r>
      <w:r w:rsidR="00CD3DDE">
        <w:t xml:space="preserve"> services virtually or </w:t>
      </w:r>
      <w:r w:rsidR="004060F8">
        <w:t>outside the hospital can</w:t>
      </w:r>
      <w:r w:rsidR="009752CC">
        <w:t xml:space="preserve"> minimise </w:t>
      </w:r>
      <w:r w:rsidR="00C6241D">
        <w:t xml:space="preserve">unnecessary </w:t>
      </w:r>
      <w:r w:rsidR="003D07E7">
        <w:t>presentations</w:t>
      </w:r>
      <w:r w:rsidR="00C6241D">
        <w:t xml:space="preserve"> to ED</w:t>
      </w:r>
      <w:r w:rsidR="00536D93">
        <w:t xml:space="preserve"> (see </w:t>
      </w:r>
      <w:r w:rsidR="009F017E">
        <w:t>Case Study</w:t>
      </w:r>
      <w:r w:rsidR="00536D93">
        <w:t>: South Australia</w:t>
      </w:r>
      <w:r w:rsidR="002A637B">
        <w:t>n</w:t>
      </w:r>
      <w:r w:rsidR="00536D93">
        <w:t xml:space="preserve"> Virtual Care Services)</w:t>
      </w:r>
      <w:r w:rsidR="003D07E7">
        <w:t>.</w:t>
      </w:r>
    </w:p>
    <w:tbl>
      <w:tblPr>
        <w:tblStyle w:val="TableGrid"/>
        <w:tblW w:w="10485" w:type="dxa"/>
        <w:tblBorders>
          <w:top w:val="dashSmallGap" w:sz="4" w:space="0" w:color="8496B0" w:themeColor="text2" w:themeTint="99"/>
          <w:left w:val="dashSmallGap" w:sz="4" w:space="0" w:color="8496B0" w:themeColor="text2" w:themeTint="99"/>
          <w:bottom w:val="dashSmallGap" w:sz="4" w:space="0" w:color="8496B0" w:themeColor="text2" w:themeTint="99"/>
          <w:right w:val="dashSmallGap" w:sz="4" w:space="0" w:color="8496B0" w:themeColor="text2" w:themeTint="99"/>
        </w:tblBorders>
        <w:tblLook w:val="04A0" w:firstRow="1" w:lastRow="0" w:firstColumn="1" w:lastColumn="0" w:noHBand="0" w:noVBand="1"/>
      </w:tblPr>
      <w:tblGrid>
        <w:gridCol w:w="10485"/>
      </w:tblGrid>
      <w:tr w:rsidR="00A44A43" w:rsidRPr="007B0294" w14:paraId="6206BA73" w14:textId="77777777" w:rsidTr="00F74F02">
        <w:trPr>
          <w:cnfStyle w:val="100000000000" w:firstRow="1" w:lastRow="0" w:firstColumn="0" w:lastColumn="0" w:oddVBand="0" w:evenVBand="0" w:oddHBand="0" w:evenHBand="0" w:firstRowFirstColumn="0" w:firstRowLastColumn="0" w:lastRowFirstColumn="0" w:lastRowLastColumn="0"/>
        </w:trPr>
        <w:tc>
          <w:tcPr>
            <w:tcW w:w="1048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06F852B" w14:textId="43BD9E8F" w:rsidR="00A44A43" w:rsidRPr="00B77318" w:rsidRDefault="00B77318">
            <w:pPr>
              <w:pStyle w:val="Summarytable"/>
              <w:rPr>
                <w:color w:val="8496B0" w:themeColor="text2" w:themeTint="99"/>
              </w:rPr>
            </w:pPr>
            <w:r w:rsidRPr="005376F5">
              <w:rPr>
                <w:noProof/>
                <w:color w:val="8496B0" w:themeColor="text2" w:themeTint="99"/>
                <w:lang w:val="en-GB"/>
              </w:rPr>
              <w:drawing>
                <wp:inline distT="0" distB="0" distL="0" distR="0" wp14:anchorId="369541B9" wp14:editId="11333384">
                  <wp:extent cx="270000" cy="270000"/>
                  <wp:effectExtent l="0" t="0" r="0" b="0"/>
                  <wp:docPr id="17" name="Graphic 17" descr="P1503C1T6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P1503C1T65#yIS1"/>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70000" cy="270000"/>
                          </a:xfrm>
                          <a:prstGeom prst="rect">
                            <a:avLst/>
                          </a:prstGeom>
                        </pic:spPr>
                      </pic:pic>
                    </a:graphicData>
                  </a:graphic>
                </wp:inline>
              </w:drawing>
            </w:r>
            <w:r w:rsidR="00C353EA" w:rsidRPr="007E6224">
              <w:rPr>
                <w:color w:val="5B708F"/>
              </w:rPr>
              <w:t>Observation</w:t>
            </w:r>
            <w:r w:rsidR="00A44A43" w:rsidRPr="007E6224">
              <w:rPr>
                <w:color w:val="5B708F"/>
              </w:rPr>
              <w:t xml:space="preserve">: </w:t>
            </w:r>
            <w:r w:rsidR="00A44A43" w:rsidRPr="007E6224">
              <w:rPr>
                <w:b w:val="0"/>
                <w:bCs w:val="0"/>
                <w:color w:val="5B708F"/>
              </w:rPr>
              <w:t>Healthcare Variations and Cost</w:t>
            </w:r>
          </w:p>
          <w:p w14:paraId="415481DC" w14:textId="15EA37D2" w:rsidR="00A44A43" w:rsidRPr="00673CDC" w:rsidRDefault="00A44A43">
            <w:pPr>
              <w:pStyle w:val="Summarytable"/>
              <w:rPr>
                <w:b w:val="0"/>
                <w:bCs w:val="0"/>
                <w:lang w:val="en-GB"/>
              </w:rPr>
            </w:pPr>
            <w:r w:rsidRPr="00B755E4">
              <w:rPr>
                <w:b w:val="0"/>
                <w:bCs w:val="0"/>
                <w:lang w:val="en-GB"/>
              </w:rPr>
              <w:t xml:space="preserve">The </w:t>
            </w:r>
            <w:r>
              <w:rPr>
                <w:b w:val="0"/>
                <w:bCs w:val="0"/>
                <w:lang w:val="en-GB"/>
              </w:rPr>
              <w:t xml:space="preserve">Fourth </w:t>
            </w:r>
            <w:r w:rsidRPr="00B755E4">
              <w:rPr>
                <w:b w:val="0"/>
                <w:bCs w:val="0"/>
                <w:lang w:val="en-GB"/>
              </w:rPr>
              <w:t xml:space="preserve">Australian Atlas of Healthcare Variation </w:t>
            </w:r>
            <w:r>
              <w:rPr>
                <w:b w:val="0"/>
                <w:bCs w:val="0"/>
                <w:lang w:val="en-GB"/>
              </w:rPr>
              <w:t xml:space="preserve">reported more than 330,000 potentially preventable hospitalisations in Australia in </w:t>
            </w:r>
            <w:r w:rsidR="00205F37">
              <w:rPr>
                <w:b w:val="0"/>
                <w:bCs w:val="0"/>
                <w:lang w:val="en-GB"/>
              </w:rPr>
              <w:t>2019-20</w:t>
            </w:r>
            <w:r>
              <w:rPr>
                <w:b w:val="0"/>
                <w:bCs w:val="0"/>
                <w:lang w:val="en-GB"/>
              </w:rPr>
              <w:t xml:space="preserve"> were due to five conditions: heart failure, chronic obstructive pulmonary disease, diabetes, cellulitis and kidney and urinary tract infections</w:t>
            </w:r>
            <w:bookmarkStart w:id="245" w:name="_Ref146726223"/>
            <w:r w:rsidR="003F5D51">
              <w:rPr>
                <w:rFonts w:ascii="ZWAdobeF" w:hAnsi="ZWAdobeF" w:cs="ZWAdobeF"/>
                <w:b w:val="0"/>
                <w:bCs w:val="0"/>
                <w:sz w:val="2"/>
                <w:szCs w:val="2"/>
                <w:lang w:val="en-GB"/>
              </w:rPr>
              <w:t>119F</w:t>
            </w:r>
            <w:r>
              <w:rPr>
                <w:rStyle w:val="FootnoteReference"/>
                <w:b w:val="0"/>
                <w:bCs w:val="0"/>
              </w:rPr>
              <w:footnoteReference w:id="121"/>
            </w:r>
            <w:bookmarkEnd w:id="245"/>
            <w:r>
              <w:rPr>
                <w:b w:val="0"/>
                <w:bCs w:val="0"/>
                <w:lang w:val="en-GB"/>
              </w:rPr>
              <w:t xml:space="preserve">. The ASCQHC has reported that, by improving the management of these five conditions through clinical pathways focused on lowering admission rates, the Australian public hospital system could potentially have avoided 330,000 hospitalisations, representing 1.6 million bed days and $2.1 billion in total hospital expenditure in </w:t>
            </w:r>
            <w:r w:rsidR="00205F37">
              <w:rPr>
                <w:b w:val="0"/>
                <w:bCs w:val="0"/>
                <w:lang w:val="en-GB"/>
              </w:rPr>
              <w:t>2019-20</w:t>
            </w:r>
            <w:r>
              <w:rPr>
                <w:b w:val="0"/>
                <w:bCs w:val="0"/>
                <w:lang w:val="en-GB"/>
              </w:rPr>
              <w:t>.</w:t>
            </w:r>
          </w:p>
        </w:tc>
      </w:tr>
    </w:tbl>
    <w:p w14:paraId="2BDBF5C0" w14:textId="77777777" w:rsidR="00A44A43" w:rsidRDefault="00A44A43" w:rsidP="0022666F"/>
    <w:p w14:paraId="564EFCC5" w14:textId="79311E87" w:rsidR="0022666F" w:rsidRDefault="0022666F" w:rsidP="0022666F">
      <w:r>
        <w:t xml:space="preserve">To </w:t>
      </w:r>
      <w:r w:rsidR="00514FF3" w:rsidRPr="00514FF3">
        <w:t>better respond to</w:t>
      </w:r>
      <w:r w:rsidR="00514FF3">
        <w:t>,</w:t>
      </w:r>
      <w:r w:rsidR="00514FF3" w:rsidRPr="00514FF3">
        <w:t xml:space="preserve"> and shape</w:t>
      </w:r>
      <w:r w:rsidR="00514FF3">
        <w:t>,</w:t>
      </w:r>
      <w:r w:rsidR="00514FF3" w:rsidRPr="00514FF3">
        <w:t xml:space="preserve"> demand</w:t>
      </w:r>
      <w:r>
        <w:t xml:space="preserve"> it is essential that there are enabling features in place that require the collaboration of all health system participants:</w:t>
      </w:r>
    </w:p>
    <w:p w14:paraId="28CC633C" w14:textId="1B627F0F" w:rsidR="0022666F" w:rsidRDefault="00D7542C" w:rsidP="0022666F">
      <w:pPr>
        <w:pStyle w:val="Longdotpoints"/>
        <w:ind w:left="567"/>
      </w:pPr>
      <w:r>
        <w:rPr>
          <w:b/>
        </w:rPr>
        <w:t xml:space="preserve">A pathways </w:t>
      </w:r>
      <w:r w:rsidR="0022666F">
        <w:rPr>
          <w:b/>
        </w:rPr>
        <w:t>approach</w:t>
      </w:r>
      <w:r w:rsidR="0022666F">
        <w:t xml:space="preserve">, which considers the end-to-end patient journey as a continuum between care settings and acuity levels and can be cyclical as well as stepped. This means that services </w:t>
      </w:r>
      <w:r w:rsidR="009B41ED">
        <w:t>wrap</w:t>
      </w:r>
      <w:r w:rsidR="0022666F">
        <w:t xml:space="preserve"> around </w:t>
      </w:r>
      <w:r w:rsidR="009B41ED">
        <w:t xml:space="preserve">a </w:t>
      </w:r>
      <w:r w:rsidR="0022666F">
        <w:t xml:space="preserve">patient based on their individual </w:t>
      </w:r>
      <w:r w:rsidR="009B41ED">
        <w:t xml:space="preserve">care </w:t>
      </w:r>
      <w:r w:rsidR="0022666F">
        <w:t>needs.</w:t>
      </w:r>
    </w:p>
    <w:p w14:paraId="4407ABDF" w14:textId="09F4BEC0" w:rsidR="0022666F" w:rsidRDefault="0022666F" w:rsidP="0022666F">
      <w:pPr>
        <w:pStyle w:val="Longdotpoints"/>
        <w:ind w:left="567"/>
      </w:pPr>
      <w:r>
        <w:rPr>
          <w:b/>
        </w:rPr>
        <w:t>National financing and governance</w:t>
      </w:r>
      <w:r>
        <w:t>,</w:t>
      </w:r>
      <w:r w:rsidR="00D7542C">
        <w:t xml:space="preserve"> to</w:t>
      </w:r>
      <w:r>
        <w:t xml:space="preserve"> oversee the allocation of total funding and activity across the healthcare continuum. This will hold the patient at the centre and incentivise </w:t>
      </w:r>
      <w:r w:rsidR="009F017E">
        <w:t xml:space="preserve">a </w:t>
      </w:r>
      <w:r>
        <w:t xml:space="preserve">drive towards optimal health outcomes rather than input units, </w:t>
      </w:r>
      <w:r w:rsidR="009B41ED">
        <w:t>enhancing</w:t>
      </w:r>
      <w:r>
        <w:t xml:space="preserve"> allocative efficiency.</w:t>
      </w:r>
    </w:p>
    <w:p w14:paraId="755950E4" w14:textId="395E2969" w:rsidR="0022666F" w:rsidRDefault="0022666F" w:rsidP="0022666F">
      <w:pPr>
        <w:pStyle w:val="Longdotpoints"/>
        <w:ind w:left="567"/>
      </w:pPr>
      <w:r>
        <w:rPr>
          <w:b/>
        </w:rPr>
        <w:t>Long</w:t>
      </w:r>
      <w:r w:rsidR="009B41ED">
        <w:rPr>
          <w:b/>
        </w:rPr>
        <w:t>-</w:t>
      </w:r>
      <w:r>
        <w:rPr>
          <w:b/>
        </w:rPr>
        <w:t>term funding models</w:t>
      </w:r>
      <w:r>
        <w:t>, which enable the investment of required capacity, capability and capital to establish and operate health services. This can take the form of incentivising hospital avoidance activities or enabling investment in digital technologies to establish and deliver virtual care services delivered out of hospital (refer to case study below). This should draw upon existing funding streams (i.e., ABF, Block, MBS and/or PBS) to design and implement the refined model.</w:t>
      </w:r>
    </w:p>
    <w:p w14:paraId="4713C128" w14:textId="77777777" w:rsidR="000027FD" w:rsidRDefault="0022666F" w:rsidP="0022666F">
      <w:pPr>
        <w:pStyle w:val="Longdotpoints"/>
        <w:ind w:left="567"/>
      </w:pPr>
      <w:r>
        <w:rPr>
          <w:b/>
        </w:rPr>
        <w:t>Priority groups identified</w:t>
      </w:r>
      <w:r>
        <w:t>, so that initial allocation of funding can coordinate the funding reform, data sharing, transparency and accountability components which will be essential for driving towards sustainable change.</w:t>
      </w:r>
    </w:p>
    <w:p w14:paraId="3DCB3EC7" w14:textId="1D2D1DBD" w:rsidR="00FC1717" w:rsidRDefault="00FC1717" w:rsidP="000027FD">
      <w:pPr>
        <w:pStyle w:val="Longdotpoints"/>
        <w:ind w:left="567"/>
      </w:pPr>
      <w:r w:rsidRPr="000027FD">
        <w:rPr>
          <w:b/>
        </w:rPr>
        <w:t xml:space="preserve">Co-commissioning of services by PHNs, LHNs </w:t>
      </w:r>
      <w:r w:rsidR="00E4492A">
        <w:rPr>
          <w:b/>
        </w:rPr>
        <w:t xml:space="preserve">and ACCHOs </w:t>
      </w:r>
      <w:r w:rsidRPr="000027FD">
        <w:rPr>
          <w:b/>
        </w:rPr>
        <w:t>in conjunction with acute health services</w:t>
      </w:r>
      <w:r>
        <w:t xml:space="preserve"> (covered in section </w:t>
      </w:r>
      <w:r w:rsidRPr="000027FD">
        <w:rPr>
          <w:highlight w:val="yellow"/>
        </w:rPr>
        <w:fldChar w:fldCharType="begin" w:fldLock="1"/>
      </w:r>
      <w:r>
        <w:instrText xml:space="preserve"> REF _Ref146090650 \w \h </w:instrText>
      </w:r>
      <w:r w:rsidRPr="000027FD">
        <w:rPr>
          <w:highlight w:val="yellow"/>
        </w:rPr>
      </w:r>
      <w:r w:rsidRPr="000027FD">
        <w:rPr>
          <w:highlight w:val="yellow"/>
        </w:rPr>
        <w:fldChar w:fldCharType="separate"/>
      </w:r>
      <w:r w:rsidR="00FA10A4">
        <w:t>5.2</w:t>
      </w:r>
      <w:r w:rsidRPr="000027FD">
        <w:rPr>
          <w:highlight w:val="yellow"/>
        </w:rPr>
        <w:fldChar w:fldCharType="end"/>
      </w:r>
      <w:r>
        <w:t>) has been noted as an opportunity to bring greater coordination across funding streams. This can further align funding streams and patient outcomes across the continuum of care through more efficient allocation of resources and activity. This coordination of commissioning of services will need to consider key enablers to drive effective service planning and funding allocation decisions</w:t>
      </w:r>
      <w:r w:rsidR="00273828">
        <w:t>.</w:t>
      </w:r>
    </w:p>
    <w:tbl>
      <w:tblPr>
        <w:tblStyle w:val="TableGrid"/>
        <w:tblW w:w="0" w:type="auto"/>
        <w:tblBorders>
          <w:top w:val="dotted" w:sz="4" w:space="0" w:color="0097A9" w:themeColor="accent5"/>
          <w:left w:val="dotted" w:sz="4" w:space="0" w:color="0097A9" w:themeColor="accent5"/>
          <w:bottom w:val="dotted" w:sz="4" w:space="0" w:color="0097A9" w:themeColor="accent5"/>
          <w:right w:val="dotted" w:sz="4" w:space="0" w:color="0097A9" w:themeColor="accent5"/>
        </w:tblBorders>
        <w:tblLook w:val="04A0" w:firstRow="1" w:lastRow="0" w:firstColumn="1" w:lastColumn="0" w:noHBand="0" w:noVBand="1"/>
      </w:tblPr>
      <w:tblGrid>
        <w:gridCol w:w="10456"/>
      </w:tblGrid>
      <w:tr w:rsidR="00273828" w14:paraId="0556EC8E" w14:textId="77777777" w:rsidTr="001E118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7FA9F63" w14:textId="64666423" w:rsidR="00273828" w:rsidRPr="00BB2C81" w:rsidRDefault="00273828" w:rsidP="000D3D58">
            <w:pPr>
              <w:pStyle w:val="Summarytable"/>
              <w:keepNext/>
              <w:keepLines/>
              <w:rPr>
                <w:color w:val="00707E" w:themeColor="accent5" w:themeShade="BF"/>
              </w:rPr>
            </w:pPr>
            <w:r w:rsidRPr="005376F5">
              <w:rPr>
                <w:noProof/>
                <w:color w:val="00707E" w:themeColor="accent5" w:themeShade="BF"/>
              </w:rPr>
              <w:drawing>
                <wp:inline distT="0" distB="0" distL="0" distR="0" wp14:anchorId="72BDA4DA" wp14:editId="4D3466F0">
                  <wp:extent cx="270000" cy="270000"/>
                  <wp:effectExtent l="0" t="0" r="0" b="0"/>
                  <wp:docPr id="240" name="Graphic 240" descr="P1513C1T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Graphic 240" descr="P1513C1T66#yIS1"/>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270000" cy="270000"/>
                          </a:xfrm>
                          <a:prstGeom prst="rect">
                            <a:avLst/>
                          </a:prstGeom>
                        </pic:spPr>
                      </pic:pic>
                    </a:graphicData>
                  </a:graphic>
                </wp:inline>
              </w:drawing>
            </w:r>
            <w:r w:rsidRPr="005376F5">
              <w:rPr>
                <w:color w:val="00707E" w:themeColor="accent5" w:themeShade="BF"/>
              </w:rPr>
              <w:t>Case study:</w:t>
            </w:r>
            <w:r w:rsidRPr="00BB2C81">
              <w:rPr>
                <w:color w:val="00707E" w:themeColor="accent5" w:themeShade="BF"/>
              </w:rPr>
              <w:t xml:space="preserve"> </w:t>
            </w:r>
            <w:r w:rsidRPr="006C5A0C">
              <w:rPr>
                <w:b w:val="0"/>
                <w:bCs w:val="0"/>
                <w:color w:val="00707E" w:themeColor="accent5" w:themeShade="BF"/>
              </w:rPr>
              <w:t>South Australian</w:t>
            </w:r>
            <w:r w:rsidRPr="00E07C24">
              <w:rPr>
                <w:b w:val="0"/>
                <w:bCs w:val="0"/>
                <w:color w:val="00707E" w:themeColor="accent5" w:themeShade="BF"/>
              </w:rPr>
              <w:t xml:space="preserve"> Virtual Care </w:t>
            </w:r>
            <w:r w:rsidRPr="006C5A0C">
              <w:rPr>
                <w:b w:val="0"/>
                <w:bCs w:val="0"/>
                <w:color w:val="00707E" w:themeColor="accent5" w:themeShade="BF"/>
              </w:rPr>
              <w:t>Services (SAVCS): virtual ED</w:t>
            </w:r>
          </w:p>
          <w:p w14:paraId="34C14001" w14:textId="77777777" w:rsidR="00273828" w:rsidRDefault="00273828" w:rsidP="00C2225F">
            <w:pPr>
              <w:ind w:left="142"/>
              <w:rPr>
                <w:b/>
                <w:bCs/>
              </w:rPr>
            </w:pPr>
            <w:r w:rsidRPr="00621D8B">
              <w:t>SAVCS was launched in December 2021, as a state-wide adult focused service. It provides a Virtual Emergency Service and a Regional Virtual Service from 8am to 10pm every day. It comprises a multi-disciplinary team of paramedics, medical consultants, nurses who interface with onsite clinicians.</w:t>
            </w:r>
          </w:p>
          <w:p w14:paraId="74C13230" w14:textId="23381907" w:rsidR="00273828" w:rsidRPr="00570C53" w:rsidRDefault="00D7542C" w:rsidP="00C2225F">
            <w:pPr>
              <w:ind w:left="142"/>
            </w:pPr>
            <w:r w:rsidRPr="00570C53">
              <w:t>Th</w:t>
            </w:r>
            <w:r>
              <w:t>is</w:t>
            </w:r>
            <w:r w:rsidRPr="00570C53">
              <w:t xml:space="preserve"> </w:t>
            </w:r>
            <w:r w:rsidR="00273828" w:rsidRPr="00570C53">
              <w:t xml:space="preserve">virtual ED model of care is providing rapid access to care for consumers, front-loading care delivery with senior clinical decision makers. The model has shown a positive impact on reduced inpatient hospitalisation and ED requirements. </w:t>
            </w:r>
          </w:p>
          <w:p w14:paraId="370CE917" w14:textId="281D233A" w:rsidR="00273828" w:rsidRPr="00B625FB" w:rsidRDefault="00273828" w:rsidP="00B625FB">
            <w:pPr>
              <w:ind w:left="142"/>
              <w:rPr>
                <w:b/>
                <w:bCs/>
              </w:rPr>
            </w:pPr>
            <w:r w:rsidRPr="00570C53">
              <w:t>Since its establishment, SAVCS has received over 15,000 referrals, with 85% coming from South Australia Ambulance Service. 80% of the calls received were without physical ED attendance and admission. It is estimated that SAVCS has released more than 80 inpatient beds.</w:t>
            </w:r>
          </w:p>
        </w:tc>
      </w:tr>
    </w:tbl>
    <w:p w14:paraId="1B651F62" w14:textId="77777777" w:rsidR="00273828" w:rsidRDefault="00273828" w:rsidP="00273828">
      <w:pPr>
        <w:pStyle w:val="Longdotpoints"/>
        <w:numPr>
          <w:ilvl w:val="0"/>
          <w:numId w:val="0"/>
        </w:numPr>
        <w:ind w:left="360" w:hanging="360"/>
      </w:pPr>
    </w:p>
    <w:tbl>
      <w:tblPr>
        <w:tblStyle w:val="TableGrid"/>
        <w:tblW w:w="0" w:type="auto"/>
        <w:shd w:val="clear" w:color="auto" w:fill="F2F2F2" w:themeFill="background1" w:themeFillShade="F2"/>
        <w:tblLook w:val="04A0" w:firstRow="1" w:lastRow="0" w:firstColumn="1" w:lastColumn="0" w:noHBand="0" w:noVBand="1"/>
      </w:tblPr>
      <w:tblGrid>
        <w:gridCol w:w="10466"/>
      </w:tblGrid>
      <w:tr w:rsidR="00FC1717" w14:paraId="4068C4BC" w14:textId="77777777" w:rsidTr="00741EB7">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tcPr>
          <w:p w14:paraId="39341B81" w14:textId="0D4671F8" w:rsidR="00FC1717" w:rsidRPr="00B754B6" w:rsidRDefault="00FC1717" w:rsidP="004706A4">
            <w:pPr>
              <w:pStyle w:val="Summarytable"/>
              <w:keepNext/>
              <w:keepLines/>
              <w:rPr>
                <w:b w:val="0"/>
                <w:color w:val="000000" w:themeColor="text1"/>
              </w:rPr>
            </w:pPr>
            <w:r w:rsidRPr="00F90CE5">
              <w:rPr>
                <w:noProof/>
                <w:color w:val="00707E" w:themeColor="accent5" w:themeShade="BF"/>
              </w:rPr>
              <w:drawing>
                <wp:inline distT="0" distB="0" distL="0" distR="0" wp14:anchorId="4177F235" wp14:editId="30A1369A">
                  <wp:extent cx="270000" cy="270000"/>
                  <wp:effectExtent l="0" t="0" r="0" b="0"/>
                  <wp:docPr id="41" name="Graphic 41" descr="P1519C1T6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P1519C1T67#yIS1"/>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70000" cy="270000"/>
                          </a:xfrm>
                          <a:prstGeom prst="rect">
                            <a:avLst/>
                          </a:prstGeom>
                        </pic:spPr>
                      </pic:pic>
                    </a:graphicData>
                  </a:graphic>
                </wp:inline>
              </w:drawing>
            </w:r>
            <w:r w:rsidRPr="00F90CE5">
              <w:rPr>
                <w:color w:val="00707E" w:themeColor="accent5" w:themeShade="BF"/>
              </w:rPr>
              <w:t>Recommendation</w:t>
            </w:r>
            <w:r>
              <w:rPr>
                <w:color w:val="00707E" w:themeColor="accent5" w:themeShade="BF"/>
              </w:rPr>
              <w:t xml:space="preserve"> </w:t>
            </w:r>
            <w:r w:rsidR="0050081F">
              <w:rPr>
                <w:color w:val="00707E" w:themeColor="accent5" w:themeShade="BF"/>
              </w:rPr>
              <w:t>11</w:t>
            </w:r>
            <w:r w:rsidRPr="00BB2C81">
              <w:rPr>
                <w:color w:val="00707E" w:themeColor="accent5" w:themeShade="BF"/>
              </w:rPr>
              <w:t>:</w:t>
            </w:r>
            <w:r>
              <w:rPr>
                <w:color w:val="00707E" w:themeColor="accent5" w:themeShade="BF"/>
              </w:rPr>
              <w:t xml:space="preserve"> </w:t>
            </w:r>
            <w:r w:rsidRPr="00B754B6">
              <w:rPr>
                <w:b w:val="0"/>
                <w:color w:val="000000" w:themeColor="text1"/>
              </w:rPr>
              <w:t xml:space="preserve">The NHRA should </w:t>
            </w:r>
            <w:r w:rsidR="00C82139">
              <w:rPr>
                <w:b w:val="0"/>
                <w:color w:val="000000" w:themeColor="text1"/>
              </w:rPr>
              <w:t>prioritise</w:t>
            </w:r>
            <w:r w:rsidR="00C403DE">
              <w:rPr>
                <w:b w:val="0"/>
                <w:color w:val="000000" w:themeColor="text1"/>
              </w:rPr>
              <w:t xml:space="preserve"> </w:t>
            </w:r>
            <w:r w:rsidR="009B41ED">
              <w:rPr>
                <w:bCs w:val="0"/>
                <w:color w:val="000000" w:themeColor="text1"/>
              </w:rPr>
              <w:t>the development of</w:t>
            </w:r>
            <w:r w:rsidR="009B41ED" w:rsidRPr="00E845AD">
              <w:rPr>
                <w:bCs w:val="0"/>
                <w:color w:val="000000" w:themeColor="text1"/>
              </w:rPr>
              <w:t xml:space="preserve"> </w:t>
            </w:r>
            <w:r w:rsidR="0037082A">
              <w:rPr>
                <w:bCs w:val="0"/>
                <w:color w:val="000000" w:themeColor="text1"/>
              </w:rPr>
              <w:t>optimal</w:t>
            </w:r>
            <w:r w:rsidR="009B41ED" w:rsidRPr="00E845AD">
              <w:rPr>
                <w:bCs w:val="0"/>
                <w:color w:val="000000" w:themeColor="text1"/>
              </w:rPr>
              <w:t xml:space="preserve"> </w:t>
            </w:r>
            <w:r w:rsidR="00E03A53" w:rsidRPr="00E845AD">
              <w:rPr>
                <w:bCs w:val="0"/>
                <w:color w:val="000000" w:themeColor="text1"/>
              </w:rPr>
              <w:t>models of care</w:t>
            </w:r>
            <w:r w:rsidR="00FD54F3">
              <w:rPr>
                <w:b w:val="0"/>
                <w:color w:val="000000" w:themeColor="text1"/>
              </w:rPr>
              <w:t>,</w:t>
            </w:r>
            <w:r w:rsidR="00E03A53">
              <w:rPr>
                <w:b w:val="0"/>
                <w:color w:val="000000" w:themeColor="text1"/>
              </w:rPr>
              <w:t xml:space="preserve"> </w:t>
            </w:r>
            <w:r w:rsidR="0037082A">
              <w:rPr>
                <w:b w:val="0"/>
                <w:color w:val="000000" w:themeColor="text1"/>
              </w:rPr>
              <w:t xml:space="preserve">using </w:t>
            </w:r>
            <w:r w:rsidR="00AD1437">
              <w:rPr>
                <w:b w:val="0"/>
                <w:color w:val="000000" w:themeColor="text1"/>
              </w:rPr>
              <w:t>agreed</w:t>
            </w:r>
            <w:r w:rsidR="0037082A">
              <w:rPr>
                <w:b w:val="0"/>
                <w:color w:val="000000" w:themeColor="text1"/>
              </w:rPr>
              <w:t xml:space="preserve"> innovative financing mechanisms, </w:t>
            </w:r>
            <w:r w:rsidRPr="00B754B6">
              <w:rPr>
                <w:b w:val="0"/>
                <w:color w:val="000000" w:themeColor="text1"/>
              </w:rPr>
              <w:t>through</w:t>
            </w:r>
            <w:r>
              <w:rPr>
                <w:b w:val="0"/>
                <w:bCs w:val="0"/>
                <w:color w:val="000000" w:themeColor="text1"/>
              </w:rPr>
              <w:t>:</w:t>
            </w:r>
          </w:p>
          <w:p w14:paraId="415C2907" w14:textId="61A4ED72" w:rsidR="00FC1717" w:rsidRDefault="00B738AA" w:rsidP="00740541">
            <w:pPr>
              <w:pStyle w:val="Summarytable"/>
              <w:numPr>
                <w:ilvl w:val="0"/>
                <w:numId w:val="47"/>
              </w:numPr>
              <w:ind w:left="709"/>
              <w:rPr>
                <w:b w:val="0"/>
                <w:bCs w:val="0"/>
              </w:rPr>
            </w:pPr>
            <w:r>
              <w:rPr>
                <w:b w:val="0"/>
                <w:bCs w:val="0"/>
              </w:rPr>
              <w:t xml:space="preserve">Enhancements that both </w:t>
            </w:r>
            <w:r w:rsidRPr="00F95F8D">
              <w:t>r</w:t>
            </w:r>
            <w:r w:rsidR="00594034" w:rsidRPr="00F95F8D">
              <w:t>espond to</w:t>
            </w:r>
            <w:r w:rsidR="00214321" w:rsidRPr="00F95F8D">
              <w:t>,</w:t>
            </w:r>
            <w:r w:rsidR="00594034" w:rsidRPr="00F95F8D">
              <w:t xml:space="preserve"> </w:t>
            </w:r>
            <w:r w:rsidRPr="00F95F8D">
              <w:t xml:space="preserve">and shape </w:t>
            </w:r>
            <w:r w:rsidR="00594034" w:rsidRPr="00F95F8D">
              <w:t>demand</w:t>
            </w:r>
            <w:r w:rsidR="00214321" w:rsidRPr="00F95F8D">
              <w:t xml:space="preserve"> </w:t>
            </w:r>
            <w:r w:rsidR="00072842" w:rsidRPr="00F95F8D">
              <w:t xml:space="preserve">for </w:t>
            </w:r>
            <w:r w:rsidR="0061428A">
              <w:t>health services</w:t>
            </w:r>
            <w:r w:rsidR="0037082A">
              <w:rPr>
                <w:b w:val="0"/>
                <w:bCs w:val="0"/>
              </w:rPr>
              <w:t>, with a priority focus on</w:t>
            </w:r>
            <w:r w:rsidR="001171F7">
              <w:rPr>
                <w:b w:val="0"/>
                <w:bCs w:val="0"/>
              </w:rPr>
              <w:t>:</w:t>
            </w:r>
          </w:p>
          <w:p w14:paraId="77D7F7D3" w14:textId="77777777" w:rsidR="009E135F" w:rsidRPr="009E135F" w:rsidRDefault="009E135F" w:rsidP="00740541">
            <w:pPr>
              <w:pStyle w:val="Summarytable"/>
              <w:numPr>
                <w:ilvl w:val="0"/>
                <w:numId w:val="48"/>
              </w:numPr>
              <w:spacing w:before="0"/>
              <w:ind w:left="1276" w:hanging="357"/>
              <w:contextualSpacing/>
              <w:rPr>
                <w:b w:val="0"/>
                <w:bCs w:val="0"/>
              </w:rPr>
            </w:pPr>
            <w:r w:rsidRPr="009E135F">
              <w:rPr>
                <w:b w:val="0"/>
                <w:bCs w:val="0"/>
              </w:rPr>
              <w:t>Reducing rates of potentially preventable hospitalisations</w:t>
            </w:r>
          </w:p>
          <w:p w14:paraId="334B6372" w14:textId="6F644AA3" w:rsidR="009E135F" w:rsidRPr="009E135F" w:rsidRDefault="009E135F" w:rsidP="00FB6712">
            <w:pPr>
              <w:pStyle w:val="Summarytable"/>
              <w:numPr>
                <w:ilvl w:val="0"/>
                <w:numId w:val="48"/>
              </w:numPr>
              <w:spacing w:before="0"/>
              <w:ind w:left="1276" w:hanging="357"/>
              <w:contextualSpacing/>
              <w:rPr>
                <w:b w:val="0"/>
                <w:bCs w:val="0"/>
              </w:rPr>
            </w:pPr>
            <w:r w:rsidRPr="009E135F">
              <w:rPr>
                <w:b w:val="0"/>
                <w:bCs w:val="0"/>
              </w:rPr>
              <w:t>Scaled adoption of the A</w:t>
            </w:r>
            <w:r w:rsidR="009B41ED">
              <w:rPr>
                <w:b w:val="0"/>
                <w:bCs w:val="0"/>
              </w:rPr>
              <w:t>C</w:t>
            </w:r>
            <w:r w:rsidRPr="009E135F">
              <w:rPr>
                <w:b w:val="0"/>
                <w:bCs w:val="0"/>
              </w:rPr>
              <w:t>SQ</w:t>
            </w:r>
            <w:r w:rsidR="009B41ED">
              <w:rPr>
                <w:b w:val="0"/>
                <w:bCs w:val="0"/>
              </w:rPr>
              <w:t>HC</w:t>
            </w:r>
            <w:r w:rsidRPr="009E135F">
              <w:rPr>
                <w:b w:val="0"/>
                <w:bCs w:val="0"/>
              </w:rPr>
              <w:t xml:space="preserve"> Clinical Standards and Pathways</w:t>
            </w:r>
          </w:p>
          <w:p w14:paraId="6E32E7C0" w14:textId="0E90671F" w:rsidR="009E135F" w:rsidRPr="005760B9" w:rsidRDefault="009E135F" w:rsidP="00FB6712">
            <w:pPr>
              <w:pStyle w:val="Summarytable"/>
              <w:numPr>
                <w:ilvl w:val="0"/>
                <w:numId w:val="48"/>
              </w:numPr>
              <w:spacing w:before="0"/>
              <w:ind w:left="1276" w:hanging="357"/>
              <w:contextualSpacing/>
              <w:rPr>
                <w:b w:val="0"/>
                <w:bCs w:val="0"/>
              </w:rPr>
            </w:pPr>
            <w:r w:rsidRPr="005760B9">
              <w:rPr>
                <w:b w:val="0"/>
                <w:bCs w:val="0"/>
              </w:rPr>
              <w:t xml:space="preserve">Bundling care for </w:t>
            </w:r>
            <w:r w:rsidR="009A1F2F" w:rsidRPr="005760B9">
              <w:rPr>
                <w:b w:val="0"/>
                <w:bCs w:val="0"/>
              </w:rPr>
              <w:t>certain agreed pathways (</w:t>
            </w:r>
            <w:r w:rsidRPr="005760B9">
              <w:rPr>
                <w:b w:val="0"/>
                <w:bCs w:val="0"/>
              </w:rPr>
              <w:t>maternity</w:t>
            </w:r>
            <w:r w:rsidR="009A1F2F" w:rsidRPr="005760B9">
              <w:rPr>
                <w:b w:val="0"/>
                <w:bCs w:val="0"/>
              </w:rPr>
              <w:t xml:space="preserve"> care, hip and knee replacement, stroke</w:t>
            </w:r>
            <w:r w:rsidR="005760B9">
              <w:rPr>
                <w:b w:val="0"/>
                <w:bCs w:val="0"/>
              </w:rPr>
              <w:t>)</w:t>
            </w:r>
          </w:p>
          <w:p w14:paraId="31F19AB3" w14:textId="766192EE" w:rsidR="009E135F" w:rsidRPr="005760B9" w:rsidRDefault="009E135F" w:rsidP="00FB6712">
            <w:pPr>
              <w:pStyle w:val="Summarytable"/>
              <w:numPr>
                <w:ilvl w:val="0"/>
                <w:numId w:val="48"/>
              </w:numPr>
              <w:spacing w:before="0"/>
              <w:ind w:left="1276" w:hanging="357"/>
              <w:contextualSpacing/>
              <w:rPr>
                <w:b w:val="0"/>
                <w:bCs w:val="0"/>
              </w:rPr>
            </w:pPr>
            <w:r w:rsidRPr="005760B9">
              <w:rPr>
                <w:b w:val="0"/>
                <w:bCs w:val="0"/>
              </w:rPr>
              <w:t>Embedding digital and technology solutions</w:t>
            </w:r>
            <w:r w:rsidR="00255801" w:rsidRPr="005760B9">
              <w:rPr>
                <w:b w:val="0"/>
                <w:bCs w:val="0"/>
              </w:rPr>
              <w:t>, including by enabling virtual care</w:t>
            </w:r>
          </w:p>
          <w:p w14:paraId="1CC898E0" w14:textId="75903544" w:rsidR="009E135F" w:rsidRPr="005760B9" w:rsidRDefault="0037082A" w:rsidP="00FB6712">
            <w:pPr>
              <w:pStyle w:val="Summarytable"/>
              <w:numPr>
                <w:ilvl w:val="0"/>
                <w:numId w:val="48"/>
              </w:numPr>
              <w:ind w:left="1276"/>
              <w:rPr>
                <w:b w:val="0"/>
                <w:bCs w:val="0"/>
              </w:rPr>
            </w:pPr>
            <w:r w:rsidRPr="005760B9">
              <w:rPr>
                <w:b w:val="0"/>
                <w:bCs w:val="0"/>
              </w:rPr>
              <w:t>Improving</w:t>
            </w:r>
            <w:r w:rsidR="009E135F" w:rsidRPr="005760B9">
              <w:rPr>
                <w:b w:val="0"/>
                <w:bCs w:val="0"/>
              </w:rPr>
              <w:t xml:space="preserve"> access to quality services in rural and remote regions.</w:t>
            </w:r>
          </w:p>
          <w:p w14:paraId="4A6C6572" w14:textId="09F293ED" w:rsidR="00FC1717" w:rsidRPr="005760B9" w:rsidRDefault="009A1F2F" w:rsidP="00FB6712">
            <w:pPr>
              <w:pStyle w:val="Summarytable"/>
              <w:numPr>
                <w:ilvl w:val="0"/>
                <w:numId w:val="47"/>
              </w:numPr>
              <w:ind w:left="709"/>
              <w:rPr>
                <w:b w:val="0"/>
                <w:bCs w:val="0"/>
              </w:rPr>
            </w:pPr>
            <w:r w:rsidRPr="005760B9">
              <w:rPr>
                <w:b w:val="0"/>
                <w:bCs w:val="0"/>
              </w:rPr>
              <w:t xml:space="preserve">Establishing </w:t>
            </w:r>
            <w:r w:rsidR="009E135F" w:rsidRPr="00F95F8D">
              <w:t xml:space="preserve">guidelines for the development of </w:t>
            </w:r>
            <w:r w:rsidRPr="00F95F8D">
              <w:t>evidence-based</w:t>
            </w:r>
            <w:r w:rsidR="009E135F" w:rsidRPr="00F95F8D">
              <w:t xml:space="preserve"> care models and pathways</w:t>
            </w:r>
            <w:r w:rsidR="009E135F" w:rsidRPr="005760B9">
              <w:rPr>
                <w:b w:val="0"/>
                <w:bCs w:val="0"/>
              </w:rPr>
              <w:t xml:space="preserve"> that consider:</w:t>
            </w:r>
          </w:p>
          <w:p w14:paraId="67D2DFAD" w14:textId="77777777" w:rsidR="00E845AD" w:rsidRPr="00E845AD" w:rsidRDefault="00E845AD" w:rsidP="00FB6712">
            <w:pPr>
              <w:pStyle w:val="Summarytable"/>
              <w:numPr>
                <w:ilvl w:val="0"/>
                <w:numId w:val="48"/>
              </w:numPr>
              <w:spacing w:before="0"/>
              <w:ind w:left="1276" w:hanging="357"/>
              <w:contextualSpacing/>
              <w:rPr>
                <w:b w:val="0"/>
                <w:bCs w:val="0"/>
              </w:rPr>
            </w:pPr>
            <w:r w:rsidRPr="00E845AD">
              <w:rPr>
                <w:b w:val="0"/>
                <w:bCs w:val="0"/>
              </w:rPr>
              <w:t>The needs of patients</w:t>
            </w:r>
          </w:p>
          <w:p w14:paraId="1FDBD48E" w14:textId="49F9BB3C" w:rsidR="00E845AD" w:rsidRPr="00E845AD" w:rsidRDefault="00E845AD" w:rsidP="00FB6712">
            <w:pPr>
              <w:pStyle w:val="Summarytable"/>
              <w:numPr>
                <w:ilvl w:val="0"/>
                <w:numId w:val="48"/>
              </w:numPr>
              <w:spacing w:before="0"/>
              <w:ind w:left="1276" w:hanging="357"/>
              <w:contextualSpacing/>
              <w:rPr>
                <w:b w:val="0"/>
                <w:bCs w:val="0"/>
              </w:rPr>
            </w:pPr>
            <w:r w:rsidRPr="00E845AD">
              <w:rPr>
                <w:b w:val="0"/>
                <w:bCs w:val="0"/>
              </w:rPr>
              <w:t>Whole of system pathway</w:t>
            </w:r>
            <w:r w:rsidR="0037082A">
              <w:rPr>
                <w:b w:val="0"/>
                <w:bCs w:val="0"/>
              </w:rPr>
              <w:t>s</w:t>
            </w:r>
            <w:r w:rsidRPr="00E845AD">
              <w:rPr>
                <w:b w:val="0"/>
                <w:bCs w:val="0"/>
              </w:rPr>
              <w:t xml:space="preserve"> </w:t>
            </w:r>
          </w:p>
          <w:p w14:paraId="351DD925" w14:textId="2AF30317" w:rsidR="00362595" w:rsidRPr="0010026E" w:rsidRDefault="009B41ED" w:rsidP="00FB6712">
            <w:pPr>
              <w:pStyle w:val="Summarytable"/>
              <w:numPr>
                <w:ilvl w:val="0"/>
                <w:numId w:val="48"/>
              </w:numPr>
              <w:spacing w:before="0"/>
              <w:ind w:left="1276" w:hanging="357"/>
              <w:rPr>
                <w:b w:val="0"/>
                <w:bCs w:val="0"/>
              </w:rPr>
            </w:pPr>
            <w:r>
              <w:rPr>
                <w:b w:val="0"/>
                <w:bCs w:val="0"/>
              </w:rPr>
              <w:t>M</w:t>
            </w:r>
            <w:r w:rsidR="00E845AD" w:rsidRPr="00E845AD">
              <w:rPr>
                <w:b w:val="0"/>
                <w:bCs w:val="0"/>
              </w:rPr>
              <w:t xml:space="preserve">odel of care enablers including data sharing and governance, </w:t>
            </w:r>
            <w:r w:rsidR="000C4E72">
              <w:rPr>
                <w:b w:val="0"/>
                <w:bCs w:val="0"/>
              </w:rPr>
              <w:t>capacity for local tailoring</w:t>
            </w:r>
            <w:r w:rsidR="0046492F">
              <w:rPr>
                <w:b w:val="0"/>
                <w:bCs w:val="0"/>
              </w:rPr>
              <w:t xml:space="preserve"> and adoption</w:t>
            </w:r>
            <w:r w:rsidR="007C0C36">
              <w:rPr>
                <w:b w:val="0"/>
                <w:bCs w:val="0"/>
              </w:rPr>
              <w:t xml:space="preserve">, </w:t>
            </w:r>
            <w:r w:rsidR="00E845AD" w:rsidRPr="00E845AD">
              <w:rPr>
                <w:b w:val="0"/>
                <w:bCs w:val="0"/>
              </w:rPr>
              <w:t xml:space="preserve">workforce, funding, infrastructure and technology. </w:t>
            </w:r>
          </w:p>
          <w:p w14:paraId="1D32C97F" w14:textId="63A3FB0E" w:rsidR="001D0E04" w:rsidRPr="00E845AD" w:rsidRDefault="004C5E04" w:rsidP="00FB6712">
            <w:pPr>
              <w:pStyle w:val="Summarytable"/>
              <w:numPr>
                <w:ilvl w:val="0"/>
                <w:numId w:val="47"/>
              </w:numPr>
              <w:ind w:left="709"/>
              <w:rPr>
                <w:b w:val="0"/>
                <w:bCs w:val="0"/>
              </w:rPr>
            </w:pPr>
            <w:r>
              <w:rPr>
                <w:b w:val="0"/>
                <w:bCs w:val="0"/>
              </w:rPr>
              <w:t xml:space="preserve">An </w:t>
            </w:r>
            <w:r w:rsidR="008802F5">
              <w:t>I</w:t>
            </w:r>
            <w:r w:rsidRPr="00F95F8D">
              <w:t xml:space="preserve">nnovation </w:t>
            </w:r>
            <w:r w:rsidR="008802F5">
              <w:t>F</w:t>
            </w:r>
            <w:r w:rsidRPr="00F95F8D">
              <w:t xml:space="preserve">unding </w:t>
            </w:r>
            <w:r w:rsidR="008802F5">
              <w:t>P</w:t>
            </w:r>
            <w:r w:rsidRPr="00F95F8D">
              <w:t>athway</w:t>
            </w:r>
            <w:r>
              <w:rPr>
                <w:b w:val="0"/>
                <w:bCs w:val="0"/>
              </w:rPr>
              <w:t xml:space="preserve"> </w:t>
            </w:r>
            <w:r w:rsidR="00377F91">
              <w:rPr>
                <w:b w:val="0"/>
                <w:bCs w:val="0"/>
              </w:rPr>
              <w:t xml:space="preserve">that, </w:t>
            </w:r>
            <w:r w:rsidR="00212A0D">
              <w:rPr>
                <w:b w:val="0"/>
                <w:bCs w:val="0"/>
              </w:rPr>
              <w:t>from</w:t>
            </w:r>
            <w:r w:rsidR="00377F91">
              <w:rPr>
                <w:b w:val="0"/>
                <w:bCs w:val="0"/>
              </w:rPr>
              <w:t xml:space="preserve"> the outset, maps the </w:t>
            </w:r>
            <w:r w:rsidR="00212A0D">
              <w:rPr>
                <w:b w:val="0"/>
                <w:bCs w:val="0"/>
              </w:rPr>
              <w:t xml:space="preserve">transition from </w:t>
            </w:r>
            <w:r w:rsidR="006263E4">
              <w:rPr>
                <w:b w:val="0"/>
                <w:bCs w:val="0"/>
              </w:rPr>
              <w:t>seed funding</w:t>
            </w:r>
            <w:r w:rsidR="00377F91">
              <w:rPr>
                <w:b w:val="0"/>
                <w:bCs w:val="0"/>
              </w:rPr>
              <w:t xml:space="preserve"> to </w:t>
            </w:r>
            <w:r w:rsidR="006263E4">
              <w:rPr>
                <w:b w:val="0"/>
                <w:bCs w:val="0"/>
              </w:rPr>
              <w:t>operation at scale</w:t>
            </w:r>
            <w:r w:rsidR="00377F91">
              <w:rPr>
                <w:b w:val="0"/>
                <w:bCs w:val="0"/>
              </w:rPr>
              <w:t xml:space="preserve">, subject to </w:t>
            </w:r>
            <w:r w:rsidR="00212A0D">
              <w:rPr>
                <w:b w:val="0"/>
                <w:bCs w:val="0"/>
              </w:rPr>
              <w:t>evaluation milestones being met</w:t>
            </w:r>
            <w:r w:rsidR="00020C44">
              <w:rPr>
                <w:b w:val="0"/>
                <w:bCs w:val="0"/>
              </w:rPr>
              <w:t xml:space="preserve"> (linked to Recommendation 34)</w:t>
            </w:r>
            <w:r w:rsidR="00212A0D">
              <w:rPr>
                <w:b w:val="0"/>
                <w:bCs w:val="0"/>
              </w:rPr>
              <w:t>.</w:t>
            </w:r>
            <w:r w:rsidR="00F22CB6">
              <w:rPr>
                <w:b w:val="0"/>
                <w:bCs w:val="0"/>
              </w:rPr>
              <w:t xml:space="preserve"> The process by which innovative models of care will be </w:t>
            </w:r>
            <w:r w:rsidR="00F54890">
              <w:rPr>
                <w:b w:val="0"/>
                <w:bCs w:val="0"/>
              </w:rPr>
              <w:t xml:space="preserve">initially </w:t>
            </w:r>
            <w:r w:rsidR="00F22CB6">
              <w:rPr>
                <w:b w:val="0"/>
                <w:bCs w:val="0"/>
              </w:rPr>
              <w:t xml:space="preserve">funded and </w:t>
            </w:r>
            <w:r w:rsidR="00F54890">
              <w:rPr>
                <w:b w:val="0"/>
                <w:bCs w:val="0"/>
              </w:rPr>
              <w:t xml:space="preserve">then </w:t>
            </w:r>
            <w:r w:rsidR="00F22CB6">
              <w:rPr>
                <w:b w:val="0"/>
                <w:bCs w:val="0"/>
              </w:rPr>
              <w:t xml:space="preserve">brought to scale should form part of the ten year </w:t>
            </w:r>
            <w:r w:rsidR="005057CB">
              <w:rPr>
                <w:b w:val="0"/>
                <w:bCs w:val="0"/>
              </w:rPr>
              <w:t xml:space="preserve">National Health </w:t>
            </w:r>
            <w:r w:rsidR="00F22CB6">
              <w:rPr>
                <w:b w:val="0"/>
                <w:bCs w:val="0"/>
              </w:rPr>
              <w:t xml:space="preserve">Funding and Payments Framework at Recommendation </w:t>
            </w:r>
            <w:r w:rsidR="00F54890">
              <w:rPr>
                <w:b w:val="0"/>
                <w:bCs w:val="0"/>
              </w:rPr>
              <w:t>16</w:t>
            </w:r>
            <w:r w:rsidR="00F22CB6">
              <w:rPr>
                <w:b w:val="0"/>
                <w:bCs w:val="0"/>
              </w:rPr>
              <w:t xml:space="preserve">. </w:t>
            </w:r>
          </w:p>
        </w:tc>
      </w:tr>
    </w:tbl>
    <w:p w14:paraId="62DFDDC6" w14:textId="77777777" w:rsidR="0093705B" w:rsidRDefault="0093705B" w:rsidP="0093705B">
      <w:bookmarkStart w:id="246" w:name="_Toc143291691"/>
      <w:bookmarkStart w:id="247" w:name="_Ref145946636"/>
      <w:bookmarkStart w:id="248" w:name="_Ref146703219"/>
      <w:bookmarkStart w:id="249" w:name="_Ref146707064"/>
      <w:bookmarkEnd w:id="236"/>
      <w:bookmarkEnd w:id="237"/>
      <w:bookmarkEnd w:id="238"/>
    </w:p>
    <w:p w14:paraId="253B0CBF" w14:textId="4D0AAB68" w:rsidR="00B5344F" w:rsidRDefault="00321743" w:rsidP="00B5344F">
      <w:pPr>
        <w:pStyle w:val="Heading3"/>
      </w:pPr>
      <w:r>
        <w:t>Alternative funding mechanisms</w:t>
      </w:r>
    </w:p>
    <w:p w14:paraId="3DCDEE6B" w14:textId="77777777" w:rsidR="0093705B" w:rsidRDefault="0093705B" w:rsidP="0093705B">
      <w:pPr>
        <w:rPr>
          <w:rFonts w:eastAsia="Verdana"/>
        </w:rPr>
      </w:pPr>
      <w:r>
        <w:rPr>
          <w:rFonts w:eastAsia="Verdana"/>
        </w:rPr>
        <w:t>While ABF is the predominant mechanism of funding public hospitals (around 85% by cost) it is not the only method through which health care services are, or could be, funded. Table 2 sets out a range of funding mechanisms, their risks and benefits and examples of their use.</w:t>
      </w:r>
    </w:p>
    <w:p w14:paraId="204044B5" w14:textId="73B7FAFA" w:rsidR="0093705B" w:rsidRPr="00A97309" w:rsidRDefault="0093705B" w:rsidP="00C2024B">
      <w:pPr>
        <w:pStyle w:val="Caption"/>
      </w:pPr>
      <w:bookmarkStart w:id="250" w:name="_Ref146008729"/>
      <w:bookmarkStart w:id="251" w:name="_Toc148968366"/>
      <w:r>
        <w:t xml:space="preserve">Table </w:t>
      </w:r>
      <w:r>
        <w:fldChar w:fldCharType="begin"/>
      </w:r>
      <w:r>
        <w:instrText xml:space="preserve"> SEQ Table \* ARABIC </w:instrText>
      </w:r>
      <w:r>
        <w:fldChar w:fldCharType="separate"/>
      </w:r>
      <w:r w:rsidR="003F5D51">
        <w:rPr>
          <w:noProof/>
        </w:rPr>
        <w:t>2</w:t>
      </w:r>
      <w:r>
        <w:rPr>
          <w:noProof/>
        </w:rPr>
        <w:fldChar w:fldCharType="end"/>
      </w:r>
      <w:bookmarkEnd w:id="250"/>
      <w:r w:rsidRPr="00A97309">
        <w:t xml:space="preserve">: </w:t>
      </w:r>
      <w:r>
        <w:t>Funding mechanisms (high-level only)</w:t>
      </w:r>
      <w:bookmarkEnd w:id="251"/>
    </w:p>
    <w:tbl>
      <w:tblPr>
        <w:tblStyle w:val="Deloittetable"/>
        <w:tblW w:w="5000" w:type="pct"/>
        <w:tblLook w:val="04A0" w:firstRow="1" w:lastRow="0" w:firstColumn="1" w:lastColumn="0" w:noHBand="0" w:noVBand="1"/>
      </w:tblPr>
      <w:tblGrid>
        <w:gridCol w:w="971"/>
        <w:gridCol w:w="3139"/>
        <w:gridCol w:w="2552"/>
        <w:gridCol w:w="2127"/>
        <w:gridCol w:w="1677"/>
      </w:tblGrid>
      <w:tr w:rsidR="00B25012" w:rsidRPr="00B25012" w14:paraId="5A1928DA" w14:textId="77777777" w:rsidTr="001412DB">
        <w:trPr>
          <w:cnfStyle w:val="100000000000" w:firstRow="1" w:lastRow="0" w:firstColumn="0" w:lastColumn="0" w:oddVBand="0" w:evenVBand="0" w:oddHBand="0" w:evenHBand="0" w:firstRowFirstColumn="0" w:firstRowLastColumn="0" w:lastRowFirstColumn="0" w:lastRowLastColumn="0"/>
          <w:tblHeader/>
        </w:trPr>
        <w:tc>
          <w:tcPr>
            <w:tcW w:w="464" w:type="pct"/>
            <w:tcBorders>
              <w:top w:val="single" w:sz="24" w:space="0" w:color="0097A9" w:themeColor="accent5"/>
              <w:bottom w:val="single" w:sz="8" w:space="0" w:color="D9D9D9"/>
            </w:tcBorders>
          </w:tcPr>
          <w:p w14:paraId="5C989251" w14:textId="77777777" w:rsidR="0093705B" w:rsidRPr="00B25012" w:rsidRDefault="0093705B" w:rsidP="001412DB">
            <w:pPr>
              <w:pStyle w:val="Tableheading"/>
              <w:rPr>
                <w:color w:val="00707E" w:themeColor="accent5" w:themeShade="BF"/>
                <w:sz w:val="18"/>
                <w:szCs w:val="18"/>
              </w:rPr>
            </w:pPr>
            <w:r w:rsidRPr="00B25012">
              <w:rPr>
                <w:color w:val="00707E" w:themeColor="accent5" w:themeShade="BF"/>
                <w:sz w:val="18"/>
                <w:szCs w:val="18"/>
              </w:rPr>
              <w:t>Funding mechanism</w:t>
            </w:r>
          </w:p>
        </w:tc>
        <w:tc>
          <w:tcPr>
            <w:tcW w:w="1500" w:type="pct"/>
            <w:tcBorders>
              <w:top w:val="single" w:sz="24" w:space="0" w:color="0097A9" w:themeColor="accent5"/>
              <w:bottom w:val="single" w:sz="8" w:space="0" w:color="D9D9D9"/>
            </w:tcBorders>
          </w:tcPr>
          <w:p w14:paraId="643220F7" w14:textId="77777777" w:rsidR="0093705B" w:rsidRPr="00B25012" w:rsidRDefault="0093705B" w:rsidP="001412DB">
            <w:pPr>
              <w:pStyle w:val="Tableheading"/>
              <w:rPr>
                <w:color w:val="00707E" w:themeColor="accent5" w:themeShade="BF"/>
                <w:sz w:val="18"/>
                <w:szCs w:val="18"/>
              </w:rPr>
            </w:pPr>
            <w:r w:rsidRPr="00B25012">
              <w:rPr>
                <w:color w:val="00707E" w:themeColor="accent5" w:themeShade="BF"/>
                <w:sz w:val="18"/>
                <w:szCs w:val="18"/>
              </w:rPr>
              <w:t>High-level description</w:t>
            </w:r>
          </w:p>
        </w:tc>
        <w:tc>
          <w:tcPr>
            <w:tcW w:w="1219" w:type="pct"/>
            <w:tcBorders>
              <w:top w:val="single" w:sz="24" w:space="0" w:color="0097A9" w:themeColor="accent5"/>
              <w:bottom w:val="single" w:sz="8" w:space="0" w:color="D9D9D9"/>
            </w:tcBorders>
          </w:tcPr>
          <w:p w14:paraId="72278103" w14:textId="77777777" w:rsidR="0093705B" w:rsidRPr="00B25012" w:rsidRDefault="0093705B" w:rsidP="001412DB">
            <w:pPr>
              <w:pStyle w:val="Tableheading"/>
              <w:rPr>
                <w:color w:val="00707E" w:themeColor="accent5" w:themeShade="BF"/>
                <w:sz w:val="18"/>
                <w:szCs w:val="18"/>
              </w:rPr>
            </w:pPr>
            <w:r w:rsidRPr="00B25012">
              <w:rPr>
                <w:color w:val="00707E" w:themeColor="accent5" w:themeShade="BF"/>
                <w:sz w:val="18"/>
                <w:szCs w:val="18"/>
              </w:rPr>
              <w:t xml:space="preserve">Benefit </w:t>
            </w:r>
          </w:p>
        </w:tc>
        <w:tc>
          <w:tcPr>
            <w:tcW w:w="1016" w:type="pct"/>
            <w:tcBorders>
              <w:top w:val="single" w:sz="24" w:space="0" w:color="0097A9" w:themeColor="accent5"/>
              <w:bottom w:val="single" w:sz="8" w:space="0" w:color="D9D9D9"/>
            </w:tcBorders>
          </w:tcPr>
          <w:p w14:paraId="708D55C2" w14:textId="77777777" w:rsidR="0093705B" w:rsidRPr="00B25012" w:rsidRDefault="0093705B" w:rsidP="001412DB">
            <w:pPr>
              <w:pStyle w:val="Tableheading"/>
              <w:rPr>
                <w:color w:val="00707E" w:themeColor="accent5" w:themeShade="BF"/>
                <w:sz w:val="18"/>
                <w:szCs w:val="18"/>
              </w:rPr>
            </w:pPr>
            <w:r w:rsidRPr="00B25012">
              <w:rPr>
                <w:color w:val="00707E" w:themeColor="accent5" w:themeShade="BF"/>
                <w:sz w:val="18"/>
                <w:szCs w:val="18"/>
              </w:rPr>
              <w:t>Challenge</w:t>
            </w:r>
          </w:p>
        </w:tc>
        <w:tc>
          <w:tcPr>
            <w:tcW w:w="801" w:type="pct"/>
            <w:tcBorders>
              <w:top w:val="single" w:sz="24" w:space="0" w:color="0097A9" w:themeColor="accent5"/>
              <w:bottom w:val="single" w:sz="8" w:space="0" w:color="D9D9D9"/>
            </w:tcBorders>
          </w:tcPr>
          <w:p w14:paraId="791FF579" w14:textId="77777777" w:rsidR="0093705B" w:rsidRPr="00B25012" w:rsidRDefault="0093705B" w:rsidP="001412DB">
            <w:pPr>
              <w:pStyle w:val="Tableheading"/>
              <w:rPr>
                <w:color w:val="00707E" w:themeColor="accent5" w:themeShade="BF"/>
                <w:sz w:val="18"/>
                <w:szCs w:val="18"/>
              </w:rPr>
            </w:pPr>
            <w:r w:rsidRPr="00B25012">
              <w:rPr>
                <w:color w:val="00707E" w:themeColor="accent5" w:themeShade="BF"/>
                <w:sz w:val="18"/>
                <w:szCs w:val="18"/>
              </w:rPr>
              <w:t>Example</w:t>
            </w:r>
          </w:p>
        </w:tc>
      </w:tr>
      <w:tr w:rsidR="0093705B" w:rsidRPr="00C0090D" w14:paraId="27B515E5" w14:textId="77777777" w:rsidTr="001412DB">
        <w:tc>
          <w:tcPr>
            <w:tcW w:w="464" w:type="pct"/>
            <w:tcBorders>
              <w:top w:val="single" w:sz="8" w:space="0" w:color="D9D9D9"/>
              <w:left w:val="nil"/>
              <w:bottom w:val="single" w:sz="8" w:space="0" w:color="D9D9D9"/>
              <w:right w:val="nil"/>
            </w:tcBorders>
            <w:shd w:val="clear" w:color="auto" w:fill="auto"/>
          </w:tcPr>
          <w:p w14:paraId="124123D1" w14:textId="77777777" w:rsidR="0093705B" w:rsidRPr="00695674" w:rsidRDefault="0093705B" w:rsidP="001412DB">
            <w:pPr>
              <w:pStyle w:val="TabletextLeft"/>
              <w:rPr>
                <w:b/>
                <w:bCs/>
                <w:sz w:val="18"/>
                <w:szCs w:val="18"/>
              </w:rPr>
            </w:pPr>
            <w:r w:rsidRPr="00695674">
              <w:rPr>
                <w:b/>
                <w:bCs/>
                <w:sz w:val="18"/>
                <w:szCs w:val="18"/>
              </w:rPr>
              <w:t>ABF</w:t>
            </w:r>
          </w:p>
        </w:tc>
        <w:tc>
          <w:tcPr>
            <w:tcW w:w="1500" w:type="pct"/>
            <w:tcBorders>
              <w:top w:val="single" w:sz="8" w:space="0" w:color="D9D9D9"/>
              <w:left w:val="nil"/>
              <w:bottom w:val="single" w:sz="8" w:space="0" w:color="D9D9D9"/>
              <w:right w:val="nil"/>
            </w:tcBorders>
            <w:shd w:val="clear" w:color="auto" w:fill="auto"/>
          </w:tcPr>
          <w:p w14:paraId="6807BCA0" w14:textId="77777777" w:rsidR="0093705B" w:rsidRPr="00705F2C" w:rsidRDefault="0093705B" w:rsidP="001412DB">
            <w:pPr>
              <w:pStyle w:val="TabletextLeft"/>
              <w:rPr>
                <w:sz w:val="18"/>
                <w:szCs w:val="18"/>
              </w:rPr>
            </w:pPr>
            <w:r w:rsidRPr="004702CE">
              <w:rPr>
                <w:sz w:val="18"/>
                <w:szCs w:val="18"/>
              </w:rPr>
              <w:t xml:space="preserve">Hospitals are paid based on the </w:t>
            </w:r>
            <w:r>
              <w:rPr>
                <w:sz w:val="18"/>
                <w:szCs w:val="18"/>
              </w:rPr>
              <w:t>volume</w:t>
            </w:r>
            <w:r w:rsidRPr="004702CE">
              <w:rPr>
                <w:sz w:val="18"/>
                <w:szCs w:val="18"/>
              </w:rPr>
              <w:t xml:space="preserve"> and complexity of treated patients, underpinned by the NEP</w:t>
            </w:r>
            <w:r>
              <w:rPr>
                <w:sz w:val="18"/>
                <w:szCs w:val="18"/>
              </w:rPr>
              <w:t xml:space="preserve"> (a price signal).</w:t>
            </w:r>
          </w:p>
        </w:tc>
        <w:tc>
          <w:tcPr>
            <w:tcW w:w="1219" w:type="pct"/>
            <w:tcBorders>
              <w:top w:val="single" w:sz="8" w:space="0" w:color="D9D9D9"/>
              <w:left w:val="nil"/>
              <w:bottom w:val="single" w:sz="8" w:space="0" w:color="D9D9D9"/>
              <w:right w:val="nil"/>
            </w:tcBorders>
          </w:tcPr>
          <w:p w14:paraId="0BDC2CB5" w14:textId="77777777" w:rsidR="0093705B" w:rsidRPr="004702CE" w:rsidRDefault="0093705B" w:rsidP="001412DB">
            <w:pPr>
              <w:pStyle w:val="TabletextLeft"/>
              <w:rPr>
                <w:sz w:val="18"/>
                <w:szCs w:val="18"/>
              </w:rPr>
            </w:pPr>
            <w:r>
              <w:rPr>
                <w:sz w:val="18"/>
                <w:szCs w:val="18"/>
              </w:rPr>
              <w:t>Drives a level of consistency in the care delivered across the system.</w:t>
            </w:r>
          </w:p>
        </w:tc>
        <w:tc>
          <w:tcPr>
            <w:tcW w:w="1016" w:type="pct"/>
            <w:tcBorders>
              <w:top w:val="single" w:sz="8" w:space="0" w:color="D9D9D9"/>
              <w:left w:val="nil"/>
              <w:bottom w:val="single" w:sz="8" w:space="0" w:color="D9D9D9"/>
              <w:right w:val="nil"/>
            </w:tcBorders>
          </w:tcPr>
          <w:p w14:paraId="18ABC26B" w14:textId="77777777" w:rsidR="0093705B" w:rsidRPr="0069453B" w:rsidRDefault="0093705B" w:rsidP="001412DB">
            <w:pPr>
              <w:pStyle w:val="TabletextLeft"/>
              <w:rPr>
                <w:sz w:val="18"/>
                <w:szCs w:val="18"/>
              </w:rPr>
            </w:pPr>
            <w:r>
              <w:rPr>
                <w:sz w:val="18"/>
                <w:szCs w:val="18"/>
              </w:rPr>
              <w:t>May incentivise increased activity, resulting in unsustainable volume and potentially associated with adverse health outcomes.</w:t>
            </w:r>
          </w:p>
        </w:tc>
        <w:tc>
          <w:tcPr>
            <w:tcW w:w="801" w:type="pct"/>
            <w:tcBorders>
              <w:top w:val="single" w:sz="8" w:space="0" w:color="D9D9D9"/>
              <w:left w:val="nil"/>
              <w:bottom w:val="single" w:sz="8" w:space="0" w:color="D9D9D9"/>
              <w:right w:val="nil"/>
            </w:tcBorders>
          </w:tcPr>
          <w:p w14:paraId="104E5239" w14:textId="77777777" w:rsidR="0093705B" w:rsidRPr="004702CE" w:rsidRDefault="0093705B" w:rsidP="001412DB">
            <w:pPr>
              <w:pStyle w:val="TabletextLeft"/>
              <w:rPr>
                <w:sz w:val="18"/>
                <w:szCs w:val="18"/>
              </w:rPr>
            </w:pPr>
            <w:r w:rsidRPr="0069453B">
              <w:rPr>
                <w:sz w:val="18"/>
                <w:szCs w:val="18"/>
              </w:rPr>
              <w:t>Separation of ABF and MBS/PBS funding streams for inpatient and outpatient activity.</w:t>
            </w:r>
          </w:p>
        </w:tc>
      </w:tr>
      <w:tr w:rsidR="0093705B" w:rsidRPr="00C0090D" w14:paraId="5367611A" w14:textId="77777777" w:rsidTr="001412DB">
        <w:tc>
          <w:tcPr>
            <w:tcW w:w="464" w:type="pct"/>
            <w:tcBorders>
              <w:top w:val="single" w:sz="8" w:space="0" w:color="D9D9D9"/>
              <w:left w:val="nil"/>
              <w:bottom w:val="single" w:sz="8" w:space="0" w:color="D9D9D9"/>
              <w:right w:val="nil"/>
            </w:tcBorders>
            <w:shd w:val="clear" w:color="auto" w:fill="auto"/>
          </w:tcPr>
          <w:p w14:paraId="6915CD14" w14:textId="77777777" w:rsidR="0093705B" w:rsidRPr="00695674" w:rsidRDefault="0093705B" w:rsidP="001412DB">
            <w:pPr>
              <w:pStyle w:val="TabletextLeft"/>
              <w:rPr>
                <w:b/>
                <w:bCs/>
                <w:sz w:val="18"/>
                <w:szCs w:val="18"/>
              </w:rPr>
            </w:pPr>
            <w:r w:rsidRPr="00695674">
              <w:rPr>
                <w:b/>
                <w:bCs/>
                <w:sz w:val="18"/>
                <w:szCs w:val="18"/>
              </w:rPr>
              <w:t>Bundled payment</w:t>
            </w:r>
          </w:p>
        </w:tc>
        <w:tc>
          <w:tcPr>
            <w:tcW w:w="1500" w:type="pct"/>
            <w:tcBorders>
              <w:top w:val="single" w:sz="8" w:space="0" w:color="D9D9D9"/>
              <w:left w:val="nil"/>
              <w:bottom w:val="single" w:sz="8" w:space="0" w:color="D9D9D9"/>
              <w:right w:val="nil"/>
            </w:tcBorders>
            <w:shd w:val="clear" w:color="auto" w:fill="auto"/>
          </w:tcPr>
          <w:p w14:paraId="04695EC6" w14:textId="77777777" w:rsidR="0093705B" w:rsidRPr="00705F2C" w:rsidRDefault="0093705B" w:rsidP="001412DB">
            <w:pPr>
              <w:pStyle w:val="TabletextLeft"/>
              <w:rPr>
                <w:sz w:val="18"/>
                <w:szCs w:val="18"/>
              </w:rPr>
            </w:pPr>
            <w:r>
              <w:rPr>
                <w:sz w:val="18"/>
                <w:szCs w:val="18"/>
              </w:rPr>
              <w:t>Single payment for all services related to a specific treatment, condition or patient parameter, possibly spanning multiple providers in multiple settings.</w:t>
            </w:r>
          </w:p>
        </w:tc>
        <w:tc>
          <w:tcPr>
            <w:tcW w:w="1219" w:type="pct"/>
            <w:tcBorders>
              <w:top w:val="single" w:sz="8" w:space="0" w:color="D9D9D9"/>
              <w:left w:val="nil"/>
              <w:bottom w:val="single" w:sz="8" w:space="0" w:color="D9D9D9"/>
              <w:right w:val="nil"/>
            </w:tcBorders>
          </w:tcPr>
          <w:p w14:paraId="596571A0" w14:textId="77777777" w:rsidR="0093705B" w:rsidRPr="00DD3A6C" w:rsidRDefault="0093705B" w:rsidP="001412DB">
            <w:pPr>
              <w:pStyle w:val="TabletextLeft"/>
              <w:rPr>
                <w:sz w:val="18"/>
                <w:szCs w:val="18"/>
              </w:rPr>
            </w:pPr>
            <w:r>
              <w:rPr>
                <w:sz w:val="18"/>
                <w:szCs w:val="18"/>
              </w:rPr>
              <w:t>I</w:t>
            </w:r>
            <w:r w:rsidRPr="00DD3A6C">
              <w:rPr>
                <w:sz w:val="18"/>
                <w:szCs w:val="18"/>
              </w:rPr>
              <w:t>ncentivise optimal health outcomes</w:t>
            </w:r>
            <w:r>
              <w:rPr>
                <w:sz w:val="18"/>
                <w:szCs w:val="18"/>
              </w:rPr>
              <w:t>, maximise the value of the services they provide</w:t>
            </w:r>
            <w:r w:rsidRPr="00DD3A6C">
              <w:rPr>
                <w:sz w:val="18"/>
                <w:szCs w:val="18"/>
              </w:rPr>
              <w:t xml:space="preserve"> and hospital avoidance where clinically appropriate.</w:t>
            </w:r>
          </w:p>
        </w:tc>
        <w:tc>
          <w:tcPr>
            <w:tcW w:w="1016" w:type="pct"/>
            <w:tcBorders>
              <w:top w:val="single" w:sz="8" w:space="0" w:color="D9D9D9"/>
              <w:left w:val="nil"/>
              <w:bottom w:val="single" w:sz="8" w:space="0" w:color="D9D9D9"/>
              <w:right w:val="nil"/>
            </w:tcBorders>
          </w:tcPr>
          <w:p w14:paraId="23C4DA99" w14:textId="77777777" w:rsidR="0093705B" w:rsidRDefault="0093705B" w:rsidP="001412DB">
            <w:pPr>
              <w:pStyle w:val="TabletextLeft"/>
              <w:rPr>
                <w:sz w:val="18"/>
                <w:szCs w:val="18"/>
              </w:rPr>
            </w:pPr>
            <w:r>
              <w:rPr>
                <w:sz w:val="18"/>
                <w:szCs w:val="18"/>
              </w:rPr>
              <w:t>Requires an extremely well defined treatment requirement for specific treatment of condition in order to ensure that the costs of service delivery are covered through the single payment.</w:t>
            </w:r>
          </w:p>
        </w:tc>
        <w:tc>
          <w:tcPr>
            <w:tcW w:w="801" w:type="pct"/>
            <w:tcBorders>
              <w:top w:val="single" w:sz="8" w:space="0" w:color="D9D9D9"/>
              <w:left w:val="nil"/>
              <w:bottom w:val="single" w:sz="8" w:space="0" w:color="D9D9D9"/>
              <w:right w:val="nil"/>
            </w:tcBorders>
          </w:tcPr>
          <w:p w14:paraId="5202E065" w14:textId="59356836" w:rsidR="0093705B" w:rsidRPr="00705F2C" w:rsidRDefault="0093705B" w:rsidP="001412DB">
            <w:pPr>
              <w:pStyle w:val="TabletextLeft"/>
              <w:rPr>
                <w:sz w:val="18"/>
                <w:szCs w:val="18"/>
              </w:rPr>
            </w:pPr>
            <w:r>
              <w:rPr>
                <w:sz w:val="18"/>
                <w:szCs w:val="18"/>
              </w:rPr>
              <w:t xml:space="preserve">Orthopaedic </w:t>
            </w:r>
            <w:r w:rsidR="00D66794">
              <w:rPr>
                <w:sz w:val="18"/>
                <w:szCs w:val="18"/>
              </w:rPr>
              <w:t>c</w:t>
            </w:r>
            <w:r>
              <w:rPr>
                <w:sz w:val="18"/>
                <w:szCs w:val="18"/>
              </w:rPr>
              <w:t>are (inpatient, ambulatory and rehabilitation) or maternity (refer case study below).</w:t>
            </w:r>
          </w:p>
        </w:tc>
      </w:tr>
      <w:tr w:rsidR="0093705B" w:rsidRPr="00C0090D" w14:paraId="12B35B07" w14:textId="77777777" w:rsidTr="001412DB">
        <w:tc>
          <w:tcPr>
            <w:tcW w:w="464" w:type="pct"/>
            <w:tcBorders>
              <w:top w:val="single" w:sz="8" w:space="0" w:color="D9D9D9"/>
              <w:left w:val="nil"/>
              <w:bottom w:val="single" w:sz="8" w:space="0" w:color="D9D9D9"/>
              <w:right w:val="nil"/>
            </w:tcBorders>
            <w:shd w:val="clear" w:color="auto" w:fill="auto"/>
          </w:tcPr>
          <w:p w14:paraId="4004F731" w14:textId="77777777" w:rsidR="0093705B" w:rsidRPr="00695674" w:rsidRDefault="0093705B" w:rsidP="001412DB">
            <w:pPr>
              <w:pStyle w:val="TabletextLeft"/>
              <w:rPr>
                <w:b/>
                <w:bCs/>
                <w:sz w:val="18"/>
                <w:szCs w:val="18"/>
              </w:rPr>
            </w:pPr>
            <w:r w:rsidRPr="00695674">
              <w:rPr>
                <w:b/>
                <w:bCs/>
                <w:sz w:val="18"/>
                <w:szCs w:val="18"/>
              </w:rPr>
              <w:t>Value-based</w:t>
            </w:r>
          </w:p>
        </w:tc>
        <w:tc>
          <w:tcPr>
            <w:tcW w:w="1500" w:type="pct"/>
            <w:tcBorders>
              <w:top w:val="single" w:sz="8" w:space="0" w:color="D9D9D9"/>
              <w:left w:val="nil"/>
              <w:bottom w:val="single" w:sz="8" w:space="0" w:color="D9D9D9"/>
              <w:right w:val="nil"/>
            </w:tcBorders>
            <w:shd w:val="clear" w:color="auto" w:fill="auto"/>
          </w:tcPr>
          <w:p w14:paraId="198BD6FD" w14:textId="77777777" w:rsidR="0093705B" w:rsidRPr="00705F2C" w:rsidRDefault="0093705B" w:rsidP="001412DB">
            <w:pPr>
              <w:pStyle w:val="TabletextLeft"/>
              <w:rPr>
                <w:sz w:val="18"/>
                <w:szCs w:val="18"/>
              </w:rPr>
            </w:pPr>
            <w:r>
              <w:rPr>
                <w:sz w:val="18"/>
                <w:szCs w:val="18"/>
              </w:rPr>
              <w:t>P</w:t>
            </w:r>
            <w:r w:rsidRPr="00DA692F">
              <w:rPr>
                <w:sz w:val="18"/>
                <w:szCs w:val="18"/>
              </w:rPr>
              <w:t>ayments may link clinician, hospital, or health system compensation to performance on specific cost, quality, and equity metrics</w:t>
            </w:r>
            <w:r>
              <w:rPr>
                <w:sz w:val="18"/>
                <w:szCs w:val="18"/>
              </w:rPr>
              <w:t>.</w:t>
            </w:r>
          </w:p>
        </w:tc>
        <w:tc>
          <w:tcPr>
            <w:tcW w:w="1219" w:type="pct"/>
            <w:tcBorders>
              <w:top w:val="single" w:sz="8" w:space="0" w:color="D9D9D9"/>
              <w:left w:val="nil"/>
              <w:bottom w:val="single" w:sz="8" w:space="0" w:color="D9D9D9"/>
              <w:right w:val="nil"/>
            </w:tcBorders>
          </w:tcPr>
          <w:p w14:paraId="24C366A1" w14:textId="77777777" w:rsidR="0093705B" w:rsidRPr="00705F2C" w:rsidRDefault="0093705B" w:rsidP="001412DB">
            <w:pPr>
              <w:pStyle w:val="TabletextLeft"/>
              <w:rPr>
                <w:sz w:val="18"/>
                <w:szCs w:val="18"/>
              </w:rPr>
            </w:pPr>
            <w:r>
              <w:rPr>
                <w:sz w:val="18"/>
                <w:szCs w:val="18"/>
              </w:rPr>
              <w:t>P</w:t>
            </w:r>
            <w:r w:rsidRPr="00EE5E7E">
              <w:rPr>
                <w:sz w:val="18"/>
                <w:szCs w:val="18"/>
              </w:rPr>
              <w:t>roviders</w:t>
            </w:r>
            <w:r>
              <w:rPr>
                <w:sz w:val="18"/>
                <w:szCs w:val="18"/>
              </w:rPr>
              <w:t xml:space="preserve"> may be</w:t>
            </w:r>
            <w:r w:rsidRPr="00EE5E7E">
              <w:rPr>
                <w:sz w:val="18"/>
                <w:szCs w:val="18"/>
              </w:rPr>
              <w:t xml:space="preserve"> more motivated to change how they deliver care when more of their revenue </w:t>
            </w:r>
            <w:r>
              <w:rPr>
                <w:sz w:val="18"/>
                <w:szCs w:val="18"/>
              </w:rPr>
              <w:t>is tied to this payment.</w:t>
            </w:r>
          </w:p>
        </w:tc>
        <w:tc>
          <w:tcPr>
            <w:tcW w:w="1016" w:type="pct"/>
            <w:tcBorders>
              <w:top w:val="single" w:sz="8" w:space="0" w:color="D9D9D9"/>
              <w:left w:val="nil"/>
              <w:bottom w:val="single" w:sz="8" w:space="0" w:color="D9D9D9"/>
              <w:right w:val="nil"/>
            </w:tcBorders>
          </w:tcPr>
          <w:p w14:paraId="7744E33C" w14:textId="77777777" w:rsidR="0093705B" w:rsidRPr="00705F2C" w:rsidRDefault="0093705B" w:rsidP="001412DB">
            <w:pPr>
              <w:pStyle w:val="TabletextLeft"/>
              <w:rPr>
                <w:sz w:val="18"/>
                <w:szCs w:val="18"/>
              </w:rPr>
            </w:pPr>
            <w:r>
              <w:rPr>
                <w:sz w:val="18"/>
                <w:szCs w:val="18"/>
              </w:rPr>
              <w:t>U</w:t>
            </w:r>
            <w:r w:rsidRPr="00610891">
              <w:rPr>
                <w:sz w:val="18"/>
                <w:szCs w:val="18"/>
              </w:rPr>
              <w:t>npredictable revenue streams and financial risk that it entails.</w:t>
            </w:r>
          </w:p>
        </w:tc>
        <w:tc>
          <w:tcPr>
            <w:tcW w:w="801" w:type="pct"/>
            <w:tcBorders>
              <w:top w:val="single" w:sz="8" w:space="0" w:color="D9D9D9"/>
              <w:left w:val="nil"/>
              <w:bottom w:val="single" w:sz="8" w:space="0" w:color="D9D9D9"/>
              <w:right w:val="nil"/>
            </w:tcBorders>
          </w:tcPr>
          <w:p w14:paraId="28CE7035" w14:textId="77777777" w:rsidR="0093705B" w:rsidRPr="00705F2C" w:rsidRDefault="0093705B" w:rsidP="001412DB">
            <w:pPr>
              <w:pStyle w:val="TabletextLeft"/>
              <w:rPr>
                <w:sz w:val="18"/>
                <w:szCs w:val="18"/>
              </w:rPr>
            </w:pPr>
            <w:r>
              <w:rPr>
                <w:sz w:val="18"/>
                <w:szCs w:val="18"/>
              </w:rPr>
              <w:t>Pay for performance initiatives</w:t>
            </w:r>
          </w:p>
        </w:tc>
      </w:tr>
      <w:tr w:rsidR="0093705B" w:rsidRPr="00C0090D" w14:paraId="20272B5B" w14:textId="77777777" w:rsidTr="001412DB">
        <w:tc>
          <w:tcPr>
            <w:tcW w:w="464" w:type="pct"/>
            <w:tcBorders>
              <w:top w:val="single" w:sz="8" w:space="0" w:color="D9D9D9"/>
              <w:left w:val="nil"/>
              <w:bottom w:val="single" w:sz="8" w:space="0" w:color="D9D9D9"/>
              <w:right w:val="nil"/>
            </w:tcBorders>
            <w:shd w:val="clear" w:color="auto" w:fill="auto"/>
          </w:tcPr>
          <w:p w14:paraId="05B7D0BF" w14:textId="77777777" w:rsidR="0093705B" w:rsidRPr="00695674" w:rsidRDefault="0093705B" w:rsidP="001412DB">
            <w:pPr>
              <w:pStyle w:val="TabletextLeft"/>
              <w:rPr>
                <w:b/>
                <w:bCs/>
                <w:sz w:val="18"/>
                <w:szCs w:val="18"/>
              </w:rPr>
            </w:pPr>
            <w:r w:rsidRPr="00695674">
              <w:rPr>
                <w:b/>
                <w:bCs/>
                <w:sz w:val="18"/>
                <w:szCs w:val="18"/>
              </w:rPr>
              <w:t>Block funding</w:t>
            </w:r>
          </w:p>
        </w:tc>
        <w:tc>
          <w:tcPr>
            <w:tcW w:w="1500" w:type="pct"/>
            <w:tcBorders>
              <w:top w:val="single" w:sz="8" w:space="0" w:color="D9D9D9"/>
              <w:left w:val="nil"/>
              <w:bottom w:val="single" w:sz="8" w:space="0" w:color="D9D9D9"/>
              <w:right w:val="nil"/>
            </w:tcBorders>
            <w:shd w:val="clear" w:color="auto" w:fill="auto"/>
          </w:tcPr>
          <w:p w14:paraId="77CFE183" w14:textId="77777777" w:rsidR="0093705B" w:rsidRPr="00705F2C" w:rsidRDefault="0093705B" w:rsidP="001412DB">
            <w:pPr>
              <w:pStyle w:val="TabletextLeft"/>
              <w:rPr>
                <w:sz w:val="18"/>
                <w:szCs w:val="18"/>
              </w:rPr>
            </w:pPr>
            <w:r>
              <w:rPr>
                <w:sz w:val="18"/>
                <w:szCs w:val="18"/>
              </w:rPr>
              <w:t>T</w:t>
            </w:r>
            <w:r w:rsidRPr="008C7EDE">
              <w:rPr>
                <w:sz w:val="18"/>
                <w:szCs w:val="18"/>
              </w:rPr>
              <w:t xml:space="preserve">raditional funding model where </w:t>
            </w:r>
            <w:r>
              <w:rPr>
                <w:sz w:val="18"/>
                <w:szCs w:val="18"/>
              </w:rPr>
              <w:t>funding/</w:t>
            </w:r>
            <w:r w:rsidRPr="008C7EDE">
              <w:rPr>
                <w:sz w:val="18"/>
                <w:szCs w:val="18"/>
              </w:rPr>
              <w:t xml:space="preserve">grants </w:t>
            </w:r>
            <w:r>
              <w:rPr>
                <w:sz w:val="18"/>
                <w:szCs w:val="18"/>
              </w:rPr>
              <w:t>are provided</w:t>
            </w:r>
            <w:r w:rsidRPr="008C7EDE">
              <w:rPr>
                <w:sz w:val="18"/>
                <w:szCs w:val="18"/>
              </w:rPr>
              <w:t xml:space="preserve"> to deliver </w:t>
            </w:r>
            <w:r>
              <w:rPr>
                <w:sz w:val="18"/>
                <w:szCs w:val="18"/>
              </w:rPr>
              <w:t>service</w:t>
            </w:r>
            <w:r w:rsidRPr="008C7EDE">
              <w:rPr>
                <w:sz w:val="18"/>
                <w:szCs w:val="18"/>
              </w:rPr>
              <w:t>s</w:t>
            </w:r>
            <w:r>
              <w:rPr>
                <w:sz w:val="18"/>
                <w:szCs w:val="18"/>
              </w:rPr>
              <w:t xml:space="preserve">, </w:t>
            </w:r>
            <w:r w:rsidRPr="008C7EDE">
              <w:rPr>
                <w:sz w:val="18"/>
                <w:szCs w:val="18"/>
              </w:rPr>
              <w:t>usually linked to their client numbers</w:t>
            </w:r>
            <w:r>
              <w:rPr>
                <w:sz w:val="18"/>
                <w:szCs w:val="18"/>
              </w:rPr>
              <w:t xml:space="preserve">, </w:t>
            </w:r>
            <w:r w:rsidRPr="008C7EDE">
              <w:rPr>
                <w:sz w:val="18"/>
                <w:szCs w:val="18"/>
              </w:rPr>
              <w:t>services delivered</w:t>
            </w:r>
            <w:r>
              <w:rPr>
                <w:sz w:val="18"/>
                <w:szCs w:val="18"/>
              </w:rPr>
              <w:t xml:space="preserve"> and potentially on a historical basis. </w:t>
            </w:r>
          </w:p>
        </w:tc>
        <w:tc>
          <w:tcPr>
            <w:tcW w:w="1219" w:type="pct"/>
            <w:tcBorders>
              <w:top w:val="single" w:sz="8" w:space="0" w:color="D9D9D9"/>
              <w:left w:val="nil"/>
              <w:bottom w:val="single" w:sz="8" w:space="0" w:color="D9D9D9"/>
              <w:right w:val="nil"/>
            </w:tcBorders>
          </w:tcPr>
          <w:p w14:paraId="7D0B4C48" w14:textId="77777777" w:rsidR="0093705B" w:rsidRPr="00705F2C" w:rsidRDefault="0093705B" w:rsidP="001412DB">
            <w:pPr>
              <w:pStyle w:val="TabletextLeft"/>
              <w:rPr>
                <w:sz w:val="18"/>
                <w:szCs w:val="18"/>
              </w:rPr>
            </w:pPr>
            <w:r>
              <w:rPr>
                <w:sz w:val="18"/>
                <w:szCs w:val="18"/>
              </w:rPr>
              <w:t>I</w:t>
            </w:r>
            <w:r w:rsidRPr="0043239A">
              <w:rPr>
                <w:sz w:val="18"/>
                <w:szCs w:val="18"/>
              </w:rPr>
              <w:t>t gives an organisation certainty as they know well in advance how much funding they will be receiving for the delivery of a program or service.</w:t>
            </w:r>
          </w:p>
        </w:tc>
        <w:tc>
          <w:tcPr>
            <w:tcW w:w="1016" w:type="pct"/>
            <w:tcBorders>
              <w:top w:val="single" w:sz="8" w:space="0" w:color="D9D9D9"/>
              <w:left w:val="nil"/>
              <w:bottom w:val="single" w:sz="8" w:space="0" w:color="D9D9D9"/>
              <w:right w:val="nil"/>
            </w:tcBorders>
          </w:tcPr>
          <w:p w14:paraId="357A635D" w14:textId="77777777" w:rsidR="0093705B" w:rsidRPr="00705F2C" w:rsidRDefault="0093705B" w:rsidP="001412DB">
            <w:pPr>
              <w:pStyle w:val="TabletextLeft"/>
              <w:rPr>
                <w:sz w:val="18"/>
                <w:szCs w:val="18"/>
              </w:rPr>
            </w:pPr>
            <w:r>
              <w:rPr>
                <w:sz w:val="18"/>
                <w:szCs w:val="18"/>
              </w:rPr>
              <w:t xml:space="preserve">Funding may not reflect community need and current environment. </w:t>
            </w:r>
          </w:p>
        </w:tc>
        <w:tc>
          <w:tcPr>
            <w:tcW w:w="801" w:type="pct"/>
            <w:tcBorders>
              <w:top w:val="single" w:sz="8" w:space="0" w:color="D9D9D9"/>
              <w:left w:val="nil"/>
              <w:bottom w:val="single" w:sz="8" w:space="0" w:color="D9D9D9"/>
              <w:right w:val="nil"/>
            </w:tcBorders>
          </w:tcPr>
          <w:p w14:paraId="3342AE58" w14:textId="77777777" w:rsidR="0093705B" w:rsidRPr="00705F2C" w:rsidRDefault="0093705B" w:rsidP="001412DB">
            <w:pPr>
              <w:pStyle w:val="TabletextLeft"/>
              <w:rPr>
                <w:sz w:val="18"/>
                <w:szCs w:val="18"/>
              </w:rPr>
            </w:pPr>
            <w:r>
              <w:rPr>
                <w:sz w:val="18"/>
                <w:szCs w:val="18"/>
              </w:rPr>
              <w:t>S</w:t>
            </w:r>
            <w:r w:rsidRPr="00065C01">
              <w:rPr>
                <w:sz w:val="18"/>
                <w:szCs w:val="18"/>
              </w:rPr>
              <w:t>maller health services, or for activities that are difficult to price</w:t>
            </w:r>
            <w:r>
              <w:rPr>
                <w:sz w:val="18"/>
                <w:szCs w:val="18"/>
              </w:rPr>
              <w:t>.</w:t>
            </w:r>
          </w:p>
        </w:tc>
      </w:tr>
      <w:tr w:rsidR="0093705B" w:rsidRPr="00C0090D" w14:paraId="0CEA894C" w14:textId="77777777" w:rsidTr="001412DB">
        <w:tc>
          <w:tcPr>
            <w:tcW w:w="464" w:type="pct"/>
            <w:tcBorders>
              <w:top w:val="single" w:sz="8" w:space="0" w:color="D9D9D9"/>
              <w:left w:val="nil"/>
              <w:bottom w:val="single" w:sz="8" w:space="0" w:color="D9D9D9"/>
              <w:right w:val="nil"/>
            </w:tcBorders>
            <w:shd w:val="clear" w:color="auto" w:fill="auto"/>
          </w:tcPr>
          <w:p w14:paraId="19B6FD2E" w14:textId="77777777" w:rsidR="0093705B" w:rsidRPr="00695674" w:rsidRDefault="0093705B" w:rsidP="001412DB">
            <w:pPr>
              <w:pStyle w:val="TabletextLeft"/>
              <w:rPr>
                <w:b/>
                <w:bCs/>
                <w:sz w:val="18"/>
                <w:szCs w:val="18"/>
              </w:rPr>
            </w:pPr>
            <w:r w:rsidRPr="00695674">
              <w:rPr>
                <w:b/>
                <w:bCs/>
                <w:sz w:val="18"/>
                <w:szCs w:val="18"/>
              </w:rPr>
              <w:t>Blended funding</w:t>
            </w:r>
          </w:p>
        </w:tc>
        <w:tc>
          <w:tcPr>
            <w:tcW w:w="1500" w:type="pct"/>
            <w:tcBorders>
              <w:top w:val="single" w:sz="8" w:space="0" w:color="D9D9D9"/>
              <w:left w:val="nil"/>
              <w:bottom w:val="single" w:sz="8" w:space="0" w:color="D9D9D9"/>
              <w:right w:val="nil"/>
            </w:tcBorders>
            <w:shd w:val="clear" w:color="auto" w:fill="auto"/>
          </w:tcPr>
          <w:p w14:paraId="1C1B8D41" w14:textId="097FD85A" w:rsidR="0093705B" w:rsidRPr="00705F2C" w:rsidRDefault="0093705B" w:rsidP="001412DB">
            <w:pPr>
              <w:pStyle w:val="TabletextLeft"/>
              <w:rPr>
                <w:sz w:val="18"/>
                <w:szCs w:val="18"/>
              </w:rPr>
            </w:pPr>
            <w:r w:rsidRPr="00F854D0">
              <w:rPr>
                <w:sz w:val="18"/>
                <w:szCs w:val="18"/>
              </w:rPr>
              <w:t>Accessing multiple funding streams at the intersection of programs tailored to the needs of the individual patient</w:t>
            </w:r>
            <w:r>
              <w:rPr>
                <w:sz w:val="18"/>
                <w:szCs w:val="18"/>
              </w:rPr>
              <w:t xml:space="preserve">, with payments made based on the achievement </w:t>
            </w:r>
            <w:r w:rsidR="00D66794">
              <w:rPr>
                <w:sz w:val="18"/>
                <w:szCs w:val="18"/>
              </w:rPr>
              <w:t xml:space="preserve">of </w:t>
            </w:r>
            <w:r>
              <w:rPr>
                <w:sz w:val="18"/>
                <w:szCs w:val="18"/>
              </w:rPr>
              <w:t>objective outcome measure</w:t>
            </w:r>
            <w:r w:rsidRPr="00F854D0">
              <w:rPr>
                <w:sz w:val="18"/>
                <w:szCs w:val="18"/>
              </w:rPr>
              <w:t>. Enabled through the relaxation of allocation to specific care settings.</w:t>
            </w:r>
          </w:p>
        </w:tc>
        <w:tc>
          <w:tcPr>
            <w:tcW w:w="1219" w:type="pct"/>
            <w:tcBorders>
              <w:top w:val="single" w:sz="8" w:space="0" w:color="D9D9D9"/>
              <w:left w:val="nil"/>
              <w:bottom w:val="single" w:sz="8" w:space="0" w:color="D9D9D9"/>
              <w:right w:val="nil"/>
            </w:tcBorders>
          </w:tcPr>
          <w:p w14:paraId="6806AB49" w14:textId="77777777" w:rsidR="0093705B" w:rsidRPr="00705F2C" w:rsidRDefault="0093705B" w:rsidP="001412DB">
            <w:pPr>
              <w:pStyle w:val="TabletextLeft"/>
              <w:rPr>
                <w:sz w:val="18"/>
                <w:szCs w:val="18"/>
              </w:rPr>
            </w:pPr>
            <w:r w:rsidRPr="00F854D0">
              <w:rPr>
                <w:sz w:val="18"/>
                <w:szCs w:val="18"/>
              </w:rPr>
              <w:t>Can be applied directly for patients who are transitioning between care settings with overarching national governance and coordination.</w:t>
            </w:r>
          </w:p>
        </w:tc>
        <w:tc>
          <w:tcPr>
            <w:tcW w:w="1016" w:type="pct"/>
            <w:tcBorders>
              <w:top w:val="single" w:sz="8" w:space="0" w:color="D9D9D9"/>
              <w:left w:val="nil"/>
              <w:bottom w:val="single" w:sz="8" w:space="0" w:color="D9D9D9"/>
              <w:right w:val="nil"/>
            </w:tcBorders>
          </w:tcPr>
          <w:p w14:paraId="62E603F5" w14:textId="77777777" w:rsidR="0093705B" w:rsidRPr="00E019FA" w:rsidRDefault="0093705B" w:rsidP="001412DB">
            <w:pPr>
              <w:pStyle w:val="TabletextLeft"/>
              <w:rPr>
                <w:sz w:val="18"/>
                <w:szCs w:val="18"/>
              </w:rPr>
            </w:pPr>
            <w:r>
              <w:rPr>
                <w:sz w:val="18"/>
                <w:szCs w:val="18"/>
              </w:rPr>
              <w:t>May not be a shared definition on outcome appropriateness between clinician, patient and funder.</w:t>
            </w:r>
          </w:p>
        </w:tc>
        <w:tc>
          <w:tcPr>
            <w:tcW w:w="801" w:type="pct"/>
            <w:tcBorders>
              <w:top w:val="single" w:sz="8" w:space="0" w:color="D9D9D9"/>
              <w:left w:val="nil"/>
              <w:bottom w:val="single" w:sz="8" w:space="0" w:color="D9D9D9"/>
              <w:right w:val="nil"/>
            </w:tcBorders>
          </w:tcPr>
          <w:p w14:paraId="2D32B22F" w14:textId="5A2C4682" w:rsidR="0093705B" w:rsidRPr="00705F2C" w:rsidRDefault="0093705B" w:rsidP="001412DB">
            <w:pPr>
              <w:pStyle w:val="TabletextLeft"/>
              <w:rPr>
                <w:sz w:val="18"/>
                <w:szCs w:val="18"/>
              </w:rPr>
            </w:pPr>
            <w:r w:rsidRPr="00E019FA">
              <w:rPr>
                <w:sz w:val="18"/>
                <w:szCs w:val="18"/>
              </w:rPr>
              <w:t>Long stay in</w:t>
            </w:r>
            <w:r w:rsidR="004A0EF5">
              <w:rPr>
                <w:sz w:val="18"/>
                <w:szCs w:val="18"/>
              </w:rPr>
              <w:t>-</w:t>
            </w:r>
            <w:r w:rsidRPr="00E019FA">
              <w:rPr>
                <w:sz w:val="18"/>
                <w:szCs w:val="18"/>
              </w:rPr>
              <w:t>patients awaiting Aged Care supports who can begin to access their aged care funding via a hospital prior to discharge to home.</w:t>
            </w:r>
          </w:p>
        </w:tc>
      </w:tr>
      <w:tr w:rsidR="0093705B" w:rsidRPr="00C0090D" w14:paraId="2B56D184" w14:textId="77777777" w:rsidTr="001412DB">
        <w:tc>
          <w:tcPr>
            <w:tcW w:w="464" w:type="pct"/>
            <w:tcBorders>
              <w:top w:val="single" w:sz="8" w:space="0" w:color="D9D9D9"/>
              <w:left w:val="nil"/>
              <w:bottom w:val="single" w:sz="8" w:space="0" w:color="D9D9D9"/>
              <w:right w:val="nil"/>
            </w:tcBorders>
            <w:shd w:val="clear" w:color="auto" w:fill="auto"/>
          </w:tcPr>
          <w:p w14:paraId="1CA1E262" w14:textId="77777777" w:rsidR="0093705B" w:rsidRPr="00695674" w:rsidRDefault="0093705B" w:rsidP="001412DB">
            <w:pPr>
              <w:pStyle w:val="TabletextLeft"/>
              <w:rPr>
                <w:b/>
                <w:bCs/>
                <w:sz w:val="18"/>
                <w:szCs w:val="18"/>
              </w:rPr>
            </w:pPr>
            <w:r w:rsidRPr="00695674">
              <w:rPr>
                <w:b/>
                <w:bCs/>
                <w:sz w:val="18"/>
                <w:szCs w:val="18"/>
              </w:rPr>
              <w:t xml:space="preserve">Fee for service </w:t>
            </w:r>
          </w:p>
        </w:tc>
        <w:tc>
          <w:tcPr>
            <w:tcW w:w="1500" w:type="pct"/>
            <w:tcBorders>
              <w:top w:val="single" w:sz="8" w:space="0" w:color="D9D9D9"/>
              <w:left w:val="nil"/>
              <w:bottom w:val="single" w:sz="8" w:space="0" w:color="D9D9D9"/>
              <w:right w:val="nil"/>
            </w:tcBorders>
            <w:shd w:val="clear" w:color="auto" w:fill="auto"/>
          </w:tcPr>
          <w:p w14:paraId="09767ECE" w14:textId="77777777" w:rsidR="0093705B" w:rsidRPr="00705F2C" w:rsidRDefault="0093705B" w:rsidP="001412DB">
            <w:pPr>
              <w:pStyle w:val="TabletextLeft"/>
              <w:rPr>
                <w:sz w:val="18"/>
                <w:szCs w:val="18"/>
              </w:rPr>
            </w:pPr>
            <w:r>
              <w:rPr>
                <w:sz w:val="18"/>
                <w:szCs w:val="18"/>
              </w:rPr>
              <w:t xml:space="preserve">A health care provider receives a payment each time a patient is admitted (or readmitted) or for each test performed.  </w:t>
            </w:r>
          </w:p>
        </w:tc>
        <w:tc>
          <w:tcPr>
            <w:tcW w:w="1219" w:type="pct"/>
            <w:tcBorders>
              <w:top w:val="single" w:sz="8" w:space="0" w:color="D9D9D9"/>
              <w:left w:val="nil"/>
              <w:bottom w:val="single" w:sz="8" w:space="0" w:color="D9D9D9"/>
              <w:right w:val="nil"/>
            </w:tcBorders>
          </w:tcPr>
          <w:p w14:paraId="21EB56F7" w14:textId="35A8B637" w:rsidR="0093705B" w:rsidRPr="00705F2C" w:rsidRDefault="0093705B" w:rsidP="001412DB">
            <w:pPr>
              <w:pStyle w:val="TabletextLeft"/>
              <w:rPr>
                <w:sz w:val="18"/>
                <w:szCs w:val="18"/>
              </w:rPr>
            </w:pPr>
            <w:r>
              <w:rPr>
                <w:sz w:val="18"/>
                <w:szCs w:val="18"/>
              </w:rPr>
              <w:t>E</w:t>
            </w:r>
            <w:r w:rsidRPr="000D3AE7">
              <w:rPr>
                <w:sz w:val="18"/>
                <w:szCs w:val="18"/>
              </w:rPr>
              <w:t>thical bond between the patient and the physician as the patient has purchased the time and skill of the physician to do everything possible for the patient.</w:t>
            </w:r>
          </w:p>
        </w:tc>
        <w:tc>
          <w:tcPr>
            <w:tcW w:w="1016" w:type="pct"/>
            <w:tcBorders>
              <w:top w:val="single" w:sz="8" w:space="0" w:color="D9D9D9"/>
              <w:left w:val="nil"/>
              <w:bottom w:val="single" w:sz="8" w:space="0" w:color="D9D9D9"/>
              <w:right w:val="nil"/>
            </w:tcBorders>
          </w:tcPr>
          <w:p w14:paraId="5C740910" w14:textId="24631933" w:rsidR="0093705B" w:rsidRPr="00705F2C" w:rsidRDefault="0093705B" w:rsidP="001412DB">
            <w:pPr>
              <w:pStyle w:val="TabletextLeft"/>
              <w:rPr>
                <w:sz w:val="18"/>
                <w:szCs w:val="18"/>
              </w:rPr>
            </w:pPr>
            <w:r>
              <w:rPr>
                <w:sz w:val="18"/>
                <w:szCs w:val="18"/>
              </w:rPr>
              <w:t>Over-servicing in order to maximise revenue and without resolving patients’ problems completely, patients will tend to re</w:t>
            </w:r>
            <w:r w:rsidR="00F3550E">
              <w:rPr>
                <w:sz w:val="18"/>
                <w:szCs w:val="18"/>
              </w:rPr>
              <w:t>-</w:t>
            </w:r>
            <w:r>
              <w:rPr>
                <w:sz w:val="18"/>
                <w:szCs w:val="18"/>
              </w:rPr>
              <w:t xml:space="preserve">present. </w:t>
            </w:r>
          </w:p>
        </w:tc>
        <w:tc>
          <w:tcPr>
            <w:tcW w:w="801" w:type="pct"/>
            <w:tcBorders>
              <w:top w:val="single" w:sz="8" w:space="0" w:color="D9D9D9"/>
              <w:left w:val="nil"/>
              <w:bottom w:val="single" w:sz="8" w:space="0" w:color="D9D9D9"/>
              <w:right w:val="nil"/>
            </w:tcBorders>
          </w:tcPr>
          <w:p w14:paraId="6A8C81A7" w14:textId="77777777" w:rsidR="0093705B" w:rsidRPr="00705F2C" w:rsidRDefault="0093705B" w:rsidP="001412DB">
            <w:pPr>
              <w:pStyle w:val="TabletextLeft"/>
              <w:rPr>
                <w:sz w:val="18"/>
                <w:szCs w:val="18"/>
              </w:rPr>
            </w:pPr>
            <w:r>
              <w:rPr>
                <w:sz w:val="18"/>
                <w:szCs w:val="18"/>
              </w:rPr>
              <w:t>X-ray or pathology test.</w:t>
            </w:r>
          </w:p>
        </w:tc>
      </w:tr>
      <w:tr w:rsidR="0093705B" w:rsidRPr="00C0090D" w14:paraId="4C739341" w14:textId="77777777" w:rsidTr="001412DB">
        <w:tc>
          <w:tcPr>
            <w:tcW w:w="464" w:type="pct"/>
            <w:tcBorders>
              <w:top w:val="single" w:sz="8" w:space="0" w:color="D9D9D9"/>
              <w:left w:val="nil"/>
              <w:bottom w:val="single" w:sz="8" w:space="0" w:color="D9D9D9"/>
              <w:right w:val="nil"/>
            </w:tcBorders>
            <w:shd w:val="clear" w:color="auto" w:fill="auto"/>
          </w:tcPr>
          <w:p w14:paraId="3CB0735E" w14:textId="77777777" w:rsidR="0093705B" w:rsidRPr="00695674" w:rsidRDefault="0093705B" w:rsidP="001412DB">
            <w:pPr>
              <w:pStyle w:val="TabletextLeft"/>
              <w:rPr>
                <w:b/>
                <w:bCs/>
                <w:sz w:val="18"/>
                <w:szCs w:val="18"/>
              </w:rPr>
            </w:pPr>
            <w:r w:rsidRPr="00695674">
              <w:rPr>
                <w:b/>
                <w:bCs/>
                <w:sz w:val="18"/>
                <w:szCs w:val="18"/>
              </w:rPr>
              <w:t>Population funding</w:t>
            </w:r>
          </w:p>
        </w:tc>
        <w:tc>
          <w:tcPr>
            <w:tcW w:w="1500" w:type="pct"/>
            <w:tcBorders>
              <w:top w:val="single" w:sz="8" w:space="0" w:color="D9D9D9"/>
              <w:left w:val="nil"/>
              <w:bottom w:val="single" w:sz="8" w:space="0" w:color="D9D9D9"/>
              <w:right w:val="nil"/>
            </w:tcBorders>
            <w:shd w:val="clear" w:color="auto" w:fill="auto"/>
          </w:tcPr>
          <w:p w14:paraId="5846C2C0" w14:textId="77777777" w:rsidR="0093705B" w:rsidRPr="00705F2C" w:rsidRDefault="0093705B" w:rsidP="001412DB">
            <w:pPr>
              <w:pStyle w:val="TabletextLeft"/>
              <w:rPr>
                <w:sz w:val="18"/>
                <w:szCs w:val="18"/>
              </w:rPr>
            </w:pPr>
            <w:r>
              <w:rPr>
                <w:sz w:val="18"/>
                <w:szCs w:val="18"/>
              </w:rPr>
              <w:t>Per capita funding – payment per person by geographical area that is adjusted to take into consideration morbidity and higher costs associated with health care delivery.</w:t>
            </w:r>
          </w:p>
        </w:tc>
        <w:tc>
          <w:tcPr>
            <w:tcW w:w="1219" w:type="pct"/>
            <w:tcBorders>
              <w:top w:val="single" w:sz="8" w:space="0" w:color="D9D9D9"/>
              <w:left w:val="nil"/>
              <w:bottom w:val="single" w:sz="8" w:space="0" w:color="D9D9D9"/>
              <w:right w:val="nil"/>
            </w:tcBorders>
          </w:tcPr>
          <w:p w14:paraId="2DAA2547" w14:textId="77777777" w:rsidR="0093705B" w:rsidRPr="00705F2C" w:rsidRDefault="0093705B" w:rsidP="001412DB">
            <w:pPr>
              <w:pStyle w:val="TabletextLeft"/>
              <w:rPr>
                <w:sz w:val="18"/>
                <w:szCs w:val="18"/>
              </w:rPr>
            </w:pPr>
            <w:r>
              <w:rPr>
                <w:sz w:val="18"/>
                <w:szCs w:val="18"/>
              </w:rPr>
              <w:t>Equitable level of funding for a specific area based on key demographic factors.</w:t>
            </w:r>
          </w:p>
        </w:tc>
        <w:tc>
          <w:tcPr>
            <w:tcW w:w="1016" w:type="pct"/>
            <w:tcBorders>
              <w:top w:val="single" w:sz="8" w:space="0" w:color="D9D9D9"/>
              <w:left w:val="nil"/>
              <w:bottom w:val="single" w:sz="8" w:space="0" w:color="D9D9D9"/>
              <w:right w:val="nil"/>
            </w:tcBorders>
          </w:tcPr>
          <w:p w14:paraId="7364F35A" w14:textId="77777777" w:rsidR="0093705B" w:rsidRPr="00705F2C" w:rsidRDefault="0093705B" w:rsidP="001412DB">
            <w:pPr>
              <w:pStyle w:val="TabletextLeft"/>
              <w:rPr>
                <w:sz w:val="18"/>
                <w:szCs w:val="18"/>
              </w:rPr>
            </w:pPr>
            <w:r>
              <w:rPr>
                <w:sz w:val="18"/>
                <w:szCs w:val="18"/>
              </w:rPr>
              <w:t>Limited incentive to maximise level of activity, often resulting in underservicing and reduced access to services.</w:t>
            </w:r>
          </w:p>
        </w:tc>
        <w:tc>
          <w:tcPr>
            <w:tcW w:w="801" w:type="pct"/>
            <w:tcBorders>
              <w:top w:val="single" w:sz="8" w:space="0" w:color="D9D9D9"/>
              <w:left w:val="nil"/>
              <w:bottom w:val="single" w:sz="8" w:space="0" w:color="D9D9D9"/>
              <w:right w:val="nil"/>
            </w:tcBorders>
          </w:tcPr>
          <w:p w14:paraId="02D8A661" w14:textId="23B2E158" w:rsidR="0093705B" w:rsidRPr="00705F2C" w:rsidRDefault="0093705B" w:rsidP="001412DB">
            <w:pPr>
              <w:pStyle w:val="TabletextLeft"/>
              <w:rPr>
                <w:sz w:val="18"/>
                <w:szCs w:val="18"/>
              </w:rPr>
            </w:pPr>
            <w:r>
              <w:rPr>
                <w:sz w:val="18"/>
                <w:szCs w:val="18"/>
              </w:rPr>
              <w:t xml:space="preserve">Rural loading, mental health, </w:t>
            </w:r>
            <w:r w:rsidR="00D66794">
              <w:rPr>
                <w:sz w:val="18"/>
                <w:szCs w:val="18"/>
              </w:rPr>
              <w:t xml:space="preserve">socioeconomic </w:t>
            </w:r>
            <w:r>
              <w:rPr>
                <w:sz w:val="18"/>
                <w:szCs w:val="18"/>
              </w:rPr>
              <w:t>status.</w:t>
            </w:r>
          </w:p>
        </w:tc>
      </w:tr>
    </w:tbl>
    <w:p w14:paraId="606BC379" w14:textId="77777777" w:rsidR="0097719F" w:rsidRDefault="0097719F" w:rsidP="0097719F">
      <w:bookmarkStart w:id="252" w:name="_Ref146701352"/>
    </w:p>
    <w:p w14:paraId="56D9D018" w14:textId="77777777" w:rsidR="0093705B" w:rsidRPr="006D58BE" w:rsidRDefault="0093705B" w:rsidP="0093705B">
      <w:pPr>
        <w:pStyle w:val="Heading3"/>
      </w:pPr>
      <w:r w:rsidRPr="006D58BE">
        <w:t>Building on the foundations of ABF</w:t>
      </w:r>
      <w:bookmarkEnd w:id="252"/>
    </w:p>
    <w:p w14:paraId="7D111895" w14:textId="77777777" w:rsidR="0093705B" w:rsidRDefault="0093705B" w:rsidP="0093705B">
      <w:pPr>
        <w:tabs>
          <w:tab w:val="left" w:pos="1591"/>
        </w:tabs>
        <w:rPr>
          <w:rFonts w:eastAsia="Verdana"/>
        </w:rPr>
      </w:pPr>
      <w:r>
        <w:rPr>
          <w:rFonts w:eastAsia="Verdana"/>
        </w:rPr>
        <w:t xml:space="preserve">After ten years of operation, it is timely to consider whether and how the system of funding public hospitals and hospital related health care can be adapted for future challenges. </w:t>
      </w:r>
      <w:r w:rsidRPr="00720C96">
        <w:rPr>
          <w:rFonts w:eastAsia="Verdana"/>
        </w:rPr>
        <w:t xml:space="preserve">This process has already started with changes to the NHRA </w:t>
      </w:r>
      <w:r>
        <w:rPr>
          <w:rFonts w:eastAsia="Verdana"/>
        </w:rPr>
        <w:t>that commenced</w:t>
      </w:r>
      <w:r w:rsidRPr="00720C96">
        <w:rPr>
          <w:rFonts w:eastAsia="Verdana"/>
        </w:rPr>
        <w:t xml:space="preserve"> in the 2017 Addendum </w:t>
      </w:r>
      <w:r>
        <w:rPr>
          <w:rFonts w:eastAsia="Verdana"/>
        </w:rPr>
        <w:t>through safety and quality reforms to reduce sentinel events, hospital acquired complications and avoidable readmissions (refer to Clauses A161 to 179)</w:t>
      </w:r>
      <w:r w:rsidRPr="00720C96">
        <w:rPr>
          <w:rFonts w:eastAsia="Verdana"/>
        </w:rPr>
        <w:t>.</w:t>
      </w:r>
      <w:r>
        <w:rPr>
          <w:rFonts w:eastAsia="Verdana"/>
        </w:rPr>
        <w:t xml:space="preserve"> </w:t>
      </w:r>
    </w:p>
    <w:p w14:paraId="13E9139A" w14:textId="5098FBD5" w:rsidR="0093705B" w:rsidRDefault="0093705B" w:rsidP="0093705B">
      <w:pPr>
        <w:tabs>
          <w:tab w:val="left" w:pos="1591"/>
        </w:tabs>
        <w:rPr>
          <w:rFonts w:eastAsia="Verdana"/>
        </w:rPr>
      </w:pPr>
      <w:r>
        <w:rPr>
          <w:rFonts w:eastAsia="Verdana"/>
        </w:rPr>
        <w:t>There are three types of approaches to pricing to consider in this regard, which highlight the focus of the current Agreement as well as the opportunities for reform that can position the financing system to be more responsive to, and shape, future demand:</w:t>
      </w:r>
    </w:p>
    <w:p w14:paraId="6FA1BE01" w14:textId="77777777" w:rsidR="0093705B" w:rsidRDefault="0093705B">
      <w:pPr>
        <w:pStyle w:val="ListParagraph"/>
        <w:numPr>
          <w:ilvl w:val="0"/>
          <w:numId w:val="72"/>
        </w:numPr>
        <w:contextualSpacing w:val="0"/>
        <w:rPr>
          <w:rFonts w:eastAsia="Verdana"/>
        </w:rPr>
      </w:pPr>
      <w:r w:rsidRPr="00A332E9">
        <w:rPr>
          <w:rFonts w:eastAsia="Verdana"/>
          <w:b/>
          <w:bCs/>
        </w:rPr>
        <w:t>A pricing model that responds to demand through volume and price-based payments</w:t>
      </w:r>
      <w:r w:rsidRPr="00A332E9">
        <w:rPr>
          <w:rFonts w:eastAsia="Verdana"/>
        </w:rPr>
        <w:t>: this largely describes the current model of funding through ABF. Public hospitals are funded largely on the activity they deliver at an established price, with the relative complexity of their activity recognised. The risk, as noted in consultation, is that this rewards</w:t>
      </w:r>
      <w:r>
        <w:rPr>
          <w:rFonts w:eastAsia="Verdana"/>
        </w:rPr>
        <w:t xml:space="preserve"> </w:t>
      </w:r>
      <w:r w:rsidRPr="00A332E9">
        <w:rPr>
          <w:rFonts w:eastAsia="Verdana"/>
        </w:rPr>
        <w:t>hospital activity</w:t>
      </w:r>
      <w:r>
        <w:rPr>
          <w:rFonts w:eastAsia="Verdana"/>
        </w:rPr>
        <w:t xml:space="preserve"> seen through a lens of individual transactions</w:t>
      </w:r>
      <w:r w:rsidRPr="00A332E9">
        <w:rPr>
          <w:rFonts w:eastAsia="Verdana"/>
        </w:rPr>
        <w:t xml:space="preserve"> and so can drive activity toward the expensive hospital setting</w:t>
      </w:r>
      <w:r>
        <w:rPr>
          <w:rFonts w:eastAsia="Verdana"/>
        </w:rPr>
        <w:t xml:space="preserve"> and fragment the care pathway with little accountability for outcomes</w:t>
      </w:r>
      <w:r w:rsidRPr="00A332E9">
        <w:rPr>
          <w:rFonts w:eastAsia="Verdana"/>
        </w:rPr>
        <w:t xml:space="preserve">. </w:t>
      </w:r>
      <w:r>
        <w:rPr>
          <w:rFonts w:eastAsia="Verdana"/>
        </w:rPr>
        <w:t>It is not the best model</w:t>
      </w:r>
      <w:r w:rsidRPr="00E95DDC">
        <w:rPr>
          <w:rFonts w:eastAsia="Verdana"/>
        </w:rPr>
        <w:t xml:space="preserve"> for episodes of care that span multiple settings (for example, joint replacement surgery requiring subacute rehabilitation) or for frequent users of hospital services (such as those with chronic conditions)</w:t>
      </w:r>
      <w:r>
        <w:rPr>
          <w:rFonts w:eastAsia="Verdana"/>
        </w:rPr>
        <w:t xml:space="preserve">. </w:t>
      </w:r>
    </w:p>
    <w:p w14:paraId="2B031C02" w14:textId="77777777" w:rsidR="0093705B" w:rsidRPr="006B69F5" w:rsidRDefault="0093705B">
      <w:pPr>
        <w:pStyle w:val="ListParagraph"/>
        <w:numPr>
          <w:ilvl w:val="0"/>
          <w:numId w:val="72"/>
        </w:numPr>
        <w:contextualSpacing w:val="0"/>
        <w:rPr>
          <w:rFonts w:eastAsia="Verdana"/>
          <w:b/>
          <w:bCs/>
        </w:rPr>
      </w:pPr>
      <w:r w:rsidRPr="00A332E9">
        <w:rPr>
          <w:rFonts w:eastAsia="Verdana"/>
          <w:b/>
          <w:bCs/>
        </w:rPr>
        <w:t>A pricing model that shapes demand</w:t>
      </w:r>
      <w:r>
        <w:rPr>
          <w:rFonts w:eastAsia="Verdana"/>
        </w:rPr>
        <w:t xml:space="preserve"> </w:t>
      </w:r>
      <w:r w:rsidRPr="003D278C">
        <w:rPr>
          <w:rFonts w:eastAsia="Verdana"/>
          <w:b/>
          <w:bCs/>
        </w:rPr>
        <w:t>by funding services outside the hospital and earlier in the pathway</w:t>
      </w:r>
      <w:r>
        <w:rPr>
          <w:rFonts w:eastAsia="Verdana"/>
        </w:rPr>
        <w:t xml:space="preserve"> to slow the demand for acute care. This can involve establishing incentives and payments for health services to focus on early intervention and care to reduce downstream acute care demand and provide flexibility to fund services in non-hospital settings (primary, aged and disability care) best placed to meet the health needs of individuals. </w:t>
      </w:r>
    </w:p>
    <w:p w14:paraId="31564514" w14:textId="54C3BFC9" w:rsidR="0093705B" w:rsidRPr="00664368" w:rsidRDefault="0093705B">
      <w:pPr>
        <w:pStyle w:val="ListParagraph"/>
        <w:numPr>
          <w:ilvl w:val="0"/>
          <w:numId w:val="72"/>
        </w:numPr>
        <w:contextualSpacing w:val="0"/>
        <w:rPr>
          <w:rFonts w:eastAsia="Verdana"/>
          <w:b/>
          <w:bCs/>
        </w:rPr>
      </w:pPr>
      <w:r>
        <w:rPr>
          <w:rFonts w:eastAsia="Verdana"/>
          <w:b/>
          <w:bCs/>
        </w:rPr>
        <w:t xml:space="preserve">A pricing model that drives innovation by delivering value-based care, paying for outcomes and enabling alternative delivery models that are digital and data enabled. </w:t>
      </w:r>
      <w:r w:rsidRPr="00E066A8">
        <w:rPr>
          <w:rFonts w:eastAsia="Verdana"/>
        </w:rPr>
        <w:t>This incorporates funding models that accelerate the adoption of high value care modalities (and seek to reduce low value care), provide incentives to accelerate changes in clinical practice in line with evidence and man</w:t>
      </w:r>
      <w:r>
        <w:rPr>
          <w:rFonts w:eastAsia="Verdana"/>
        </w:rPr>
        <w:t>a</w:t>
      </w:r>
      <w:r w:rsidRPr="00E066A8">
        <w:rPr>
          <w:rFonts w:eastAsia="Verdana"/>
        </w:rPr>
        <w:t xml:space="preserve">ge the introduction of new technologies; explore outcome-based payments models that focus on improvements in health rather than </w:t>
      </w:r>
      <w:r>
        <w:rPr>
          <w:rFonts w:eastAsia="Verdana"/>
        </w:rPr>
        <w:t xml:space="preserve">the </w:t>
      </w:r>
      <w:r w:rsidRPr="00E066A8">
        <w:rPr>
          <w:rFonts w:eastAsia="Verdana"/>
        </w:rPr>
        <w:t>volume</w:t>
      </w:r>
      <w:r>
        <w:rPr>
          <w:rFonts w:eastAsia="Verdana"/>
        </w:rPr>
        <w:t xml:space="preserve"> of activity</w:t>
      </w:r>
      <w:r w:rsidRPr="00E066A8">
        <w:rPr>
          <w:rFonts w:eastAsia="Verdana"/>
        </w:rPr>
        <w:t>; and payment models that are digitally and data enabled.</w:t>
      </w:r>
      <w:r>
        <w:rPr>
          <w:rFonts w:eastAsia="Verdana"/>
        </w:rPr>
        <w:t xml:space="preserve"> This model would incorporate </w:t>
      </w:r>
      <w:r w:rsidR="009F017E">
        <w:rPr>
          <w:rFonts w:eastAsia="Verdana"/>
        </w:rPr>
        <w:t xml:space="preserve">blending </w:t>
      </w:r>
      <w:r>
        <w:rPr>
          <w:rFonts w:eastAsia="Verdana"/>
        </w:rPr>
        <w:t>of payments that incentiv</w:t>
      </w:r>
      <w:r w:rsidR="00D66794">
        <w:rPr>
          <w:rFonts w:eastAsia="Verdana"/>
        </w:rPr>
        <w:t>is</w:t>
      </w:r>
      <w:r>
        <w:rPr>
          <w:rFonts w:eastAsia="Verdana"/>
        </w:rPr>
        <w:t>es the delivery of care in the most appropriate setting and with an outcome-based element.</w:t>
      </w:r>
    </w:p>
    <w:p w14:paraId="55A4EDA0" w14:textId="3C2608BA" w:rsidR="0093705B" w:rsidRPr="00BC4905" w:rsidRDefault="008A15EA" w:rsidP="007745A8">
      <w:pPr>
        <w:pStyle w:val="Heading4"/>
      </w:pPr>
      <w:r>
        <w:t>Incorpo</w:t>
      </w:r>
      <w:r w:rsidR="003864C4">
        <w:t>rating a</w:t>
      </w:r>
      <w:r w:rsidR="0093705B" w:rsidRPr="00BC4905">
        <w:t>lternative funding mechanisms</w:t>
      </w:r>
      <w:r w:rsidR="003864C4">
        <w:t xml:space="preserve"> in the NHRA</w:t>
      </w:r>
    </w:p>
    <w:p w14:paraId="333CF967" w14:textId="331D9ABD" w:rsidR="0093705B" w:rsidRDefault="0093705B" w:rsidP="0093705B">
      <w:pPr>
        <w:rPr>
          <w:rFonts w:eastAsia="Verdana"/>
        </w:rPr>
      </w:pPr>
      <w:r>
        <w:rPr>
          <w:rFonts w:eastAsia="Verdana"/>
        </w:rPr>
        <w:t xml:space="preserve">The next Agreement should seek to investigate and incorporate </w:t>
      </w:r>
      <w:r w:rsidRPr="008F301D">
        <w:rPr>
          <w:rFonts w:eastAsia="Verdana"/>
        </w:rPr>
        <w:t>alternative funding mechanisms within the NHRA</w:t>
      </w:r>
      <w:r>
        <w:rPr>
          <w:rFonts w:eastAsia="Verdana"/>
        </w:rPr>
        <w:t xml:space="preserve"> that drive system performance and outcomes more directly, delivering both the technical efficiency to which the Agreement aspires and allocative efficiency focused on optimal patient pathways and outcomes. This should </w:t>
      </w:r>
      <w:r w:rsidRPr="008F301D">
        <w:rPr>
          <w:rFonts w:eastAsia="Verdana"/>
        </w:rPr>
        <w:t>recogni</w:t>
      </w:r>
      <w:r>
        <w:rPr>
          <w:rFonts w:eastAsia="Verdana"/>
        </w:rPr>
        <w:t>se</w:t>
      </w:r>
      <w:r w:rsidRPr="008F301D">
        <w:rPr>
          <w:rFonts w:eastAsia="Verdana"/>
        </w:rPr>
        <w:t xml:space="preserve"> the benefits of using </w:t>
      </w:r>
      <w:r>
        <w:rPr>
          <w:rFonts w:eastAsia="Verdana"/>
        </w:rPr>
        <w:t xml:space="preserve">a </w:t>
      </w:r>
      <w:r w:rsidRPr="005934CD">
        <w:rPr>
          <w:rFonts w:eastAsia="Verdana"/>
        </w:rPr>
        <w:t xml:space="preserve">range of funding approaches as appropriate, </w:t>
      </w:r>
      <w:r>
        <w:rPr>
          <w:rFonts w:eastAsia="Verdana"/>
        </w:rPr>
        <w:t>with ABF remaining as the core mechanism but further developed and adapted to fully realise its potential to effect change.</w:t>
      </w:r>
    </w:p>
    <w:p w14:paraId="4538BBEF" w14:textId="7387FC55" w:rsidR="0093705B" w:rsidRDefault="0093705B" w:rsidP="0093705B">
      <w:pPr>
        <w:rPr>
          <w:rFonts w:eastAsia="Verdana"/>
        </w:rPr>
      </w:pPr>
      <w:r w:rsidRPr="000668AB">
        <w:rPr>
          <w:rFonts w:eastAsia="Verdana"/>
        </w:rPr>
        <w:t xml:space="preserve">Internationally, </w:t>
      </w:r>
      <w:r>
        <w:rPr>
          <w:rFonts w:eastAsia="Verdana"/>
        </w:rPr>
        <w:t>a number of countries</w:t>
      </w:r>
      <w:r w:rsidRPr="000668AB">
        <w:rPr>
          <w:rFonts w:eastAsia="Verdana"/>
        </w:rPr>
        <w:t xml:space="preserve"> </w:t>
      </w:r>
      <w:r>
        <w:rPr>
          <w:rFonts w:eastAsia="Verdana"/>
        </w:rPr>
        <w:t>are reforming</w:t>
      </w:r>
      <w:r w:rsidRPr="000668AB">
        <w:rPr>
          <w:rFonts w:eastAsia="Verdana"/>
        </w:rPr>
        <w:t xml:space="preserve"> the way health services are funded to create new incentives to drive value, </w:t>
      </w:r>
      <w:r>
        <w:rPr>
          <w:rFonts w:eastAsia="Verdana"/>
        </w:rPr>
        <w:t xml:space="preserve">improve </w:t>
      </w:r>
      <w:r w:rsidRPr="000668AB">
        <w:rPr>
          <w:rFonts w:eastAsia="Verdana"/>
        </w:rPr>
        <w:t xml:space="preserve">sustainability and </w:t>
      </w:r>
      <w:r>
        <w:rPr>
          <w:rFonts w:eastAsia="Verdana"/>
        </w:rPr>
        <w:t xml:space="preserve">achieve </w:t>
      </w:r>
      <w:r w:rsidRPr="000668AB">
        <w:rPr>
          <w:rFonts w:eastAsia="Verdana"/>
        </w:rPr>
        <w:t>greater coordination of care across the system.</w:t>
      </w:r>
      <w:r>
        <w:rPr>
          <w:rFonts w:eastAsia="Verdana"/>
        </w:rPr>
        <w:t xml:space="preserve"> </w:t>
      </w:r>
      <w:r w:rsidRPr="00CD4B35">
        <w:rPr>
          <w:rFonts w:eastAsia="Verdana"/>
        </w:rPr>
        <w:t xml:space="preserve">A high-level summary of international developments, focusing on high value care and integrated funding systems is </w:t>
      </w:r>
      <w:r>
        <w:rPr>
          <w:rFonts w:eastAsia="Verdana"/>
        </w:rPr>
        <w:t xml:space="preserve">at </w:t>
      </w:r>
      <w:r w:rsidRPr="00420F2F">
        <w:rPr>
          <w:rFonts w:eastAsia="Verdana"/>
        </w:rPr>
        <w:fldChar w:fldCharType="begin" w:fldLock="1"/>
      </w:r>
      <w:r w:rsidRPr="00420F2F">
        <w:rPr>
          <w:rFonts w:eastAsia="Verdana"/>
        </w:rPr>
        <w:instrText xml:space="preserve"> REF _Ref145599960 \w \h </w:instrText>
      </w:r>
      <w:r>
        <w:rPr>
          <w:rFonts w:eastAsia="Verdana"/>
        </w:rPr>
        <w:instrText xml:space="preserve"> \* MERGEFORMAT </w:instrText>
      </w:r>
      <w:r w:rsidRPr="00420F2F">
        <w:rPr>
          <w:rFonts w:eastAsia="Verdana"/>
        </w:rPr>
      </w:r>
      <w:r w:rsidRPr="00420F2F">
        <w:rPr>
          <w:rFonts w:eastAsia="Verdana"/>
        </w:rPr>
        <w:fldChar w:fldCharType="separate"/>
      </w:r>
      <w:r w:rsidR="00FA10A4">
        <w:rPr>
          <w:rFonts w:eastAsia="Verdana"/>
        </w:rPr>
        <w:t>Appendix H</w:t>
      </w:r>
      <w:r w:rsidRPr="00420F2F">
        <w:rPr>
          <w:rFonts w:eastAsia="Verdana"/>
        </w:rPr>
        <w:fldChar w:fldCharType="end"/>
      </w:r>
      <w:r w:rsidRPr="00420F2F">
        <w:rPr>
          <w:rFonts w:eastAsia="Verdana"/>
        </w:rPr>
        <w:t>.</w:t>
      </w:r>
    </w:p>
    <w:p w14:paraId="2C8E9FA9" w14:textId="77777777" w:rsidR="0093705B" w:rsidRDefault="0093705B" w:rsidP="0093705B">
      <w:pPr>
        <w:rPr>
          <w:rFonts w:eastAsia="Verdana"/>
        </w:rPr>
      </w:pPr>
      <w:r>
        <w:rPr>
          <w:rFonts w:eastAsia="Verdana"/>
        </w:rPr>
        <w:t xml:space="preserve">Reflecting on the pricing models outlined above, a new Agreement should develop financing reforms that seek to </w:t>
      </w:r>
      <w:r w:rsidRPr="00124F69">
        <w:rPr>
          <w:rFonts w:eastAsia="Verdana"/>
          <w:b/>
          <w:bCs/>
        </w:rPr>
        <w:t>shape demand</w:t>
      </w:r>
      <w:r>
        <w:rPr>
          <w:rFonts w:eastAsia="Verdana"/>
        </w:rPr>
        <w:t xml:space="preserve"> and </w:t>
      </w:r>
      <w:r w:rsidRPr="00124F69">
        <w:rPr>
          <w:rFonts w:eastAsia="Verdana"/>
          <w:b/>
          <w:bCs/>
        </w:rPr>
        <w:t>drive innovation</w:t>
      </w:r>
      <w:r>
        <w:rPr>
          <w:rFonts w:eastAsia="Verdana"/>
        </w:rPr>
        <w:t>, addressing the elements of setting of care, how an episode of care is defined and paid for and paying for outcomes. Finally, the building blocks of moving from reactive to proactive financing needs to put a range of enablers in place and map a transition pathway to enable the system to respond accordingly.</w:t>
      </w:r>
    </w:p>
    <w:p w14:paraId="768FD615" w14:textId="5E352DD1" w:rsidR="0093705B" w:rsidRDefault="0093705B" w:rsidP="0093705B">
      <w:pPr>
        <w:rPr>
          <w:rFonts w:eastAsia="Verdana"/>
        </w:rPr>
      </w:pPr>
      <w:r>
        <w:rPr>
          <w:rFonts w:eastAsia="Verdana"/>
        </w:rPr>
        <w:t>Progress in this area needs to be driven and supported by the work of the NHRA national bodies, particularly the evidence regarding avoidable hospital admissions and delivery of low value care, both of which detract from system sustainability and innovative approaches to financing.</w:t>
      </w:r>
    </w:p>
    <w:p w14:paraId="0714CC9B" w14:textId="397BB892" w:rsidR="0093705B" w:rsidRPr="003869B0" w:rsidRDefault="0093705B" w:rsidP="007745A8">
      <w:pPr>
        <w:pStyle w:val="Heading4"/>
      </w:pPr>
      <w:bookmarkStart w:id="253" w:name="_Ref148442020"/>
      <w:r w:rsidRPr="003869B0">
        <w:t xml:space="preserve">Setting of </w:t>
      </w:r>
      <w:r>
        <w:t>c</w:t>
      </w:r>
      <w:r w:rsidRPr="003869B0">
        <w:t>are</w:t>
      </w:r>
      <w:bookmarkEnd w:id="253"/>
    </w:p>
    <w:p w14:paraId="43FA1C37" w14:textId="07AA5834" w:rsidR="0093705B" w:rsidRDefault="0093705B" w:rsidP="0093705B">
      <w:pPr>
        <w:rPr>
          <w:rFonts w:eastAsia="Verdana"/>
        </w:rPr>
      </w:pPr>
      <w:r>
        <w:rPr>
          <w:rFonts w:eastAsia="Verdana"/>
        </w:rPr>
        <w:t xml:space="preserve">A </w:t>
      </w:r>
      <w:r w:rsidRPr="00B20596">
        <w:rPr>
          <w:rFonts w:eastAsia="Verdana"/>
        </w:rPr>
        <w:t>future Agreement should incentivise the provision of safe and quality care in the most cost-effective setting, such as primary care, aged care or in a person’s home</w:t>
      </w:r>
      <w:r>
        <w:rPr>
          <w:rFonts w:eastAsia="Verdana"/>
        </w:rPr>
        <w:t>, where there is evidence that these services can directly contribute to reducing demand for expensive hospital services</w:t>
      </w:r>
      <w:r w:rsidRPr="00B20596">
        <w:rPr>
          <w:rFonts w:eastAsia="Verdana"/>
        </w:rPr>
        <w:t xml:space="preserve">. </w:t>
      </w:r>
    </w:p>
    <w:p w14:paraId="7E093B9F" w14:textId="556C1FF2" w:rsidR="004949AB" w:rsidRDefault="004949AB" w:rsidP="004949AB">
      <w:pPr>
        <w:rPr>
          <w:rFonts w:eastAsia="Verdana"/>
        </w:rPr>
      </w:pPr>
      <w:r>
        <w:rPr>
          <w:rFonts w:eastAsia="Verdana"/>
        </w:rPr>
        <w:t>T</w:t>
      </w:r>
      <w:r w:rsidRPr="00A63B71">
        <w:rPr>
          <w:rFonts w:eastAsia="Verdana"/>
        </w:rPr>
        <w:t>he NHRA acknowledge</w:t>
      </w:r>
      <w:r>
        <w:rPr>
          <w:rFonts w:eastAsia="Verdana"/>
        </w:rPr>
        <w:t>s</w:t>
      </w:r>
      <w:r w:rsidRPr="00A63B71">
        <w:rPr>
          <w:rFonts w:eastAsia="Verdana"/>
        </w:rPr>
        <w:t xml:space="preserve"> that acute services occur outside the walls of the hospital through </w:t>
      </w:r>
      <w:r>
        <w:rPr>
          <w:rFonts w:eastAsia="Verdana"/>
        </w:rPr>
        <w:t>r</w:t>
      </w:r>
      <w:r w:rsidRPr="00A63B71">
        <w:rPr>
          <w:rFonts w:eastAsia="Verdana"/>
        </w:rPr>
        <w:t>ules to capture the activity,</w:t>
      </w:r>
      <w:r>
        <w:rPr>
          <w:rFonts w:eastAsia="Verdana"/>
        </w:rPr>
        <w:t xml:space="preserve"> </w:t>
      </w:r>
      <w:r>
        <w:rPr>
          <w:rFonts w:eastAsia="Verdana"/>
          <w:noProof/>
        </w:rPr>
        <w:t>and</w:t>
      </w:r>
      <w:r w:rsidRPr="000E71A5">
        <w:rPr>
          <w:rFonts w:eastAsia="Verdana"/>
        </w:rPr>
        <w:t xml:space="preserve"> allow</w:t>
      </w:r>
      <w:r>
        <w:rPr>
          <w:rFonts w:eastAsia="Verdana"/>
        </w:rPr>
        <w:t>s</w:t>
      </w:r>
      <w:r w:rsidRPr="000E71A5">
        <w:rPr>
          <w:rFonts w:eastAsia="Verdana"/>
        </w:rPr>
        <w:t xml:space="preserve"> some flexibility</w:t>
      </w:r>
      <w:r>
        <w:rPr>
          <w:rFonts w:eastAsia="Verdana"/>
        </w:rPr>
        <w:t xml:space="preserve"> for alternate funding models,</w:t>
      </w:r>
      <w:r w:rsidRPr="000E71A5">
        <w:rPr>
          <w:rFonts w:eastAsia="Verdana"/>
        </w:rPr>
        <w:t xml:space="preserve"> but only with respect to services that were previously provided in-hospital</w:t>
      </w:r>
      <w:r w:rsidRPr="00A63B71">
        <w:rPr>
          <w:rFonts w:eastAsia="Verdana"/>
        </w:rPr>
        <w:t>.</w:t>
      </w:r>
      <w:r w:rsidR="003F5D51">
        <w:rPr>
          <w:rFonts w:ascii="ZWAdobeF" w:eastAsia="Verdana" w:hAnsi="ZWAdobeF" w:cs="ZWAdobeF"/>
          <w:sz w:val="2"/>
          <w:szCs w:val="2"/>
        </w:rPr>
        <w:t>120F</w:t>
      </w:r>
      <w:r>
        <w:rPr>
          <w:rStyle w:val="FootnoteReference"/>
          <w:rFonts w:eastAsia="Verdana"/>
        </w:rPr>
        <w:footnoteReference w:id="122"/>
      </w:r>
      <w:r>
        <w:rPr>
          <w:rFonts w:eastAsia="Verdana"/>
        </w:rPr>
        <w:t>.</w:t>
      </w:r>
    </w:p>
    <w:p w14:paraId="60FB0169" w14:textId="77777777" w:rsidR="004949AB" w:rsidRDefault="004949AB" w:rsidP="004949AB">
      <w:pPr>
        <w:rPr>
          <w:rFonts w:eastAsia="Verdana"/>
        </w:rPr>
      </w:pPr>
      <w:r>
        <w:rPr>
          <w:rFonts w:eastAsia="Verdana"/>
          <w:noProof/>
        </w:rPr>
        <w:t>The</w:t>
      </w:r>
      <w:r w:rsidRPr="001E3A66">
        <w:rPr>
          <w:rFonts w:eastAsia="Verdana"/>
        </w:rPr>
        <w:t xml:space="preserve"> concept of what </w:t>
      </w:r>
      <w:r>
        <w:rPr>
          <w:rFonts w:eastAsia="Verdana"/>
        </w:rPr>
        <w:t xml:space="preserve">constitutes </w:t>
      </w:r>
      <w:r w:rsidRPr="001E3A66">
        <w:rPr>
          <w:rFonts w:eastAsia="Verdana"/>
        </w:rPr>
        <w:t xml:space="preserve">a hospital, what a hospital service is, </w:t>
      </w:r>
      <w:r>
        <w:rPr>
          <w:rFonts w:eastAsia="Verdana"/>
        </w:rPr>
        <w:t xml:space="preserve">and </w:t>
      </w:r>
      <w:r w:rsidRPr="001E3A66">
        <w:rPr>
          <w:rFonts w:eastAsia="Verdana"/>
        </w:rPr>
        <w:t xml:space="preserve">who provides it </w:t>
      </w:r>
      <w:r>
        <w:rPr>
          <w:rFonts w:eastAsia="Verdana"/>
        </w:rPr>
        <w:t>(</w:t>
      </w:r>
      <w:r w:rsidRPr="001E3A66">
        <w:rPr>
          <w:rFonts w:eastAsia="Verdana"/>
        </w:rPr>
        <w:t>and how</w:t>
      </w:r>
      <w:r>
        <w:rPr>
          <w:rFonts w:eastAsia="Verdana"/>
        </w:rPr>
        <w:t>)</w:t>
      </w:r>
      <w:r w:rsidRPr="001E3A66">
        <w:rPr>
          <w:rFonts w:eastAsia="Verdana"/>
        </w:rPr>
        <w:t xml:space="preserve"> </w:t>
      </w:r>
      <w:r>
        <w:rPr>
          <w:rFonts w:eastAsia="Verdana"/>
        </w:rPr>
        <w:t>are</w:t>
      </w:r>
      <w:r w:rsidRPr="001E3A66">
        <w:rPr>
          <w:rFonts w:eastAsia="Verdana"/>
        </w:rPr>
        <w:t xml:space="preserve"> constraining </w:t>
      </w:r>
      <w:r>
        <w:rPr>
          <w:rFonts w:eastAsia="Verdana"/>
        </w:rPr>
        <w:t>innovation</w:t>
      </w:r>
      <w:r w:rsidRPr="001E3A66">
        <w:rPr>
          <w:rFonts w:eastAsia="Verdana"/>
        </w:rPr>
        <w:t>.</w:t>
      </w:r>
      <w:r>
        <w:rPr>
          <w:rFonts w:eastAsia="Verdana"/>
        </w:rPr>
        <w:t xml:space="preserve"> While the Agreement does enable temporary arrangements to be trialled (Clauses A97 and A26(d)), </w:t>
      </w:r>
      <w:r w:rsidRPr="006C0626">
        <w:rPr>
          <w:rFonts w:eastAsia="Verdana"/>
        </w:rPr>
        <w:t xml:space="preserve">innovative models are often not deemed eligible or are not adequately and/or </w:t>
      </w:r>
      <w:r>
        <w:rPr>
          <w:rFonts w:eastAsia="Verdana"/>
        </w:rPr>
        <w:t>sustainably</w:t>
      </w:r>
      <w:r w:rsidRPr="006C0626">
        <w:rPr>
          <w:rFonts w:eastAsia="Verdana"/>
        </w:rPr>
        <w:t xml:space="preserve"> funded.</w:t>
      </w:r>
    </w:p>
    <w:tbl>
      <w:tblPr>
        <w:tblStyle w:val="TableGrid"/>
        <w:tblW w:w="10490" w:type="dxa"/>
        <w:tblLayout w:type="fixed"/>
        <w:tblLook w:val="04A0" w:firstRow="1" w:lastRow="0" w:firstColumn="1" w:lastColumn="0" w:noHBand="0" w:noVBand="1"/>
      </w:tblPr>
      <w:tblGrid>
        <w:gridCol w:w="6804"/>
        <w:gridCol w:w="3662"/>
        <w:gridCol w:w="24"/>
      </w:tblGrid>
      <w:tr w:rsidR="001636E6" w14:paraId="35E5E32F" w14:textId="77777777" w:rsidTr="00A54EE3">
        <w:trPr>
          <w:gridAfter w:val="1"/>
          <w:cnfStyle w:val="100000000000" w:firstRow="1" w:lastRow="0" w:firstColumn="0" w:lastColumn="0" w:oddVBand="0" w:evenVBand="0" w:oddHBand="0" w:evenHBand="0" w:firstRowFirstColumn="0" w:firstRowLastColumn="0" w:lastRowFirstColumn="0" w:lastRowLastColumn="0"/>
          <w:wAfter w:w="24" w:type="dxa"/>
        </w:trPr>
        <w:tc>
          <w:tcPr>
            <w:tcW w:w="6804" w:type="dxa"/>
            <w:tcMar>
              <w:top w:w="0" w:type="dxa"/>
            </w:tcMar>
          </w:tcPr>
          <w:p w14:paraId="7E49F42F" w14:textId="201DAB3F" w:rsidR="001636E6" w:rsidRDefault="001636E6" w:rsidP="001636E6">
            <w:pPr>
              <w:ind w:right="432"/>
            </w:pPr>
            <w:r>
              <w:rPr>
                <w:rFonts w:eastAsia="Verdana"/>
              </w:rPr>
              <w:t xml:space="preserve">The Review was provided many examples of arrangements that sought to deliver services outside the hospital door, with a focus on improving care outside the hospital for frequent users of hospital services or intervening before acuity and complexity increased. However, States and Territories reported that getting these services agreed for shared funding was difficult and they were often left as sole funder. </w:t>
            </w:r>
            <w:r w:rsidRPr="00C87E48">
              <w:rPr>
                <w:rFonts w:eastAsia="Verdana"/>
              </w:rPr>
              <w:t>It was also acknowledged that the predominant incentive of the NHRA funding mechanism was to respond to acute demand through traditional hospital</w:t>
            </w:r>
            <w:r>
              <w:rPr>
                <w:rFonts w:eastAsia="Verdana"/>
              </w:rPr>
              <w:t>-</w:t>
            </w:r>
            <w:r w:rsidRPr="00C87E48">
              <w:rPr>
                <w:rFonts w:eastAsia="Verdana"/>
              </w:rPr>
              <w:t>based services.</w:t>
            </w:r>
          </w:p>
        </w:tc>
        <w:tc>
          <w:tcPr>
            <w:tcW w:w="3662" w:type="dxa"/>
            <w:tcMar>
              <w:top w:w="0" w:type="dxa"/>
            </w:tcMar>
          </w:tcPr>
          <w:p w14:paraId="76299FD7" w14:textId="75661B21" w:rsidR="001636E6" w:rsidRPr="0008071D" w:rsidRDefault="001636E6" w:rsidP="00054239">
            <w:pPr>
              <w:pStyle w:val="Pullout-QuoteGreen"/>
              <w:spacing w:after="120" w:line="216" w:lineRule="auto"/>
              <w:ind w:left="0"/>
              <w:rPr>
                <w:color w:val="007680"/>
              </w:rPr>
            </w:pPr>
            <w:r>
              <w:rPr>
                <w:color w:val="007680"/>
              </w:rPr>
              <w:t>“T</w:t>
            </w:r>
            <w:r w:rsidRPr="0080642D">
              <w:rPr>
                <w:color w:val="007680"/>
              </w:rPr>
              <w:t>he current approach to implementing the NHRA runs the risk of suffocating rather than encouraging innovation in service delivery due to the rigidity of the underpinning pricing</w:t>
            </w:r>
            <w:r>
              <w:rPr>
                <w:color w:val="007680"/>
              </w:rPr>
              <w:t xml:space="preserve"> </w:t>
            </w:r>
            <w:r w:rsidRPr="0080642D">
              <w:rPr>
                <w:color w:val="007680"/>
              </w:rPr>
              <w:t>/</w:t>
            </w:r>
            <w:r>
              <w:rPr>
                <w:color w:val="007680"/>
              </w:rPr>
              <w:t xml:space="preserve"> </w:t>
            </w:r>
            <w:r w:rsidRPr="0080642D">
              <w:rPr>
                <w:color w:val="007680"/>
              </w:rPr>
              <w:t>funding model</w:t>
            </w:r>
            <w:r>
              <w:rPr>
                <w:color w:val="007680"/>
              </w:rPr>
              <w:t>.”</w:t>
            </w:r>
          </w:p>
        </w:tc>
      </w:tr>
      <w:tr w:rsidR="0093705B" w:rsidRPr="007B0294" w14:paraId="13BA6493" w14:textId="77777777" w:rsidTr="00A54EE3">
        <w:tblPrEx>
          <w:tblBorders>
            <w:top w:val="dotted" w:sz="4" w:space="0" w:color="0097A9" w:themeColor="accent5"/>
            <w:left w:val="dotted" w:sz="4" w:space="0" w:color="0097A9" w:themeColor="accent5"/>
            <w:bottom w:val="dotted" w:sz="4" w:space="0" w:color="0097A9" w:themeColor="accent5"/>
            <w:right w:val="dotted" w:sz="4" w:space="0" w:color="0097A9" w:themeColor="accent5"/>
          </w:tblBorders>
        </w:tblPrEx>
        <w:tc>
          <w:tcPr>
            <w:tcW w:w="10490" w:type="dxa"/>
            <w:gridSpan w:val="3"/>
            <w:tcBorders>
              <w:top w:val="dotted" w:sz="4" w:space="0" w:color="00707E" w:themeColor="accent5" w:themeShade="BF"/>
              <w:left w:val="dotted" w:sz="4" w:space="0" w:color="00707E" w:themeColor="accent5" w:themeShade="BF"/>
              <w:bottom w:val="dotted" w:sz="4" w:space="0" w:color="00707E" w:themeColor="accent5" w:themeShade="BF"/>
              <w:right w:val="dotted" w:sz="4" w:space="0" w:color="00707E" w:themeColor="accent5" w:themeShade="BF"/>
            </w:tcBorders>
            <w:shd w:val="clear" w:color="auto" w:fill="auto"/>
          </w:tcPr>
          <w:p w14:paraId="1B2F62C0" w14:textId="77777777" w:rsidR="0093705B" w:rsidRPr="00F039D4" w:rsidRDefault="0093705B" w:rsidP="001412DB">
            <w:pPr>
              <w:pStyle w:val="Summarytable"/>
              <w:rPr>
                <w:color w:val="0097A9"/>
              </w:rPr>
            </w:pPr>
            <w:r w:rsidRPr="00165B65">
              <w:rPr>
                <w:noProof/>
                <w:color w:val="0097A9"/>
              </w:rPr>
              <w:drawing>
                <wp:inline distT="0" distB="0" distL="0" distR="0" wp14:anchorId="515E334D" wp14:editId="0281AAE4">
                  <wp:extent cx="270000" cy="270000"/>
                  <wp:effectExtent l="0" t="0" r="0" b="0"/>
                  <wp:docPr id="1489793663" name="Graphic 1489793663" descr="P1603C3T6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63" name="Graphic 1489793663" descr="P1603C3T69#yIS1">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70000" cy="270000"/>
                          </a:xfrm>
                          <a:prstGeom prst="rect">
                            <a:avLst/>
                          </a:prstGeom>
                        </pic:spPr>
                      </pic:pic>
                    </a:graphicData>
                  </a:graphic>
                </wp:inline>
              </w:drawing>
            </w:r>
            <w:r w:rsidRPr="005760B9">
              <w:rPr>
                <w:color w:val="00707E" w:themeColor="accent5" w:themeShade="BF"/>
              </w:rPr>
              <w:t xml:space="preserve">Case study: </w:t>
            </w:r>
            <w:r w:rsidRPr="005760B9">
              <w:rPr>
                <w:b w:val="0"/>
                <w:bCs w:val="0"/>
                <w:color w:val="00707E" w:themeColor="accent5" w:themeShade="BF"/>
              </w:rPr>
              <w:t>Hospital avoidance models of care</w:t>
            </w:r>
          </w:p>
          <w:p w14:paraId="03EC2B48" w14:textId="603A1BBC" w:rsidR="0093705B" w:rsidRPr="006F4661" w:rsidRDefault="0093705B" w:rsidP="00165B65">
            <w:pPr>
              <w:spacing w:line="240" w:lineRule="auto"/>
              <w:ind w:left="142"/>
            </w:pPr>
            <w:r>
              <w:t xml:space="preserve">Some examples </w:t>
            </w:r>
            <w:r w:rsidRPr="00A43116">
              <w:t>of arrangements that</w:t>
            </w:r>
            <w:r w:rsidR="00F84565">
              <w:t xml:space="preserve"> have</w:t>
            </w:r>
            <w:r w:rsidRPr="00A43116">
              <w:t xml:space="preserve"> sought to deliver services outside the hospital</w:t>
            </w:r>
            <w:r>
              <w:t xml:space="preserve"> include:</w:t>
            </w:r>
          </w:p>
          <w:p w14:paraId="1645203B" w14:textId="47C4D28C" w:rsidR="0093705B" w:rsidRDefault="0093705B" w:rsidP="001412DB">
            <w:pPr>
              <w:ind w:left="142"/>
              <w:rPr>
                <w:b/>
              </w:rPr>
            </w:pPr>
            <w:r w:rsidRPr="00BF4BED">
              <w:rPr>
                <w:b/>
                <w:bCs/>
              </w:rPr>
              <w:t>HealthLinks (V</w:t>
            </w:r>
            <w:r w:rsidR="00A26B4B">
              <w:rPr>
                <w:b/>
                <w:bCs/>
              </w:rPr>
              <w:t>ictoria</w:t>
            </w:r>
            <w:r w:rsidRPr="00BF4BED">
              <w:rPr>
                <w:b/>
                <w:bCs/>
              </w:rPr>
              <w:t>):</w:t>
            </w:r>
            <w:r>
              <w:t xml:space="preserve"> </w:t>
            </w:r>
            <w:r w:rsidRPr="007F4BA9">
              <w:t xml:space="preserve">Victoria trialled </w:t>
            </w:r>
            <w:r>
              <w:t>this</w:t>
            </w:r>
            <w:r w:rsidRPr="007F4BA9">
              <w:t xml:space="preserve"> capitation funding model program, which enabled five health services to better treat chronic conditions outside of hospital. Participating health services had the flexibility to use projected inpatient funding to </w:t>
            </w:r>
            <w:r w:rsidRPr="00FC125C">
              <w:t>create a capitated funding model (flexible funding)</w:t>
            </w:r>
            <w:r>
              <w:t xml:space="preserve"> to</w:t>
            </w:r>
            <w:r w:rsidRPr="00FC125C">
              <w:t xml:space="preserve"> </w:t>
            </w:r>
            <w:r w:rsidRPr="007F4BA9">
              <w:t xml:space="preserve">design care around the needs of patients at high risk of multiple unplanned hospital admissions. </w:t>
            </w:r>
            <w:r w:rsidRPr="00FC125C">
              <w:t>The capitated funding model provided a funding source that could be used to deliver a more flexible mix of services in home and community settings</w:t>
            </w:r>
            <w:r>
              <w:t xml:space="preserve">, </w:t>
            </w:r>
            <w:r w:rsidRPr="007F4BA9">
              <w:t>beyond traditional hospital-based settings</w:t>
            </w:r>
            <w:r>
              <w:t xml:space="preserve">. This program </w:t>
            </w:r>
            <w:r w:rsidRPr="007727C1">
              <w:rPr>
                <w:lang w:val="en-GB"/>
              </w:rPr>
              <w:t xml:space="preserve">was discontinued </w:t>
            </w:r>
            <w:r>
              <w:rPr>
                <w:lang w:val="en-GB"/>
              </w:rPr>
              <w:t xml:space="preserve">in </w:t>
            </w:r>
            <w:r w:rsidRPr="00FC125C">
              <w:t xml:space="preserve">July 2022 </w:t>
            </w:r>
            <w:r w:rsidR="006F4E36">
              <w:rPr>
                <w:lang w:val="en-GB"/>
              </w:rPr>
              <w:t>as</w:t>
            </w:r>
            <w:r w:rsidRPr="007727C1">
              <w:rPr>
                <w:lang w:val="en-GB"/>
              </w:rPr>
              <w:t xml:space="preserve"> compliance with ABF coding and classification standards did not enable Victoria to reflect the impact of the program over a longer evaluation period</w:t>
            </w:r>
            <w:r>
              <w:t xml:space="preserve"> and or support the reform to scale.</w:t>
            </w:r>
          </w:p>
          <w:p w14:paraId="0C4D7CD3" w14:textId="37116F9A" w:rsidR="0093705B" w:rsidRPr="00233CB2" w:rsidRDefault="0093705B" w:rsidP="001412DB">
            <w:pPr>
              <w:ind w:left="142"/>
            </w:pPr>
            <w:r w:rsidRPr="00755EFA">
              <w:rPr>
                <w:b/>
                <w:bCs/>
              </w:rPr>
              <w:t>Pathways to Assistance and Treatment (A</w:t>
            </w:r>
            <w:r w:rsidR="00A26B4B">
              <w:rPr>
                <w:b/>
                <w:bCs/>
              </w:rPr>
              <w:t>ustralian Capital Territory</w:t>
            </w:r>
            <w:r w:rsidRPr="00755EFA">
              <w:rPr>
                <w:b/>
                <w:bCs/>
              </w:rPr>
              <w:t>):</w:t>
            </w:r>
            <w:r>
              <w:t xml:space="preserve"> A</w:t>
            </w:r>
            <w:r w:rsidRPr="00EC5125">
              <w:t xml:space="preserve"> custom-built mobile clinic that offer</w:t>
            </w:r>
            <w:r w:rsidR="006F53F4">
              <w:t>s</w:t>
            </w:r>
            <w:r w:rsidRPr="00EC5125">
              <w:t xml:space="preserve"> the full range of minor procedures and services common in a standard GP clinic, enhancing client access to health care in </w:t>
            </w:r>
            <w:r w:rsidR="00D66794">
              <w:t>public housing</w:t>
            </w:r>
            <w:r w:rsidRPr="00EC5125">
              <w:t xml:space="preserve">. The service aims to reduce the number of people who present to the </w:t>
            </w:r>
            <w:r>
              <w:t>ED</w:t>
            </w:r>
            <w:r w:rsidRPr="00EC5125">
              <w:t xml:space="preserve"> with complex health issues that could have been dealt with earlier in primary care.</w:t>
            </w:r>
            <w:r>
              <w:t xml:space="preserve"> </w:t>
            </w:r>
            <w:r w:rsidRPr="00EC5125">
              <w:t xml:space="preserve">These clinics are staffed by a carefully recruited and trained interdisciplinary team of a GP, nurse, mental health practitioner and alcohol and drug practitioner, together filling an important gap in medical access for many who </w:t>
            </w:r>
            <w:r w:rsidR="009F017E" w:rsidRPr="00EC5125">
              <w:t>would</w:t>
            </w:r>
            <w:r w:rsidR="009F017E">
              <w:t xml:space="preserve"> not</w:t>
            </w:r>
            <w:r w:rsidR="009F017E" w:rsidRPr="00EC5125">
              <w:t xml:space="preserve"> </w:t>
            </w:r>
            <w:r w:rsidRPr="00EC5125">
              <w:t>have access to healthcare without it.</w:t>
            </w:r>
            <w:r>
              <w:t xml:space="preserve"> </w:t>
            </w:r>
          </w:p>
        </w:tc>
      </w:tr>
    </w:tbl>
    <w:p w14:paraId="70B11E89" w14:textId="77777777" w:rsidR="0093705B" w:rsidRDefault="0093705B" w:rsidP="0093705B">
      <w:pPr>
        <w:rPr>
          <w:rFonts w:eastAsia="Verdana"/>
        </w:rPr>
      </w:pPr>
    </w:p>
    <w:p w14:paraId="55ED6461" w14:textId="77777777" w:rsidR="0093705B" w:rsidRDefault="0093705B" w:rsidP="0093705B">
      <w:pPr>
        <w:rPr>
          <w:rFonts w:eastAsia="Verdana"/>
        </w:rPr>
      </w:pPr>
      <w:r>
        <w:rPr>
          <w:rFonts w:eastAsia="Verdana"/>
        </w:rPr>
        <w:t xml:space="preserve">Many examples emerged during COVID-19 of hospital services being quickly adapted to be delivered using virtual platforms. Through innovative use of technologies, flexible funding and workforce arrangements and close collaboration across providers, these became exemplars of providing patient-centred care in a home or community setting. A new Agreement should harness the rapid uptake of innovative virtual care models that emerged during COVID-19 and embed their key features. </w:t>
      </w:r>
    </w:p>
    <w:p w14:paraId="0F30CBC3" w14:textId="78D4FB45" w:rsidR="0093705B" w:rsidRDefault="0093705B" w:rsidP="0093705B">
      <w:pPr>
        <w:rPr>
          <w:rFonts w:eastAsia="Verdana"/>
        </w:rPr>
      </w:pPr>
      <w:r>
        <w:rPr>
          <w:rFonts w:eastAsia="Verdana"/>
        </w:rPr>
        <w:t>A future Agreement should revisit the way in which services delivered outside the hospital and designed to improve patient outcomes and reduce hospital demand can be incorporated into the Agreement.</w:t>
      </w:r>
      <w:r w:rsidR="001C2214">
        <w:rPr>
          <w:rFonts w:eastAsia="Verdana"/>
        </w:rPr>
        <w:t xml:space="preserve"> It will be important to ensu</w:t>
      </w:r>
      <w:r w:rsidR="00512E8B">
        <w:rPr>
          <w:rFonts w:eastAsia="Verdana"/>
        </w:rPr>
        <w:t>re a transition arrangement is</w:t>
      </w:r>
      <w:r w:rsidR="0088747C">
        <w:rPr>
          <w:rFonts w:eastAsia="Verdana"/>
        </w:rPr>
        <w:t xml:space="preserve"> put</w:t>
      </w:r>
      <w:r w:rsidR="00512E8B">
        <w:rPr>
          <w:rFonts w:eastAsia="Verdana"/>
        </w:rPr>
        <w:t xml:space="preserve"> </w:t>
      </w:r>
      <w:r w:rsidR="00D57EF1">
        <w:rPr>
          <w:rFonts w:eastAsia="Verdana"/>
        </w:rPr>
        <w:t>in place</w:t>
      </w:r>
      <w:r w:rsidR="00512E8B">
        <w:rPr>
          <w:rFonts w:eastAsia="Verdana"/>
        </w:rPr>
        <w:t xml:space="preserve"> </w:t>
      </w:r>
      <w:r w:rsidR="00D57EF1">
        <w:rPr>
          <w:rFonts w:eastAsia="Verdana"/>
        </w:rPr>
        <w:t>to mitigate against the</w:t>
      </w:r>
      <w:r w:rsidR="00512E8B">
        <w:rPr>
          <w:rFonts w:eastAsia="Verdana"/>
        </w:rPr>
        <w:t xml:space="preserve"> national activity growth cap </w:t>
      </w:r>
      <w:r w:rsidR="00D57EF1">
        <w:rPr>
          <w:rFonts w:eastAsia="Verdana"/>
        </w:rPr>
        <w:t xml:space="preserve">being exceeded, </w:t>
      </w:r>
      <w:r w:rsidR="00512E8B">
        <w:rPr>
          <w:rFonts w:eastAsia="Verdana"/>
        </w:rPr>
        <w:t>as a result of new activity being brought within the Agreement.</w:t>
      </w:r>
    </w:p>
    <w:tbl>
      <w:tblPr>
        <w:tblStyle w:val="TableGrid"/>
        <w:tblW w:w="10490" w:type="dxa"/>
        <w:tblInd w:w="-5" w:type="dxa"/>
        <w:tblBorders>
          <w:top w:val="dotted" w:sz="4" w:space="0" w:color="0097A9" w:themeColor="accent5"/>
          <w:left w:val="dotted" w:sz="4" w:space="0" w:color="0097A9" w:themeColor="accent5"/>
          <w:bottom w:val="dotted" w:sz="4" w:space="0" w:color="0097A9" w:themeColor="accent5"/>
          <w:right w:val="dotted" w:sz="4" w:space="0" w:color="0097A9" w:themeColor="accent5"/>
        </w:tblBorders>
        <w:tblLook w:val="04A0" w:firstRow="1" w:lastRow="0" w:firstColumn="1" w:lastColumn="0" w:noHBand="0" w:noVBand="1"/>
      </w:tblPr>
      <w:tblGrid>
        <w:gridCol w:w="10490"/>
      </w:tblGrid>
      <w:tr w:rsidR="0093705B" w:rsidRPr="007B0294" w14:paraId="45C044B3" w14:textId="77777777" w:rsidTr="006D31C4">
        <w:trPr>
          <w:cnfStyle w:val="100000000000" w:firstRow="1" w:lastRow="0" w:firstColumn="0" w:lastColumn="0" w:oddVBand="0" w:evenVBand="0" w:oddHBand="0" w:evenHBand="0" w:firstRowFirstColumn="0" w:firstRowLastColumn="0" w:lastRowFirstColumn="0" w:lastRowLastColumn="0"/>
        </w:trPr>
        <w:tc>
          <w:tcPr>
            <w:tcW w:w="1049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E05A83E" w14:textId="77777777" w:rsidR="0093705B" w:rsidRPr="009D3F23" w:rsidRDefault="0093705B" w:rsidP="001412DB">
            <w:pPr>
              <w:pStyle w:val="Summarytable"/>
              <w:rPr>
                <w:color w:val="00707E" w:themeColor="accent5" w:themeShade="BF"/>
              </w:rPr>
            </w:pPr>
            <w:r w:rsidRPr="009D3F23">
              <w:rPr>
                <w:noProof/>
                <w:color w:val="00707E" w:themeColor="accent5" w:themeShade="BF"/>
              </w:rPr>
              <w:drawing>
                <wp:inline distT="0" distB="0" distL="0" distR="0" wp14:anchorId="0E179693" wp14:editId="3DB45A21">
                  <wp:extent cx="270000" cy="270000"/>
                  <wp:effectExtent l="0" t="0" r="0" b="0"/>
                  <wp:docPr id="213" name="Graphic 213" descr="P1611C1T7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phic 213" descr="P1611C1T70#yIS1">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70000" cy="270000"/>
                          </a:xfrm>
                          <a:prstGeom prst="rect">
                            <a:avLst/>
                          </a:prstGeom>
                        </pic:spPr>
                      </pic:pic>
                    </a:graphicData>
                  </a:graphic>
                </wp:inline>
              </w:drawing>
            </w:r>
            <w:r w:rsidRPr="009D3F23">
              <w:rPr>
                <w:color w:val="00707E" w:themeColor="accent5" w:themeShade="BF"/>
              </w:rPr>
              <w:t xml:space="preserve">Case study: </w:t>
            </w:r>
            <w:r w:rsidRPr="009D3F23">
              <w:rPr>
                <w:b w:val="0"/>
                <w:bCs w:val="0"/>
                <w:color w:val="00707E" w:themeColor="accent5" w:themeShade="BF"/>
              </w:rPr>
              <w:t>Virtual models of care</w:t>
            </w:r>
          </w:p>
          <w:p w14:paraId="1A143967" w14:textId="77777777" w:rsidR="0093705B" w:rsidRDefault="0093705B" w:rsidP="00165B65">
            <w:pPr>
              <w:spacing w:line="240" w:lineRule="auto"/>
              <w:ind w:left="142"/>
            </w:pPr>
            <w:r>
              <w:t xml:space="preserve">Some examples </w:t>
            </w:r>
            <w:r w:rsidRPr="00A43116">
              <w:t xml:space="preserve">of </w:t>
            </w:r>
            <w:r>
              <w:t>virtual models of care include:</w:t>
            </w:r>
          </w:p>
          <w:p w14:paraId="14EAE6F5" w14:textId="5FD321F9" w:rsidR="0093705B" w:rsidRDefault="0093705B" w:rsidP="001412DB">
            <w:pPr>
              <w:ind w:left="142"/>
            </w:pPr>
            <w:r w:rsidRPr="00E3727A">
              <w:rPr>
                <w:b/>
                <w:bCs/>
              </w:rPr>
              <w:t>rpavirtual (</w:t>
            </w:r>
            <w:r w:rsidR="00B552E3" w:rsidRPr="00B552E3">
              <w:rPr>
                <w:b/>
                <w:bCs/>
              </w:rPr>
              <w:t>New South Wales</w:t>
            </w:r>
            <w:r w:rsidRPr="00E3727A">
              <w:rPr>
                <w:b/>
                <w:bCs/>
              </w:rPr>
              <w:t>):</w:t>
            </w:r>
            <w:r>
              <w:t xml:space="preserve"> The Royal Prince Alfred Virtual Hospital (rpavirtual) delivers hospital care in the community, using technology to provide clinicians with patient data to remotely treat and monitor patients round the clock, acting as a bridge between hospital inpatient services and the community</w:t>
            </w:r>
            <w:r w:rsidR="00EF11CE">
              <w:t>,</w:t>
            </w:r>
            <w:r>
              <w:t xml:space="preserve"> with specialist review and in-person assessment as required. A </w:t>
            </w:r>
            <w:r w:rsidR="00B630F3">
              <w:br/>
              <w:t xml:space="preserve">2020-21 </w:t>
            </w:r>
            <w:r>
              <w:t xml:space="preserve">Evaluation report showed savings of 15 bed days per person for COVID positive patients, totalling 25,000 bed days saved. </w:t>
            </w:r>
          </w:p>
          <w:p w14:paraId="12AB03DF" w14:textId="46CCA1DC" w:rsidR="0093705B" w:rsidRPr="00233CB2" w:rsidRDefault="0093705B" w:rsidP="001412DB">
            <w:pPr>
              <w:ind w:left="142"/>
            </w:pPr>
            <w:r w:rsidRPr="00E3727A">
              <w:rPr>
                <w:b/>
                <w:bCs/>
              </w:rPr>
              <w:t>COVID-19@homeplus (T</w:t>
            </w:r>
            <w:r w:rsidR="00087CB2">
              <w:rPr>
                <w:b/>
                <w:bCs/>
              </w:rPr>
              <w:t>asmania</w:t>
            </w:r>
            <w:r w:rsidRPr="00E3727A">
              <w:rPr>
                <w:b/>
                <w:bCs/>
              </w:rPr>
              <w:t>):</w:t>
            </w:r>
            <w:r>
              <w:t xml:space="preserve"> Established in December 2021, COVID@home initially provided care to Tasmanians who had tested positive to COVID-19 and has now evolved through COVID@homeplus to provide care to other vulnerable people with respiratory illnesses who meet other referral criteria as a hospital avoidance initiative.  Enrolled patients have access to a multidisciplinary support team to monitor symptoms and receive care at home monitoring kits. As at May 2023, the program had supported over 36,800 people and alleviated pressure on primary care and hospital emergency departments. </w:t>
            </w:r>
          </w:p>
        </w:tc>
      </w:tr>
    </w:tbl>
    <w:p w14:paraId="4F700CA7" w14:textId="77777777" w:rsidR="0093705B" w:rsidRDefault="0093705B" w:rsidP="0093705B">
      <w:pPr>
        <w:rPr>
          <w:rFonts w:eastAsia="Verdana"/>
          <w:b/>
          <w:bCs/>
          <w:highlight w:val="lightGray"/>
        </w:rPr>
      </w:pPr>
    </w:p>
    <w:tbl>
      <w:tblPr>
        <w:tblStyle w:val="TableGrid"/>
        <w:tblW w:w="10490" w:type="dxa"/>
        <w:tblInd w:w="-5" w:type="dxa"/>
        <w:shd w:val="clear" w:color="auto" w:fill="F2F2F2" w:themeFill="background1" w:themeFillShade="F2"/>
        <w:tblLook w:val="04A0" w:firstRow="1" w:lastRow="0" w:firstColumn="1" w:lastColumn="0" w:noHBand="0" w:noVBand="1"/>
      </w:tblPr>
      <w:tblGrid>
        <w:gridCol w:w="10490"/>
      </w:tblGrid>
      <w:tr w:rsidR="006D31C4" w14:paraId="72C6DB11" w14:textId="77777777" w:rsidTr="00F26329">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tcPr>
          <w:p w14:paraId="36B2572B" w14:textId="4EDB6A2F" w:rsidR="006D31C4" w:rsidRPr="00481277" w:rsidRDefault="006D31C4" w:rsidP="00F26329">
            <w:pPr>
              <w:pStyle w:val="Summarytable"/>
              <w:keepNext/>
              <w:keepLines/>
              <w:rPr>
                <w:b w:val="0"/>
              </w:rPr>
            </w:pPr>
            <w:r>
              <w:rPr>
                <w:noProof/>
                <w:color w:val="0097A9" w:themeColor="accent5"/>
              </w:rPr>
              <w:drawing>
                <wp:inline distT="0" distB="0" distL="0" distR="0" wp14:anchorId="51CF2232" wp14:editId="125FBE4B">
                  <wp:extent cx="270000" cy="270000"/>
                  <wp:effectExtent l="0" t="0" r="0" b="0"/>
                  <wp:docPr id="216" name="Graphic 216" descr="P1617C1T7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Graphic 216" descr="P1617C1T71#yIS1">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70000" cy="270000"/>
                          </a:xfrm>
                          <a:prstGeom prst="rect">
                            <a:avLst/>
                          </a:prstGeom>
                        </pic:spPr>
                      </pic:pic>
                    </a:graphicData>
                  </a:graphic>
                </wp:inline>
              </w:drawing>
            </w:r>
            <w:r>
              <w:rPr>
                <w:color w:val="00707E" w:themeColor="accent5" w:themeShade="BF"/>
              </w:rPr>
              <w:t>Recommendation 12</w:t>
            </w:r>
            <w:r w:rsidRPr="00525A82">
              <w:rPr>
                <w:color w:val="00707E" w:themeColor="accent5" w:themeShade="BF"/>
              </w:rPr>
              <w:t xml:space="preserve">: </w:t>
            </w:r>
            <w:r w:rsidRPr="00525A82">
              <w:rPr>
                <w:rFonts w:eastAsia="Verdana"/>
                <w:b w:val="0"/>
                <w:bCs w:val="0"/>
              </w:rPr>
              <w:t xml:space="preserve">The </w:t>
            </w:r>
            <w:r w:rsidRPr="00525A82">
              <w:rPr>
                <w:rFonts w:eastAsia="Verdana"/>
              </w:rPr>
              <w:t>scope of public hospital services referenced in the NHRA should be reviewed</w:t>
            </w:r>
            <w:r>
              <w:rPr>
                <w:rFonts w:eastAsia="Verdana"/>
              </w:rPr>
              <w:t>,</w:t>
            </w:r>
            <w:r w:rsidRPr="00525A82">
              <w:rPr>
                <w:rFonts w:eastAsia="Verdana"/>
              </w:rPr>
              <w:t xml:space="preserve"> </w:t>
            </w:r>
            <w:r w:rsidRPr="000F1061">
              <w:rPr>
                <w:rFonts w:eastAsia="Verdana"/>
                <w:b w:val="0"/>
                <w:bCs w:val="0"/>
              </w:rPr>
              <w:t>with a view to removing reference to what was deemed to be a hospital service in 2010 (Clause A22),</w:t>
            </w:r>
            <w:r>
              <w:rPr>
                <w:rFonts w:eastAsia="Verdana"/>
              </w:rPr>
              <w:t xml:space="preserve"> </w:t>
            </w:r>
            <w:r w:rsidRPr="00525A82">
              <w:rPr>
                <w:rFonts w:eastAsia="Verdana"/>
              </w:rPr>
              <w:t>and broadened</w:t>
            </w:r>
            <w:r w:rsidRPr="00525A82">
              <w:rPr>
                <w:rFonts w:eastAsia="Verdana"/>
                <w:b w:val="0"/>
                <w:bCs w:val="0"/>
              </w:rPr>
              <w:t xml:space="preserve"> to </w:t>
            </w:r>
            <w:r>
              <w:rPr>
                <w:rFonts w:eastAsia="Verdana"/>
                <w:b w:val="0"/>
                <w:bCs w:val="0"/>
              </w:rPr>
              <w:t>address</w:t>
            </w:r>
            <w:r w:rsidRPr="00525A82">
              <w:rPr>
                <w:rFonts w:eastAsia="Verdana"/>
                <w:b w:val="0"/>
                <w:bCs w:val="0"/>
              </w:rPr>
              <w:t xml:space="preserve"> current disparities between </w:t>
            </w:r>
            <w:r w:rsidR="00C9375A">
              <w:rPr>
                <w:rFonts w:eastAsia="Verdana"/>
                <w:b w:val="0"/>
                <w:bCs w:val="0"/>
              </w:rPr>
              <w:t>S</w:t>
            </w:r>
            <w:r w:rsidRPr="00525A82">
              <w:rPr>
                <w:rFonts w:eastAsia="Verdana"/>
                <w:b w:val="0"/>
                <w:bCs w:val="0"/>
              </w:rPr>
              <w:t xml:space="preserve">tates and </w:t>
            </w:r>
            <w:r w:rsidR="00C9375A">
              <w:rPr>
                <w:rFonts w:eastAsia="Verdana"/>
                <w:b w:val="0"/>
                <w:bCs w:val="0"/>
              </w:rPr>
              <w:t>T</w:t>
            </w:r>
            <w:r w:rsidRPr="00525A82">
              <w:rPr>
                <w:rFonts w:eastAsia="Verdana"/>
                <w:b w:val="0"/>
                <w:bCs w:val="0"/>
              </w:rPr>
              <w:t xml:space="preserve">erritories and to incorporate those services that are provided beyond the hospital door, including virtual services </w:t>
            </w:r>
            <w:r>
              <w:rPr>
                <w:rFonts w:eastAsia="Verdana"/>
                <w:b w:val="0"/>
                <w:bCs w:val="0"/>
              </w:rPr>
              <w:t xml:space="preserve">and in-reach/out-reach services, </w:t>
            </w:r>
            <w:r w:rsidRPr="00525A82">
              <w:rPr>
                <w:rFonts w:eastAsia="Verdana"/>
                <w:b w:val="0"/>
                <w:bCs w:val="0"/>
              </w:rPr>
              <w:t xml:space="preserve">where the primary purpose is to </w:t>
            </w:r>
            <w:r>
              <w:rPr>
                <w:rFonts w:eastAsia="Verdana"/>
                <w:b w:val="0"/>
                <w:bCs w:val="0"/>
              </w:rPr>
              <w:t>both respond to, and shape demand for acute care</w:t>
            </w:r>
            <w:r w:rsidR="000F1061">
              <w:rPr>
                <w:rFonts w:eastAsia="Verdana"/>
                <w:b w:val="0"/>
                <w:bCs w:val="0"/>
              </w:rPr>
              <w:t xml:space="preserve"> </w:t>
            </w:r>
            <w:r>
              <w:rPr>
                <w:rFonts w:eastAsia="Verdana"/>
                <w:b w:val="0"/>
                <w:bCs w:val="0"/>
              </w:rPr>
              <w:t>by re</w:t>
            </w:r>
            <w:r w:rsidRPr="00525A82">
              <w:rPr>
                <w:rFonts w:eastAsia="Verdana"/>
                <w:b w:val="0"/>
                <w:bCs w:val="0"/>
              </w:rPr>
              <w:t>plac</w:t>
            </w:r>
            <w:r>
              <w:rPr>
                <w:rFonts w:eastAsia="Verdana"/>
                <w:b w:val="0"/>
                <w:bCs w:val="0"/>
              </w:rPr>
              <w:t>ing</w:t>
            </w:r>
            <w:r w:rsidRPr="00525A82">
              <w:rPr>
                <w:rFonts w:eastAsia="Verdana"/>
                <w:b w:val="0"/>
                <w:bCs w:val="0"/>
              </w:rPr>
              <w:t xml:space="preserve"> or avoid</w:t>
            </w:r>
            <w:r>
              <w:rPr>
                <w:rFonts w:eastAsia="Verdana"/>
                <w:b w:val="0"/>
                <w:bCs w:val="0"/>
              </w:rPr>
              <w:t>ing</w:t>
            </w:r>
            <w:r w:rsidRPr="00525A82">
              <w:rPr>
                <w:rFonts w:eastAsia="Verdana"/>
                <w:b w:val="0"/>
                <w:bCs w:val="0"/>
              </w:rPr>
              <w:t xml:space="preserve"> a hospital admission</w:t>
            </w:r>
            <w:r>
              <w:rPr>
                <w:rFonts w:eastAsia="Verdana"/>
                <w:b w:val="0"/>
                <w:bCs w:val="0"/>
              </w:rPr>
              <w:t>, with an appropriate transition to ensure any impact on activity growth caps are managed.</w:t>
            </w:r>
          </w:p>
        </w:tc>
      </w:tr>
    </w:tbl>
    <w:p w14:paraId="54B3BC9F" w14:textId="77777777" w:rsidR="006D31C4" w:rsidRDefault="006D31C4" w:rsidP="0093705B">
      <w:pPr>
        <w:rPr>
          <w:rFonts w:eastAsia="Verdana"/>
          <w:b/>
          <w:bCs/>
          <w:highlight w:val="lightGray"/>
        </w:rPr>
      </w:pPr>
    </w:p>
    <w:p w14:paraId="18A253E3" w14:textId="77777777" w:rsidR="0093705B" w:rsidRPr="001B7B08" w:rsidRDefault="0093705B" w:rsidP="007745A8">
      <w:pPr>
        <w:pStyle w:val="Heading4"/>
      </w:pPr>
      <w:bookmarkStart w:id="254" w:name="_Ref148442043"/>
      <w:r>
        <w:t>Bundled payments</w:t>
      </w:r>
      <w:bookmarkEnd w:id="254"/>
    </w:p>
    <w:p w14:paraId="2678F08D" w14:textId="77777777" w:rsidR="0093705B" w:rsidRDefault="0093705B" w:rsidP="0093705B">
      <w:pPr>
        <w:rPr>
          <w:rFonts w:eastAsia="Verdana"/>
        </w:rPr>
      </w:pPr>
      <w:r>
        <w:rPr>
          <w:rFonts w:eastAsia="Verdana"/>
        </w:rPr>
        <w:t xml:space="preserve">In the course of consultations, stakeholders identified the merit of including in the Agreement a structured approach to bundle payments for certain end-to-end episodes of care, that encompass the ‘before, during and after hospital’ components of an episode, and provide an incentive to deliver care in the most quality and cost-effective setting.   </w:t>
      </w:r>
    </w:p>
    <w:p w14:paraId="08B116D6" w14:textId="30126AA5" w:rsidR="0093705B" w:rsidRPr="003804F6" w:rsidRDefault="0093705B" w:rsidP="0093705B">
      <w:pPr>
        <w:rPr>
          <w:i/>
          <w:iCs/>
        </w:rPr>
      </w:pPr>
      <w:r>
        <w:rPr>
          <w:rFonts w:eastAsia="Verdana"/>
        </w:rPr>
        <w:t>A recent study conducted by IHACPA suggested that up to 20% of NHRA funding could be better utilised through bundled payments</w:t>
      </w:r>
      <w:r w:rsidR="003F5D51">
        <w:rPr>
          <w:rFonts w:ascii="ZWAdobeF" w:eastAsia="Verdana" w:hAnsi="ZWAdobeF" w:cs="ZWAdobeF"/>
          <w:sz w:val="2"/>
          <w:szCs w:val="2"/>
        </w:rPr>
        <w:t>121F</w:t>
      </w:r>
      <w:r>
        <w:rPr>
          <w:rStyle w:val="FootnoteReference"/>
          <w:rFonts w:eastAsia="Verdana"/>
        </w:rPr>
        <w:footnoteReference w:id="123"/>
      </w:r>
      <w:r>
        <w:rPr>
          <w:rFonts w:eastAsia="Verdana"/>
        </w:rPr>
        <w:t xml:space="preserve">. In an earlier report in 2017, the then IHPA </w:t>
      </w:r>
      <w:r>
        <w:t>investigated the potential for b</w:t>
      </w:r>
      <w:r w:rsidRPr="005953F5">
        <w:t xml:space="preserve">undled pricing </w:t>
      </w:r>
      <w:r>
        <w:t>models for:</w:t>
      </w:r>
    </w:p>
    <w:p w14:paraId="0CC5B968" w14:textId="77777777" w:rsidR="0093705B" w:rsidRDefault="0093705B" w:rsidP="0093705B">
      <w:pPr>
        <w:pStyle w:val="ListBullet"/>
        <w:ind w:left="567"/>
      </w:pPr>
      <w:r>
        <w:t>Uncomplicated maternity care</w:t>
      </w:r>
    </w:p>
    <w:p w14:paraId="18667DF6" w14:textId="77777777" w:rsidR="0093705B" w:rsidRPr="003804F6" w:rsidRDefault="0093705B" w:rsidP="0093705B">
      <w:pPr>
        <w:pStyle w:val="ListBullet"/>
        <w:ind w:left="567"/>
      </w:pPr>
      <w:r w:rsidRPr="003804F6">
        <w:t>Hip and knee replacements e.g., a single payment for non-admitted, admitted, and sub-acute services</w:t>
      </w:r>
      <w:r>
        <w:t>, and</w:t>
      </w:r>
    </w:p>
    <w:p w14:paraId="2EFAFC2B" w14:textId="77777777" w:rsidR="0093705B" w:rsidRPr="003804F6" w:rsidRDefault="0093705B" w:rsidP="0093705B">
      <w:pPr>
        <w:pStyle w:val="ListBullet"/>
        <w:spacing w:after="120"/>
        <w:ind w:left="567"/>
      </w:pPr>
      <w:r w:rsidRPr="003804F6">
        <w:t>Stroke e.g., bundle ABF payments across care types and weighted for complexity.</w:t>
      </w:r>
    </w:p>
    <w:p w14:paraId="6DA8C121" w14:textId="3CF014ED" w:rsidR="0093705B" w:rsidRDefault="0093705B" w:rsidP="0093705B">
      <w:r>
        <w:t xml:space="preserve">The report </w:t>
      </w:r>
      <w:r w:rsidRPr="003804F6">
        <w:t>note</w:t>
      </w:r>
      <w:r>
        <w:t>d</w:t>
      </w:r>
      <w:r w:rsidRPr="003804F6">
        <w:t xml:space="preserve"> that bundled pricing for maternity care could drive a change in how and what services are delivered, with the impact dependent on the </w:t>
      </w:r>
      <w:r w:rsidR="004F5468">
        <w:t>profile</w:t>
      </w:r>
      <w:r w:rsidR="004F5468" w:rsidRPr="003804F6">
        <w:t xml:space="preserve"> </w:t>
      </w:r>
      <w:r w:rsidRPr="003804F6">
        <w:t>of patients, stages of care and services in the bundle, as well as the degree of risk adjustment and the pricing approach. For example, a single price across the antenatal and birth stages of care could send a price signal which supports a greater focus by public hospitals on preventative care during the antenatal period to reduce the</w:t>
      </w:r>
      <w:r w:rsidR="00E6622C">
        <w:t xml:space="preserve"> potential</w:t>
      </w:r>
      <w:r w:rsidRPr="003804F6">
        <w:t xml:space="preserve"> complexity of the birth</w:t>
      </w:r>
      <w:r w:rsidR="00715A0A">
        <w:t xml:space="preserve"> and flow-on impacts for post-natal recovery</w:t>
      </w:r>
      <w:r w:rsidRPr="003804F6">
        <w:t>.</w:t>
      </w:r>
      <w:r>
        <w:t xml:space="preserve"> </w:t>
      </w:r>
    </w:p>
    <w:p w14:paraId="7E060213" w14:textId="76FE9AF9" w:rsidR="0093705B" w:rsidRDefault="0093705B" w:rsidP="0093705B">
      <w:r>
        <w:t xml:space="preserve">Consideration should be given to implementing bundled payments, through a structured national approach, where doing so would improve the quality of care and outcomes for patients, enable greater efficiency and support better and more integrated patient pathways. Uncomplicated maternity care </w:t>
      </w:r>
      <w:r w:rsidR="000251AA">
        <w:t xml:space="preserve">may </w:t>
      </w:r>
      <w:r>
        <w:t>be a good starting point, given the detailed work that has already occurred</w:t>
      </w:r>
      <w:r w:rsidR="004442D4">
        <w:t>,</w:t>
      </w:r>
      <w:r w:rsidR="00EC4B5B">
        <w:t xml:space="preserve"> </w:t>
      </w:r>
      <w:r>
        <w:t>the strong interest among stakeholders</w:t>
      </w:r>
      <w:r w:rsidR="004442D4">
        <w:t xml:space="preserve"> and the shared national</w:t>
      </w:r>
      <w:r w:rsidR="00EC4B5B">
        <w:t xml:space="preserve"> approach of the </w:t>
      </w:r>
      <w:r w:rsidR="00EC4B5B" w:rsidRPr="00631582">
        <w:rPr>
          <w:i/>
          <w:iCs/>
        </w:rPr>
        <w:t>Women-</w:t>
      </w:r>
      <w:r w:rsidR="00E6000B" w:rsidRPr="00631582">
        <w:rPr>
          <w:i/>
          <w:iCs/>
        </w:rPr>
        <w:t>c</w:t>
      </w:r>
      <w:r w:rsidR="00EC4B5B" w:rsidRPr="00631582">
        <w:rPr>
          <w:i/>
          <w:iCs/>
        </w:rPr>
        <w:t>entred Care Strategy</w:t>
      </w:r>
      <w:r w:rsidR="003F5D51">
        <w:rPr>
          <w:rFonts w:ascii="ZWAdobeF" w:hAnsi="ZWAdobeF" w:cs="ZWAdobeF"/>
          <w:iCs/>
          <w:sz w:val="2"/>
          <w:szCs w:val="2"/>
        </w:rPr>
        <w:t>122F</w:t>
      </w:r>
      <w:r w:rsidR="00EC4B5B">
        <w:rPr>
          <w:rStyle w:val="FootnoteReference"/>
        </w:rPr>
        <w:footnoteReference w:id="124"/>
      </w:r>
      <w:r>
        <w:t xml:space="preserve">. </w:t>
      </w:r>
      <w:r w:rsidR="006E35B5">
        <w:t xml:space="preserve">Another area that </w:t>
      </w:r>
      <w:r w:rsidR="00720CF6">
        <w:t xml:space="preserve">has </w:t>
      </w:r>
      <w:r w:rsidR="008E2590">
        <w:t>seen</w:t>
      </w:r>
      <w:r w:rsidR="00720CF6">
        <w:t xml:space="preserve"> cost savings</w:t>
      </w:r>
      <w:r w:rsidR="006E35B5">
        <w:t xml:space="preserve"> in other countries is bundling the acute and sub-acute components of a surgical episode of care.</w:t>
      </w:r>
      <w:r w:rsidR="003F5D51">
        <w:rPr>
          <w:rFonts w:ascii="ZWAdobeF" w:hAnsi="ZWAdobeF" w:cs="ZWAdobeF"/>
          <w:sz w:val="2"/>
          <w:szCs w:val="2"/>
        </w:rPr>
        <w:t>123F</w:t>
      </w:r>
      <w:r w:rsidR="000E2377">
        <w:rPr>
          <w:rStyle w:val="FootnoteReference"/>
        </w:rPr>
        <w:footnoteReference w:id="125"/>
      </w:r>
    </w:p>
    <w:p w14:paraId="478A931B" w14:textId="6C28764C" w:rsidR="0093705B" w:rsidRDefault="0093705B" w:rsidP="0093705B">
      <w:r>
        <w:t xml:space="preserve">The opportunity for bundled payments is greatest where there are defined care pathways covering all elements of care, that are able to be costed and counted (for maternity care this would include </w:t>
      </w:r>
      <w:r w:rsidRPr="008C3E96">
        <w:t>screening, ultrasound/scans, pathology, and triage, to identify pathway entry points, assessment milestones, risk identification, service navigation and management and support needs</w:t>
      </w:r>
      <w:r>
        <w:t xml:space="preserve">), where optimal care is grounded in evidence, where there is a method to identify variance and drive improvement, and there is stakeholder engagement. </w:t>
      </w:r>
      <w:r w:rsidR="000251AA">
        <w:t xml:space="preserve">A key enabler of bundled </w:t>
      </w:r>
      <w:r w:rsidR="008E2590">
        <w:t>payments</w:t>
      </w:r>
      <w:r w:rsidR="000251AA">
        <w:t xml:space="preserve"> is the capacity to identify individual patients through the care continuum </w:t>
      </w:r>
      <w:r w:rsidR="00585592">
        <w:t xml:space="preserve">using linked data sets, underpinned by </w:t>
      </w:r>
      <w:r w:rsidR="005D548E">
        <w:t xml:space="preserve">an Individual </w:t>
      </w:r>
      <w:r w:rsidR="00631582">
        <w:t xml:space="preserve">Health </w:t>
      </w:r>
      <w:r w:rsidR="005D548E">
        <w:t>Identifier</w:t>
      </w:r>
      <w:r w:rsidR="00585592">
        <w:t>.</w:t>
      </w:r>
    </w:p>
    <w:p w14:paraId="2A3A448F" w14:textId="6AD0C53F" w:rsidR="0093705B" w:rsidRPr="008C3E96" w:rsidRDefault="0093705B" w:rsidP="0093705B">
      <w:r>
        <w:t>Considerable development work will be required by the Commonwealth</w:t>
      </w:r>
      <w:r w:rsidR="00B8643A">
        <w:t>,</w:t>
      </w:r>
      <w:r>
        <w:t xml:space="preserve"> States</w:t>
      </w:r>
      <w:r w:rsidR="00B8643A">
        <w:t xml:space="preserve"> and </w:t>
      </w:r>
      <w:r>
        <w:t xml:space="preserve">Territories, together with the national bodies and relevant stakeholders, to identify and agree priority areas, develop a work program and pilot arrangements to refine a new payment approach. </w:t>
      </w:r>
    </w:p>
    <w:tbl>
      <w:tblPr>
        <w:tblStyle w:val="TableGrid"/>
        <w:tblW w:w="0" w:type="auto"/>
        <w:tblBorders>
          <w:top w:val="dotted" w:sz="4" w:space="0" w:color="0097A9" w:themeColor="accent5"/>
          <w:left w:val="dotted" w:sz="4" w:space="0" w:color="0097A9" w:themeColor="accent5"/>
          <w:bottom w:val="dotted" w:sz="4" w:space="0" w:color="0097A9" w:themeColor="accent5"/>
          <w:right w:val="dotted" w:sz="4" w:space="0" w:color="0097A9" w:themeColor="accent5"/>
        </w:tblBorders>
        <w:tblLook w:val="04A0" w:firstRow="1" w:lastRow="0" w:firstColumn="1" w:lastColumn="0" w:noHBand="0" w:noVBand="1"/>
      </w:tblPr>
      <w:tblGrid>
        <w:gridCol w:w="10456"/>
      </w:tblGrid>
      <w:tr w:rsidR="0093705B" w14:paraId="794E98C9" w14:textId="77777777" w:rsidTr="001412D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864DBF2" w14:textId="77777777" w:rsidR="0093705B" w:rsidRPr="00BB2C81" w:rsidRDefault="0093705B" w:rsidP="001412DB">
            <w:pPr>
              <w:pStyle w:val="Summarytable"/>
              <w:rPr>
                <w:color w:val="00707E" w:themeColor="accent5" w:themeShade="BF"/>
              </w:rPr>
            </w:pPr>
            <w:r w:rsidRPr="00165B65">
              <w:rPr>
                <w:noProof/>
                <w:color w:val="00707E" w:themeColor="accent5" w:themeShade="BF"/>
              </w:rPr>
              <w:drawing>
                <wp:inline distT="0" distB="0" distL="0" distR="0" wp14:anchorId="71039A4C" wp14:editId="7987A9B7">
                  <wp:extent cx="270000" cy="270000"/>
                  <wp:effectExtent l="0" t="0" r="0" b="0"/>
                  <wp:docPr id="32" name="Graphic 32" descr="P1630C1T7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P1630C1T72#yIS1">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70000" cy="270000"/>
                          </a:xfrm>
                          <a:prstGeom prst="rect">
                            <a:avLst/>
                          </a:prstGeom>
                        </pic:spPr>
                      </pic:pic>
                    </a:graphicData>
                  </a:graphic>
                </wp:inline>
              </w:drawing>
            </w:r>
            <w:r w:rsidRPr="00165B65">
              <w:rPr>
                <w:color w:val="00707E" w:themeColor="accent5" w:themeShade="BF"/>
              </w:rPr>
              <w:t>Case study:</w:t>
            </w:r>
            <w:r w:rsidRPr="00BB2C81">
              <w:rPr>
                <w:color w:val="00707E" w:themeColor="accent5" w:themeShade="BF"/>
              </w:rPr>
              <w:t xml:space="preserve"> </w:t>
            </w:r>
            <w:r w:rsidRPr="000268A0">
              <w:rPr>
                <w:b w:val="0"/>
                <w:bCs w:val="0"/>
                <w:color w:val="00707E" w:themeColor="accent5" w:themeShade="BF"/>
              </w:rPr>
              <w:t>Maternity bundled pricing model</w:t>
            </w:r>
          </w:p>
          <w:p w14:paraId="70569D04" w14:textId="5B3E8F70" w:rsidR="0093705B" w:rsidRDefault="0093705B" w:rsidP="001412DB">
            <w:pPr>
              <w:pStyle w:val="Summarytable"/>
              <w:ind w:right="101"/>
              <w:rPr>
                <w:b w:val="0"/>
                <w:bCs w:val="0"/>
              </w:rPr>
            </w:pPr>
            <w:r>
              <w:rPr>
                <w:b w:val="0"/>
                <w:bCs w:val="0"/>
              </w:rPr>
              <w:t>M</w:t>
            </w:r>
            <w:r w:rsidRPr="00DB7A32">
              <w:rPr>
                <w:b w:val="0"/>
                <w:bCs w:val="0"/>
              </w:rPr>
              <w:t xml:space="preserve">aternity care is </w:t>
            </w:r>
            <w:r w:rsidRPr="00663668">
              <w:rPr>
                <w:b w:val="0"/>
                <w:bCs w:val="0"/>
              </w:rPr>
              <w:t xml:space="preserve">a predictable care pathway which, in Australia, </w:t>
            </w:r>
            <w:r w:rsidR="00807A0A">
              <w:rPr>
                <w:b w:val="0"/>
                <w:bCs w:val="0"/>
              </w:rPr>
              <w:t>usually</w:t>
            </w:r>
            <w:r w:rsidRPr="00663668">
              <w:rPr>
                <w:b w:val="0"/>
                <w:bCs w:val="0"/>
              </w:rPr>
              <w:t xml:space="preserve"> leads to a hospital admission for birth care</w:t>
            </w:r>
            <w:r>
              <w:rPr>
                <w:b w:val="0"/>
                <w:bCs w:val="0"/>
              </w:rPr>
              <w:t xml:space="preserve">, has clear start </w:t>
            </w:r>
            <w:r w:rsidRPr="00AF6E9E">
              <w:rPr>
                <w:b w:val="0"/>
                <w:bCs w:val="0"/>
              </w:rPr>
              <w:t xml:space="preserve">(ten weeks gestation) and end points (six weeks postpartum) to the pathway which </w:t>
            </w:r>
            <w:r>
              <w:rPr>
                <w:b w:val="0"/>
                <w:bCs w:val="0"/>
              </w:rPr>
              <w:t>allows</w:t>
            </w:r>
            <w:r w:rsidRPr="00AF6E9E">
              <w:rPr>
                <w:b w:val="0"/>
                <w:bCs w:val="0"/>
              </w:rPr>
              <w:t xml:space="preserve"> for identification of clinically warranted and unwarranted variation in care</w:t>
            </w:r>
            <w:r>
              <w:rPr>
                <w:b w:val="0"/>
                <w:bCs w:val="0"/>
              </w:rPr>
              <w:t xml:space="preserve">. Care is </w:t>
            </w:r>
            <w:r w:rsidRPr="004E06B9">
              <w:rPr>
                <w:b w:val="0"/>
                <w:bCs w:val="0"/>
              </w:rPr>
              <w:t>fundamentally multi-disciplinary</w:t>
            </w:r>
            <w:r>
              <w:rPr>
                <w:b w:val="0"/>
                <w:bCs w:val="0"/>
              </w:rPr>
              <w:t xml:space="preserve">, </w:t>
            </w:r>
            <w:r w:rsidRPr="004E06B9">
              <w:rPr>
                <w:b w:val="0"/>
                <w:bCs w:val="0"/>
              </w:rPr>
              <w:t>encompass</w:t>
            </w:r>
            <w:r>
              <w:rPr>
                <w:b w:val="0"/>
                <w:bCs w:val="0"/>
              </w:rPr>
              <w:t>ing</w:t>
            </w:r>
            <w:r w:rsidRPr="004E06B9">
              <w:rPr>
                <w:b w:val="0"/>
                <w:bCs w:val="0"/>
              </w:rPr>
              <w:t xml:space="preserve"> both primary and secondary (acute or urgent) care.</w:t>
            </w:r>
            <w:r>
              <w:rPr>
                <w:b w:val="0"/>
                <w:bCs w:val="0"/>
              </w:rPr>
              <w:t xml:space="preserve"> </w:t>
            </w:r>
          </w:p>
          <w:p w14:paraId="45D294F2" w14:textId="77777777" w:rsidR="0093705B" w:rsidRDefault="0093705B" w:rsidP="001412DB">
            <w:pPr>
              <w:pStyle w:val="Summarytable"/>
              <w:ind w:right="101"/>
              <w:rPr>
                <w:b w:val="0"/>
                <w:bCs w:val="0"/>
              </w:rPr>
            </w:pPr>
            <w:r>
              <w:rPr>
                <w:b w:val="0"/>
                <w:bCs w:val="0"/>
              </w:rPr>
              <w:t>M</w:t>
            </w:r>
            <w:r w:rsidRPr="008D41FC">
              <w:rPr>
                <w:b w:val="0"/>
                <w:bCs w:val="0"/>
              </w:rPr>
              <w:t xml:space="preserve">aternity care is one of the leading causes of hospital admission and is a driver of public hospital costs. </w:t>
            </w:r>
            <w:r>
              <w:rPr>
                <w:b w:val="0"/>
                <w:bCs w:val="0"/>
              </w:rPr>
              <w:t>While f</w:t>
            </w:r>
            <w:r w:rsidRPr="003D1E76">
              <w:rPr>
                <w:b w:val="0"/>
                <w:bCs w:val="0"/>
              </w:rPr>
              <w:t>unding is relatively predictable with around 300,000 births annually and reflects a comparatively fixed cost</w:t>
            </w:r>
            <w:r>
              <w:rPr>
                <w:b w:val="0"/>
                <w:bCs w:val="0"/>
              </w:rPr>
              <w:t>, there are observed variations in outcomes and costs, and therefore the potential to generate system efficiencies and improved outcomes</w:t>
            </w:r>
            <w:r w:rsidRPr="003D1E76">
              <w:rPr>
                <w:b w:val="0"/>
                <w:bCs w:val="0"/>
              </w:rPr>
              <w:t xml:space="preserve">.  </w:t>
            </w:r>
            <w:r>
              <w:rPr>
                <w:b w:val="0"/>
                <w:bCs w:val="0"/>
              </w:rPr>
              <w:t xml:space="preserve">Further there are access barriers, particularly in rural and remote areas and for First Nations’ families, that lend themselves to alternate funding approaches using multidisciplinary care models and expanded scope of practice. </w:t>
            </w:r>
          </w:p>
          <w:p w14:paraId="3AA8D05F" w14:textId="254A7BEC" w:rsidR="0093705B" w:rsidRPr="003578B9" w:rsidRDefault="0093705B" w:rsidP="001412DB">
            <w:pPr>
              <w:pStyle w:val="Summarytable"/>
              <w:ind w:right="101"/>
              <w:rPr>
                <w:b w:val="0"/>
                <w:bCs w:val="0"/>
              </w:rPr>
            </w:pPr>
            <w:r>
              <w:rPr>
                <w:b w:val="0"/>
                <w:bCs w:val="0"/>
              </w:rPr>
              <w:t>Currently m</w:t>
            </w:r>
            <w:r w:rsidRPr="00BF1077">
              <w:rPr>
                <w:b w:val="0"/>
                <w:bCs w:val="0"/>
              </w:rPr>
              <w:t xml:space="preserve">aternity care funding </w:t>
            </w:r>
            <w:r>
              <w:rPr>
                <w:b w:val="0"/>
                <w:bCs w:val="0"/>
              </w:rPr>
              <w:t xml:space="preserve">is fragmented, </w:t>
            </w:r>
            <w:r w:rsidRPr="00BF1077">
              <w:rPr>
                <w:b w:val="0"/>
                <w:bCs w:val="0"/>
              </w:rPr>
              <w:t>span</w:t>
            </w:r>
            <w:r>
              <w:rPr>
                <w:b w:val="0"/>
                <w:bCs w:val="0"/>
              </w:rPr>
              <w:t>ning</w:t>
            </w:r>
            <w:r w:rsidRPr="00BF1077">
              <w:rPr>
                <w:b w:val="0"/>
                <w:bCs w:val="0"/>
              </w:rPr>
              <w:t xml:space="preserve"> the MBS </w:t>
            </w:r>
            <w:r>
              <w:rPr>
                <w:b w:val="0"/>
                <w:bCs w:val="0"/>
              </w:rPr>
              <w:t>(</w:t>
            </w:r>
            <w:r w:rsidRPr="00BF1077">
              <w:rPr>
                <w:b w:val="0"/>
                <w:bCs w:val="0"/>
              </w:rPr>
              <w:t>for primary care by GPs</w:t>
            </w:r>
            <w:r>
              <w:rPr>
                <w:b w:val="0"/>
                <w:bCs w:val="0"/>
              </w:rPr>
              <w:t>,</w:t>
            </w:r>
            <w:r w:rsidRPr="00BF1077">
              <w:rPr>
                <w:b w:val="0"/>
                <w:bCs w:val="0"/>
              </w:rPr>
              <w:t xml:space="preserve"> general practitioner with obstetrics, endorsed midwives and specialist obstetricians</w:t>
            </w:r>
            <w:r w:rsidR="005154FA">
              <w:rPr>
                <w:b w:val="0"/>
                <w:bCs w:val="0"/>
              </w:rPr>
              <w:t>, pathology and imaging</w:t>
            </w:r>
            <w:r w:rsidRPr="00BF1077">
              <w:rPr>
                <w:b w:val="0"/>
                <w:bCs w:val="0"/>
              </w:rPr>
              <w:t>), public hospital funding</w:t>
            </w:r>
            <w:r w:rsidR="005154FA">
              <w:rPr>
                <w:b w:val="0"/>
                <w:bCs w:val="0"/>
              </w:rPr>
              <w:t xml:space="preserve">, </w:t>
            </w:r>
            <w:r w:rsidRPr="00BF1077">
              <w:rPr>
                <w:b w:val="0"/>
                <w:bCs w:val="0"/>
              </w:rPr>
              <w:t>private health</w:t>
            </w:r>
            <w:r w:rsidR="005154FA">
              <w:rPr>
                <w:b w:val="0"/>
                <w:bCs w:val="0"/>
              </w:rPr>
              <w:t xml:space="preserve"> and consumer contributions (out-of-pocket costs)</w:t>
            </w:r>
            <w:r w:rsidRPr="00BF1077">
              <w:rPr>
                <w:b w:val="0"/>
                <w:bCs w:val="0"/>
              </w:rPr>
              <w:t>.</w:t>
            </w:r>
            <w:r>
              <w:rPr>
                <w:b w:val="0"/>
                <w:bCs w:val="0"/>
              </w:rPr>
              <w:t xml:space="preserve"> The elements of the </w:t>
            </w:r>
            <w:r w:rsidRPr="0071099A">
              <w:rPr>
                <w:b w:val="0"/>
                <w:bCs w:val="0"/>
              </w:rPr>
              <w:t xml:space="preserve">overarching funding model </w:t>
            </w:r>
            <w:r>
              <w:rPr>
                <w:b w:val="0"/>
                <w:bCs w:val="0"/>
              </w:rPr>
              <w:t>are</w:t>
            </w:r>
            <w:r w:rsidRPr="0071099A">
              <w:rPr>
                <w:b w:val="0"/>
                <w:bCs w:val="0"/>
              </w:rPr>
              <w:t xml:space="preserve"> inefficient, costly and no</w:t>
            </w:r>
            <w:r>
              <w:rPr>
                <w:b w:val="0"/>
                <w:bCs w:val="0"/>
              </w:rPr>
              <w:t xml:space="preserve">t </w:t>
            </w:r>
            <w:r w:rsidRPr="0071099A">
              <w:rPr>
                <w:b w:val="0"/>
                <w:bCs w:val="0"/>
              </w:rPr>
              <w:t>integrated</w:t>
            </w:r>
            <w:r>
              <w:rPr>
                <w:b w:val="0"/>
                <w:bCs w:val="0"/>
              </w:rPr>
              <w:t xml:space="preserve"> </w:t>
            </w:r>
            <w:r w:rsidRPr="00126A76">
              <w:rPr>
                <w:b w:val="0"/>
                <w:bCs w:val="0"/>
              </w:rPr>
              <w:t>between primary and acute care</w:t>
            </w:r>
            <w:r>
              <w:rPr>
                <w:b w:val="0"/>
                <w:bCs w:val="0"/>
              </w:rPr>
              <w:t xml:space="preserve">. The DRG-based funding model </w:t>
            </w:r>
            <w:r w:rsidRPr="00DE1A74">
              <w:rPr>
                <w:b w:val="0"/>
                <w:bCs w:val="0"/>
              </w:rPr>
              <w:t xml:space="preserve">is in general linked to a medical event </w:t>
            </w:r>
            <w:r>
              <w:rPr>
                <w:b w:val="0"/>
                <w:bCs w:val="0"/>
              </w:rPr>
              <w:t>(</w:t>
            </w:r>
            <w:r w:rsidRPr="00DE1A74">
              <w:rPr>
                <w:b w:val="0"/>
                <w:bCs w:val="0"/>
              </w:rPr>
              <w:t>e.g., birth</w:t>
            </w:r>
            <w:r>
              <w:rPr>
                <w:b w:val="0"/>
                <w:bCs w:val="0"/>
              </w:rPr>
              <w:t xml:space="preserve">), and </w:t>
            </w:r>
            <w:r w:rsidRPr="00DE1A74">
              <w:rPr>
                <w:b w:val="0"/>
                <w:bCs w:val="0"/>
              </w:rPr>
              <w:t xml:space="preserve">does not fund care as a continuum </w:t>
            </w:r>
            <w:r>
              <w:rPr>
                <w:b w:val="0"/>
                <w:bCs w:val="0"/>
              </w:rPr>
              <w:t>(</w:t>
            </w:r>
            <w:r w:rsidRPr="00DE1A74">
              <w:rPr>
                <w:b w:val="0"/>
                <w:bCs w:val="0"/>
              </w:rPr>
              <w:t xml:space="preserve">e.g., </w:t>
            </w:r>
            <w:r>
              <w:rPr>
                <w:b w:val="0"/>
                <w:bCs w:val="0"/>
              </w:rPr>
              <w:t xml:space="preserve">Midwifery </w:t>
            </w:r>
            <w:r w:rsidRPr="00DE1A74">
              <w:rPr>
                <w:b w:val="0"/>
                <w:bCs w:val="0"/>
              </w:rPr>
              <w:t>caseload care which is focused on keeping healthy pregnant women and their unborn baby well and prevent</w:t>
            </w:r>
            <w:r>
              <w:rPr>
                <w:b w:val="0"/>
                <w:bCs w:val="0"/>
              </w:rPr>
              <w:t>ing</w:t>
            </w:r>
            <w:r w:rsidRPr="00DE1A74">
              <w:rPr>
                <w:b w:val="0"/>
                <w:bCs w:val="0"/>
              </w:rPr>
              <w:t xml:space="preserve"> unnecessary hospital attendance and/or admission</w:t>
            </w:r>
            <w:r>
              <w:rPr>
                <w:b w:val="0"/>
                <w:bCs w:val="0"/>
              </w:rPr>
              <w:t>)</w:t>
            </w:r>
            <w:r w:rsidRPr="00DE1A74">
              <w:rPr>
                <w:b w:val="0"/>
                <w:bCs w:val="0"/>
              </w:rPr>
              <w:t xml:space="preserve">. </w:t>
            </w:r>
            <w:r>
              <w:rPr>
                <w:b w:val="0"/>
                <w:bCs w:val="0"/>
              </w:rPr>
              <w:t>There are many examples of discontinuity of care which adds to cost and impacts on outcomes.</w:t>
            </w:r>
          </w:p>
        </w:tc>
      </w:tr>
    </w:tbl>
    <w:p w14:paraId="574853C6" w14:textId="77777777" w:rsidR="0093705B" w:rsidRDefault="0093705B" w:rsidP="0093705B">
      <w:pPr>
        <w:rPr>
          <w:rFonts w:eastAsia="Verdana"/>
        </w:rPr>
      </w:pPr>
    </w:p>
    <w:tbl>
      <w:tblPr>
        <w:tblStyle w:val="TableGrid"/>
        <w:tblW w:w="0" w:type="auto"/>
        <w:shd w:val="clear" w:color="auto" w:fill="F2F2F2" w:themeFill="background1" w:themeFillShade="F2"/>
        <w:tblLook w:val="04A0" w:firstRow="1" w:lastRow="0" w:firstColumn="1" w:lastColumn="0" w:noHBand="0" w:noVBand="1"/>
      </w:tblPr>
      <w:tblGrid>
        <w:gridCol w:w="10466"/>
      </w:tblGrid>
      <w:tr w:rsidR="0093705B" w14:paraId="25E8F688" w14:textId="77777777" w:rsidTr="001412DB">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tcPr>
          <w:p w14:paraId="0CC2BD68" w14:textId="0FB1C78F" w:rsidR="0093705B" w:rsidRPr="00481277" w:rsidRDefault="0093705B" w:rsidP="00650E28">
            <w:pPr>
              <w:pStyle w:val="Summarytable"/>
              <w:keepNext/>
              <w:keepLines/>
              <w:rPr>
                <w:b w:val="0"/>
              </w:rPr>
            </w:pPr>
            <w:r>
              <w:rPr>
                <w:noProof/>
                <w:color w:val="0097A9" w:themeColor="accent5"/>
              </w:rPr>
              <w:drawing>
                <wp:inline distT="0" distB="0" distL="0" distR="0" wp14:anchorId="5AD5AE9A" wp14:editId="67927B0E">
                  <wp:extent cx="270000" cy="270000"/>
                  <wp:effectExtent l="0" t="0" r="0" b="0"/>
                  <wp:docPr id="218" name="Graphic 218" descr="P1636C1T7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Graphic 218" descr="P1636C1T73#yIS1">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70000" cy="270000"/>
                          </a:xfrm>
                          <a:prstGeom prst="rect">
                            <a:avLst/>
                          </a:prstGeom>
                        </pic:spPr>
                      </pic:pic>
                    </a:graphicData>
                  </a:graphic>
                </wp:inline>
              </w:drawing>
            </w:r>
            <w:r>
              <w:rPr>
                <w:color w:val="00707E" w:themeColor="accent5" w:themeShade="BF"/>
              </w:rPr>
              <w:t>Recommendation 1</w:t>
            </w:r>
            <w:r w:rsidR="00975B2B">
              <w:rPr>
                <w:color w:val="00707E" w:themeColor="accent5" w:themeShade="BF"/>
              </w:rPr>
              <w:t>3</w:t>
            </w:r>
            <w:r w:rsidRPr="00525A82">
              <w:rPr>
                <w:color w:val="00707E" w:themeColor="accent5" w:themeShade="BF"/>
              </w:rPr>
              <w:t xml:space="preserve">: </w:t>
            </w:r>
            <w:r w:rsidRPr="001E02E2">
              <w:rPr>
                <w:rFonts w:eastAsia="Verdana"/>
                <w:b w:val="0"/>
                <w:bCs w:val="0"/>
              </w:rPr>
              <w:t xml:space="preserve">A structured program of work should be undertaken to </w:t>
            </w:r>
            <w:r w:rsidRPr="006117B8">
              <w:rPr>
                <w:rFonts w:eastAsia="Verdana"/>
              </w:rPr>
              <w:t>develop and implement bundled payments</w:t>
            </w:r>
            <w:r w:rsidRPr="001E02E2">
              <w:rPr>
                <w:rFonts w:eastAsia="Verdana"/>
                <w:b w:val="0"/>
                <w:bCs w:val="0"/>
              </w:rPr>
              <w:t xml:space="preserve"> within the NHRA for certain end to end episodes of care (before, during and after a planned hospital admission), with an </w:t>
            </w:r>
            <w:r w:rsidRPr="006117B8">
              <w:rPr>
                <w:rFonts w:eastAsia="Verdana"/>
              </w:rPr>
              <w:t>initial focus on maternity care</w:t>
            </w:r>
            <w:r w:rsidRPr="001E02E2">
              <w:rPr>
                <w:rFonts w:eastAsia="Verdana"/>
                <w:b w:val="0"/>
                <w:bCs w:val="0"/>
              </w:rPr>
              <w:t>, and with additional priority areas identified early in the Agreement in consultation with the national bodies and relevant stakeholders. Bundled payments should be implemented across several priority areas within the period of the next Agreement.</w:t>
            </w:r>
          </w:p>
        </w:tc>
      </w:tr>
    </w:tbl>
    <w:p w14:paraId="75467846" w14:textId="77777777" w:rsidR="0093705B" w:rsidRDefault="0093705B" w:rsidP="0093705B">
      <w:pPr>
        <w:rPr>
          <w:rFonts w:eastAsia="Verdana"/>
        </w:rPr>
      </w:pPr>
    </w:p>
    <w:p w14:paraId="2B811077" w14:textId="77777777" w:rsidR="0093705B" w:rsidRPr="001B7B08" w:rsidRDefault="0093705B" w:rsidP="007745A8">
      <w:pPr>
        <w:pStyle w:val="Heading4"/>
      </w:pPr>
      <w:bookmarkStart w:id="255" w:name="_Ref148442058"/>
      <w:r w:rsidRPr="003869B0">
        <w:t>Paying for value/outcomes</w:t>
      </w:r>
      <w:bookmarkEnd w:id="255"/>
    </w:p>
    <w:p w14:paraId="1161629A" w14:textId="77777777" w:rsidR="0093705B" w:rsidRDefault="0093705B" w:rsidP="0093705B">
      <w:pPr>
        <w:rPr>
          <w:rFonts w:eastAsia="Verdana"/>
        </w:rPr>
      </w:pPr>
      <w:r>
        <w:rPr>
          <w:rFonts w:eastAsia="Verdana"/>
        </w:rPr>
        <w:t>A further area for financing reform is a move toward v</w:t>
      </w:r>
      <w:r w:rsidRPr="00E64D99">
        <w:rPr>
          <w:rFonts w:eastAsia="Verdana"/>
        </w:rPr>
        <w:t>alue-based payment models</w:t>
      </w:r>
      <w:r>
        <w:rPr>
          <w:rFonts w:eastAsia="Verdana"/>
        </w:rPr>
        <w:t xml:space="preserve">, as a means of shaping outcomes and improving system sustainability. </w:t>
      </w:r>
    </w:p>
    <w:p w14:paraId="6010585A" w14:textId="19DB52C1" w:rsidR="0093705B" w:rsidRDefault="00B82C24" w:rsidP="0093705B">
      <w:pPr>
        <w:rPr>
          <w:rFonts w:eastAsia="Verdana"/>
        </w:rPr>
      </w:pPr>
      <w:r>
        <w:rPr>
          <w:rFonts w:eastAsia="Verdana"/>
        </w:rPr>
        <w:t>U</w:t>
      </w:r>
      <w:r w:rsidR="0093705B">
        <w:rPr>
          <w:rFonts w:eastAsia="Verdana"/>
        </w:rPr>
        <w:t>nder current arrangements</w:t>
      </w:r>
      <w:r w:rsidR="0093705B" w:rsidRPr="00D338A5">
        <w:rPr>
          <w:rFonts w:eastAsia="Verdana"/>
        </w:rPr>
        <w:t xml:space="preserve">, the </w:t>
      </w:r>
      <w:r w:rsidR="0093705B">
        <w:rPr>
          <w:rFonts w:eastAsia="Verdana"/>
        </w:rPr>
        <w:t>NHRA’s funding and pricing</w:t>
      </w:r>
      <w:r w:rsidR="0093705B" w:rsidRPr="00D338A5">
        <w:rPr>
          <w:rFonts w:eastAsia="Verdana"/>
        </w:rPr>
        <w:t xml:space="preserve"> determination mechanism</w:t>
      </w:r>
      <w:r w:rsidR="0093705B">
        <w:rPr>
          <w:rFonts w:eastAsia="Verdana"/>
        </w:rPr>
        <w:t>s</w:t>
      </w:r>
      <w:r w:rsidR="0093705B" w:rsidRPr="00D338A5">
        <w:rPr>
          <w:rFonts w:eastAsia="Verdana"/>
        </w:rPr>
        <w:t xml:space="preserve"> </w:t>
      </w:r>
      <w:r>
        <w:rPr>
          <w:rFonts w:eastAsia="Verdana"/>
        </w:rPr>
        <w:t xml:space="preserve">generally </w:t>
      </w:r>
      <w:r w:rsidR="0093705B" w:rsidRPr="00D338A5">
        <w:rPr>
          <w:rFonts w:eastAsia="Verdana"/>
        </w:rPr>
        <w:t xml:space="preserve">do not seek to influence </w:t>
      </w:r>
      <w:r w:rsidR="0093705B">
        <w:rPr>
          <w:rFonts w:eastAsia="Verdana"/>
        </w:rPr>
        <w:t xml:space="preserve">or drive toward </w:t>
      </w:r>
      <w:r w:rsidR="005154FA">
        <w:rPr>
          <w:rFonts w:eastAsia="Verdana"/>
        </w:rPr>
        <w:t xml:space="preserve">or away from </w:t>
      </w:r>
      <w:r w:rsidR="0093705B">
        <w:rPr>
          <w:rFonts w:eastAsia="Verdana"/>
        </w:rPr>
        <w:t xml:space="preserve">specific types of activities, even when there is evidence that a particular procedure is of little to no benefit </w:t>
      </w:r>
      <w:r w:rsidR="009F017E">
        <w:rPr>
          <w:rFonts w:eastAsia="Verdana"/>
        </w:rPr>
        <w:t xml:space="preserve">or presents </w:t>
      </w:r>
      <w:r w:rsidR="0093705B">
        <w:rPr>
          <w:rFonts w:eastAsia="Verdana"/>
        </w:rPr>
        <w:t xml:space="preserve">risks to patients, requires rework and incurs opportunity cost (where higher value care could have been provided). </w:t>
      </w:r>
    </w:p>
    <w:p w14:paraId="6E1A6D8D" w14:textId="7BAF14F4" w:rsidR="0093705B" w:rsidRDefault="0093705B" w:rsidP="0093705B">
      <w:pPr>
        <w:rPr>
          <w:rFonts w:eastAsia="Verdana"/>
        </w:rPr>
      </w:pPr>
      <w:r>
        <w:rPr>
          <w:rFonts w:eastAsia="Verdana"/>
        </w:rPr>
        <w:t>One of the Long-Term Reform areas of the current Agreement (Clauses 17</w:t>
      </w:r>
      <w:r w:rsidR="00DD1318">
        <w:rPr>
          <w:rFonts w:eastAsia="Verdana"/>
        </w:rPr>
        <w:t xml:space="preserve"> to </w:t>
      </w:r>
      <w:r>
        <w:rPr>
          <w:rFonts w:eastAsia="Verdana"/>
        </w:rPr>
        <w:t xml:space="preserve">22) sought to develop </w:t>
      </w:r>
      <w:r w:rsidRPr="001A34C3">
        <w:rPr>
          <w:rFonts w:eastAsia="Verdana"/>
          <w:i/>
          <w:iCs/>
        </w:rPr>
        <w:t>Paying for Value and Outcomes</w:t>
      </w:r>
      <w:r>
        <w:rPr>
          <w:rFonts w:eastAsia="Verdana"/>
        </w:rPr>
        <w:t xml:space="preserve"> reforms that created incentives for providers to focus on patient outcomes, equity and best practice clinical care and agreed that the Parties would develop a </w:t>
      </w:r>
      <w:r w:rsidRPr="002B7753">
        <w:rPr>
          <w:rFonts w:eastAsia="Verdana"/>
          <w:i/>
          <w:iCs/>
        </w:rPr>
        <w:t>National Health Funding and Payments Framework</w:t>
      </w:r>
      <w:r>
        <w:rPr>
          <w:rFonts w:eastAsia="Verdana"/>
        </w:rPr>
        <w:t xml:space="preserve"> to progress trials of funding and payment reforms at program and system levels. In the absence of dedicated resourcing, little progress has been made on this shared objective. </w:t>
      </w:r>
    </w:p>
    <w:p w14:paraId="06E9B9E7" w14:textId="26D1B619" w:rsidR="0093705B" w:rsidRDefault="0093705B" w:rsidP="0093705B">
      <w:pPr>
        <w:rPr>
          <w:rFonts w:eastAsia="Verdana"/>
        </w:rPr>
      </w:pPr>
      <w:r>
        <w:rPr>
          <w:rFonts w:eastAsia="Verdana"/>
        </w:rPr>
        <w:t xml:space="preserve">Information is already available through the national bodies that can identify those activities that are of low value and that should either be removed from the list of activities that will be funded through the NHRA or be </w:t>
      </w:r>
      <w:r w:rsidR="005154FA">
        <w:rPr>
          <w:rFonts w:eastAsia="Verdana"/>
        </w:rPr>
        <w:t xml:space="preserve">priced </w:t>
      </w:r>
      <w:r>
        <w:rPr>
          <w:rFonts w:eastAsia="Verdana"/>
        </w:rPr>
        <w:t>at a lower level</w:t>
      </w:r>
      <w:r w:rsidR="00356D39">
        <w:rPr>
          <w:rFonts w:eastAsia="Verdana"/>
        </w:rPr>
        <w:t xml:space="preserve"> to disincentivise their delivery</w:t>
      </w:r>
      <w:r>
        <w:rPr>
          <w:rFonts w:eastAsia="Verdana"/>
        </w:rPr>
        <w:t xml:space="preserve">. Some States and Territories have already begun these processes as a means of improving the sustainability of their hospital system. </w:t>
      </w:r>
    </w:p>
    <w:p w14:paraId="4F8D9A2D" w14:textId="77777777" w:rsidR="0093705B" w:rsidRDefault="0093705B" w:rsidP="0093705B">
      <w:pPr>
        <w:rPr>
          <w:rFonts w:eastAsia="Verdana"/>
        </w:rPr>
      </w:pPr>
      <w:r>
        <w:rPr>
          <w:rFonts w:eastAsia="Verdana"/>
        </w:rPr>
        <w:t>An alternative approach is to offer incentives through the funding model for those pathways that are best practice and preferred. In reality, a combination of the two is likely to be most effective in changing behaviour. Key steps in this regard would encompass:</w:t>
      </w:r>
    </w:p>
    <w:p w14:paraId="0660803A" w14:textId="77777777" w:rsidR="0093705B" w:rsidRDefault="0093705B">
      <w:pPr>
        <w:pStyle w:val="ListParagraph"/>
        <w:numPr>
          <w:ilvl w:val="0"/>
          <w:numId w:val="68"/>
        </w:numPr>
        <w:ind w:left="714" w:hanging="357"/>
        <w:contextualSpacing w:val="0"/>
        <w:rPr>
          <w:rFonts w:eastAsia="Verdana"/>
        </w:rPr>
      </w:pPr>
      <w:r>
        <w:rPr>
          <w:rFonts w:eastAsia="Verdana"/>
        </w:rPr>
        <w:t>Introduce f</w:t>
      </w:r>
      <w:r w:rsidRPr="00E502F5">
        <w:rPr>
          <w:rFonts w:eastAsia="Verdana"/>
        </w:rPr>
        <w:t xml:space="preserve">unding for performance improvement via an incentive approach that rewards </w:t>
      </w:r>
      <w:r w:rsidRPr="00085BB0">
        <w:rPr>
          <w:rFonts w:eastAsia="Verdana"/>
          <w:b/>
          <w:bCs/>
        </w:rPr>
        <w:t>high-value or high-quality care</w:t>
      </w:r>
      <w:r w:rsidRPr="00E502F5">
        <w:rPr>
          <w:rFonts w:eastAsia="Verdana"/>
        </w:rPr>
        <w:t xml:space="preserve">. There would be merit in leveraging the work of the ACSQHC on outcome measures to design a specific incentive program to be implemented over time. </w:t>
      </w:r>
    </w:p>
    <w:p w14:paraId="3F23D64F" w14:textId="23CA65D0" w:rsidR="0093705B" w:rsidRDefault="0093705B">
      <w:pPr>
        <w:pStyle w:val="ListParagraph"/>
        <w:numPr>
          <w:ilvl w:val="1"/>
          <w:numId w:val="68"/>
        </w:numPr>
        <w:contextualSpacing w:val="0"/>
        <w:rPr>
          <w:rFonts w:eastAsia="Verdana"/>
        </w:rPr>
      </w:pPr>
      <w:r w:rsidRPr="00E502F5">
        <w:rPr>
          <w:rFonts w:eastAsia="Verdana"/>
        </w:rPr>
        <w:t>Specific health conditions of concern</w:t>
      </w:r>
      <w:r>
        <w:rPr>
          <w:rFonts w:eastAsia="Verdana"/>
        </w:rPr>
        <w:t>,</w:t>
      </w:r>
      <w:r w:rsidRPr="00E502F5">
        <w:rPr>
          <w:rFonts w:eastAsia="Verdana"/>
        </w:rPr>
        <w:t xml:space="preserve"> with established </w:t>
      </w:r>
      <w:r>
        <w:rPr>
          <w:rFonts w:eastAsia="Verdana"/>
        </w:rPr>
        <w:t xml:space="preserve">clinical quality </w:t>
      </w:r>
      <w:r w:rsidRPr="00E502F5">
        <w:rPr>
          <w:rFonts w:eastAsia="Verdana"/>
        </w:rPr>
        <w:t>registries</w:t>
      </w:r>
      <w:r>
        <w:rPr>
          <w:rFonts w:eastAsia="Verdana"/>
        </w:rPr>
        <w:t xml:space="preserve"> (CQRs)</w:t>
      </w:r>
      <w:r w:rsidRPr="00E502F5">
        <w:rPr>
          <w:rFonts w:eastAsia="Verdana"/>
        </w:rPr>
        <w:t xml:space="preserve"> already incorporating </w:t>
      </w:r>
      <w:r>
        <w:rPr>
          <w:rFonts w:eastAsia="Verdana"/>
        </w:rPr>
        <w:t>Patient Reported Outcome Measures (PROM</w:t>
      </w:r>
      <w:r w:rsidR="00440B20">
        <w:rPr>
          <w:rFonts w:eastAsia="Verdana"/>
        </w:rPr>
        <w:t>s</w:t>
      </w:r>
      <w:r>
        <w:rPr>
          <w:rFonts w:eastAsia="Verdana"/>
        </w:rPr>
        <w:t>)</w:t>
      </w:r>
      <w:r w:rsidRPr="00E502F5">
        <w:rPr>
          <w:rFonts w:eastAsia="Verdana"/>
        </w:rPr>
        <w:t xml:space="preserve"> could be targeted first, with effort then allocated to other priority medical conditions as local investments in harmonising data infrastructure is achieved. </w:t>
      </w:r>
    </w:p>
    <w:p w14:paraId="5CE1791A" w14:textId="77777777" w:rsidR="0093705B" w:rsidRDefault="0093705B">
      <w:pPr>
        <w:pStyle w:val="ListParagraph"/>
        <w:numPr>
          <w:ilvl w:val="0"/>
          <w:numId w:val="68"/>
        </w:numPr>
        <w:ind w:left="714" w:hanging="357"/>
        <w:contextualSpacing w:val="0"/>
        <w:rPr>
          <w:rFonts w:eastAsia="Verdana"/>
        </w:rPr>
      </w:pPr>
      <w:r w:rsidRPr="0016730E">
        <w:rPr>
          <w:rFonts w:eastAsia="Verdana"/>
        </w:rPr>
        <w:t>Ensur</w:t>
      </w:r>
      <w:r>
        <w:rPr>
          <w:rFonts w:eastAsia="Verdana"/>
        </w:rPr>
        <w:t>e</w:t>
      </w:r>
      <w:r w:rsidRPr="0016730E">
        <w:rPr>
          <w:rFonts w:eastAsia="Verdana"/>
        </w:rPr>
        <w:t xml:space="preserve"> </w:t>
      </w:r>
      <w:r w:rsidRPr="00085BB0">
        <w:rPr>
          <w:rFonts w:eastAsia="Verdana"/>
          <w:b/>
          <w:bCs/>
        </w:rPr>
        <w:t>price signals</w:t>
      </w:r>
      <w:r w:rsidRPr="0016730E">
        <w:rPr>
          <w:rFonts w:eastAsia="Verdana"/>
        </w:rPr>
        <w:t xml:space="preserve"> are applied consistently to remove incentives for low and no value care. </w:t>
      </w:r>
    </w:p>
    <w:p w14:paraId="50EFC392" w14:textId="208C4223" w:rsidR="0093705B" w:rsidRDefault="0093705B">
      <w:pPr>
        <w:pStyle w:val="ListParagraph"/>
        <w:numPr>
          <w:ilvl w:val="1"/>
          <w:numId w:val="68"/>
        </w:numPr>
        <w:contextualSpacing w:val="0"/>
        <w:rPr>
          <w:rFonts w:eastAsia="Verdana"/>
        </w:rPr>
      </w:pPr>
      <w:r w:rsidRPr="00507311">
        <w:rPr>
          <w:rFonts w:eastAsia="Verdana"/>
        </w:rPr>
        <w:t>Create a ‘do not do’ list of low-value treatments identified by the ACSQHC; and defund procedures that fail cost-effectiveness tests, aligned with the recent Productivity Commission (PC)</w:t>
      </w:r>
      <w:r w:rsidR="003F5D51">
        <w:rPr>
          <w:rFonts w:ascii="ZWAdobeF" w:eastAsia="Verdana" w:hAnsi="ZWAdobeF" w:cs="ZWAdobeF"/>
          <w:sz w:val="2"/>
          <w:szCs w:val="2"/>
        </w:rPr>
        <w:t>124F</w:t>
      </w:r>
      <w:r>
        <w:rPr>
          <w:rStyle w:val="FootnoteReference"/>
          <w:rFonts w:eastAsia="Verdana"/>
        </w:rPr>
        <w:footnoteReference w:id="126"/>
      </w:r>
      <w:r w:rsidRPr="00507311">
        <w:rPr>
          <w:rFonts w:eastAsia="Verdana"/>
        </w:rPr>
        <w:t xml:space="preserve"> recommendation that Australian governments more quickly respond to authoritative assessments of </w:t>
      </w:r>
      <w:r w:rsidRPr="00507311">
        <w:rPr>
          <w:rFonts w:eastAsia="Verdana"/>
          <w:b/>
          <w:bCs/>
        </w:rPr>
        <w:t>low-value procedures</w:t>
      </w:r>
      <w:r w:rsidR="0058343A">
        <w:rPr>
          <w:rFonts w:eastAsia="Verdana"/>
          <w:b/>
          <w:bCs/>
        </w:rPr>
        <w:t xml:space="preserve"> </w:t>
      </w:r>
      <w:r w:rsidR="0058343A">
        <w:rPr>
          <w:rFonts w:eastAsia="Verdana"/>
        </w:rPr>
        <w:t>(see observation: low value care)</w:t>
      </w:r>
      <w:r w:rsidRPr="00507311">
        <w:rPr>
          <w:rFonts w:eastAsia="Verdana"/>
        </w:rPr>
        <w:t xml:space="preserve">. </w:t>
      </w:r>
    </w:p>
    <w:p w14:paraId="192E8BD0" w14:textId="77777777" w:rsidR="0093705B" w:rsidRPr="00507311" w:rsidRDefault="0093705B">
      <w:pPr>
        <w:pStyle w:val="ListParagraph"/>
        <w:numPr>
          <w:ilvl w:val="1"/>
          <w:numId w:val="68"/>
        </w:numPr>
        <w:contextualSpacing w:val="0"/>
        <w:rPr>
          <w:rFonts w:eastAsia="Verdana"/>
        </w:rPr>
      </w:pPr>
      <w:r w:rsidRPr="00507311">
        <w:rPr>
          <w:rFonts w:eastAsia="Verdana"/>
        </w:rPr>
        <w:t>In operationalising this there is a requirement to specify what low value care activities should be measured via a national list, determine how low value care activities will be identified and reported in a timely manner, and how they would be acted on and evaluated over time.</w:t>
      </w:r>
    </w:p>
    <w:p w14:paraId="29B660E3" w14:textId="6068C911" w:rsidR="0093705B" w:rsidRPr="00157907" w:rsidRDefault="0093705B">
      <w:pPr>
        <w:pStyle w:val="ListParagraph"/>
        <w:numPr>
          <w:ilvl w:val="0"/>
          <w:numId w:val="68"/>
        </w:numPr>
        <w:ind w:left="714" w:hanging="357"/>
        <w:contextualSpacing w:val="0"/>
        <w:rPr>
          <w:rFonts w:eastAsia="Verdana"/>
        </w:rPr>
      </w:pPr>
      <w:r w:rsidRPr="0016730E">
        <w:rPr>
          <w:rFonts w:eastAsia="Verdana"/>
        </w:rPr>
        <w:t xml:space="preserve">Dedicate funding </w:t>
      </w:r>
      <w:r>
        <w:rPr>
          <w:rFonts w:eastAsia="Verdana"/>
        </w:rPr>
        <w:t xml:space="preserve">through the proposed </w:t>
      </w:r>
      <w:r w:rsidRPr="0026766B">
        <w:rPr>
          <w:rFonts w:eastAsia="Verdana"/>
        </w:rPr>
        <w:t>National Innovation Fund</w:t>
      </w:r>
      <w:r w:rsidRPr="0016730E">
        <w:rPr>
          <w:rFonts w:eastAsia="Verdana"/>
        </w:rPr>
        <w:t xml:space="preserve"> for </w:t>
      </w:r>
      <w:r w:rsidRPr="004403F1">
        <w:rPr>
          <w:rFonts w:eastAsia="Verdana"/>
          <w:b/>
          <w:bCs/>
        </w:rPr>
        <w:t>trials and evaluation of innovative approaches</w:t>
      </w:r>
      <w:r w:rsidRPr="0016730E">
        <w:rPr>
          <w:rFonts w:eastAsia="Verdana"/>
        </w:rPr>
        <w:t xml:space="preserve"> to service delivery, </w:t>
      </w:r>
      <w:r>
        <w:rPr>
          <w:rFonts w:eastAsia="Verdana"/>
        </w:rPr>
        <w:t xml:space="preserve">with a focus on supporting high value interventions (refer to </w:t>
      </w:r>
      <w:r w:rsidRPr="00AD5613">
        <w:rPr>
          <w:rFonts w:eastAsia="Verdana"/>
        </w:rPr>
        <w:t>Recommendation 3</w:t>
      </w:r>
      <w:r w:rsidR="001F712E">
        <w:rPr>
          <w:rFonts w:eastAsia="Verdana"/>
        </w:rPr>
        <w:t>4</w:t>
      </w:r>
      <w:r w:rsidRPr="00AD5613">
        <w:rPr>
          <w:rFonts w:eastAsia="Verdana"/>
        </w:rPr>
        <w:t>, section</w:t>
      </w:r>
      <w:r>
        <w:rPr>
          <w:rFonts w:eastAsia="Verdana"/>
        </w:rPr>
        <w:t xml:space="preserve"> </w:t>
      </w:r>
      <w:r>
        <w:rPr>
          <w:rFonts w:eastAsia="Verdana"/>
        </w:rPr>
        <w:fldChar w:fldCharType="begin" w:fldLock="1"/>
      </w:r>
      <w:r>
        <w:rPr>
          <w:rFonts w:eastAsia="Verdana"/>
        </w:rPr>
        <w:instrText xml:space="preserve"> REF _Ref146626157 \w \h </w:instrText>
      </w:r>
      <w:r>
        <w:rPr>
          <w:rFonts w:eastAsia="Verdana"/>
        </w:rPr>
      </w:r>
      <w:r>
        <w:rPr>
          <w:rFonts w:eastAsia="Verdana"/>
        </w:rPr>
        <w:fldChar w:fldCharType="separate"/>
      </w:r>
      <w:r w:rsidR="00FA10A4">
        <w:rPr>
          <w:rFonts w:eastAsia="Verdana"/>
        </w:rPr>
        <w:t>5.5.4</w:t>
      </w:r>
      <w:r>
        <w:rPr>
          <w:rFonts w:eastAsia="Verdana"/>
        </w:rPr>
        <w:fldChar w:fldCharType="end"/>
      </w:r>
      <w:r>
        <w:rPr>
          <w:rFonts w:eastAsia="Verdana"/>
        </w:rPr>
        <w:t>).</w:t>
      </w:r>
    </w:p>
    <w:tbl>
      <w:tblPr>
        <w:tblStyle w:val="TableGrid"/>
        <w:tblW w:w="0" w:type="auto"/>
        <w:tblBorders>
          <w:top w:val="dashSmallGap" w:sz="4" w:space="0" w:color="8496B0" w:themeColor="text2" w:themeTint="99"/>
          <w:left w:val="dashSmallGap" w:sz="4" w:space="0" w:color="8496B0" w:themeColor="text2" w:themeTint="99"/>
          <w:bottom w:val="dashSmallGap" w:sz="4" w:space="0" w:color="8496B0" w:themeColor="text2" w:themeTint="99"/>
          <w:right w:val="dashSmallGap" w:sz="4" w:space="0" w:color="8496B0" w:themeColor="text2" w:themeTint="99"/>
        </w:tblBorders>
        <w:tblLook w:val="04A0" w:firstRow="1" w:lastRow="0" w:firstColumn="1" w:lastColumn="0" w:noHBand="0" w:noVBand="1"/>
      </w:tblPr>
      <w:tblGrid>
        <w:gridCol w:w="10456"/>
      </w:tblGrid>
      <w:tr w:rsidR="0093705B" w14:paraId="4C84BD3E" w14:textId="77777777" w:rsidTr="001412D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4AFB264" w14:textId="07896A8E" w:rsidR="0093705B" w:rsidRPr="00ED787E" w:rsidRDefault="0093705B" w:rsidP="00B82C24">
            <w:pPr>
              <w:pStyle w:val="Summarytable"/>
              <w:keepNext/>
              <w:rPr>
                <w:color w:val="8496B0" w:themeColor="text2" w:themeTint="99"/>
              </w:rPr>
            </w:pPr>
            <w:r w:rsidRPr="00165B65">
              <w:rPr>
                <w:noProof/>
                <w:color w:val="8496B0" w:themeColor="text2" w:themeTint="99"/>
              </w:rPr>
              <w:drawing>
                <wp:inline distT="0" distB="0" distL="0" distR="0" wp14:anchorId="35AF5901" wp14:editId="4F4CE8B6">
                  <wp:extent cx="270000" cy="270000"/>
                  <wp:effectExtent l="0" t="0" r="0" b="0"/>
                  <wp:docPr id="481345092" name="Graphic 481345092" descr="P1651C1T7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45092" name="Graphic 481345092" descr="P1651C1T74#yIS1">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70000" cy="270000"/>
                          </a:xfrm>
                          <a:prstGeom prst="rect">
                            <a:avLst/>
                          </a:prstGeom>
                        </pic:spPr>
                      </pic:pic>
                    </a:graphicData>
                  </a:graphic>
                </wp:inline>
              </w:drawing>
            </w:r>
            <w:r w:rsidRPr="00D66B60">
              <w:rPr>
                <w:color w:val="5B708F"/>
              </w:rPr>
              <w:t xml:space="preserve">Observation: </w:t>
            </w:r>
            <w:r w:rsidRPr="00D66B60">
              <w:rPr>
                <w:b w:val="0"/>
                <w:color w:val="5B708F"/>
              </w:rPr>
              <w:t xml:space="preserve">Low value care </w:t>
            </w:r>
          </w:p>
          <w:p w14:paraId="17C6C981" w14:textId="7655C354" w:rsidR="0093705B" w:rsidRDefault="0093705B" w:rsidP="00982FF7">
            <w:pPr>
              <w:pStyle w:val="Summarytable"/>
              <w:rPr>
                <w:b w:val="0"/>
                <w:bCs w:val="0"/>
              </w:rPr>
            </w:pPr>
            <w:r w:rsidRPr="003276B1">
              <w:rPr>
                <w:b w:val="0"/>
                <w:bCs w:val="0"/>
              </w:rPr>
              <w:t>It has been estimated that only 60% of health care is consistent with guidelines, with 30% considered wasteful or low value and 10% harmful.</w:t>
            </w:r>
            <w:r w:rsidR="003F5D51">
              <w:rPr>
                <w:rFonts w:ascii="ZWAdobeF" w:hAnsi="ZWAdobeF" w:cs="ZWAdobeF"/>
                <w:b w:val="0"/>
                <w:bCs w:val="0"/>
                <w:sz w:val="2"/>
                <w:szCs w:val="2"/>
              </w:rPr>
              <w:t>125F</w:t>
            </w:r>
            <w:r>
              <w:rPr>
                <w:rStyle w:val="FootnoteReference"/>
                <w:b w:val="0"/>
                <w:bCs w:val="0"/>
              </w:rPr>
              <w:footnoteReference w:id="127"/>
            </w:r>
            <w:r>
              <w:rPr>
                <w:b w:val="0"/>
                <w:bCs w:val="0"/>
              </w:rPr>
              <w:t xml:space="preserve"> </w:t>
            </w:r>
            <w:r w:rsidRPr="008406B4">
              <w:rPr>
                <w:b w:val="0"/>
                <w:bCs w:val="0"/>
              </w:rPr>
              <w:t>Wasteful health care was identified in the CareTrack Australia study. In studying 22 conditions, it reported that Australians received appropriate care in 57% of consultations, ranging from 13% of consultations for alcohol dependence to 90% of consultations for coronary artery disease.</w:t>
            </w:r>
            <w:r w:rsidR="003F5D51">
              <w:rPr>
                <w:rFonts w:ascii="ZWAdobeF" w:hAnsi="ZWAdobeF" w:cs="ZWAdobeF"/>
                <w:b w:val="0"/>
                <w:bCs w:val="0"/>
                <w:sz w:val="2"/>
                <w:szCs w:val="2"/>
              </w:rPr>
              <w:t>126F</w:t>
            </w:r>
            <w:r>
              <w:rPr>
                <w:rStyle w:val="FootnoteReference"/>
                <w:b w:val="0"/>
                <w:bCs w:val="0"/>
              </w:rPr>
              <w:footnoteReference w:id="128"/>
            </w:r>
            <w:r w:rsidRPr="00E5201D">
              <w:rPr>
                <w:b w:val="0"/>
                <w:bCs w:val="0"/>
              </w:rPr>
              <w:t>There has been significant investment in identifying low or no value care in Australia</w:t>
            </w:r>
            <w:r>
              <w:rPr>
                <w:b w:val="0"/>
                <w:bCs w:val="0"/>
              </w:rPr>
              <w:t xml:space="preserve"> and internationally,</w:t>
            </w:r>
            <w:r w:rsidRPr="00E5201D">
              <w:rPr>
                <w:b w:val="0"/>
                <w:bCs w:val="0"/>
              </w:rPr>
              <w:t xml:space="preserve"> includ</w:t>
            </w:r>
            <w:r>
              <w:rPr>
                <w:b w:val="0"/>
                <w:bCs w:val="0"/>
              </w:rPr>
              <w:t>ing</w:t>
            </w:r>
            <w:r w:rsidRPr="00E5201D">
              <w:rPr>
                <w:b w:val="0"/>
                <w:bCs w:val="0"/>
              </w:rPr>
              <w:t>:</w:t>
            </w:r>
          </w:p>
          <w:p w14:paraId="402D1309" w14:textId="77777777" w:rsidR="0093705B" w:rsidRPr="009817B1" w:rsidRDefault="0093705B" w:rsidP="00982FF7">
            <w:pPr>
              <w:pStyle w:val="Longdotpoints"/>
              <w:ind w:left="567"/>
            </w:pPr>
            <w:r w:rsidRPr="00814D39">
              <w:rPr>
                <w:b/>
                <w:bCs/>
              </w:rPr>
              <w:t>Wiser healthcare</w:t>
            </w:r>
            <w:r w:rsidRPr="009817B1">
              <w:t xml:space="preserve"> is a research collaboration for reducing overdiagnosis and overtreatment. </w:t>
            </w:r>
          </w:p>
          <w:p w14:paraId="1C400A73" w14:textId="7F993A7B" w:rsidR="0093705B" w:rsidRPr="009817B1" w:rsidRDefault="0093705B" w:rsidP="00982FF7">
            <w:pPr>
              <w:pStyle w:val="Longdotpoints"/>
              <w:ind w:left="567"/>
            </w:pPr>
            <w:r w:rsidRPr="009817B1">
              <w:t xml:space="preserve">The </w:t>
            </w:r>
            <w:r w:rsidRPr="00814D39">
              <w:rPr>
                <w:b/>
                <w:bCs/>
              </w:rPr>
              <w:t>Australian Atlas of Healthcare Variation</w:t>
            </w:r>
            <w:r w:rsidRPr="009817B1">
              <w:t xml:space="preserve"> maps variation in care, derived from information routinely gathered by the health system, to show how use differs across the country and why this might be occurring. </w:t>
            </w:r>
          </w:p>
          <w:p w14:paraId="56D745B5" w14:textId="53335F7B" w:rsidR="0093705B" w:rsidRPr="009817B1" w:rsidRDefault="0093705B" w:rsidP="00982FF7">
            <w:pPr>
              <w:pStyle w:val="Longdotpoints"/>
              <w:ind w:left="567"/>
            </w:pPr>
            <w:r w:rsidRPr="00B430FC">
              <w:rPr>
                <w:b/>
                <w:bCs/>
              </w:rPr>
              <w:t>Choosing wisely</w:t>
            </w:r>
            <w:r w:rsidR="003F5D51">
              <w:rPr>
                <w:rFonts w:ascii="ZWAdobeF" w:hAnsi="ZWAdobeF" w:cs="ZWAdobeF"/>
                <w:bCs/>
                <w:sz w:val="2"/>
                <w:szCs w:val="2"/>
              </w:rPr>
              <w:t>127F</w:t>
            </w:r>
            <w:r>
              <w:rPr>
                <w:rStyle w:val="FootnoteReference"/>
              </w:rPr>
              <w:footnoteReference w:id="129"/>
            </w:r>
            <w:r w:rsidRPr="009817B1">
              <w:t xml:space="preserve"> is part of a global, health profession-led initiative to promote dialogue on unnecessary tests, treatments and procedures, and support people to choose health care that is supported by evidence, not duplicative of other tests or procedures already received, free from harm and necessary. </w:t>
            </w:r>
          </w:p>
          <w:p w14:paraId="035B0F71" w14:textId="379A13B4" w:rsidR="0093705B" w:rsidRDefault="0093705B" w:rsidP="00982FF7">
            <w:pPr>
              <w:pStyle w:val="Longdotpoints"/>
              <w:ind w:left="567"/>
            </w:pPr>
            <w:r w:rsidRPr="00DB3F9F">
              <w:t xml:space="preserve">States and Territories more advanced in their planning have introduced </w:t>
            </w:r>
            <w:r w:rsidRPr="00EB67F2">
              <w:rPr>
                <w:b/>
                <w:bCs/>
              </w:rPr>
              <w:t>reporting and clinical audit and review processes</w:t>
            </w:r>
            <w:r w:rsidRPr="00DB3F9F">
              <w:t xml:space="preserve"> to identify clinicians who have unwarranted levels of low value care that can then be addressed by hospital administrators.</w:t>
            </w:r>
            <w:r w:rsidRPr="00785C71">
              <w:t xml:space="preserve"> </w:t>
            </w:r>
          </w:p>
          <w:p w14:paraId="53A14A16" w14:textId="77777777" w:rsidR="0093705B" w:rsidRDefault="0093705B" w:rsidP="00982FF7">
            <w:pPr>
              <w:pStyle w:val="Longdotpoints"/>
              <w:ind w:left="567"/>
            </w:pPr>
            <w:r w:rsidRPr="00BC0875">
              <w:rPr>
                <w:b/>
                <w:bCs/>
              </w:rPr>
              <w:t>Research in the Netherlands</w:t>
            </w:r>
            <w:r>
              <w:t xml:space="preserve"> identified the most important barriers to reducing the overuse of care were a lack of time, an inability to reassure the patient, a desire to meet the patient’s wishes, financial considerations and a discomfort with uncertainty. The most important facilitators were support among clinicians, knowledge of the harms of low-value care and a growing consciousness that more is not always better. Repeated education and feedback for clinicians, patient information material and organisational changes were valued components of the strategy. </w:t>
            </w:r>
          </w:p>
          <w:p w14:paraId="6DA420A1" w14:textId="763AFA60" w:rsidR="0093705B" w:rsidRPr="00DB3F9F" w:rsidRDefault="0093705B" w:rsidP="00982FF7">
            <w:pPr>
              <w:pStyle w:val="Longdotpoints"/>
              <w:ind w:left="567"/>
            </w:pPr>
            <w:r w:rsidRPr="00185665">
              <w:rPr>
                <w:b/>
                <w:bCs/>
              </w:rPr>
              <w:t>Research from Canada</w:t>
            </w:r>
            <w:r>
              <w:t xml:space="preserve"> aimed to identify and characterise the use of theoretical approaches to understand and/or explain efforts to reduce low-value care. The authors reinforce both the individual and contextual determinants </w:t>
            </w:r>
            <w:r w:rsidR="00D7542C">
              <w:t>including the</w:t>
            </w:r>
            <w:r>
              <w:t xml:space="preserve"> need to address repeated behaviours that do not require decision-making processes, i.e., guided by habit more than attention, the impact of passive interventions (education, guidelines, do not do lists) do not appear effective, with effectiveness increased with active interventions (financial incentives, data feedback and system level interventions). </w:t>
            </w:r>
          </w:p>
        </w:tc>
      </w:tr>
    </w:tbl>
    <w:p w14:paraId="1B5CDE00" w14:textId="77777777" w:rsidR="0093705B" w:rsidRPr="00BD637F" w:rsidRDefault="0093705B" w:rsidP="0093705B">
      <w:pPr>
        <w:rPr>
          <w:rFonts w:eastAsia="Verdana"/>
        </w:rPr>
      </w:pPr>
    </w:p>
    <w:tbl>
      <w:tblPr>
        <w:tblStyle w:val="TableGrid"/>
        <w:tblW w:w="10490" w:type="dxa"/>
        <w:shd w:val="clear" w:color="auto" w:fill="F2F2F2"/>
        <w:tblLook w:val="04A0" w:firstRow="1" w:lastRow="0" w:firstColumn="1" w:lastColumn="0" w:noHBand="0" w:noVBand="1"/>
      </w:tblPr>
      <w:tblGrid>
        <w:gridCol w:w="10490"/>
      </w:tblGrid>
      <w:tr w:rsidR="0093705B" w:rsidRPr="00F30C4C" w14:paraId="7FC2479E" w14:textId="77777777" w:rsidTr="001412DB">
        <w:trPr>
          <w:cnfStyle w:val="100000000000" w:firstRow="1" w:lastRow="0" w:firstColumn="0" w:lastColumn="0" w:oddVBand="0" w:evenVBand="0" w:oddHBand="0" w:evenHBand="0" w:firstRowFirstColumn="0" w:firstRowLastColumn="0" w:lastRowFirstColumn="0" w:lastRowLastColumn="0"/>
        </w:trPr>
        <w:tc>
          <w:tcPr>
            <w:tcW w:w="10490" w:type="dxa"/>
            <w:shd w:val="clear" w:color="auto" w:fill="F2F2F2"/>
          </w:tcPr>
          <w:p w14:paraId="54BD5DBF" w14:textId="2827A5FF" w:rsidR="0093705B" w:rsidRPr="00F30C4C" w:rsidRDefault="0093705B" w:rsidP="001412DB">
            <w:pPr>
              <w:spacing w:before="120"/>
              <w:ind w:left="142"/>
              <w:rPr>
                <w:rFonts w:eastAsia="Verdana"/>
              </w:rPr>
            </w:pPr>
            <w:bookmarkStart w:id="258" w:name="_Hlk146273754"/>
            <w:r w:rsidRPr="00F30C4C">
              <w:rPr>
                <w:rFonts w:eastAsia="Verdana"/>
                <w:b/>
                <w:bCs/>
                <w:noProof/>
                <w:color w:val="0097A9"/>
              </w:rPr>
              <w:drawing>
                <wp:inline distT="0" distB="0" distL="0" distR="0" wp14:anchorId="60630FB9" wp14:editId="5CDE1809">
                  <wp:extent cx="270000" cy="270000"/>
                  <wp:effectExtent l="0" t="0" r="0" b="0"/>
                  <wp:docPr id="219" name="Graphic 219" descr="P1661C1T75#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raphic 219" descr="P1661C1T75#yIS1">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270000" cy="270000"/>
                          </a:xfrm>
                          <a:prstGeom prst="rect">
                            <a:avLst/>
                          </a:prstGeom>
                        </pic:spPr>
                      </pic:pic>
                    </a:graphicData>
                  </a:graphic>
                </wp:inline>
              </w:drawing>
            </w:r>
            <w:r>
              <w:rPr>
                <w:rFonts w:eastAsia="Verdana"/>
                <w:b/>
                <w:bCs/>
                <w:color w:val="00707E"/>
              </w:rPr>
              <w:t>Recommendation</w:t>
            </w:r>
            <w:r w:rsidRPr="00F30C4C">
              <w:rPr>
                <w:rFonts w:eastAsia="Verdana"/>
                <w:b/>
                <w:bCs/>
                <w:color w:val="00707E"/>
              </w:rPr>
              <w:t xml:space="preserve"> 1</w:t>
            </w:r>
            <w:r w:rsidR="00382971">
              <w:rPr>
                <w:rFonts w:eastAsia="Verdana"/>
                <w:b/>
                <w:bCs/>
                <w:color w:val="00707E"/>
              </w:rPr>
              <w:t>4</w:t>
            </w:r>
            <w:r w:rsidRPr="00F30C4C">
              <w:rPr>
                <w:rFonts w:eastAsia="Verdana"/>
                <w:b/>
                <w:bCs/>
                <w:color w:val="00707E"/>
              </w:rPr>
              <w:t xml:space="preserve">: </w:t>
            </w:r>
            <w:r>
              <w:rPr>
                <w:rFonts w:eastAsia="Verdana"/>
              </w:rPr>
              <w:t xml:space="preserve">A new Agreement should develop and implement pricing approaches that </w:t>
            </w:r>
            <w:r w:rsidRPr="006C661A">
              <w:rPr>
                <w:rFonts w:eastAsia="Verdana"/>
                <w:b/>
                <w:bCs/>
              </w:rPr>
              <w:t>reward high</w:t>
            </w:r>
            <w:r w:rsidRPr="00960C13">
              <w:rPr>
                <w:rFonts w:eastAsia="Verdana"/>
                <w:b/>
                <w:bCs/>
              </w:rPr>
              <w:t xml:space="preserve"> value care and </w:t>
            </w:r>
            <w:r>
              <w:rPr>
                <w:rFonts w:eastAsia="Verdana"/>
                <w:b/>
                <w:bCs/>
              </w:rPr>
              <w:t xml:space="preserve">penalise </w:t>
            </w:r>
            <w:r w:rsidRPr="00960C13">
              <w:rPr>
                <w:rFonts w:eastAsia="Verdana"/>
                <w:b/>
                <w:bCs/>
              </w:rPr>
              <w:t>low value care</w:t>
            </w:r>
            <w:r w:rsidRPr="00F30C4C">
              <w:rPr>
                <w:rFonts w:eastAsia="Verdana"/>
              </w:rPr>
              <w:t>, providing incentives to accelerate changes in clinical practice and manage introduction of new technologies, supported by evidence</w:t>
            </w:r>
            <w:r>
              <w:rPr>
                <w:rFonts w:eastAsia="Verdana"/>
              </w:rPr>
              <w:t xml:space="preserve">, effectively accelerating the approach foreshadowed in the </w:t>
            </w:r>
            <w:r w:rsidR="0053053C" w:rsidRPr="0053053C">
              <w:rPr>
                <w:rFonts w:eastAsia="Verdana"/>
                <w:i/>
                <w:iCs/>
              </w:rPr>
              <w:t>NHRA</w:t>
            </w:r>
            <w:r w:rsidR="0053053C">
              <w:rPr>
                <w:rFonts w:eastAsia="Verdana"/>
              </w:rPr>
              <w:t xml:space="preserve"> </w:t>
            </w:r>
            <w:r w:rsidRPr="00650E28">
              <w:rPr>
                <w:rFonts w:eastAsia="Verdana"/>
                <w:i/>
                <w:iCs/>
              </w:rPr>
              <w:t xml:space="preserve">2020-2025 Addendum. </w:t>
            </w:r>
          </w:p>
        </w:tc>
      </w:tr>
      <w:bookmarkEnd w:id="258"/>
    </w:tbl>
    <w:p w14:paraId="5B42736E" w14:textId="77777777" w:rsidR="0093705B" w:rsidRDefault="0093705B" w:rsidP="0093705B">
      <w:pPr>
        <w:rPr>
          <w:rFonts w:eastAsia="Verdana"/>
        </w:rPr>
      </w:pPr>
    </w:p>
    <w:p w14:paraId="1F5326B1" w14:textId="4DE80E1B" w:rsidR="0093705B" w:rsidRPr="00CC3B4F" w:rsidRDefault="0093705B" w:rsidP="007745A8">
      <w:pPr>
        <w:pStyle w:val="Heading4"/>
      </w:pPr>
      <w:bookmarkStart w:id="259" w:name="_Ref148442093"/>
      <w:r w:rsidRPr="00CC3B4F">
        <w:t xml:space="preserve">Safety and </w:t>
      </w:r>
      <w:r w:rsidR="009C75EE">
        <w:t>q</w:t>
      </w:r>
      <w:r w:rsidRPr="00CC3B4F">
        <w:t>uality</w:t>
      </w:r>
      <w:bookmarkEnd w:id="259"/>
      <w:r w:rsidRPr="00CC3B4F">
        <w:t xml:space="preserve"> </w:t>
      </w:r>
    </w:p>
    <w:p w14:paraId="54002513" w14:textId="211958D8" w:rsidR="0093705B" w:rsidRDefault="0093705B" w:rsidP="0093705B">
      <w:pPr>
        <w:rPr>
          <w:rFonts w:eastAsia="Verdana"/>
        </w:rPr>
      </w:pPr>
      <w:r w:rsidRPr="007A229E">
        <w:rPr>
          <w:rFonts w:eastAsia="Verdana"/>
        </w:rPr>
        <w:t xml:space="preserve">The 2017-2020 Addendum </w:t>
      </w:r>
      <w:r>
        <w:rPr>
          <w:rFonts w:eastAsia="Verdana"/>
        </w:rPr>
        <w:t xml:space="preserve">implemented a policy of paying for safety and quality with the aim of improving healthcare, with a focus on sentinel events, hospital acquired complications and avoidable hospital readmissions. These continued into the </w:t>
      </w:r>
      <w:r w:rsidR="00B630F3">
        <w:rPr>
          <w:rFonts w:eastAsia="Verdana"/>
        </w:rPr>
        <w:br/>
        <w:t xml:space="preserve">2020-2025 </w:t>
      </w:r>
      <w:r>
        <w:rPr>
          <w:rFonts w:eastAsia="Verdana"/>
        </w:rPr>
        <w:t>Addendum (Clauses A161-171), portrayed as ‘…part of a multifaceted, system-wide approach to safety and quality, which includes national standards, accreditation and workforce development’. To date under the Addendum, there have been three pricing adjustments:</w:t>
      </w:r>
    </w:p>
    <w:p w14:paraId="249B1C67" w14:textId="77777777" w:rsidR="0093705B" w:rsidRDefault="0093705B">
      <w:pPr>
        <w:pStyle w:val="ListParagraph"/>
        <w:numPr>
          <w:ilvl w:val="0"/>
          <w:numId w:val="73"/>
        </w:numPr>
        <w:rPr>
          <w:rFonts w:eastAsia="Verdana"/>
        </w:rPr>
      </w:pPr>
      <w:r>
        <w:rPr>
          <w:rFonts w:eastAsia="Verdana"/>
        </w:rPr>
        <w:t>Hospitals receive no payment for critical clinical events, as set out in the Australian Sentinel Events List, that result in death or serious injury.</w:t>
      </w:r>
    </w:p>
    <w:p w14:paraId="6D9D4E5E" w14:textId="77777777" w:rsidR="0093705B" w:rsidRDefault="0093705B">
      <w:pPr>
        <w:pStyle w:val="ListParagraph"/>
        <w:numPr>
          <w:ilvl w:val="0"/>
          <w:numId w:val="73"/>
        </w:numPr>
        <w:rPr>
          <w:rFonts w:eastAsia="Verdana"/>
        </w:rPr>
      </w:pPr>
      <w:r>
        <w:rPr>
          <w:rFonts w:eastAsia="Verdana"/>
        </w:rPr>
        <w:t>Hospitals receive a penalty for defined hospital acquired complications.</w:t>
      </w:r>
    </w:p>
    <w:p w14:paraId="46D459C5" w14:textId="77777777" w:rsidR="0093705B" w:rsidRPr="00D63638" w:rsidRDefault="0093705B">
      <w:pPr>
        <w:pStyle w:val="ListParagraph"/>
        <w:numPr>
          <w:ilvl w:val="0"/>
          <w:numId w:val="73"/>
        </w:numPr>
        <w:rPr>
          <w:rFonts w:eastAsia="Verdana"/>
        </w:rPr>
      </w:pPr>
      <w:r>
        <w:rPr>
          <w:rFonts w:eastAsia="Verdana"/>
        </w:rPr>
        <w:t xml:space="preserve">From 1 July 2022, a pricing adjustment was introduced for defined avoidable hospital admissions. </w:t>
      </w:r>
    </w:p>
    <w:p w14:paraId="5B84AA83" w14:textId="77777777" w:rsidR="0093705B" w:rsidRDefault="0093705B" w:rsidP="0093705B">
      <w:pPr>
        <w:rPr>
          <w:rFonts w:eastAsia="Verdana"/>
        </w:rPr>
      </w:pPr>
      <w:r>
        <w:rPr>
          <w:rFonts w:eastAsia="Verdana"/>
        </w:rPr>
        <w:t>The ACSQHC publishes data on these safety and quality measures, with observed declines in hospital acquired complications. From 2015-16 to 2021-22, rates of HACs dropped by 30% (300 to 211 per 10,000 in-scope separations) and the number of separations with a HAC decreased by 20%. Stakeholders observed in consultation, however, that the way in which safety and quality pricing works in the Agreement does not always result in the intended outcome:</w:t>
      </w:r>
    </w:p>
    <w:p w14:paraId="0B8E5C87" w14:textId="77777777" w:rsidR="0093705B" w:rsidRDefault="0093705B">
      <w:pPr>
        <w:pStyle w:val="ListParagraph"/>
        <w:numPr>
          <w:ilvl w:val="0"/>
          <w:numId w:val="74"/>
        </w:numPr>
        <w:ind w:left="714" w:hanging="357"/>
        <w:contextualSpacing w:val="0"/>
        <w:rPr>
          <w:rFonts w:eastAsia="Verdana"/>
        </w:rPr>
      </w:pPr>
      <w:r>
        <w:rPr>
          <w:rFonts w:eastAsia="Verdana"/>
        </w:rPr>
        <w:t>Where there is a lack of visibility of safety and quality adjustments at the LHN level, it is unlikely to result in changes to clinical practice. Evidence provided to the Review suggested the extent to which penalties are material and flow through to hospital funding and are felt by the relevant clinical unit is limited.</w:t>
      </w:r>
    </w:p>
    <w:p w14:paraId="6F8060F6" w14:textId="6D2812DD" w:rsidR="0093705B" w:rsidRDefault="0093705B">
      <w:pPr>
        <w:pStyle w:val="ListParagraph"/>
        <w:numPr>
          <w:ilvl w:val="0"/>
          <w:numId w:val="74"/>
        </w:numPr>
        <w:ind w:left="714" w:hanging="357"/>
        <w:contextualSpacing w:val="0"/>
        <w:rPr>
          <w:rFonts w:eastAsia="Verdana"/>
        </w:rPr>
      </w:pPr>
      <w:r>
        <w:rPr>
          <w:rFonts w:eastAsia="Verdana"/>
        </w:rPr>
        <w:t>The current base plus growth funding model, together with back-casting (which puts the current and previous year on the same basis) effectively nullifies the effect of Commonwealth funding adjustments for safety and quality performance</w:t>
      </w:r>
      <w:r w:rsidR="007F624B">
        <w:rPr>
          <w:rFonts w:eastAsia="Verdana"/>
        </w:rPr>
        <w:t xml:space="preserve"> (further addressed at</w:t>
      </w:r>
      <w:r w:rsidR="005C611E">
        <w:rPr>
          <w:rFonts w:eastAsia="Verdana"/>
        </w:rPr>
        <w:t xml:space="preserve"> Recommendation 22 (b))</w:t>
      </w:r>
      <w:r>
        <w:rPr>
          <w:rFonts w:eastAsia="Verdana"/>
        </w:rPr>
        <w:t>.</w:t>
      </w:r>
    </w:p>
    <w:p w14:paraId="2B14A6DE" w14:textId="77777777" w:rsidR="0093705B" w:rsidRDefault="0093705B" w:rsidP="0093705B">
      <w:pPr>
        <w:rPr>
          <w:rFonts w:eastAsia="Verdana"/>
        </w:rPr>
      </w:pPr>
      <w:r>
        <w:rPr>
          <w:rFonts w:eastAsia="Verdana"/>
        </w:rPr>
        <w:t>While the intent of these safety and quality reforms, and the ambition set out in the Agreement to continue to advance these is welcome, there is opportunity to further develop and enhance the reforms and their application to ensure they are achieving the intended objective of improving safety and quality in health care.</w:t>
      </w:r>
    </w:p>
    <w:tbl>
      <w:tblPr>
        <w:tblStyle w:val="TableGrid"/>
        <w:tblW w:w="10490" w:type="dxa"/>
        <w:shd w:val="clear" w:color="auto" w:fill="F2F2F2"/>
        <w:tblLook w:val="04A0" w:firstRow="1" w:lastRow="0" w:firstColumn="1" w:lastColumn="0" w:noHBand="0" w:noVBand="1"/>
      </w:tblPr>
      <w:tblGrid>
        <w:gridCol w:w="10490"/>
      </w:tblGrid>
      <w:tr w:rsidR="0093705B" w:rsidRPr="00F30C4C" w14:paraId="3DA8D9A3" w14:textId="77777777" w:rsidTr="001412DB">
        <w:trPr>
          <w:cnfStyle w:val="100000000000" w:firstRow="1" w:lastRow="0" w:firstColumn="0" w:lastColumn="0" w:oddVBand="0" w:evenVBand="0" w:oddHBand="0" w:evenHBand="0" w:firstRowFirstColumn="0" w:firstRowLastColumn="0" w:lastRowFirstColumn="0" w:lastRowLastColumn="0"/>
        </w:trPr>
        <w:tc>
          <w:tcPr>
            <w:tcW w:w="10490" w:type="dxa"/>
            <w:shd w:val="clear" w:color="auto" w:fill="F2F2F2"/>
          </w:tcPr>
          <w:p w14:paraId="525262E5" w14:textId="2C5FA9B2" w:rsidR="0093705B" w:rsidRPr="00F30C4C" w:rsidRDefault="0093705B" w:rsidP="001412DB">
            <w:pPr>
              <w:spacing w:before="120"/>
              <w:ind w:left="142"/>
              <w:rPr>
                <w:rFonts w:eastAsia="Verdana"/>
              </w:rPr>
            </w:pPr>
            <w:r w:rsidRPr="00F30C4C">
              <w:rPr>
                <w:rFonts w:eastAsia="Verdana"/>
                <w:b/>
                <w:bCs/>
                <w:noProof/>
                <w:color w:val="0097A9"/>
              </w:rPr>
              <w:drawing>
                <wp:inline distT="0" distB="0" distL="0" distR="0" wp14:anchorId="024F0B51" wp14:editId="5D5071EF">
                  <wp:extent cx="270000" cy="270000"/>
                  <wp:effectExtent l="0" t="0" r="0" b="0"/>
                  <wp:docPr id="220" name="Graphic 220" descr="P1673C1T7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phic 220" descr="P1673C1T76#yIS1">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270000" cy="270000"/>
                          </a:xfrm>
                          <a:prstGeom prst="rect">
                            <a:avLst/>
                          </a:prstGeom>
                        </pic:spPr>
                      </pic:pic>
                    </a:graphicData>
                  </a:graphic>
                </wp:inline>
              </w:drawing>
            </w:r>
            <w:r>
              <w:rPr>
                <w:rFonts w:eastAsia="Verdana"/>
                <w:b/>
                <w:bCs/>
                <w:color w:val="00707E"/>
              </w:rPr>
              <w:t>Recommendation</w:t>
            </w:r>
            <w:r w:rsidRPr="00F30C4C">
              <w:rPr>
                <w:rFonts w:eastAsia="Verdana"/>
                <w:b/>
                <w:bCs/>
                <w:color w:val="00707E"/>
              </w:rPr>
              <w:t xml:space="preserve"> 1</w:t>
            </w:r>
            <w:r w:rsidR="00382971">
              <w:rPr>
                <w:rFonts w:eastAsia="Verdana"/>
                <w:b/>
                <w:bCs/>
                <w:color w:val="00707E"/>
              </w:rPr>
              <w:t>5</w:t>
            </w:r>
            <w:r w:rsidRPr="00F30C4C">
              <w:rPr>
                <w:rFonts w:eastAsia="Verdana"/>
                <w:b/>
                <w:bCs/>
                <w:color w:val="00707E"/>
              </w:rPr>
              <w:t xml:space="preserve">: </w:t>
            </w:r>
            <w:r w:rsidRPr="00636020">
              <w:rPr>
                <w:rFonts w:eastAsia="Verdana"/>
              </w:rPr>
              <w:t xml:space="preserve">The </w:t>
            </w:r>
            <w:r w:rsidRPr="00636020">
              <w:rPr>
                <w:rFonts w:eastAsia="Verdana"/>
                <w:b/>
                <w:bCs/>
              </w:rPr>
              <w:t>safety and quality reforms</w:t>
            </w:r>
            <w:r w:rsidRPr="00636020">
              <w:rPr>
                <w:rFonts w:eastAsia="Verdana"/>
              </w:rPr>
              <w:t xml:space="preserve"> introduced in the </w:t>
            </w:r>
            <w:r w:rsidR="00926CC8" w:rsidRPr="00926CC8">
              <w:rPr>
                <w:rFonts w:eastAsia="Verdana"/>
                <w:i/>
                <w:iCs/>
              </w:rPr>
              <w:t xml:space="preserve">NHRA </w:t>
            </w:r>
            <w:r w:rsidRPr="00926CC8">
              <w:rPr>
                <w:rFonts w:eastAsia="Verdana"/>
                <w:i/>
                <w:iCs/>
              </w:rPr>
              <w:t>2017</w:t>
            </w:r>
            <w:r w:rsidR="00926CC8" w:rsidRPr="00926CC8">
              <w:rPr>
                <w:rFonts w:eastAsia="Verdana"/>
                <w:i/>
                <w:iCs/>
              </w:rPr>
              <w:t>-2020</w:t>
            </w:r>
            <w:r w:rsidRPr="00926CC8">
              <w:rPr>
                <w:rFonts w:eastAsia="Verdana"/>
                <w:i/>
                <w:iCs/>
              </w:rPr>
              <w:t xml:space="preserve"> Addendum</w:t>
            </w:r>
            <w:r w:rsidRPr="00636020">
              <w:rPr>
                <w:rFonts w:eastAsia="Verdana"/>
              </w:rPr>
              <w:t xml:space="preserve"> should be </w:t>
            </w:r>
            <w:r w:rsidRPr="00636020">
              <w:rPr>
                <w:rFonts w:eastAsia="Verdana"/>
                <w:b/>
                <w:bCs/>
              </w:rPr>
              <w:t>retained and strengthened</w:t>
            </w:r>
            <w:r w:rsidRPr="00636020">
              <w:rPr>
                <w:rFonts w:eastAsia="Verdana"/>
              </w:rPr>
              <w:t xml:space="preserve"> along the lines set out in Clause A162 of the Agreement, with continued scrutiny of the specific adjustment areas and their application to ensure they remain fit for purpose and are achieving their intended objective.</w:t>
            </w:r>
          </w:p>
        </w:tc>
      </w:tr>
    </w:tbl>
    <w:p w14:paraId="11B21204" w14:textId="77777777" w:rsidR="0093705B" w:rsidRDefault="0093705B" w:rsidP="0093705B">
      <w:pPr>
        <w:rPr>
          <w:rFonts w:eastAsia="Verdana"/>
        </w:rPr>
      </w:pPr>
    </w:p>
    <w:p w14:paraId="7769E816" w14:textId="07D8FABA" w:rsidR="0093705B" w:rsidRDefault="0093705B" w:rsidP="0093705B">
      <w:pPr>
        <w:rPr>
          <w:rFonts w:eastAsia="Verdana"/>
        </w:rPr>
      </w:pPr>
      <w:r>
        <w:rPr>
          <w:rFonts w:eastAsia="Verdana"/>
        </w:rPr>
        <w:t xml:space="preserve">This section of the Report has set out a range of reform areas to take the benefits of ABF to the next level and introduce financing arrangements most able to </w:t>
      </w:r>
      <w:r w:rsidR="00AA10DD">
        <w:rPr>
          <w:rFonts w:eastAsia="Verdana"/>
        </w:rPr>
        <w:t>deliver</w:t>
      </w:r>
      <w:r w:rsidR="006636F3">
        <w:rPr>
          <w:rFonts w:eastAsia="Verdana"/>
        </w:rPr>
        <w:t xml:space="preserve"> </w:t>
      </w:r>
      <w:r w:rsidR="002848A5">
        <w:rPr>
          <w:rFonts w:eastAsia="Verdana"/>
        </w:rPr>
        <w:t xml:space="preserve">the </w:t>
      </w:r>
      <w:r w:rsidR="006636F3">
        <w:rPr>
          <w:rFonts w:eastAsia="Verdana"/>
        </w:rPr>
        <w:t xml:space="preserve">shared vision, </w:t>
      </w:r>
      <w:r w:rsidR="002848A5">
        <w:rPr>
          <w:rFonts w:eastAsia="Verdana"/>
        </w:rPr>
        <w:t>principles</w:t>
      </w:r>
      <w:r w:rsidR="006636F3">
        <w:rPr>
          <w:rFonts w:eastAsia="Verdana"/>
        </w:rPr>
        <w:t xml:space="preserve">, objectives and </w:t>
      </w:r>
      <w:r w:rsidR="002848A5">
        <w:rPr>
          <w:rFonts w:eastAsia="Verdana"/>
        </w:rPr>
        <w:t>reform</w:t>
      </w:r>
      <w:r w:rsidR="006636F3">
        <w:rPr>
          <w:rFonts w:eastAsia="Verdana"/>
        </w:rPr>
        <w:t xml:space="preserve"> goals that a new whole of system healthcare agreement will deliver (Recommendation</w:t>
      </w:r>
      <w:r w:rsidR="002848A5">
        <w:rPr>
          <w:rFonts w:eastAsia="Verdana"/>
        </w:rPr>
        <w:t xml:space="preserve"> </w:t>
      </w:r>
      <w:r w:rsidR="006636F3">
        <w:rPr>
          <w:rFonts w:eastAsia="Verdana"/>
        </w:rPr>
        <w:t>1)</w:t>
      </w:r>
      <w:r>
        <w:rPr>
          <w:rFonts w:eastAsia="Verdana"/>
        </w:rPr>
        <w:t xml:space="preserve"> Many of these reform areas are foreshadowed in the current Addendum but little significant work has occurred to date, impacted by a lack of resources and the effect of COVID-19. </w:t>
      </w:r>
    </w:p>
    <w:p w14:paraId="34F97C85" w14:textId="2238D1A2" w:rsidR="0093705B" w:rsidRDefault="0093705B" w:rsidP="0093705B">
      <w:pPr>
        <w:rPr>
          <w:rFonts w:eastAsia="Verdana"/>
        </w:rPr>
      </w:pPr>
      <w:r>
        <w:rPr>
          <w:rFonts w:eastAsia="Verdana"/>
        </w:rPr>
        <w:t>The reform areas are complex and will require careful planning, prioritisation and implementation. Establishing trials and building the evidence base, having</w:t>
      </w:r>
      <w:r w:rsidRPr="001E7314">
        <w:rPr>
          <w:rFonts w:eastAsia="Verdana"/>
        </w:rPr>
        <w:t xml:space="preserve"> integrated data systems and accurate cost data</w:t>
      </w:r>
      <w:r>
        <w:rPr>
          <w:rFonts w:eastAsia="Verdana"/>
        </w:rPr>
        <w:t xml:space="preserve">, use of shadow pricing and management of transitions will be required but must be underpinned by an overarching plan agreed </w:t>
      </w:r>
      <w:r w:rsidRPr="001E7314">
        <w:rPr>
          <w:rFonts w:eastAsia="Verdana"/>
        </w:rPr>
        <w:t>b</w:t>
      </w:r>
      <w:r>
        <w:rPr>
          <w:rFonts w:eastAsia="Verdana"/>
        </w:rPr>
        <w:t xml:space="preserve">etween the </w:t>
      </w:r>
      <w:r w:rsidR="00356D39">
        <w:rPr>
          <w:rFonts w:eastAsia="Verdana"/>
        </w:rPr>
        <w:t xml:space="preserve">Commonwealth and the </w:t>
      </w:r>
      <w:r>
        <w:rPr>
          <w:rFonts w:eastAsia="Verdana"/>
        </w:rPr>
        <w:t xml:space="preserve">States and Territories as part of a next Agreement and which clearly sets out what the parties intend to achieve by when, with performance milestones and accountabilities in place. </w:t>
      </w:r>
    </w:p>
    <w:p w14:paraId="622ABCC7" w14:textId="77777777" w:rsidR="0093705B" w:rsidRPr="001833B1" w:rsidRDefault="0093705B" w:rsidP="0093705B">
      <w:pPr>
        <w:rPr>
          <w:rFonts w:eastAsia="Verdana"/>
        </w:rPr>
      </w:pPr>
      <w:r>
        <w:rPr>
          <w:rFonts w:eastAsia="Verdana"/>
        </w:rPr>
        <w:t>In addition, the right building blocks will be required, including underpinning data and knowledge sharing, identification of patient cohorts and outcomes and an authorising and collaboration environment for the national bodies and stakeholders to advance these reforms in an enduring way.</w:t>
      </w:r>
    </w:p>
    <w:tbl>
      <w:tblPr>
        <w:tblStyle w:val="TableGrid"/>
        <w:tblW w:w="10490" w:type="dxa"/>
        <w:shd w:val="clear" w:color="auto" w:fill="F2F2F2"/>
        <w:tblLook w:val="04A0" w:firstRow="1" w:lastRow="0" w:firstColumn="1" w:lastColumn="0" w:noHBand="0" w:noVBand="1"/>
      </w:tblPr>
      <w:tblGrid>
        <w:gridCol w:w="10490"/>
      </w:tblGrid>
      <w:tr w:rsidR="0093705B" w:rsidRPr="00F30C4C" w14:paraId="341D9A65" w14:textId="77777777" w:rsidTr="001412DB">
        <w:trPr>
          <w:cnfStyle w:val="100000000000" w:firstRow="1" w:lastRow="0" w:firstColumn="0" w:lastColumn="0" w:oddVBand="0" w:evenVBand="0" w:oddHBand="0" w:evenHBand="0" w:firstRowFirstColumn="0" w:firstRowLastColumn="0" w:lastRowFirstColumn="0" w:lastRowLastColumn="0"/>
        </w:trPr>
        <w:tc>
          <w:tcPr>
            <w:tcW w:w="10490" w:type="dxa"/>
            <w:shd w:val="clear" w:color="auto" w:fill="F2F2F2"/>
          </w:tcPr>
          <w:p w14:paraId="1C98FC8E" w14:textId="12915BC1" w:rsidR="0093705B" w:rsidRPr="00F30C4C" w:rsidRDefault="0093705B" w:rsidP="001412DB">
            <w:pPr>
              <w:spacing w:before="120"/>
              <w:ind w:left="142"/>
              <w:rPr>
                <w:rFonts w:eastAsia="Verdana"/>
              </w:rPr>
            </w:pPr>
            <w:r w:rsidRPr="00F30C4C">
              <w:rPr>
                <w:rFonts w:eastAsia="Verdana"/>
                <w:b/>
                <w:bCs/>
                <w:noProof/>
                <w:color w:val="0097A9"/>
              </w:rPr>
              <w:drawing>
                <wp:inline distT="0" distB="0" distL="0" distR="0" wp14:anchorId="0210FD24" wp14:editId="54759DC8">
                  <wp:extent cx="270000" cy="270000"/>
                  <wp:effectExtent l="0" t="0" r="0" b="0"/>
                  <wp:docPr id="23" name="Graphic 23" descr="P1679C1T7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P1679C1T77#yIS1">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270000" cy="270000"/>
                          </a:xfrm>
                          <a:prstGeom prst="rect">
                            <a:avLst/>
                          </a:prstGeom>
                        </pic:spPr>
                      </pic:pic>
                    </a:graphicData>
                  </a:graphic>
                </wp:inline>
              </w:drawing>
            </w:r>
            <w:r>
              <w:rPr>
                <w:rFonts w:eastAsia="Verdana"/>
                <w:b/>
                <w:bCs/>
                <w:color w:val="00707E"/>
              </w:rPr>
              <w:t>Recommendation</w:t>
            </w:r>
            <w:r w:rsidRPr="00F30C4C">
              <w:rPr>
                <w:rFonts w:eastAsia="Verdana"/>
                <w:b/>
                <w:bCs/>
                <w:color w:val="00707E"/>
              </w:rPr>
              <w:t xml:space="preserve"> 1</w:t>
            </w:r>
            <w:r w:rsidR="00382971">
              <w:rPr>
                <w:rFonts w:eastAsia="Verdana"/>
                <w:b/>
                <w:bCs/>
                <w:color w:val="00707E"/>
              </w:rPr>
              <w:t>6</w:t>
            </w:r>
            <w:r w:rsidRPr="00F30C4C">
              <w:rPr>
                <w:rFonts w:eastAsia="Verdana"/>
                <w:b/>
                <w:bCs/>
                <w:color w:val="00707E"/>
              </w:rPr>
              <w:t xml:space="preserve">: </w:t>
            </w:r>
            <w:r w:rsidRPr="00636020">
              <w:rPr>
                <w:rFonts w:eastAsia="Verdana"/>
              </w:rPr>
              <w:t xml:space="preserve">The scale, pace and focus of new pricing arrangements should be underpinned by a </w:t>
            </w:r>
            <w:r w:rsidRPr="00636020">
              <w:rPr>
                <w:rFonts w:eastAsia="Verdana"/>
                <w:b/>
                <w:bCs/>
              </w:rPr>
              <w:t>ten-year National Health Funding and Payments Framework</w:t>
            </w:r>
            <w:r w:rsidRPr="00636020">
              <w:rPr>
                <w:rFonts w:eastAsia="Verdana"/>
              </w:rPr>
              <w:t xml:space="preserve">, informed by the national bodies and agreed between the Commonwealth, States and Territories, which incorporates blended models of care, </w:t>
            </w:r>
            <w:r w:rsidR="00255801">
              <w:rPr>
                <w:rFonts w:eastAsia="Verdana"/>
              </w:rPr>
              <w:t xml:space="preserve">virtual care, </w:t>
            </w:r>
            <w:r w:rsidRPr="00636020">
              <w:rPr>
                <w:rFonts w:eastAsia="Verdana"/>
              </w:rPr>
              <w:t>bundled payments and paying for value and outcomes, with clear and measurable milestones and accountabilities and an agreed transition path.</w:t>
            </w:r>
          </w:p>
        </w:tc>
      </w:tr>
    </w:tbl>
    <w:p w14:paraId="2B2C0F80" w14:textId="77777777" w:rsidR="0093705B" w:rsidRDefault="0093705B" w:rsidP="0093705B"/>
    <w:p w14:paraId="57C69D41" w14:textId="43D27310" w:rsidR="00DD37C0" w:rsidRDefault="00602F7F" w:rsidP="00513560">
      <w:pPr>
        <w:pStyle w:val="Heading2"/>
        <w:pageBreakBefore/>
      </w:pPr>
      <w:r>
        <w:rPr>
          <w:noProof/>
        </w:rPr>
        <w:drawing>
          <wp:anchor distT="0" distB="0" distL="114300" distR="114300" simplePos="0" relativeHeight="251628544" behindDoc="0" locked="0" layoutInCell="1" allowOverlap="1" wp14:anchorId="12657933" wp14:editId="4BBCD392">
            <wp:simplePos x="0" y="0"/>
            <wp:positionH relativeFrom="column">
              <wp:posOffset>5764530</wp:posOffset>
            </wp:positionH>
            <wp:positionV relativeFrom="paragraph">
              <wp:posOffset>372</wp:posOffset>
            </wp:positionV>
            <wp:extent cx="808355" cy="771525"/>
            <wp:effectExtent l="0" t="0" r="0" b="9525"/>
            <wp:wrapSquare wrapText="bothSides"/>
            <wp:docPr id="52379460" name="Picture 52379460" descr="P168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9460" name="Picture 52379460" descr="P1682#y1">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808355" cy="771525"/>
                    </a:xfrm>
                    <a:prstGeom prst="rect">
                      <a:avLst/>
                    </a:prstGeom>
                  </pic:spPr>
                </pic:pic>
              </a:graphicData>
            </a:graphic>
            <wp14:sizeRelH relativeFrom="page">
              <wp14:pctWidth>0</wp14:pctWidth>
            </wp14:sizeRelH>
            <wp14:sizeRelV relativeFrom="page">
              <wp14:pctHeight>0</wp14:pctHeight>
            </wp14:sizeRelV>
          </wp:anchor>
        </w:drawing>
      </w:r>
      <w:r w:rsidR="0074371E">
        <w:t>Enabling transparency, adequacy and risk sharing through financing reform</w:t>
      </w:r>
      <w:bookmarkEnd w:id="246"/>
      <w:bookmarkEnd w:id="247"/>
      <w:bookmarkEnd w:id="248"/>
      <w:bookmarkEnd w:id="249"/>
    </w:p>
    <w:p w14:paraId="7E590E94" w14:textId="77777777" w:rsidR="009C77D1" w:rsidRDefault="009C77D1" w:rsidP="006D58BE">
      <w:pPr>
        <w:pStyle w:val="Heading3"/>
      </w:pPr>
      <w:bookmarkStart w:id="260" w:name="_Ref148442120"/>
      <w:r>
        <w:t>Financing public hospitals and health care</w:t>
      </w:r>
      <w:bookmarkEnd w:id="260"/>
    </w:p>
    <w:p w14:paraId="3991459E" w14:textId="1F106EA7" w:rsidR="009C77D1" w:rsidRDefault="009C77D1" w:rsidP="009C77D1">
      <w:pPr>
        <w:rPr>
          <w:rFonts w:eastAsia="Verdana"/>
        </w:rPr>
      </w:pPr>
      <w:r w:rsidRPr="00FE4740">
        <w:rPr>
          <w:rFonts w:eastAsia="Verdana"/>
        </w:rPr>
        <w:t xml:space="preserve">The </w:t>
      </w:r>
      <w:r>
        <w:rPr>
          <w:rFonts w:eastAsia="Verdana"/>
        </w:rPr>
        <w:t xml:space="preserve">development and </w:t>
      </w:r>
      <w:r w:rsidRPr="00FE4740">
        <w:rPr>
          <w:rFonts w:eastAsia="Verdana"/>
        </w:rPr>
        <w:t xml:space="preserve">implementation </w:t>
      </w:r>
      <w:r>
        <w:rPr>
          <w:rFonts w:eastAsia="Verdana"/>
        </w:rPr>
        <w:t xml:space="preserve">of </w:t>
      </w:r>
      <w:r w:rsidRPr="00FE4740">
        <w:rPr>
          <w:rFonts w:eastAsia="Verdana"/>
        </w:rPr>
        <w:t xml:space="preserve">the NHRA </w:t>
      </w:r>
      <w:r>
        <w:rPr>
          <w:rFonts w:eastAsia="Verdana"/>
        </w:rPr>
        <w:t>from 2012 brought with it major</w:t>
      </w:r>
      <w:r w:rsidRPr="00FE4740">
        <w:rPr>
          <w:rFonts w:eastAsia="Verdana"/>
        </w:rPr>
        <w:t xml:space="preserve"> structural reform to the organisation, funding and delivery of </w:t>
      </w:r>
      <w:r>
        <w:rPr>
          <w:rFonts w:eastAsia="Verdana"/>
        </w:rPr>
        <w:t xml:space="preserve">public hospital services through the national adoption of activity-based funding (ABF) as the predominant mechanism of funding public hospitals. The radical and innovative nature of this reform should not be underestimated. Prior to this, while some States and Territories had put in place some form of ABF, a move to a nationally consistent system, with common classification systems, national cost collections and national efficient pricing and cost, determined through independent pricing and funding bodies, was a very significant step. </w:t>
      </w:r>
    </w:p>
    <w:p w14:paraId="15289000" w14:textId="3F5FA00D" w:rsidR="009C77D1" w:rsidRDefault="009C77D1" w:rsidP="009C77D1">
      <w:pPr>
        <w:rPr>
          <w:rFonts w:eastAsia="Verdana"/>
        </w:rPr>
      </w:pPr>
      <w:r>
        <w:rPr>
          <w:rFonts w:eastAsia="Verdana"/>
        </w:rPr>
        <w:t xml:space="preserve">National implementation of ABF brought with it the capacity to measure and compare hospital output </w:t>
      </w:r>
      <w:r w:rsidR="00841C77">
        <w:rPr>
          <w:rFonts w:eastAsia="Verdana"/>
        </w:rPr>
        <w:t xml:space="preserve">transparently </w:t>
      </w:r>
      <w:r>
        <w:rPr>
          <w:rFonts w:eastAsia="Verdana"/>
        </w:rPr>
        <w:t>on a consistent basis a</w:t>
      </w:r>
      <w:r w:rsidRPr="000B2DB1">
        <w:rPr>
          <w:rFonts w:eastAsia="Verdana"/>
        </w:rPr>
        <w:t>nd provided an incentive for the system to respond to demand for acute care</w:t>
      </w:r>
      <w:r>
        <w:rPr>
          <w:rFonts w:eastAsia="Verdana"/>
        </w:rPr>
        <w:t>.</w:t>
      </w:r>
      <w:r w:rsidRPr="004C23F9">
        <w:rPr>
          <w:rFonts w:eastAsia="Verdana"/>
        </w:rPr>
        <w:t xml:space="preserve"> </w:t>
      </w:r>
      <w:r>
        <w:rPr>
          <w:rFonts w:eastAsia="Verdana"/>
        </w:rPr>
        <w:t>At the same time arrangements were put in place to recognise that not all health activity can be funded on an activity basis, where it is neither practical or appropriate to do so (Clause 3 of the Addendum), with block funding arrangements continuing for small rural and remote hospitals and other relevant services, using nationally consistent cost formulae.</w:t>
      </w:r>
    </w:p>
    <w:p w14:paraId="5028FC0F" w14:textId="528BEAB0" w:rsidR="009C77D1" w:rsidRDefault="00841C77" w:rsidP="009C77D1">
      <w:pPr>
        <w:rPr>
          <w:rFonts w:eastAsia="Verdana"/>
        </w:rPr>
      </w:pPr>
      <w:r>
        <w:rPr>
          <w:rFonts w:eastAsia="Verdana"/>
        </w:rPr>
        <w:t xml:space="preserve">The </w:t>
      </w:r>
      <w:r w:rsidR="009C77D1">
        <w:rPr>
          <w:rFonts w:eastAsia="Verdana"/>
        </w:rPr>
        <w:t>move to ABF was accompanied by commitments from the Commonwealth to increase its share of public hospital funding over time and sought to improve access to, and efficiency of, public hospitals and transparency of hospital funding flows. There is evidence that, both on funding share and efficiency grounds, there has been progress:</w:t>
      </w:r>
    </w:p>
    <w:p w14:paraId="4F5A9DCB" w14:textId="74E2D629" w:rsidR="009C77D1" w:rsidRDefault="009C77D1">
      <w:pPr>
        <w:pStyle w:val="ListParagraph"/>
        <w:numPr>
          <w:ilvl w:val="0"/>
          <w:numId w:val="71"/>
        </w:numPr>
        <w:ind w:left="714" w:hanging="357"/>
        <w:contextualSpacing w:val="0"/>
        <w:rPr>
          <w:rFonts w:eastAsia="Verdana"/>
        </w:rPr>
      </w:pPr>
      <w:r>
        <w:rPr>
          <w:rFonts w:eastAsia="Verdana"/>
        </w:rPr>
        <w:t>Commonwealth funding delivered through the NHRA increased from $13.</w:t>
      </w:r>
      <w:r w:rsidR="00E85A39">
        <w:rPr>
          <w:rFonts w:eastAsia="Verdana"/>
        </w:rPr>
        <w:t>1</w:t>
      </w:r>
      <w:r>
        <w:rPr>
          <w:rFonts w:eastAsia="Verdana"/>
        </w:rPr>
        <w:t xml:space="preserve"> billion in 2012-13 to $2</w:t>
      </w:r>
      <w:r w:rsidR="00EB6C3D">
        <w:rPr>
          <w:rFonts w:eastAsia="Verdana"/>
        </w:rPr>
        <w:t>5</w:t>
      </w:r>
      <w:r>
        <w:rPr>
          <w:rFonts w:eastAsia="Verdana"/>
        </w:rPr>
        <w:t>.</w:t>
      </w:r>
      <w:r w:rsidR="00E85A39">
        <w:rPr>
          <w:rFonts w:eastAsia="Verdana"/>
        </w:rPr>
        <w:t>8</w:t>
      </w:r>
      <w:r>
        <w:rPr>
          <w:rFonts w:eastAsia="Verdana"/>
        </w:rPr>
        <w:t xml:space="preserve"> billion in 2022-23 (</w:t>
      </w:r>
      <w:r w:rsidR="008F1614">
        <w:rPr>
          <w:rFonts w:eastAsia="Verdana"/>
        </w:rPr>
        <w:t>97</w:t>
      </w:r>
      <w:r>
        <w:rPr>
          <w:rFonts w:eastAsia="Verdana"/>
        </w:rPr>
        <w:t xml:space="preserve">% increase), representing an increase in Commonwealth share </w:t>
      </w:r>
      <w:r w:rsidRPr="004A61A2">
        <w:rPr>
          <w:rFonts w:eastAsia="Verdana"/>
        </w:rPr>
        <w:t>from 33.7% to 40.3%</w:t>
      </w:r>
      <w:r w:rsidR="003F5D51">
        <w:rPr>
          <w:rFonts w:ascii="ZWAdobeF" w:eastAsia="Verdana" w:hAnsi="ZWAdobeF" w:cs="ZWAdobeF"/>
          <w:sz w:val="2"/>
          <w:szCs w:val="2"/>
        </w:rPr>
        <w:t>128F</w:t>
      </w:r>
      <w:r w:rsidRPr="004A61A2">
        <w:rPr>
          <w:rStyle w:val="FootnoteReference"/>
          <w:rFonts w:eastAsia="Verdana"/>
        </w:rPr>
        <w:footnoteReference w:id="130"/>
      </w:r>
      <w:r w:rsidRPr="004A61A2">
        <w:rPr>
          <w:rFonts w:eastAsia="Verdana"/>
        </w:rPr>
        <w:t xml:space="preserve"> </w:t>
      </w:r>
    </w:p>
    <w:tbl>
      <w:tblPr>
        <w:tblStyle w:val="TableGrid"/>
        <w:tblW w:w="0" w:type="auto"/>
        <w:tblLayout w:type="fixed"/>
        <w:tblLook w:val="04A0" w:firstRow="1" w:lastRow="0" w:firstColumn="1" w:lastColumn="0" w:noHBand="0" w:noVBand="1"/>
      </w:tblPr>
      <w:tblGrid>
        <w:gridCol w:w="3150"/>
        <w:gridCol w:w="7316"/>
      </w:tblGrid>
      <w:tr w:rsidR="00001AA3" w14:paraId="289C8B92" w14:textId="77777777" w:rsidTr="00001AA3">
        <w:trPr>
          <w:cnfStyle w:val="100000000000" w:firstRow="1" w:lastRow="0" w:firstColumn="0" w:lastColumn="0" w:oddVBand="0" w:evenVBand="0" w:oddHBand="0" w:evenHBand="0" w:firstRowFirstColumn="0" w:firstRowLastColumn="0" w:lastRowFirstColumn="0" w:lastRowLastColumn="0"/>
        </w:trPr>
        <w:tc>
          <w:tcPr>
            <w:tcW w:w="3150" w:type="dxa"/>
            <w:tcMar>
              <w:top w:w="0" w:type="dxa"/>
            </w:tcMar>
          </w:tcPr>
          <w:p w14:paraId="16ADB030" w14:textId="3D3ED2FD" w:rsidR="004B7F9B" w:rsidRDefault="00090806" w:rsidP="004B7F9B">
            <w:pPr>
              <w:pStyle w:val="ListParagraph"/>
              <w:numPr>
                <w:ilvl w:val="0"/>
                <w:numId w:val="71"/>
              </w:numPr>
              <w:ind w:left="714" w:hanging="357"/>
              <w:contextualSpacing w:val="0"/>
              <w:rPr>
                <w:rFonts w:eastAsia="Verdana"/>
              </w:rPr>
            </w:pPr>
            <w:r>
              <w:rPr>
                <w:rFonts w:eastAsia="Verdana"/>
              </w:rPr>
              <w:fldChar w:fldCharType="begin" w:fldLock="1"/>
            </w:r>
            <w:r>
              <w:rPr>
                <w:rFonts w:eastAsia="Verdana"/>
              </w:rPr>
              <w:instrText xml:space="preserve"> REF _Ref148606006 \h </w:instrText>
            </w:r>
            <w:r>
              <w:rPr>
                <w:rFonts w:eastAsia="Verdana"/>
              </w:rPr>
            </w:r>
            <w:r>
              <w:rPr>
                <w:rFonts w:eastAsia="Verdana"/>
              </w:rPr>
              <w:fldChar w:fldCharType="separate"/>
            </w:r>
            <w:r w:rsidR="00FA10A4">
              <w:t xml:space="preserve">Figure </w:t>
            </w:r>
            <w:r w:rsidR="00FA10A4">
              <w:rPr>
                <w:noProof/>
              </w:rPr>
              <w:t>33</w:t>
            </w:r>
            <w:r>
              <w:rPr>
                <w:rFonts w:eastAsia="Verdana"/>
              </w:rPr>
              <w:fldChar w:fldCharType="end"/>
            </w:r>
            <w:r>
              <w:rPr>
                <w:rFonts w:eastAsia="Verdana"/>
              </w:rPr>
              <w:t xml:space="preserve"> </w:t>
            </w:r>
            <w:r w:rsidR="004B7F9B">
              <w:rPr>
                <w:rFonts w:eastAsia="Verdana"/>
              </w:rPr>
              <w:t>shows the increase in technical efficiency between 2012 and 2021, with both the growth in separations per capita and in the value of national weighted average units (a measure of complexity) increasing compared to the growth in beds</w:t>
            </w:r>
            <w:r w:rsidR="003F5D51">
              <w:rPr>
                <w:rFonts w:ascii="ZWAdobeF" w:eastAsia="Verdana" w:hAnsi="ZWAdobeF" w:cs="ZWAdobeF"/>
                <w:sz w:val="2"/>
                <w:szCs w:val="2"/>
              </w:rPr>
              <w:t>129F</w:t>
            </w:r>
            <w:r w:rsidR="004B7F9B">
              <w:rPr>
                <w:rStyle w:val="FootnoteReference"/>
                <w:rFonts w:eastAsia="Verdana"/>
              </w:rPr>
              <w:footnoteReference w:id="131"/>
            </w:r>
            <w:r w:rsidR="004B7F9B">
              <w:rPr>
                <w:rFonts w:eastAsia="Verdana"/>
              </w:rPr>
              <w:t>.</w:t>
            </w:r>
          </w:p>
          <w:p w14:paraId="6D04DADE" w14:textId="2B9CD8EA" w:rsidR="00001AA3" w:rsidRPr="004B7F9B" w:rsidRDefault="004B7F9B" w:rsidP="00001AA3">
            <w:pPr>
              <w:pStyle w:val="ListParagraph"/>
              <w:numPr>
                <w:ilvl w:val="0"/>
                <w:numId w:val="71"/>
              </w:numPr>
              <w:ind w:left="714" w:hanging="357"/>
              <w:contextualSpacing w:val="0"/>
              <w:rPr>
                <w:rFonts w:eastAsia="Verdana"/>
              </w:rPr>
            </w:pPr>
            <w:r>
              <w:rPr>
                <w:rFonts w:eastAsia="Verdana"/>
              </w:rPr>
              <w:t xml:space="preserve">Transparency has also been enabled through the operation of the </w:t>
            </w:r>
            <w:r w:rsidR="00730ED3">
              <w:rPr>
                <w:rFonts w:eastAsia="Verdana"/>
              </w:rPr>
              <w:t>NHFB</w:t>
            </w:r>
            <w:r>
              <w:rPr>
                <w:rFonts w:eastAsia="Verdana"/>
              </w:rPr>
              <w:t xml:space="preserve"> and Administrator in overseeing and reporting on the calculation and payment of the Commonwealth contribution to the NHRA and the work of IHACPA in establishing classification, costing and pricing systems.</w:t>
            </w:r>
          </w:p>
        </w:tc>
        <w:tc>
          <w:tcPr>
            <w:tcW w:w="7316" w:type="dxa"/>
            <w:tcMar>
              <w:top w:w="0" w:type="dxa"/>
            </w:tcMar>
            <w:vAlign w:val="center"/>
          </w:tcPr>
          <w:p w14:paraId="0E8BF1B6" w14:textId="73EF0AF5" w:rsidR="00001AA3" w:rsidRDefault="00001AA3" w:rsidP="00001AA3">
            <w:pPr>
              <w:rPr>
                <w:color w:val="007680"/>
              </w:rPr>
            </w:pPr>
            <w:r>
              <w:rPr>
                <w:rFonts w:eastAsia="Verdana"/>
                <w:noProof/>
              </w:rPr>
              <w:drawing>
                <wp:inline distT="0" distB="0" distL="0" distR="0" wp14:anchorId="29B2D420" wp14:editId="7C4E1B43">
                  <wp:extent cx="4616450" cy="2657475"/>
                  <wp:effectExtent l="0" t="0" r="0" b="0"/>
                  <wp:docPr id="481345118" name="Chart 481345118" descr="P1690C2T78#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6E4D5AAD" w14:textId="11A8672B" w:rsidR="00001AA3" w:rsidRPr="00001AA3" w:rsidRDefault="00001AA3" w:rsidP="00C2024B">
            <w:pPr>
              <w:pStyle w:val="Caption"/>
              <w:rPr>
                <w:noProof/>
                <w:sz w:val="20"/>
                <w:szCs w:val="20"/>
              </w:rPr>
            </w:pPr>
            <w:bookmarkStart w:id="261" w:name="_Ref148606006"/>
            <w:bookmarkStart w:id="262" w:name="_Toc148968411"/>
            <w:r>
              <w:t xml:space="preserve">Figure </w:t>
            </w:r>
            <w:r>
              <w:fldChar w:fldCharType="begin"/>
            </w:r>
            <w:r>
              <w:instrText xml:space="preserve"> SEQ Figure \* ARABIC </w:instrText>
            </w:r>
            <w:r>
              <w:fldChar w:fldCharType="separate"/>
            </w:r>
            <w:r w:rsidR="003F5D51">
              <w:rPr>
                <w:noProof/>
              </w:rPr>
              <w:t>33</w:t>
            </w:r>
            <w:r>
              <w:fldChar w:fldCharType="end"/>
            </w:r>
            <w:bookmarkEnd w:id="261"/>
            <w:r>
              <w:t xml:space="preserve">: </w:t>
            </w:r>
            <w:r w:rsidRPr="00E73BF4">
              <w:t>Indexed public hospital separations, bed capacity, and NWAU from 2012-2021</w:t>
            </w:r>
            <w:bookmarkEnd w:id="262"/>
          </w:p>
        </w:tc>
      </w:tr>
    </w:tbl>
    <w:p w14:paraId="0941E537" w14:textId="3A1769C2" w:rsidR="009C77D1" w:rsidRPr="00E837E5" w:rsidRDefault="009C77D1" w:rsidP="009C77D1">
      <w:pPr>
        <w:rPr>
          <w:rFonts w:eastAsia="Verdana"/>
        </w:rPr>
      </w:pPr>
      <w:r>
        <w:rPr>
          <w:rFonts w:eastAsia="Verdana"/>
        </w:rPr>
        <w:t>It is important that the benefits of ABF are not lost in future funding Agreements. A great deal of collaborative work has been undertaken to put in place the foundation classification systems, costing methods and activity data collections, and to develop national price and costing models. Reporting through IHACPA and the NHFB enables transparency and delivers tools that can be used for benchmarking purposes. ABF remains an essential tool to understand, measure and seek to improve the efficiency of public hospital services.</w:t>
      </w:r>
    </w:p>
    <w:tbl>
      <w:tblPr>
        <w:tblStyle w:val="TableGrid"/>
        <w:tblW w:w="0" w:type="auto"/>
        <w:shd w:val="clear" w:color="auto" w:fill="F2F2F2" w:themeFill="background1" w:themeFillShade="F2"/>
        <w:tblLook w:val="04A0" w:firstRow="1" w:lastRow="0" w:firstColumn="1" w:lastColumn="0" w:noHBand="0" w:noVBand="1"/>
      </w:tblPr>
      <w:tblGrid>
        <w:gridCol w:w="10466"/>
      </w:tblGrid>
      <w:tr w:rsidR="009C77D1" w14:paraId="55503D07" w14:textId="77777777" w:rsidTr="00C2225F">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tcPr>
          <w:p w14:paraId="40032FDE" w14:textId="57EBA387" w:rsidR="009C77D1" w:rsidRPr="00481277" w:rsidRDefault="009C77D1" w:rsidP="00C2225F">
            <w:pPr>
              <w:pStyle w:val="Summarytable"/>
              <w:rPr>
                <w:b w:val="0"/>
              </w:rPr>
            </w:pPr>
            <w:r>
              <w:rPr>
                <w:noProof/>
                <w:color w:val="0097A9" w:themeColor="accent5"/>
              </w:rPr>
              <w:drawing>
                <wp:inline distT="0" distB="0" distL="0" distR="0" wp14:anchorId="222F8782" wp14:editId="1944A485">
                  <wp:extent cx="270000" cy="270000"/>
                  <wp:effectExtent l="0" t="0" r="0" b="0"/>
                  <wp:docPr id="481345126" name="Graphic 481345126" descr="P1694C1T7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45126" name="Graphic 481345126" descr="P1694C1T79#yIS1">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70000" cy="270000"/>
                          </a:xfrm>
                          <a:prstGeom prst="rect">
                            <a:avLst/>
                          </a:prstGeom>
                        </pic:spPr>
                      </pic:pic>
                    </a:graphicData>
                  </a:graphic>
                </wp:inline>
              </w:drawing>
            </w:r>
            <w:r>
              <w:rPr>
                <w:color w:val="00707E" w:themeColor="accent5" w:themeShade="BF"/>
              </w:rPr>
              <w:t>Recommendation 1</w:t>
            </w:r>
            <w:r w:rsidR="00BA297F">
              <w:rPr>
                <w:color w:val="00707E" w:themeColor="accent5" w:themeShade="BF"/>
              </w:rPr>
              <w:t>7</w:t>
            </w:r>
            <w:r w:rsidRPr="00BB2C81">
              <w:rPr>
                <w:color w:val="00707E" w:themeColor="accent5" w:themeShade="BF"/>
              </w:rPr>
              <w:t xml:space="preserve">: </w:t>
            </w:r>
            <w:r w:rsidRPr="00FC2AD1">
              <w:t>Activity based funding should be retained as a foundational element of a future Agreement</w:t>
            </w:r>
            <w:r w:rsidRPr="00B461CB">
              <w:rPr>
                <w:b w:val="0"/>
                <w:bCs w:val="0"/>
              </w:rPr>
              <w:t xml:space="preserve">. ABF has proven value in enabling transparency, accountability and consistency of funded </w:t>
            </w:r>
            <w:r w:rsidR="00526353">
              <w:rPr>
                <w:b w:val="0"/>
                <w:bCs w:val="0"/>
              </w:rPr>
              <w:t xml:space="preserve">episodic </w:t>
            </w:r>
            <w:r w:rsidRPr="00B461CB">
              <w:rPr>
                <w:b w:val="0"/>
                <w:bCs w:val="0"/>
              </w:rPr>
              <w:t xml:space="preserve">activity and provides a solid basis from which to enhance and evolve funding incentives to support </w:t>
            </w:r>
            <w:r w:rsidR="000B0D7D">
              <w:rPr>
                <w:b w:val="0"/>
                <w:bCs w:val="0"/>
              </w:rPr>
              <w:t xml:space="preserve">health outcomes for consumers and </w:t>
            </w:r>
            <w:r w:rsidRPr="00B461CB">
              <w:rPr>
                <w:b w:val="0"/>
                <w:bCs w:val="0"/>
              </w:rPr>
              <w:t>system improvements.</w:t>
            </w:r>
          </w:p>
        </w:tc>
      </w:tr>
    </w:tbl>
    <w:p w14:paraId="0242062B" w14:textId="5A2289CE" w:rsidR="009C77D1" w:rsidRPr="00E837E5" w:rsidRDefault="009C77D1" w:rsidP="009C77D1">
      <w:pPr>
        <w:rPr>
          <w:rFonts w:eastAsia="Verdana"/>
        </w:rPr>
      </w:pPr>
    </w:p>
    <w:p w14:paraId="00EF39D3" w14:textId="77777777" w:rsidR="009C77D1" w:rsidRPr="006D58BE" w:rsidRDefault="009C77D1" w:rsidP="00693526">
      <w:pPr>
        <w:pStyle w:val="Heading3"/>
        <w:pageBreakBefore/>
      </w:pPr>
      <w:bookmarkStart w:id="263" w:name="_Ref145968587"/>
      <w:r w:rsidRPr="006D58BE">
        <w:t>Reducing complexity</w:t>
      </w:r>
    </w:p>
    <w:p w14:paraId="7489FE6F" w14:textId="4C81A88C" w:rsidR="009C77D1" w:rsidRDefault="009C77D1" w:rsidP="009C77D1">
      <w:pPr>
        <w:rPr>
          <w:rFonts w:eastAsia="Verdana"/>
        </w:rPr>
      </w:pPr>
      <w:r>
        <w:rPr>
          <w:rFonts w:eastAsia="Verdana"/>
        </w:rPr>
        <w:t xml:space="preserve">The evolution of ABF over the ten years of the Agreement has </w:t>
      </w:r>
      <w:r w:rsidR="00302887">
        <w:rPr>
          <w:rFonts w:eastAsia="Verdana"/>
        </w:rPr>
        <w:t xml:space="preserve">necessarily </w:t>
      </w:r>
      <w:r>
        <w:rPr>
          <w:rFonts w:eastAsia="Verdana"/>
        </w:rPr>
        <w:t xml:space="preserve">brought with it a degree of technical complexity as the classification system and pricing framework have been refined to keep pace with clinical practice and stakeholder feedback and to apply decisions regarding safety and quality and private patient services. It would be timely to review the pricing framework to ensure that all technical adjustments are operating as intended and are achieving the right balance between transparency, simplicity and outcome. </w:t>
      </w:r>
    </w:p>
    <w:p w14:paraId="6CF2DDA9" w14:textId="77777777" w:rsidR="009C77D1" w:rsidRPr="00CC3B4F" w:rsidRDefault="009C77D1" w:rsidP="007745A8">
      <w:pPr>
        <w:pStyle w:val="Heading4"/>
      </w:pPr>
      <w:bookmarkStart w:id="264" w:name="_Ref146631953"/>
      <w:bookmarkEnd w:id="263"/>
      <w:r w:rsidRPr="00CC3B4F">
        <w:t>Impact on smaller jurisdictions</w:t>
      </w:r>
      <w:bookmarkEnd w:id="264"/>
    </w:p>
    <w:p w14:paraId="3C2E9302" w14:textId="340B9487" w:rsidR="009C77D1" w:rsidRDefault="009C77D1" w:rsidP="009C77D1">
      <w:pPr>
        <w:rPr>
          <w:rFonts w:eastAsia="Verdana"/>
        </w:rPr>
      </w:pPr>
      <w:r>
        <w:rPr>
          <w:rFonts w:eastAsia="Verdana"/>
        </w:rPr>
        <w:t xml:space="preserve">The NEP is clearly defined in the NHRA as a national price, acknowledging that different States will need to contribute differently relating to their geography and location. Importantly there are adjustments between </w:t>
      </w:r>
      <w:r w:rsidR="001D5A64">
        <w:rPr>
          <w:rFonts w:eastAsia="Verdana"/>
        </w:rPr>
        <w:t>S</w:t>
      </w:r>
      <w:r>
        <w:rPr>
          <w:rFonts w:eastAsia="Verdana"/>
        </w:rPr>
        <w:t xml:space="preserve">tates and </w:t>
      </w:r>
      <w:r w:rsidR="001D5A64">
        <w:rPr>
          <w:rFonts w:eastAsia="Verdana"/>
        </w:rPr>
        <w:t>T</w:t>
      </w:r>
      <w:r>
        <w:rPr>
          <w:rFonts w:eastAsia="Verdana"/>
        </w:rPr>
        <w:t xml:space="preserve">erritories to address fiscal imbalance through </w:t>
      </w:r>
      <w:r w:rsidR="00841C77">
        <w:rPr>
          <w:rFonts w:eastAsia="Verdana"/>
        </w:rPr>
        <w:t xml:space="preserve">Commonwealth </w:t>
      </w:r>
      <w:r>
        <w:rPr>
          <w:rFonts w:eastAsia="Verdana"/>
        </w:rPr>
        <w:t xml:space="preserve">Grants Commission processes. Nevertheless, smaller </w:t>
      </w:r>
      <w:r w:rsidR="001D5A64">
        <w:rPr>
          <w:rFonts w:eastAsia="Verdana"/>
        </w:rPr>
        <w:t>S</w:t>
      </w:r>
      <w:r>
        <w:rPr>
          <w:rFonts w:eastAsia="Verdana"/>
        </w:rPr>
        <w:t>tates</w:t>
      </w:r>
      <w:r w:rsidR="001D5A64">
        <w:rPr>
          <w:rFonts w:eastAsia="Verdana"/>
        </w:rPr>
        <w:t xml:space="preserve"> and Territories</w:t>
      </w:r>
      <w:r>
        <w:rPr>
          <w:rFonts w:eastAsia="Verdana"/>
        </w:rPr>
        <w:t xml:space="preserve"> expressed ongoing concern to the Review of the impact of their size and geography on funding allocation</w:t>
      </w:r>
      <w:r w:rsidR="00CF7C60">
        <w:rPr>
          <w:rFonts w:eastAsia="Verdana"/>
        </w:rPr>
        <w:t>s</w:t>
      </w:r>
      <w:r>
        <w:rPr>
          <w:rFonts w:eastAsia="Verdana"/>
        </w:rPr>
        <w:t>.</w:t>
      </w:r>
    </w:p>
    <w:tbl>
      <w:tblPr>
        <w:tblStyle w:val="TableGrid"/>
        <w:tblW w:w="0" w:type="auto"/>
        <w:tblLayout w:type="fixed"/>
        <w:tblLook w:val="04A0" w:firstRow="1" w:lastRow="0" w:firstColumn="1" w:lastColumn="0" w:noHBand="0" w:noVBand="1"/>
      </w:tblPr>
      <w:tblGrid>
        <w:gridCol w:w="6804"/>
        <w:gridCol w:w="3662"/>
      </w:tblGrid>
      <w:tr w:rsidR="004B7F9B" w14:paraId="70198695" w14:textId="77777777" w:rsidTr="009D3F23">
        <w:trPr>
          <w:cnfStyle w:val="100000000000" w:firstRow="1" w:lastRow="0" w:firstColumn="0" w:lastColumn="0" w:oddVBand="0" w:evenVBand="0" w:oddHBand="0" w:evenHBand="0" w:firstRowFirstColumn="0" w:firstRowLastColumn="0" w:lastRowFirstColumn="0" w:lastRowLastColumn="0"/>
        </w:trPr>
        <w:tc>
          <w:tcPr>
            <w:tcW w:w="6804" w:type="dxa"/>
            <w:tcMar>
              <w:top w:w="0" w:type="dxa"/>
            </w:tcMar>
          </w:tcPr>
          <w:p w14:paraId="08661F59" w14:textId="1146F636" w:rsidR="004B7F9B" w:rsidRDefault="004B7F9B" w:rsidP="00F26329">
            <w:pPr>
              <w:ind w:right="432"/>
            </w:pPr>
            <w:r>
              <w:rPr>
                <w:rFonts w:eastAsia="Verdana"/>
              </w:rPr>
              <w:t xml:space="preserve">Currently the basis of NEP and NWAU calculations are a function of the national average cost per separation across all geographies, types and scales of hospitals. While the adjustment factors seek to reflect the cost of an individual episode of care within a hospital, thereby accounting for unavoidable and legitimate variations, a number of jurisdictions put to the Review that the NEP does not reflect the true cost for smaller </w:t>
            </w:r>
            <w:r w:rsidR="00530BA3">
              <w:rPr>
                <w:rFonts w:eastAsia="Verdana"/>
              </w:rPr>
              <w:t xml:space="preserve">population </w:t>
            </w:r>
            <w:r>
              <w:rPr>
                <w:rFonts w:eastAsia="Verdana"/>
              </w:rPr>
              <w:t xml:space="preserve">jurisdictions (South Australia, Western Australia, Tasmania, the Northern Territory and the Australian Capital Territory), due to their higher cost of health service delivery, lack of scale, sparse population distribution and higher wage costs. This is most acutely felt in the smallest of </w:t>
            </w:r>
            <w:r w:rsidR="001D5A64">
              <w:rPr>
                <w:rFonts w:eastAsia="Verdana"/>
              </w:rPr>
              <w:t>S</w:t>
            </w:r>
            <w:r>
              <w:rPr>
                <w:rFonts w:eastAsia="Verdana"/>
              </w:rPr>
              <w:t xml:space="preserve">tates and </w:t>
            </w:r>
            <w:r w:rsidR="001D5A64">
              <w:rPr>
                <w:rFonts w:eastAsia="Verdana"/>
              </w:rPr>
              <w:t>T</w:t>
            </w:r>
            <w:r>
              <w:rPr>
                <w:rFonts w:eastAsia="Verdana"/>
              </w:rPr>
              <w:t>erritories.</w:t>
            </w:r>
          </w:p>
        </w:tc>
        <w:tc>
          <w:tcPr>
            <w:tcW w:w="3662" w:type="dxa"/>
            <w:tcMar>
              <w:top w:w="0" w:type="dxa"/>
            </w:tcMar>
            <w:vAlign w:val="center"/>
          </w:tcPr>
          <w:p w14:paraId="50CD53ED" w14:textId="00AB31F6" w:rsidR="004B7F9B" w:rsidRPr="0008071D" w:rsidRDefault="004B7F9B" w:rsidP="004B7F9B">
            <w:pPr>
              <w:pStyle w:val="Pullout-QuoteGreen"/>
              <w:rPr>
                <w:color w:val="007680"/>
              </w:rPr>
            </w:pPr>
            <w:r>
              <w:rPr>
                <w:color w:val="007680"/>
              </w:rPr>
              <w:t>“While larger jurisdictions have the ability to cross-subsidise between smaller and less efficient hospitals, smaller jurisdictions have far less of an ability to cross-subsidise in this way.”</w:t>
            </w:r>
          </w:p>
        </w:tc>
      </w:tr>
    </w:tbl>
    <w:p w14:paraId="2FFF63DF" w14:textId="2E31038F" w:rsidR="009C77D1" w:rsidRDefault="009C77D1" w:rsidP="004B7F9B">
      <w:pPr>
        <w:spacing w:before="60"/>
        <w:rPr>
          <w:rFonts w:eastAsia="Verdana"/>
        </w:rPr>
      </w:pPr>
      <w:r>
        <w:rPr>
          <w:rFonts w:eastAsia="Verdana"/>
        </w:rPr>
        <w:t xml:space="preserve">Smaller </w:t>
      </w:r>
      <w:r w:rsidR="001D5A64">
        <w:rPr>
          <w:rFonts w:eastAsia="Verdana"/>
        </w:rPr>
        <w:t>S</w:t>
      </w:r>
      <w:r>
        <w:rPr>
          <w:rFonts w:eastAsia="Verdana"/>
        </w:rPr>
        <w:t>tates</w:t>
      </w:r>
      <w:r w:rsidR="001D5A64">
        <w:rPr>
          <w:rFonts w:eastAsia="Verdana"/>
        </w:rPr>
        <w:t xml:space="preserve"> and Territories</w:t>
      </w:r>
      <w:r>
        <w:rPr>
          <w:rFonts w:eastAsia="Verdana"/>
        </w:rPr>
        <w:t xml:space="preserve"> have observed that these legitimate cost differences are not fully reflected in the NEP due to the significantly smaller proportion of hospitals contributing to the National Hospital Cost Data Collection (NHCDC) used to calculate the NEP, where the volume and scale of services that larger jurisdictions deliver greatly outweighs those of smaller jurisdictions. The NHFB reports that 76% of in-scope activity in 2021-22 was delivered in three </w:t>
      </w:r>
      <w:r w:rsidR="001D5A64">
        <w:rPr>
          <w:rFonts w:eastAsia="Verdana"/>
        </w:rPr>
        <w:t>S</w:t>
      </w:r>
      <w:r>
        <w:rPr>
          <w:rFonts w:eastAsia="Verdana"/>
        </w:rPr>
        <w:t>tates (</w:t>
      </w:r>
      <w:r w:rsidR="00B552E3" w:rsidRPr="00B552E3">
        <w:rPr>
          <w:rFonts w:eastAsia="Verdana"/>
        </w:rPr>
        <w:t>New South Wales</w:t>
      </w:r>
      <w:r>
        <w:rPr>
          <w:rFonts w:eastAsia="Verdana"/>
        </w:rPr>
        <w:t>, Victoria and Queensland).</w:t>
      </w:r>
      <w:r w:rsidR="003F5D51">
        <w:rPr>
          <w:rFonts w:ascii="ZWAdobeF" w:eastAsia="Verdana" w:hAnsi="ZWAdobeF" w:cs="ZWAdobeF"/>
          <w:sz w:val="2"/>
          <w:szCs w:val="2"/>
        </w:rPr>
        <w:t>130F</w:t>
      </w:r>
      <w:r>
        <w:rPr>
          <w:rStyle w:val="FootnoteReference"/>
          <w:rFonts w:eastAsia="Verdana"/>
        </w:rPr>
        <w:footnoteReference w:id="132"/>
      </w:r>
    </w:p>
    <w:p w14:paraId="73A72286" w14:textId="77777777" w:rsidR="009C77D1" w:rsidRDefault="009C77D1" w:rsidP="009C77D1">
      <w:pPr>
        <w:rPr>
          <w:rFonts w:eastAsia="Verdana"/>
        </w:rPr>
      </w:pPr>
      <w:r>
        <w:rPr>
          <w:rFonts w:eastAsia="Verdana"/>
        </w:rPr>
        <w:t>IHACPA has undertaken a number of studies in recent years that seek to account for legitimate cost variations in the delivery of public hospital services. Drawing on input from smaller jurisdictions, IHACPA should further consider adjustments, including the potential for the following:</w:t>
      </w:r>
    </w:p>
    <w:p w14:paraId="6DE45794" w14:textId="304BEFD2" w:rsidR="009C77D1" w:rsidRDefault="009C77D1">
      <w:pPr>
        <w:pStyle w:val="ListParagraph"/>
        <w:numPr>
          <w:ilvl w:val="0"/>
          <w:numId w:val="70"/>
        </w:numPr>
        <w:ind w:left="714" w:hanging="357"/>
        <w:rPr>
          <w:rFonts w:eastAsia="Verdana"/>
        </w:rPr>
      </w:pPr>
      <w:r>
        <w:rPr>
          <w:rFonts w:eastAsia="Verdana"/>
        </w:rPr>
        <w:t xml:space="preserve">The NEP being further adjusted for smaller jurisdictions to better reflect instances experienced by these jurisdictions where they are disproportionately disadvantaged or penalised if their cost of services exceeds the NEP. </w:t>
      </w:r>
    </w:p>
    <w:p w14:paraId="6C00ADFE" w14:textId="42BEC92A" w:rsidR="009C77D1" w:rsidRDefault="009C77D1">
      <w:pPr>
        <w:pStyle w:val="ListParagraph"/>
        <w:numPr>
          <w:ilvl w:val="0"/>
          <w:numId w:val="70"/>
        </w:numPr>
        <w:ind w:left="714" w:hanging="357"/>
        <w:rPr>
          <w:rFonts w:eastAsia="Verdana"/>
        </w:rPr>
      </w:pPr>
      <w:r>
        <w:rPr>
          <w:rFonts w:eastAsia="Verdana"/>
        </w:rPr>
        <w:t xml:space="preserve">The weightings used to determine delivering services in similar types of facilities and similar locations across the country. </w:t>
      </w:r>
    </w:p>
    <w:p w14:paraId="711FD265" w14:textId="7BABE122" w:rsidR="009C77D1" w:rsidRDefault="009C77D1">
      <w:pPr>
        <w:pStyle w:val="ListParagraph"/>
        <w:numPr>
          <w:ilvl w:val="0"/>
          <w:numId w:val="70"/>
        </w:numPr>
        <w:ind w:left="714" w:hanging="357"/>
        <w:rPr>
          <w:rFonts w:eastAsia="Verdana"/>
        </w:rPr>
      </w:pPr>
      <w:r>
        <w:rPr>
          <w:rFonts w:eastAsia="Verdana"/>
        </w:rPr>
        <w:t xml:space="preserve">Including a separate </w:t>
      </w:r>
      <w:r w:rsidR="00FB6855">
        <w:rPr>
          <w:rFonts w:eastAsia="Verdana"/>
        </w:rPr>
        <w:t xml:space="preserve">and further </w:t>
      </w:r>
      <w:r>
        <w:rPr>
          <w:rFonts w:eastAsia="Verdana"/>
        </w:rPr>
        <w:t>adjustment factor for smaller jurisdictions to compensate for the lower scale / volume and higher disproportionate cost associated with these populations on the total population. The calculation could be based on an agreed average cost difference between each small State</w:t>
      </w:r>
      <w:r w:rsidR="001615D9">
        <w:rPr>
          <w:rFonts w:eastAsia="Verdana"/>
        </w:rPr>
        <w:t xml:space="preserve"> and </w:t>
      </w:r>
      <w:r>
        <w:rPr>
          <w:rFonts w:eastAsia="Verdana"/>
        </w:rPr>
        <w:t xml:space="preserve">Territory compared to the national average. </w:t>
      </w:r>
    </w:p>
    <w:tbl>
      <w:tblPr>
        <w:tblStyle w:val="TableGrid"/>
        <w:tblW w:w="0" w:type="auto"/>
        <w:tblBorders>
          <w:top w:val="dotted" w:sz="4" w:space="0" w:color="0097A9" w:themeColor="accent5"/>
          <w:left w:val="dotted" w:sz="4" w:space="0" w:color="0097A9" w:themeColor="accent5"/>
          <w:bottom w:val="dotted" w:sz="4" w:space="0" w:color="0097A9" w:themeColor="accent5"/>
          <w:right w:val="dotted" w:sz="4" w:space="0" w:color="0097A9" w:themeColor="accent5"/>
        </w:tblBorders>
        <w:tblLook w:val="04A0" w:firstRow="1" w:lastRow="0" w:firstColumn="1" w:lastColumn="0" w:noHBand="0" w:noVBand="1"/>
      </w:tblPr>
      <w:tblGrid>
        <w:gridCol w:w="10456"/>
      </w:tblGrid>
      <w:tr w:rsidR="009C77D1" w14:paraId="0F73C53B" w14:textId="77777777" w:rsidTr="00C2225F">
        <w:trPr>
          <w:cnfStyle w:val="100000000000" w:firstRow="1" w:lastRow="0" w:firstColumn="0" w:lastColumn="0" w:oddVBand="0" w:evenVBand="0" w:oddHBand="0" w:evenHBand="0" w:firstRowFirstColumn="0" w:firstRowLastColumn="0" w:lastRowFirstColumn="0" w:lastRowLastColumn="0"/>
        </w:trPr>
        <w:tc>
          <w:tcPr>
            <w:tcW w:w="10456" w:type="dxa"/>
            <w:tcBorders>
              <w:top w:val="dotted" w:sz="4" w:space="0" w:color="0097A9" w:themeColor="accent5"/>
              <w:left w:val="dotted" w:sz="4" w:space="0" w:color="0097A9" w:themeColor="accent5"/>
              <w:bottom w:val="dotted" w:sz="4" w:space="0" w:color="0097A9" w:themeColor="accent5"/>
              <w:right w:val="dotted" w:sz="4" w:space="0" w:color="0097A9" w:themeColor="accent5"/>
            </w:tcBorders>
            <w:hideMark/>
          </w:tcPr>
          <w:p w14:paraId="6CD766E6" w14:textId="29626203" w:rsidR="009C77D1" w:rsidRPr="003C7974" w:rsidRDefault="009C77D1" w:rsidP="00C2225F">
            <w:pPr>
              <w:pStyle w:val="Summarytable"/>
              <w:rPr>
                <w:color w:val="00707E" w:themeColor="accent5" w:themeShade="BF"/>
                <w:lang w:val="en-GB"/>
              </w:rPr>
            </w:pPr>
            <w:r>
              <w:rPr>
                <w:noProof/>
                <w:lang w:val="en-GB"/>
              </w:rPr>
              <w:drawing>
                <wp:inline distT="0" distB="0" distL="0" distR="0" wp14:anchorId="2469C91E" wp14:editId="6C4DE649">
                  <wp:extent cx="269875" cy="269875"/>
                  <wp:effectExtent l="0" t="0" r="0" b="0"/>
                  <wp:docPr id="221" name="Graphic 221" descr="P1709C1T81#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1" name="Graphic 221" descr="P1709C1T81#yIS1">
                            <a:extLst>
                              <a:ext uri="{C183D7F6-B498-43B3-948B-1728B52AA6E4}">
                                <adec:decorative xmlns:adec="http://schemas.microsoft.com/office/drawing/2017/decorative" val="1"/>
                              </a:ext>
                            </a:extLst>
                          </pic:cNvPr>
                          <pic:cNvPicPr>
                            <a:picLocks noChangeAspect="1"/>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69875" cy="269875"/>
                          </a:xfrm>
                          <a:prstGeom prst="rect">
                            <a:avLst/>
                          </a:prstGeom>
                        </pic:spPr>
                      </pic:pic>
                    </a:graphicData>
                  </a:graphic>
                </wp:inline>
              </w:drawing>
            </w:r>
            <w:r w:rsidRPr="003C7974">
              <w:rPr>
                <w:color w:val="00707E" w:themeColor="accent5" w:themeShade="BF"/>
                <w:lang w:val="en-GB"/>
              </w:rPr>
              <w:t xml:space="preserve">Case study: </w:t>
            </w:r>
            <w:r w:rsidRPr="003C7974">
              <w:rPr>
                <w:b w:val="0"/>
                <w:bCs w:val="0"/>
                <w:color w:val="00707E" w:themeColor="accent5" w:themeShade="BF"/>
                <w:lang w:val="en-GB"/>
              </w:rPr>
              <w:t>Small Hospitals Activity Targets (New South Wales)</w:t>
            </w:r>
            <w:r w:rsidR="003F5D51">
              <w:rPr>
                <w:rFonts w:ascii="ZWAdobeF" w:hAnsi="ZWAdobeF" w:cs="ZWAdobeF"/>
                <w:b w:val="0"/>
                <w:bCs w:val="0"/>
                <w:sz w:val="2"/>
                <w:szCs w:val="2"/>
                <w:lang w:val="en-GB"/>
              </w:rPr>
              <w:t>131F</w:t>
            </w:r>
            <w:r w:rsidRPr="003C7974">
              <w:rPr>
                <w:rStyle w:val="FootnoteReference"/>
                <w:b w:val="0"/>
                <w:bCs w:val="0"/>
                <w:color w:val="00707E" w:themeColor="accent5" w:themeShade="BF"/>
              </w:rPr>
              <w:footnoteReference w:id="133"/>
            </w:r>
          </w:p>
          <w:p w14:paraId="1E936949" w14:textId="6ED833F3" w:rsidR="009C77D1" w:rsidRDefault="009C77D1" w:rsidP="00C2225F">
            <w:pPr>
              <w:pStyle w:val="Summarytable"/>
              <w:rPr>
                <w:b w:val="0"/>
                <w:bCs w:val="0"/>
                <w:lang w:val="en-GB"/>
              </w:rPr>
            </w:pPr>
            <w:r>
              <w:rPr>
                <w:b w:val="0"/>
                <w:bCs w:val="0"/>
                <w:lang w:val="en-GB"/>
              </w:rPr>
              <w:t xml:space="preserve">The </w:t>
            </w:r>
            <w:r w:rsidR="00B552E3" w:rsidRPr="00B552E3">
              <w:rPr>
                <w:b w:val="0"/>
                <w:bCs w:val="0"/>
                <w:lang w:val="en-GB"/>
              </w:rPr>
              <w:t>New South Wales</w:t>
            </w:r>
            <w:r>
              <w:rPr>
                <w:b w:val="0"/>
                <w:bCs w:val="0"/>
                <w:lang w:val="en-GB"/>
              </w:rPr>
              <w:t xml:space="preserve"> Small Hospitals Funding model was introduced in 2017-18 to support a better interface in patient care between rural ABF hospitals and small hospitals. This is particularly applicable to the rural Districts, </w:t>
            </w:r>
            <w:r w:rsidRPr="004A6404">
              <w:rPr>
                <w:b w:val="0"/>
                <w:bCs w:val="0"/>
                <w:lang w:val="en-GB"/>
              </w:rPr>
              <w:t>which operate with lesser patient volume</w:t>
            </w:r>
            <w:r>
              <w:rPr>
                <w:b w:val="0"/>
                <w:bCs w:val="0"/>
                <w:lang w:val="en-GB"/>
              </w:rPr>
              <w:t xml:space="preserve">. </w:t>
            </w:r>
          </w:p>
          <w:p w14:paraId="183AE65F" w14:textId="614AB4A7" w:rsidR="009C77D1" w:rsidRPr="00190023" w:rsidRDefault="009C77D1" w:rsidP="00C2225F">
            <w:pPr>
              <w:pStyle w:val="Summarytable"/>
              <w:rPr>
                <w:b w:val="0"/>
                <w:bCs w:val="0"/>
                <w:lang w:val="en-GB"/>
              </w:rPr>
            </w:pPr>
            <w:r w:rsidRPr="00190023">
              <w:rPr>
                <w:b w:val="0"/>
                <w:bCs w:val="0"/>
                <w:lang w:val="en-GB"/>
              </w:rPr>
              <w:t xml:space="preserve">The model adopts a fixed and variable cost methodology </w:t>
            </w:r>
            <w:r>
              <w:rPr>
                <w:b w:val="0"/>
                <w:bCs w:val="0"/>
                <w:lang w:val="en-GB"/>
              </w:rPr>
              <w:t>and replaced the previous model based on the then IHPA small hospitals model. The model</w:t>
            </w:r>
            <w:r w:rsidRPr="00190023">
              <w:rPr>
                <w:b w:val="0"/>
                <w:bCs w:val="0"/>
                <w:lang w:val="en-GB"/>
              </w:rPr>
              <w:t xml:space="preserve"> has been used again </w:t>
            </w:r>
            <w:r>
              <w:rPr>
                <w:b w:val="0"/>
                <w:bCs w:val="0"/>
                <w:lang w:val="en-GB"/>
              </w:rPr>
              <w:t>in</w:t>
            </w:r>
            <w:r w:rsidRPr="00190023">
              <w:rPr>
                <w:b w:val="0"/>
                <w:bCs w:val="0"/>
                <w:lang w:val="en-GB"/>
              </w:rPr>
              <w:t xml:space="preserve"> 2022-23.</w:t>
            </w:r>
            <w:r>
              <w:rPr>
                <w:b w:val="0"/>
                <w:bCs w:val="0"/>
                <w:lang w:val="en-GB"/>
              </w:rPr>
              <w:t xml:space="preserve"> </w:t>
            </w:r>
            <w:r w:rsidRPr="00190023">
              <w:rPr>
                <w:b w:val="0"/>
                <w:bCs w:val="0"/>
                <w:lang w:val="en-GB"/>
              </w:rPr>
              <w:t xml:space="preserve">In the 2022-23 model, the variable component for delivering activity in </w:t>
            </w:r>
            <w:r w:rsidR="00B552E3" w:rsidRPr="00B552E3">
              <w:rPr>
                <w:b w:val="0"/>
                <w:bCs w:val="0"/>
                <w:lang w:val="en-GB"/>
              </w:rPr>
              <w:t>New South Wales</w:t>
            </w:r>
            <w:r w:rsidRPr="00190023">
              <w:rPr>
                <w:b w:val="0"/>
                <w:bCs w:val="0"/>
                <w:lang w:val="en-GB"/>
              </w:rPr>
              <w:t xml:space="preserve"> Small Hospitals has been pegged to the 2022-23 State Efficient Price of $5,095. The fixed component of the funding model has been set at $1.35 million per facility.</w:t>
            </w:r>
          </w:p>
          <w:p w14:paraId="26A47D9D" w14:textId="219A27BA" w:rsidR="009C77D1" w:rsidRDefault="009C77D1" w:rsidP="00C2225F">
            <w:pPr>
              <w:pStyle w:val="Summarytable"/>
              <w:rPr>
                <w:b w:val="0"/>
                <w:bCs w:val="0"/>
                <w:lang w:val="en-GB"/>
              </w:rPr>
            </w:pPr>
            <w:r w:rsidRPr="00190023">
              <w:rPr>
                <w:b w:val="0"/>
                <w:bCs w:val="0"/>
                <w:lang w:val="en-GB"/>
              </w:rPr>
              <w:t xml:space="preserve">Where additional activity in a small hospital setting has been negotiated, </w:t>
            </w:r>
            <w:r>
              <w:rPr>
                <w:b w:val="0"/>
                <w:bCs w:val="0"/>
                <w:lang w:val="en-GB"/>
              </w:rPr>
              <w:t xml:space="preserve">the </w:t>
            </w:r>
            <w:r w:rsidR="00B552E3" w:rsidRPr="00B552E3">
              <w:rPr>
                <w:b w:val="0"/>
                <w:bCs w:val="0"/>
                <w:lang w:val="en-GB"/>
              </w:rPr>
              <w:t>New South Wales</w:t>
            </w:r>
            <w:r>
              <w:rPr>
                <w:b w:val="0"/>
                <w:bCs w:val="0"/>
                <w:lang w:val="en-GB"/>
              </w:rPr>
              <w:t xml:space="preserve"> State price was applied to this activity</w:t>
            </w:r>
            <w:r w:rsidRPr="00190023">
              <w:rPr>
                <w:b w:val="0"/>
                <w:bCs w:val="0"/>
                <w:lang w:val="en-GB"/>
              </w:rPr>
              <w:t>.</w:t>
            </w:r>
          </w:p>
        </w:tc>
      </w:tr>
    </w:tbl>
    <w:p w14:paraId="67623010" w14:textId="77777777" w:rsidR="009C77D1" w:rsidRDefault="009C77D1" w:rsidP="009C77D1">
      <w:pPr>
        <w:rPr>
          <w:rFonts w:eastAsia="Verdana"/>
        </w:rPr>
      </w:pPr>
    </w:p>
    <w:tbl>
      <w:tblPr>
        <w:tblStyle w:val="TableGrid"/>
        <w:tblW w:w="10490" w:type="dxa"/>
        <w:shd w:val="clear" w:color="auto" w:fill="F2F2F2"/>
        <w:tblLook w:val="04A0" w:firstRow="1" w:lastRow="0" w:firstColumn="1" w:lastColumn="0" w:noHBand="0" w:noVBand="1"/>
      </w:tblPr>
      <w:tblGrid>
        <w:gridCol w:w="10490"/>
      </w:tblGrid>
      <w:tr w:rsidR="009C77D1" w14:paraId="304BC068" w14:textId="77777777" w:rsidTr="00C2225F">
        <w:trPr>
          <w:cnfStyle w:val="100000000000" w:firstRow="1" w:lastRow="0" w:firstColumn="0" w:lastColumn="0" w:oddVBand="0" w:evenVBand="0" w:oddHBand="0" w:evenHBand="0" w:firstRowFirstColumn="0" w:firstRowLastColumn="0" w:lastRowFirstColumn="0" w:lastRowLastColumn="0"/>
        </w:trPr>
        <w:tc>
          <w:tcPr>
            <w:tcW w:w="10490" w:type="dxa"/>
            <w:shd w:val="clear" w:color="auto" w:fill="F2F2F2"/>
            <w:hideMark/>
          </w:tcPr>
          <w:p w14:paraId="3CDAC887" w14:textId="1C5F4CAF" w:rsidR="009C77D1" w:rsidRDefault="00DE5344" w:rsidP="00C2225F">
            <w:pPr>
              <w:keepNext/>
              <w:keepLines/>
              <w:spacing w:before="120"/>
              <w:ind w:left="142"/>
              <w:rPr>
                <w:rFonts w:eastAsia="Verdana"/>
                <w:lang w:val="en-GB"/>
              </w:rPr>
            </w:pPr>
            <w:r>
              <w:rPr>
                <w:noProof/>
                <w:lang w:val="en-GB"/>
              </w:rPr>
              <w:drawing>
                <wp:inline distT="0" distB="0" distL="0" distR="0" wp14:anchorId="387EA647" wp14:editId="6DBDB467">
                  <wp:extent cx="269875" cy="269875"/>
                  <wp:effectExtent l="0" t="0" r="0" b="0"/>
                  <wp:docPr id="222" name="Graphic 222" descr="P1715C1T82#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2" name="Graphic 222" descr="P1715C1T82#yIS1">
                            <a:extLst>
                              <a:ext uri="{C183D7F6-B498-43B3-948B-1728B52AA6E4}">
                                <adec:decorative xmlns:adec="http://schemas.microsoft.com/office/drawing/2017/decorative" val="1"/>
                              </a:ext>
                            </a:extLst>
                          </pic:cNvPr>
                          <pic:cNvPicPr>
                            <a:picLocks noChangeAspect="1"/>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269875" cy="269875"/>
                          </a:xfrm>
                          <a:prstGeom prst="rect">
                            <a:avLst/>
                          </a:prstGeom>
                        </pic:spPr>
                      </pic:pic>
                    </a:graphicData>
                  </a:graphic>
                </wp:inline>
              </w:drawing>
            </w:r>
            <w:r w:rsidR="009C77D1">
              <w:rPr>
                <w:rFonts w:eastAsia="Verdana"/>
                <w:b/>
                <w:bCs/>
                <w:color w:val="00707E"/>
                <w:lang w:val="en-GB"/>
              </w:rPr>
              <w:t>Recommendation</w:t>
            </w:r>
            <w:r w:rsidR="009C77D1">
              <w:rPr>
                <w:rFonts w:eastAsia="Verdana"/>
                <w:b/>
                <w:bCs/>
                <w:noProof/>
                <w:color w:val="0097A9"/>
                <w:lang w:val="en-GB"/>
              </w:rPr>
              <w:t xml:space="preserve"> </w:t>
            </w:r>
            <w:r w:rsidR="009C77D1">
              <w:rPr>
                <w:rFonts w:eastAsia="Verdana"/>
                <w:b/>
                <w:bCs/>
                <w:color w:val="00707E"/>
                <w:lang w:val="en-GB"/>
              </w:rPr>
              <w:t>1</w:t>
            </w:r>
            <w:r w:rsidR="00BA297F">
              <w:rPr>
                <w:rFonts w:eastAsia="Verdana"/>
                <w:b/>
                <w:bCs/>
                <w:color w:val="00707E"/>
                <w:lang w:val="en-GB"/>
              </w:rPr>
              <w:t>8</w:t>
            </w:r>
            <w:r w:rsidR="009C77D1">
              <w:rPr>
                <w:rFonts w:eastAsia="Verdana"/>
                <w:b/>
                <w:bCs/>
                <w:color w:val="00707E"/>
                <w:lang w:val="en-GB"/>
              </w:rPr>
              <w:t xml:space="preserve">: </w:t>
            </w:r>
            <w:r w:rsidR="009C77D1">
              <w:rPr>
                <w:rFonts w:eastAsia="Verdana"/>
                <w:lang w:val="en-GB"/>
              </w:rPr>
              <w:t>The IHACPA</w:t>
            </w:r>
            <w:r w:rsidR="00972077">
              <w:rPr>
                <w:rFonts w:eastAsia="Verdana"/>
                <w:lang w:val="en-GB"/>
              </w:rPr>
              <w:t>, in consultation with jurisdictions and the NHFB,</w:t>
            </w:r>
            <w:r w:rsidR="009C77D1">
              <w:rPr>
                <w:rFonts w:eastAsia="Verdana"/>
                <w:lang w:val="en-GB"/>
              </w:rPr>
              <w:t xml:space="preserve"> </w:t>
            </w:r>
            <w:r w:rsidR="00CF7C60">
              <w:rPr>
                <w:rFonts w:eastAsia="Verdana"/>
                <w:lang w:val="en-GB"/>
              </w:rPr>
              <w:t xml:space="preserve">should </w:t>
            </w:r>
            <w:r w:rsidR="009C77D1">
              <w:rPr>
                <w:rFonts w:eastAsia="Verdana"/>
                <w:lang w:val="en-GB"/>
              </w:rPr>
              <w:t xml:space="preserve">undertake a further </w:t>
            </w:r>
            <w:r w:rsidR="009C77D1" w:rsidRPr="009C7989">
              <w:rPr>
                <w:rFonts w:eastAsia="Verdana"/>
                <w:b/>
                <w:bCs/>
                <w:lang w:val="en-GB"/>
              </w:rPr>
              <w:t>review of the calculation of the NEP to seek to</w:t>
            </w:r>
            <w:r w:rsidR="009C77D1">
              <w:rPr>
                <w:rFonts w:eastAsia="Verdana"/>
                <w:lang w:val="en-GB"/>
              </w:rPr>
              <w:t xml:space="preserve"> </w:t>
            </w:r>
            <w:r w:rsidR="009C77D1">
              <w:rPr>
                <w:rFonts w:eastAsia="Verdana"/>
                <w:b/>
                <w:bCs/>
                <w:lang w:val="en-GB"/>
              </w:rPr>
              <w:t xml:space="preserve">reduce calculation complexity </w:t>
            </w:r>
            <w:r w:rsidR="009C77D1">
              <w:rPr>
                <w:rFonts w:eastAsia="Verdana"/>
                <w:lang w:val="en-GB"/>
              </w:rPr>
              <w:t xml:space="preserve">and </w:t>
            </w:r>
            <w:r w:rsidR="009C77D1" w:rsidRPr="00AC608B">
              <w:rPr>
                <w:rFonts w:eastAsia="Verdana"/>
                <w:b/>
                <w:lang w:val="en-GB"/>
              </w:rPr>
              <w:t xml:space="preserve">address the particular </w:t>
            </w:r>
            <w:r w:rsidR="00B07200">
              <w:rPr>
                <w:rFonts w:eastAsia="Verdana"/>
                <w:b/>
                <w:lang w:val="en-GB"/>
              </w:rPr>
              <w:t xml:space="preserve">funding </w:t>
            </w:r>
            <w:r w:rsidR="009C77D1" w:rsidRPr="00AC608B">
              <w:rPr>
                <w:rFonts w:eastAsia="Verdana"/>
                <w:b/>
                <w:lang w:val="en-GB"/>
              </w:rPr>
              <w:t>challenges for smaller jurisdictions</w:t>
            </w:r>
            <w:r w:rsidR="009C77D1">
              <w:rPr>
                <w:rFonts w:eastAsia="Verdana"/>
                <w:lang w:val="en-GB"/>
              </w:rPr>
              <w:t xml:space="preserve"> unable to operate at the scale and with</w:t>
            </w:r>
            <w:r w:rsidR="007E5CFC">
              <w:rPr>
                <w:rFonts w:eastAsia="Verdana"/>
                <w:lang w:val="en-GB"/>
              </w:rPr>
              <w:t>out</w:t>
            </w:r>
            <w:r w:rsidR="009C77D1">
              <w:rPr>
                <w:rFonts w:eastAsia="Verdana"/>
                <w:lang w:val="en-GB"/>
              </w:rPr>
              <w:t xml:space="preserve"> the cost base of larger jurisdictions. The impact of the NEP and the calculation of </w:t>
            </w:r>
            <w:r w:rsidR="00CD4F56">
              <w:rPr>
                <w:rFonts w:eastAsia="Verdana"/>
                <w:lang w:val="en-GB"/>
              </w:rPr>
              <w:t>I</w:t>
            </w:r>
            <w:r w:rsidR="009C77D1">
              <w:rPr>
                <w:rFonts w:eastAsia="Verdana"/>
                <w:lang w:val="en-GB"/>
              </w:rPr>
              <w:t xml:space="preserve">ndigenous, residential and treatment location adjustments should also be reviewed to ensure they are operating as intended. </w:t>
            </w:r>
          </w:p>
        </w:tc>
      </w:tr>
    </w:tbl>
    <w:p w14:paraId="652115B1" w14:textId="77777777" w:rsidR="009C77D1" w:rsidRDefault="009C77D1" w:rsidP="009C77D1">
      <w:pPr>
        <w:rPr>
          <w:rFonts w:eastAsia="Verdana"/>
        </w:rPr>
      </w:pPr>
    </w:p>
    <w:p w14:paraId="414A252E" w14:textId="77777777" w:rsidR="009C77D1" w:rsidRPr="00CC3B4F" w:rsidRDefault="009C77D1" w:rsidP="007745A8">
      <w:pPr>
        <w:pStyle w:val="Heading4"/>
      </w:pPr>
      <w:bookmarkStart w:id="266" w:name="_Ref145603522"/>
      <w:r w:rsidRPr="00CC3B4F">
        <w:t>Timeliness of activity and cost data</w:t>
      </w:r>
      <w:bookmarkEnd w:id="266"/>
      <w:r w:rsidRPr="00CC3B4F">
        <w:t xml:space="preserve"> </w:t>
      </w:r>
    </w:p>
    <w:p w14:paraId="5481358B" w14:textId="729999AA" w:rsidR="009C77D1" w:rsidRDefault="009C77D1" w:rsidP="009C77D1">
      <w:pPr>
        <w:rPr>
          <w:rFonts w:eastAsia="Verdana"/>
        </w:rPr>
      </w:pPr>
      <w:r>
        <w:rPr>
          <w:rFonts w:eastAsia="Verdana"/>
        </w:rPr>
        <w:t xml:space="preserve">The NEP </w:t>
      </w:r>
      <w:r w:rsidR="00E33AEB">
        <w:rPr>
          <w:rFonts w:eastAsia="Verdana"/>
        </w:rPr>
        <w:t xml:space="preserve">for a given financial year </w:t>
      </w:r>
      <w:r>
        <w:rPr>
          <w:rFonts w:eastAsia="Verdana"/>
        </w:rPr>
        <w:t xml:space="preserve">is calculated based on cost data provided by States and Territories from the </w:t>
      </w:r>
      <w:r w:rsidR="00E33AEB">
        <w:rPr>
          <w:rFonts w:eastAsia="Verdana"/>
        </w:rPr>
        <w:t xml:space="preserve">three </w:t>
      </w:r>
      <w:r>
        <w:rPr>
          <w:rFonts w:eastAsia="Verdana"/>
        </w:rPr>
        <w:t xml:space="preserve">years prior, which creates a time lag between the NEP and the actual cost of service delivery, including as they relate to workforce costs and </w:t>
      </w:r>
      <w:r w:rsidR="00CF7C60">
        <w:rPr>
          <w:rFonts w:eastAsia="Verdana"/>
        </w:rPr>
        <w:t>bargaining</w:t>
      </w:r>
      <w:r>
        <w:rPr>
          <w:rFonts w:eastAsia="Verdana"/>
        </w:rPr>
        <w:t xml:space="preserve"> outcomes, cost inflation on supplies/consumables and related supply chain distribution and, most recently, the downstream impacts of COVID-19. </w:t>
      </w:r>
    </w:p>
    <w:p w14:paraId="7BEFFB8C" w14:textId="77777777" w:rsidR="009C77D1" w:rsidRDefault="009C77D1" w:rsidP="009C77D1">
      <w:pPr>
        <w:rPr>
          <w:rFonts w:eastAsia="Verdana"/>
        </w:rPr>
      </w:pPr>
      <w:r>
        <w:rPr>
          <w:rFonts w:eastAsia="Verdana"/>
        </w:rPr>
        <w:t xml:space="preserve">The capacity to provide more recent data as the basis for the NEP is influenced by the processes to collect data to meet submission deadlines, which are highly manual, a shortage in the costing workforce and the need for quality assurance to ensure data accuracy and avoid the risk of costing errors. </w:t>
      </w:r>
    </w:p>
    <w:p w14:paraId="409212D6" w14:textId="431BB24E" w:rsidR="009C77D1" w:rsidRDefault="009C77D1" w:rsidP="009C77D1">
      <w:pPr>
        <w:rPr>
          <w:rFonts w:eastAsia="Verdana"/>
        </w:rPr>
      </w:pPr>
      <w:r>
        <w:rPr>
          <w:rFonts w:eastAsia="Verdana"/>
        </w:rPr>
        <w:t xml:space="preserve">The lag in data that informs the NEP creates a financial risk for hospitals </w:t>
      </w:r>
      <w:r w:rsidR="00E63668">
        <w:rPr>
          <w:rFonts w:eastAsia="Verdana"/>
        </w:rPr>
        <w:t xml:space="preserve">that </w:t>
      </w:r>
      <w:r>
        <w:rPr>
          <w:rFonts w:eastAsia="Verdana"/>
        </w:rPr>
        <w:t>need to deliver services at the current cost, a particular concern in recent years due to higher levels of inflation, and makes it difficult for hospitals to use the NEP for activity and capacity planning. This also means that States</w:t>
      </w:r>
      <w:r w:rsidR="00B8643A">
        <w:rPr>
          <w:rFonts w:eastAsia="Verdana"/>
        </w:rPr>
        <w:t xml:space="preserve"> and </w:t>
      </w:r>
      <w:r>
        <w:rPr>
          <w:rFonts w:eastAsia="Verdana"/>
        </w:rPr>
        <w:t>Territories face a liquidity risk if costs escalate rapidly, and need to find ways to address the higher cost of healthcare provision now while they wait for the NEP to catch up.</w:t>
      </w:r>
    </w:p>
    <w:p w14:paraId="3EE961A7" w14:textId="2EB62285" w:rsidR="009C77D1" w:rsidRPr="00FD3CE0" w:rsidRDefault="009C77D1" w:rsidP="009C77D1">
      <w:pPr>
        <w:rPr>
          <w:rFonts w:eastAsia="Verdana"/>
        </w:rPr>
      </w:pPr>
      <w:r>
        <w:rPr>
          <w:rFonts w:eastAsia="Verdana"/>
        </w:rPr>
        <w:t>Further, t</w:t>
      </w:r>
      <w:r w:rsidRPr="00FD3CE0">
        <w:rPr>
          <w:rFonts w:eastAsia="Verdana"/>
        </w:rPr>
        <w:t xml:space="preserve">he most common barriers to the introduction of new adjustments, or perceived inadequacy of existing adjustments, is a lack of evidence available in reported cost and activity data, including due to jurisdictional limitations in allocating costs accurately at the patient level or limitations in the collection of patient characteristics data. Others may be rejected due to low materiality and/or misalignment with the Pricing Guidelines. </w:t>
      </w:r>
    </w:p>
    <w:p w14:paraId="1A540934" w14:textId="77777777" w:rsidR="009C77D1" w:rsidRDefault="009C77D1" w:rsidP="009C77D1">
      <w:pPr>
        <w:rPr>
          <w:rFonts w:eastAsia="Verdana"/>
        </w:rPr>
      </w:pPr>
      <w:r w:rsidRPr="00687B97">
        <w:rPr>
          <w:rFonts w:eastAsia="Verdana"/>
        </w:rPr>
        <w:t>The calculation of the base average cost per separation that feeds into the NEP as well as the calculation of changes in the patient classification NWAU cost weight values require</w:t>
      </w:r>
      <w:r>
        <w:rPr>
          <w:rFonts w:eastAsia="Verdana"/>
        </w:rPr>
        <w:t>s</w:t>
      </w:r>
      <w:r w:rsidRPr="00687B97">
        <w:rPr>
          <w:rFonts w:eastAsia="Verdana"/>
        </w:rPr>
        <w:t xml:space="preserve"> a better way of progressing </w:t>
      </w:r>
      <w:r>
        <w:rPr>
          <w:rFonts w:eastAsia="Verdana"/>
        </w:rPr>
        <w:t>NHCDC</w:t>
      </w:r>
      <w:r w:rsidRPr="00687B97">
        <w:rPr>
          <w:rFonts w:eastAsia="Verdana"/>
        </w:rPr>
        <w:t xml:space="preserve"> </w:t>
      </w:r>
      <w:r>
        <w:rPr>
          <w:rFonts w:eastAsia="Verdana"/>
        </w:rPr>
        <w:t xml:space="preserve">approaches and processes. While there are no easy answers in this regard, a number of potential approaches were identified in consultation as follows: </w:t>
      </w:r>
    </w:p>
    <w:p w14:paraId="24F1D8F3" w14:textId="77777777" w:rsidR="009C77D1" w:rsidRDefault="009C77D1">
      <w:pPr>
        <w:pStyle w:val="ListParagraph"/>
        <w:numPr>
          <w:ilvl w:val="0"/>
          <w:numId w:val="75"/>
        </w:numPr>
        <w:contextualSpacing w:val="0"/>
        <w:rPr>
          <w:rFonts w:eastAsia="Verdana"/>
        </w:rPr>
      </w:pPr>
      <w:r>
        <w:rPr>
          <w:rFonts w:eastAsia="Verdana"/>
        </w:rPr>
        <w:t xml:space="preserve">Rather than basing the NEP for a given year on data that is up to three years old, determine a “preliminary NEP” based on the best available (but unvalidated) information. When the data for the relevant year becomes available, then a “final NEP” could be determined, subject to a reconciliation process. </w:t>
      </w:r>
    </w:p>
    <w:p w14:paraId="28EC2658" w14:textId="77777777" w:rsidR="00CF7C60" w:rsidRDefault="00CF7C60">
      <w:pPr>
        <w:pStyle w:val="ListParagraph"/>
        <w:numPr>
          <w:ilvl w:val="0"/>
          <w:numId w:val="75"/>
        </w:numPr>
        <w:contextualSpacing w:val="0"/>
        <w:rPr>
          <w:rFonts w:eastAsia="Verdana"/>
        </w:rPr>
      </w:pPr>
      <w:r>
        <w:rPr>
          <w:rFonts w:eastAsia="Verdana"/>
        </w:rPr>
        <w:t xml:space="preserve">Apply statistical methods to develop the NEP rather than rely on detailed patient costing data. The approach and type of statistical methods that could be applied would need to be worked through with IHACPA. </w:t>
      </w:r>
    </w:p>
    <w:p w14:paraId="6D1C9992" w14:textId="12D6608D" w:rsidR="009C77D1" w:rsidRDefault="009C77D1">
      <w:pPr>
        <w:pStyle w:val="ListParagraph"/>
        <w:numPr>
          <w:ilvl w:val="0"/>
          <w:numId w:val="69"/>
        </w:numPr>
        <w:ind w:left="714" w:hanging="357"/>
        <w:contextualSpacing w:val="0"/>
        <w:rPr>
          <w:rFonts w:eastAsia="Verdana"/>
        </w:rPr>
      </w:pPr>
      <w:r>
        <w:rPr>
          <w:rFonts w:eastAsia="Verdana"/>
        </w:rPr>
        <w:t>S</w:t>
      </w:r>
      <w:r w:rsidRPr="00C65859">
        <w:rPr>
          <w:rFonts w:eastAsia="Verdana"/>
        </w:rPr>
        <w:t xml:space="preserve">implify data collection processes or at the very least </w:t>
      </w:r>
      <w:r w:rsidR="00FA0AF5">
        <w:rPr>
          <w:rFonts w:eastAsia="Verdana"/>
        </w:rPr>
        <w:t xml:space="preserve">use </w:t>
      </w:r>
      <w:r w:rsidRPr="00C65859">
        <w:rPr>
          <w:rFonts w:eastAsia="Verdana"/>
        </w:rPr>
        <w:t>the most recent</w:t>
      </w:r>
      <w:r w:rsidR="00FA0AF5">
        <w:rPr>
          <w:rFonts w:eastAsia="Verdana"/>
        </w:rPr>
        <w:t xml:space="preserve"> or interim</w:t>
      </w:r>
      <w:r w:rsidRPr="00C65859">
        <w:rPr>
          <w:rFonts w:eastAsia="Verdana"/>
        </w:rPr>
        <w:t xml:space="preserve"> data collections for determining the cost that is used to factor into the NEP</w:t>
      </w:r>
      <w:r w:rsidR="007725F6">
        <w:rPr>
          <w:rFonts w:eastAsia="Verdana"/>
        </w:rPr>
        <w:t>.</w:t>
      </w:r>
      <w:r w:rsidR="00565E21">
        <w:rPr>
          <w:rFonts w:eastAsia="Verdana"/>
        </w:rPr>
        <w:t xml:space="preserve"> This would</w:t>
      </w:r>
      <w:r w:rsidR="00CF7C60">
        <w:rPr>
          <w:rFonts w:eastAsia="Verdana"/>
        </w:rPr>
        <w:t xml:space="preserve"> </w:t>
      </w:r>
      <w:r w:rsidRPr="00C65859">
        <w:rPr>
          <w:rFonts w:eastAsia="Verdana"/>
        </w:rPr>
        <w:t>make best use of the most recent data for the NEP but still enable the more detailed process</w:t>
      </w:r>
      <w:r>
        <w:rPr>
          <w:rFonts w:eastAsia="Verdana"/>
        </w:rPr>
        <w:t xml:space="preserve"> to</w:t>
      </w:r>
      <w:r w:rsidRPr="00C65859">
        <w:rPr>
          <w:rFonts w:eastAsia="Verdana"/>
        </w:rPr>
        <w:t xml:space="preserve"> shape the NWAU calculation. </w:t>
      </w:r>
    </w:p>
    <w:p w14:paraId="6F04CAA7" w14:textId="2D4E6F5A" w:rsidR="009C77D1" w:rsidRPr="00CC0BF7" w:rsidRDefault="009C77D1">
      <w:pPr>
        <w:pStyle w:val="ListParagraph"/>
        <w:numPr>
          <w:ilvl w:val="0"/>
          <w:numId w:val="69"/>
        </w:numPr>
        <w:contextualSpacing w:val="0"/>
        <w:rPr>
          <w:rFonts w:eastAsia="Verdana"/>
        </w:rPr>
      </w:pPr>
      <w:r>
        <w:rPr>
          <w:rFonts w:eastAsia="Verdana"/>
        </w:rPr>
        <w:t xml:space="preserve">As the Agreement potentially moves towards alternative funding models that shape demand and drive innovation, the level of sophistication in creating granular level of service codes within classifications </w:t>
      </w:r>
      <w:r w:rsidR="00CF7C60">
        <w:rPr>
          <w:rFonts w:eastAsia="Verdana"/>
        </w:rPr>
        <w:t xml:space="preserve">may </w:t>
      </w:r>
      <w:r>
        <w:rPr>
          <w:rFonts w:eastAsia="Verdana"/>
        </w:rPr>
        <w:t>become less important (for pricing purposes rather than for other benefits that detailed patient classification systems provide).</w:t>
      </w:r>
    </w:p>
    <w:tbl>
      <w:tblPr>
        <w:tblStyle w:val="TableGrid"/>
        <w:tblW w:w="10490" w:type="dxa"/>
        <w:shd w:val="clear" w:color="auto" w:fill="F2F2F2"/>
        <w:tblLook w:val="04A0" w:firstRow="1" w:lastRow="0" w:firstColumn="1" w:lastColumn="0" w:noHBand="0" w:noVBand="1"/>
      </w:tblPr>
      <w:tblGrid>
        <w:gridCol w:w="10490"/>
      </w:tblGrid>
      <w:tr w:rsidR="009C77D1" w14:paraId="06EC6302" w14:textId="77777777" w:rsidTr="00C2225F">
        <w:trPr>
          <w:cnfStyle w:val="100000000000" w:firstRow="1" w:lastRow="0" w:firstColumn="0" w:lastColumn="0" w:oddVBand="0" w:evenVBand="0" w:oddHBand="0" w:evenHBand="0" w:firstRowFirstColumn="0" w:firstRowLastColumn="0" w:lastRowFirstColumn="0" w:lastRowLastColumn="0"/>
        </w:trPr>
        <w:tc>
          <w:tcPr>
            <w:tcW w:w="10490" w:type="dxa"/>
            <w:shd w:val="clear" w:color="auto" w:fill="F2F2F2"/>
            <w:hideMark/>
          </w:tcPr>
          <w:p w14:paraId="25DF69D9" w14:textId="7379D495" w:rsidR="009C77D1" w:rsidRDefault="00DE5344" w:rsidP="00DE5344">
            <w:pPr>
              <w:spacing w:before="120"/>
              <w:ind w:left="142"/>
              <w:rPr>
                <w:rFonts w:eastAsia="Verdana"/>
                <w:lang w:val="en-GB"/>
              </w:rPr>
            </w:pPr>
            <w:r>
              <w:rPr>
                <w:noProof/>
                <w:lang w:val="en-GB"/>
              </w:rPr>
              <w:drawing>
                <wp:inline distT="0" distB="0" distL="0" distR="0" wp14:anchorId="2EE67EDE" wp14:editId="5B9DD26E">
                  <wp:extent cx="269875" cy="269875"/>
                  <wp:effectExtent l="0" t="0" r="0" b="0"/>
                  <wp:docPr id="223" name="Graphic 223" descr="P1728C1T83#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3" name="Graphic 223" descr="P1728C1T83#yIS1">
                            <a:extLst>
                              <a:ext uri="{C183D7F6-B498-43B3-948B-1728B52AA6E4}">
                                <adec:decorative xmlns:adec="http://schemas.microsoft.com/office/drawing/2017/decorative" val="1"/>
                              </a:ext>
                            </a:extLst>
                          </pic:cNvPr>
                          <pic:cNvPicPr>
                            <a:picLocks noChangeAspect="1"/>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269875" cy="269875"/>
                          </a:xfrm>
                          <a:prstGeom prst="rect">
                            <a:avLst/>
                          </a:prstGeom>
                        </pic:spPr>
                      </pic:pic>
                    </a:graphicData>
                  </a:graphic>
                </wp:inline>
              </w:drawing>
            </w:r>
            <w:r w:rsidR="009C77D1">
              <w:rPr>
                <w:rFonts w:eastAsia="Verdana"/>
                <w:b/>
                <w:bCs/>
                <w:color w:val="00707E"/>
                <w:lang w:val="en-GB"/>
              </w:rPr>
              <w:t>Recommendation</w:t>
            </w:r>
            <w:r w:rsidR="009C77D1">
              <w:rPr>
                <w:rFonts w:eastAsia="Verdana"/>
                <w:b/>
                <w:bCs/>
                <w:noProof/>
                <w:color w:val="0097A9"/>
                <w:lang w:val="en-GB"/>
              </w:rPr>
              <w:t xml:space="preserve"> </w:t>
            </w:r>
            <w:r w:rsidR="009C77D1">
              <w:rPr>
                <w:rFonts w:eastAsia="Verdana"/>
                <w:b/>
                <w:bCs/>
                <w:color w:val="00707E"/>
                <w:lang w:val="en-GB"/>
              </w:rPr>
              <w:t>1</w:t>
            </w:r>
            <w:r w:rsidR="00BA297F">
              <w:rPr>
                <w:rFonts w:eastAsia="Verdana"/>
                <w:b/>
                <w:bCs/>
                <w:color w:val="00707E"/>
                <w:lang w:val="en-GB"/>
              </w:rPr>
              <w:t>9</w:t>
            </w:r>
            <w:r w:rsidR="009C77D1">
              <w:rPr>
                <w:rFonts w:eastAsia="Verdana"/>
                <w:b/>
                <w:bCs/>
                <w:color w:val="00707E"/>
                <w:lang w:val="en-GB"/>
              </w:rPr>
              <w:t xml:space="preserve">: </w:t>
            </w:r>
            <w:r w:rsidR="009C77D1">
              <w:rPr>
                <w:rFonts w:eastAsia="Verdana"/>
                <w:lang w:val="en-GB"/>
              </w:rPr>
              <w:t xml:space="preserve">A process should be undertaken that identifies and tests options, in consultation with jurisdictions, to calculate the NEP using </w:t>
            </w:r>
            <w:r w:rsidR="009C77D1">
              <w:rPr>
                <w:rFonts w:eastAsia="Verdana"/>
                <w:b/>
                <w:bCs/>
                <w:lang w:val="en-GB"/>
              </w:rPr>
              <w:t>more recent activity and cost data</w:t>
            </w:r>
            <w:r w:rsidR="009C77D1">
              <w:rPr>
                <w:rFonts w:eastAsia="Verdana"/>
                <w:lang w:val="en-GB"/>
              </w:rPr>
              <w:t xml:space="preserve"> than the current </w:t>
            </w:r>
            <w:r>
              <w:rPr>
                <w:rFonts w:eastAsia="Verdana"/>
                <w:lang w:val="en-GB"/>
              </w:rPr>
              <w:t>three-year-old</w:t>
            </w:r>
            <w:r w:rsidR="009C77D1">
              <w:rPr>
                <w:rFonts w:eastAsia="Verdana"/>
                <w:lang w:val="en-GB"/>
              </w:rPr>
              <w:t xml:space="preserve"> data, with an agreed option implemented in the course of the next Agreement.</w:t>
            </w:r>
          </w:p>
        </w:tc>
      </w:tr>
    </w:tbl>
    <w:p w14:paraId="359EE78B" w14:textId="77777777" w:rsidR="009C77D1" w:rsidRDefault="009C77D1" w:rsidP="009C77D1"/>
    <w:p w14:paraId="2C259298" w14:textId="77777777" w:rsidR="009C77D1" w:rsidRPr="00CC3B4F" w:rsidRDefault="009C77D1" w:rsidP="007745A8">
      <w:pPr>
        <w:pStyle w:val="Heading4"/>
      </w:pPr>
      <w:bookmarkStart w:id="267" w:name="_Ref148442184"/>
      <w:r w:rsidRPr="00CC3B4F">
        <w:t>Cross-border arrangements</w:t>
      </w:r>
      <w:bookmarkEnd w:id="267"/>
    </w:p>
    <w:p w14:paraId="3875958E" w14:textId="136347F0" w:rsidR="009C77D1" w:rsidRDefault="009C77D1" w:rsidP="009C77D1">
      <w:pPr>
        <w:rPr>
          <w:rFonts w:eastAsia="Verdana"/>
        </w:rPr>
      </w:pPr>
      <w:r>
        <w:rPr>
          <w:rFonts w:eastAsia="Verdana"/>
        </w:rPr>
        <w:t xml:space="preserve">The NHRA Addendum establishes a set of principles (Clause A110) to apply to cross border hospital activities where a patient who is normally a resident of one </w:t>
      </w:r>
      <w:r w:rsidR="00B74398">
        <w:rPr>
          <w:rFonts w:eastAsia="Verdana"/>
        </w:rPr>
        <w:t>S</w:t>
      </w:r>
      <w:r>
        <w:rPr>
          <w:rFonts w:eastAsia="Verdana"/>
        </w:rPr>
        <w:t xml:space="preserve">tate or </w:t>
      </w:r>
      <w:r w:rsidR="00B74398">
        <w:rPr>
          <w:rFonts w:eastAsia="Verdana"/>
        </w:rPr>
        <w:t>T</w:t>
      </w:r>
      <w:r>
        <w:rPr>
          <w:rFonts w:eastAsia="Verdana"/>
        </w:rPr>
        <w:t xml:space="preserve">erritory accesses services in another </w:t>
      </w:r>
      <w:r w:rsidR="00B74398">
        <w:rPr>
          <w:rFonts w:eastAsia="Verdana"/>
        </w:rPr>
        <w:t>S</w:t>
      </w:r>
      <w:r>
        <w:rPr>
          <w:rFonts w:eastAsia="Verdana"/>
        </w:rPr>
        <w:t xml:space="preserve">tate or </w:t>
      </w:r>
      <w:r w:rsidR="00B74398">
        <w:rPr>
          <w:rFonts w:eastAsia="Verdana"/>
        </w:rPr>
        <w:t>T</w:t>
      </w:r>
      <w:r>
        <w:rPr>
          <w:rFonts w:eastAsia="Verdana"/>
        </w:rPr>
        <w:t>erritory, including that:</w:t>
      </w:r>
    </w:p>
    <w:p w14:paraId="11F7353E" w14:textId="6C9E34C0" w:rsidR="009C77D1" w:rsidRDefault="009C77D1">
      <w:pPr>
        <w:pStyle w:val="ListParagraph"/>
        <w:numPr>
          <w:ilvl w:val="0"/>
          <w:numId w:val="67"/>
        </w:numPr>
        <w:rPr>
          <w:rFonts w:eastAsia="Verdana"/>
        </w:rPr>
      </w:pPr>
      <w:r>
        <w:rPr>
          <w:rFonts w:eastAsia="Verdana"/>
        </w:rPr>
        <w:t>The State</w:t>
      </w:r>
      <w:r w:rsidR="00A773CF">
        <w:rPr>
          <w:rFonts w:eastAsia="Verdana"/>
        </w:rPr>
        <w:t xml:space="preserve"> or </w:t>
      </w:r>
      <w:r>
        <w:rPr>
          <w:rFonts w:eastAsia="Verdana"/>
        </w:rPr>
        <w:t>Territory where a patient would normally reside should meet the cost of services (including the cost of transfer back to their resident State</w:t>
      </w:r>
      <w:r w:rsidR="00A773CF">
        <w:rPr>
          <w:rFonts w:eastAsia="Verdana"/>
        </w:rPr>
        <w:t xml:space="preserve"> or </w:t>
      </w:r>
      <w:r>
        <w:rPr>
          <w:rFonts w:eastAsia="Verdana"/>
        </w:rPr>
        <w:t>Territory).</w:t>
      </w:r>
    </w:p>
    <w:p w14:paraId="53C23808" w14:textId="27FFF011" w:rsidR="009C77D1" w:rsidRDefault="009C77D1">
      <w:pPr>
        <w:pStyle w:val="ListParagraph"/>
        <w:numPr>
          <w:ilvl w:val="0"/>
          <w:numId w:val="67"/>
        </w:numPr>
        <w:rPr>
          <w:rFonts w:eastAsia="Verdana"/>
        </w:rPr>
      </w:pPr>
      <w:r>
        <w:rPr>
          <w:rFonts w:eastAsia="Verdana"/>
        </w:rPr>
        <w:t>Where a patient is transferred from their resident State</w:t>
      </w:r>
      <w:r w:rsidR="00A773CF">
        <w:rPr>
          <w:rFonts w:eastAsia="Verdana"/>
        </w:rPr>
        <w:t xml:space="preserve"> or </w:t>
      </w:r>
      <w:r>
        <w:rPr>
          <w:rFonts w:eastAsia="Verdana"/>
        </w:rPr>
        <w:t>Territory to another jurisdiction the referring hospital is to meet the costs of medical transfers.</w:t>
      </w:r>
    </w:p>
    <w:p w14:paraId="5CEC60B3" w14:textId="77777777" w:rsidR="009C77D1" w:rsidRDefault="009C77D1">
      <w:pPr>
        <w:pStyle w:val="ListParagraph"/>
        <w:numPr>
          <w:ilvl w:val="0"/>
          <w:numId w:val="67"/>
        </w:numPr>
        <w:rPr>
          <w:rFonts w:eastAsia="Verdana"/>
        </w:rPr>
      </w:pPr>
      <w:r>
        <w:rPr>
          <w:rFonts w:eastAsia="Verdana"/>
        </w:rPr>
        <w:t>Patient out-of-pocket costs related to discharge home from the provider State will be met through the patient’s resident State travel assistance scheme.</w:t>
      </w:r>
    </w:p>
    <w:p w14:paraId="73468C0A" w14:textId="77777777" w:rsidR="009C77D1" w:rsidRDefault="009C77D1">
      <w:pPr>
        <w:pStyle w:val="ListParagraph"/>
        <w:numPr>
          <w:ilvl w:val="0"/>
          <w:numId w:val="67"/>
        </w:numPr>
        <w:rPr>
          <w:rFonts w:eastAsia="Verdana"/>
        </w:rPr>
      </w:pPr>
      <w:r>
        <w:rPr>
          <w:rFonts w:eastAsia="Verdana"/>
        </w:rPr>
        <w:t>Payments flows associated with cross-border services should be administratively simple and not result in any unintended GST distribution effects.</w:t>
      </w:r>
    </w:p>
    <w:p w14:paraId="747753BD" w14:textId="77777777" w:rsidR="009C77D1" w:rsidRDefault="009C77D1">
      <w:pPr>
        <w:pStyle w:val="ListParagraph"/>
        <w:numPr>
          <w:ilvl w:val="0"/>
          <w:numId w:val="67"/>
        </w:numPr>
        <w:rPr>
          <w:rFonts w:eastAsia="Verdana"/>
        </w:rPr>
      </w:pPr>
      <w:r>
        <w:rPr>
          <w:rFonts w:eastAsia="Verdana"/>
        </w:rPr>
        <w:t>There should be transparency of cross border flows.</w:t>
      </w:r>
    </w:p>
    <w:p w14:paraId="20D48075" w14:textId="77777777" w:rsidR="009C77D1" w:rsidRDefault="009C77D1" w:rsidP="009C77D1">
      <w:pPr>
        <w:rPr>
          <w:rFonts w:eastAsia="Verdana"/>
        </w:rPr>
      </w:pPr>
      <w:r>
        <w:rPr>
          <w:rFonts w:eastAsia="Verdana"/>
        </w:rPr>
        <w:t>The expectation of the NHRA is that individual States and Territories will enter their own arrangements consistent with these principles, therefore relying on the capacity of any two parties to negotiate mutually agreeable arrangements. For many jurisdictions, cross border flows are a relatively straightforward element of their operations with flows out of and into a State broadly in balance.</w:t>
      </w:r>
    </w:p>
    <w:p w14:paraId="1350D9A8" w14:textId="53CD71EC" w:rsidR="009C77D1" w:rsidRDefault="009C77D1" w:rsidP="009C77D1">
      <w:pPr>
        <w:rPr>
          <w:rFonts w:eastAsia="Verdana"/>
        </w:rPr>
      </w:pPr>
      <w:r>
        <w:rPr>
          <w:rFonts w:eastAsia="Verdana"/>
        </w:rPr>
        <w:t xml:space="preserve">That is not the case in all instances. For example, around 18% of public hospital separations in the </w:t>
      </w:r>
      <w:r w:rsidR="00AF4316" w:rsidRPr="00AF4316">
        <w:rPr>
          <w:rFonts w:eastAsia="Verdana"/>
        </w:rPr>
        <w:t>Australian Capital Territory</w:t>
      </w:r>
      <w:r>
        <w:rPr>
          <w:rFonts w:eastAsia="Verdana"/>
        </w:rPr>
        <w:t xml:space="preserve"> are </w:t>
      </w:r>
      <w:r w:rsidR="00B552E3" w:rsidRPr="00B552E3">
        <w:rPr>
          <w:rFonts w:eastAsia="Verdana"/>
        </w:rPr>
        <w:t>New South Wales</w:t>
      </w:r>
      <w:r>
        <w:rPr>
          <w:rFonts w:eastAsia="Verdana"/>
        </w:rPr>
        <w:t xml:space="preserve"> residents, compared to around 0.2% of </w:t>
      </w:r>
      <w:r w:rsidR="00AF4316" w:rsidRPr="00AF4316">
        <w:rPr>
          <w:rFonts w:eastAsia="Verdana"/>
        </w:rPr>
        <w:t>Australian Capital Territory</w:t>
      </w:r>
      <w:r>
        <w:rPr>
          <w:rFonts w:eastAsia="Verdana"/>
        </w:rPr>
        <w:t xml:space="preserve"> residents as a proportion of </w:t>
      </w:r>
      <w:r w:rsidR="00B552E3" w:rsidRPr="00B552E3">
        <w:rPr>
          <w:rFonts w:eastAsia="Verdana"/>
        </w:rPr>
        <w:t>New South Wales</w:t>
      </w:r>
      <w:r>
        <w:rPr>
          <w:rFonts w:eastAsia="Verdana"/>
        </w:rPr>
        <w:t xml:space="preserve"> separations, with cross border activity in the </w:t>
      </w:r>
      <w:r w:rsidR="00AF4316" w:rsidRPr="00AF4316">
        <w:rPr>
          <w:rFonts w:eastAsia="Verdana"/>
        </w:rPr>
        <w:t>Australian Capital Territory</w:t>
      </w:r>
      <w:r>
        <w:rPr>
          <w:rFonts w:eastAsia="Verdana"/>
        </w:rPr>
        <w:t xml:space="preserve"> accounting for between 25-30% of total admitted patient activity. In cases such as this, any costs over and above the NEP such as those related to fixed infrastructure costs or block-funded activities such as teaching, training and research, need to be met by the receiving jurisdiction.</w:t>
      </w:r>
    </w:p>
    <w:p w14:paraId="1FBAAAA5" w14:textId="3B427169" w:rsidR="009C77D1" w:rsidRDefault="009C77D1" w:rsidP="009C77D1">
      <w:pPr>
        <w:rPr>
          <w:rFonts w:eastAsia="Verdana"/>
        </w:rPr>
      </w:pPr>
      <w:r>
        <w:rPr>
          <w:rFonts w:eastAsia="Verdana"/>
        </w:rPr>
        <w:t xml:space="preserve">Because the NHRA only puts in place principles in respect of cross border flows, their </w:t>
      </w:r>
      <w:r w:rsidR="001E1778">
        <w:rPr>
          <w:rFonts w:eastAsia="Verdana"/>
        </w:rPr>
        <w:t>effective</w:t>
      </w:r>
      <w:r>
        <w:rPr>
          <w:rFonts w:eastAsia="Verdana"/>
        </w:rPr>
        <w:t xml:space="preserve"> administration relies on the capacity of any two parties to enter mutually satisfactory arrangements. There would be benefit, particularly for smaller jurisdictions where there is an imbalance in negotiating power, to add more specific guidelines and requirements to the Agreement as to how these principles will be applied in practice. Consideration should be given to one or more of:</w:t>
      </w:r>
    </w:p>
    <w:p w14:paraId="573140A6" w14:textId="77777777" w:rsidR="009C77D1" w:rsidRDefault="009C77D1">
      <w:pPr>
        <w:pStyle w:val="ListParagraph"/>
        <w:numPr>
          <w:ilvl w:val="0"/>
          <w:numId w:val="67"/>
        </w:numPr>
        <w:ind w:left="714" w:hanging="357"/>
        <w:rPr>
          <w:rFonts w:eastAsia="Verdana"/>
        </w:rPr>
      </w:pPr>
      <w:r>
        <w:rPr>
          <w:rFonts w:eastAsia="Verdana"/>
        </w:rPr>
        <w:t>A standardised approach to pricing for cross border patients (including explicit cost-sharing arrangements).</w:t>
      </w:r>
    </w:p>
    <w:p w14:paraId="178A0FCD" w14:textId="77777777" w:rsidR="009C77D1" w:rsidRDefault="009C77D1">
      <w:pPr>
        <w:pStyle w:val="ListParagraph"/>
        <w:numPr>
          <w:ilvl w:val="0"/>
          <w:numId w:val="67"/>
        </w:numPr>
        <w:ind w:left="714" w:hanging="357"/>
        <w:rPr>
          <w:rFonts w:eastAsia="Verdana"/>
        </w:rPr>
      </w:pPr>
      <w:r>
        <w:rPr>
          <w:rFonts w:eastAsia="Verdana"/>
        </w:rPr>
        <w:t>Introducing an adjustment factor to pricing that recognises a contribution to block (TTR) payments and a “tenancy” cost of use of infrastructure. Alternatively, an activity-based contribution to depreciation costs could be made. These additional parameters could be relatively consistent either at a national level or vary between large vs small jurisdictions related to volume of cross border flow.</w:t>
      </w:r>
    </w:p>
    <w:p w14:paraId="268CE9BD" w14:textId="616203A4" w:rsidR="009C77D1" w:rsidRDefault="009C77D1">
      <w:pPr>
        <w:pStyle w:val="ListParagraph"/>
        <w:numPr>
          <w:ilvl w:val="0"/>
          <w:numId w:val="67"/>
        </w:numPr>
        <w:ind w:left="714" w:hanging="357"/>
        <w:rPr>
          <w:rFonts w:eastAsia="Verdana"/>
        </w:rPr>
      </w:pPr>
      <w:r>
        <w:rPr>
          <w:rFonts w:eastAsia="Verdana"/>
        </w:rPr>
        <w:t xml:space="preserve">Reimbursement of infrastructure and capital costs incurred by provider </w:t>
      </w:r>
      <w:r w:rsidR="00B74398">
        <w:rPr>
          <w:rFonts w:eastAsia="Verdana"/>
        </w:rPr>
        <w:t>S</w:t>
      </w:r>
      <w:r>
        <w:rPr>
          <w:rFonts w:eastAsia="Verdana"/>
        </w:rPr>
        <w:t xml:space="preserve">tates and </w:t>
      </w:r>
      <w:r w:rsidR="00B74398">
        <w:rPr>
          <w:rFonts w:eastAsia="Verdana"/>
        </w:rPr>
        <w:t>T</w:t>
      </w:r>
      <w:r>
        <w:rPr>
          <w:rFonts w:eastAsia="Verdana"/>
        </w:rPr>
        <w:t>erritories for hospital services provided to cross border patients</w:t>
      </w:r>
      <w:r w:rsidR="009E777E">
        <w:rPr>
          <w:rFonts w:eastAsia="Verdana"/>
        </w:rPr>
        <w:t>, above certain thresholds</w:t>
      </w:r>
      <w:r>
        <w:rPr>
          <w:rFonts w:eastAsia="Verdana"/>
        </w:rPr>
        <w:t xml:space="preserve">.  </w:t>
      </w:r>
    </w:p>
    <w:tbl>
      <w:tblPr>
        <w:tblStyle w:val="TableGrid"/>
        <w:tblW w:w="0" w:type="auto"/>
        <w:shd w:val="clear" w:color="auto" w:fill="F2F2F2"/>
        <w:tblLook w:val="04A0" w:firstRow="1" w:lastRow="0" w:firstColumn="1" w:lastColumn="0" w:noHBand="0" w:noVBand="1"/>
      </w:tblPr>
      <w:tblGrid>
        <w:gridCol w:w="10466"/>
      </w:tblGrid>
      <w:tr w:rsidR="009C77D1" w14:paraId="38F190EC" w14:textId="77777777" w:rsidTr="00C2225F">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hideMark/>
          </w:tcPr>
          <w:p w14:paraId="06EFCF54" w14:textId="6B77C7E5" w:rsidR="009C77D1" w:rsidRDefault="00DE5344" w:rsidP="00C2225F">
            <w:pPr>
              <w:spacing w:before="120"/>
              <w:ind w:left="142"/>
              <w:rPr>
                <w:rFonts w:eastAsia="Verdana"/>
                <w:lang w:val="en-GB"/>
              </w:rPr>
            </w:pPr>
            <w:r>
              <w:rPr>
                <w:noProof/>
                <w:lang w:val="en-GB"/>
              </w:rPr>
              <w:drawing>
                <wp:inline distT="0" distB="0" distL="0" distR="0" wp14:anchorId="6D3C9BCB" wp14:editId="4931A179">
                  <wp:extent cx="269875" cy="269875"/>
                  <wp:effectExtent l="0" t="0" r="0" b="0"/>
                  <wp:docPr id="224" name="Graphic 224" descr="P1744C1T84#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4" name="Graphic 224" descr="P1744C1T84#yIS1">
                            <a:extLst>
                              <a:ext uri="{C183D7F6-B498-43B3-948B-1728B52AA6E4}">
                                <adec:decorative xmlns:adec="http://schemas.microsoft.com/office/drawing/2017/decorative" val="1"/>
                              </a:ext>
                            </a:extLst>
                          </pic:cNvPr>
                          <pic:cNvPicPr>
                            <a:picLocks noChangeAspect="1"/>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269875" cy="269875"/>
                          </a:xfrm>
                          <a:prstGeom prst="rect">
                            <a:avLst/>
                          </a:prstGeom>
                        </pic:spPr>
                      </pic:pic>
                    </a:graphicData>
                  </a:graphic>
                </wp:inline>
              </w:drawing>
            </w:r>
            <w:r w:rsidR="009C77D1">
              <w:rPr>
                <w:rFonts w:eastAsia="Verdana"/>
                <w:b/>
                <w:bCs/>
                <w:color w:val="00707E"/>
                <w:lang w:val="en-GB"/>
              </w:rPr>
              <w:t>Recommendation</w:t>
            </w:r>
            <w:r w:rsidR="009C77D1">
              <w:rPr>
                <w:rFonts w:eastAsia="Verdana"/>
                <w:b/>
                <w:bCs/>
                <w:noProof/>
                <w:color w:val="0097A9"/>
                <w:lang w:val="en-GB"/>
              </w:rPr>
              <w:t xml:space="preserve"> </w:t>
            </w:r>
            <w:r w:rsidR="00BA297F">
              <w:rPr>
                <w:rFonts w:eastAsia="Verdana"/>
                <w:b/>
                <w:bCs/>
                <w:color w:val="00707E"/>
                <w:lang w:val="en-GB"/>
              </w:rPr>
              <w:t>20</w:t>
            </w:r>
            <w:r w:rsidR="009C77D1">
              <w:rPr>
                <w:rFonts w:eastAsia="Verdana"/>
                <w:b/>
                <w:bCs/>
                <w:color w:val="00707E"/>
                <w:lang w:val="en-GB"/>
              </w:rPr>
              <w:t xml:space="preserve">: </w:t>
            </w:r>
            <w:r w:rsidR="009C77D1">
              <w:rPr>
                <w:rFonts w:eastAsia="Verdana"/>
                <w:lang w:val="en-GB"/>
              </w:rPr>
              <w:t xml:space="preserve">The </w:t>
            </w:r>
            <w:r w:rsidR="009C77D1">
              <w:rPr>
                <w:rFonts w:eastAsia="Verdana"/>
                <w:b/>
                <w:bCs/>
                <w:lang w:val="en-GB"/>
              </w:rPr>
              <w:t>principles underpinning cross border arrangements</w:t>
            </w:r>
            <w:r w:rsidR="009C77D1">
              <w:rPr>
                <w:rFonts w:eastAsia="Verdana"/>
                <w:lang w:val="en-GB"/>
              </w:rPr>
              <w:t xml:space="preserve"> as set out in the Agreement should be confirmed but </w:t>
            </w:r>
            <w:r w:rsidR="009C77D1" w:rsidRPr="00C47984">
              <w:rPr>
                <w:rFonts w:eastAsia="Verdana"/>
                <w:b/>
                <w:bCs/>
                <w:lang w:val="en-GB"/>
              </w:rPr>
              <w:t>augmented with guidelines</w:t>
            </w:r>
            <w:r w:rsidR="009C77D1">
              <w:rPr>
                <w:rFonts w:eastAsia="Verdana"/>
                <w:lang w:val="en-GB"/>
              </w:rPr>
              <w:t xml:space="preserve"> that enable timely and fair outcomes applied on a consistent basis, including making allowance for capital and block components of funding, above certain thresholds of cross border activity.</w:t>
            </w:r>
          </w:p>
        </w:tc>
      </w:tr>
    </w:tbl>
    <w:p w14:paraId="26518B8C" w14:textId="77777777" w:rsidR="009C77D1" w:rsidRDefault="009C77D1" w:rsidP="009C77D1"/>
    <w:p w14:paraId="21633D39" w14:textId="77777777" w:rsidR="009C77D1" w:rsidRPr="00CC3B4F" w:rsidRDefault="009C77D1" w:rsidP="007745A8">
      <w:pPr>
        <w:pStyle w:val="Heading4"/>
      </w:pPr>
      <w:bookmarkStart w:id="268" w:name="_Ref148442206"/>
      <w:r w:rsidRPr="00CC3B4F">
        <w:t>Methodology for funding neutrality for private patients in public hospitals</w:t>
      </w:r>
      <w:bookmarkEnd w:id="268"/>
    </w:p>
    <w:p w14:paraId="7730727E" w14:textId="381117EE" w:rsidR="009C77D1" w:rsidRDefault="009C77D1" w:rsidP="009C77D1">
      <w:pPr>
        <w:rPr>
          <w:rFonts w:eastAsia="Verdana"/>
        </w:rPr>
      </w:pPr>
      <w:r>
        <w:rPr>
          <w:rFonts w:eastAsia="Verdana"/>
        </w:rPr>
        <w:t xml:space="preserve">The NHRA mandates that States and Territories provide public hospital services consistent with the Medicare </w:t>
      </w:r>
      <w:r w:rsidR="00942E33">
        <w:rPr>
          <w:rFonts w:eastAsia="Verdana"/>
        </w:rPr>
        <w:t xml:space="preserve">Principles </w:t>
      </w:r>
      <w:r w:rsidR="00CF7C60">
        <w:rPr>
          <w:rFonts w:eastAsia="Verdana"/>
        </w:rPr>
        <w:t>(see Section</w:t>
      </w:r>
      <w:r w:rsidR="00D76491">
        <w:rPr>
          <w:rFonts w:eastAsia="Verdana"/>
        </w:rPr>
        <w:t xml:space="preserve"> </w:t>
      </w:r>
      <w:r w:rsidR="00D76491">
        <w:rPr>
          <w:rFonts w:eastAsia="Verdana"/>
        </w:rPr>
        <w:fldChar w:fldCharType="begin" w:fldLock="1"/>
      </w:r>
      <w:r w:rsidR="00D76491">
        <w:rPr>
          <w:rFonts w:eastAsia="Verdana"/>
        </w:rPr>
        <w:instrText xml:space="preserve"> REF _Ref146707004 \w \h </w:instrText>
      </w:r>
      <w:r w:rsidR="00D76491">
        <w:rPr>
          <w:rFonts w:eastAsia="Verdana"/>
        </w:rPr>
      </w:r>
      <w:r w:rsidR="00D76491">
        <w:rPr>
          <w:rFonts w:eastAsia="Verdana"/>
        </w:rPr>
        <w:fldChar w:fldCharType="separate"/>
      </w:r>
      <w:r w:rsidR="00FA10A4">
        <w:rPr>
          <w:rFonts w:eastAsia="Verdana"/>
        </w:rPr>
        <w:t>5.1.2</w:t>
      </w:r>
      <w:r w:rsidR="00D76491">
        <w:rPr>
          <w:rFonts w:eastAsia="Verdana"/>
        </w:rPr>
        <w:fldChar w:fldCharType="end"/>
      </w:r>
      <w:r w:rsidR="00CF7C60">
        <w:rPr>
          <w:rFonts w:eastAsia="Verdana"/>
        </w:rPr>
        <w:t>)</w:t>
      </w:r>
      <w:r>
        <w:rPr>
          <w:rFonts w:eastAsia="Verdana"/>
        </w:rPr>
        <w:t>.</w:t>
      </w:r>
    </w:p>
    <w:p w14:paraId="18A55438" w14:textId="279D02D7" w:rsidR="009C77D1" w:rsidRDefault="009C77D1" w:rsidP="009C77D1">
      <w:pPr>
        <w:rPr>
          <w:rFonts w:eastAsia="Verdana"/>
        </w:rPr>
      </w:pPr>
      <w:r>
        <w:rPr>
          <w:rFonts w:eastAsia="Verdana"/>
        </w:rPr>
        <w:t>The NHRA seeks to ensure this is implemented in practice through those aspects of the Agreement that go to private patient neutrality (PPN) (Clause A13), and pricing adjustments that deliver neutrality (Clause A44). These clauses</w:t>
      </w:r>
      <w:r w:rsidR="001327DB">
        <w:rPr>
          <w:rFonts w:eastAsia="Verdana"/>
        </w:rPr>
        <w:t xml:space="preserve"> seek</w:t>
      </w:r>
      <w:r>
        <w:rPr>
          <w:rFonts w:eastAsia="Verdana"/>
        </w:rPr>
        <w:t xml:space="preserve"> to achieve ‘…overall payment parity between public and private patients in the relevant jurisdiction’, removing incentives and penalties for treating private patients in public hospitals, where a patient election is made. </w:t>
      </w:r>
    </w:p>
    <w:p w14:paraId="199CB958" w14:textId="3E56D77E" w:rsidR="009C77D1" w:rsidRDefault="009C77D1" w:rsidP="009C77D1">
      <w:pPr>
        <w:tabs>
          <w:tab w:val="left" w:pos="1591"/>
        </w:tabs>
        <w:rPr>
          <w:rFonts w:eastAsia="Verdana"/>
        </w:rPr>
      </w:pPr>
      <w:r>
        <w:rPr>
          <w:rFonts w:eastAsia="Verdana"/>
        </w:rPr>
        <w:t>P</w:t>
      </w:r>
      <w:r w:rsidRPr="007036D0">
        <w:rPr>
          <w:rFonts w:eastAsia="Verdana"/>
        </w:rPr>
        <w:t xml:space="preserve">ublic hospitals derive significant revenue from private health </w:t>
      </w:r>
      <w:r w:rsidRPr="004D233C">
        <w:rPr>
          <w:rFonts w:eastAsia="Verdana"/>
        </w:rPr>
        <w:t>insurance and MBS benefits</w:t>
      </w:r>
      <w:r>
        <w:rPr>
          <w:rFonts w:eastAsia="Verdana"/>
        </w:rPr>
        <w:t>, with</w:t>
      </w:r>
      <w:r w:rsidRPr="004D233C">
        <w:rPr>
          <w:rFonts w:eastAsia="Verdana"/>
        </w:rPr>
        <w:t xml:space="preserve"> </w:t>
      </w:r>
      <w:r>
        <w:rPr>
          <w:rFonts w:eastAsia="Verdana"/>
        </w:rPr>
        <w:t>a</w:t>
      </w:r>
      <w:r w:rsidRPr="004D233C">
        <w:rPr>
          <w:rFonts w:eastAsia="Verdana"/>
        </w:rPr>
        <w:t>n estimated $683 million spent solely on MBS for privately admitted patients in public hospitals in 2020-21.</w:t>
      </w:r>
      <w:r w:rsidR="003F5D51">
        <w:rPr>
          <w:rFonts w:ascii="ZWAdobeF" w:eastAsia="Verdana" w:hAnsi="ZWAdobeF" w:cs="ZWAdobeF"/>
          <w:sz w:val="2"/>
          <w:szCs w:val="2"/>
        </w:rPr>
        <w:t>132F</w:t>
      </w:r>
      <w:r>
        <w:rPr>
          <w:rStyle w:val="FootnoteReference"/>
          <w:rFonts w:eastAsia="Verdana"/>
        </w:rPr>
        <w:footnoteReference w:id="134"/>
      </w:r>
      <w:r w:rsidRPr="004D233C">
        <w:rPr>
          <w:rFonts w:eastAsia="Verdana"/>
        </w:rPr>
        <w:t xml:space="preserve"> </w:t>
      </w:r>
      <w:r w:rsidRPr="007036D0">
        <w:rPr>
          <w:rFonts w:eastAsia="Verdana"/>
        </w:rPr>
        <w:t xml:space="preserve"> </w:t>
      </w:r>
    </w:p>
    <w:p w14:paraId="2C7F2602" w14:textId="4D82BE28" w:rsidR="009C77D1" w:rsidRDefault="009C77D1" w:rsidP="009C77D1">
      <w:pPr>
        <w:tabs>
          <w:tab w:val="left" w:pos="1591"/>
        </w:tabs>
        <w:rPr>
          <w:rFonts w:eastAsia="Verdana"/>
        </w:rPr>
      </w:pPr>
      <w:r>
        <w:rPr>
          <w:rFonts w:eastAsia="Verdana"/>
        </w:rPr>
        <w:t>Private patient neutrality clauses have been implemented through IHACPA determining a cost-weight price for private patients in any year and adjusting the price to the extent required to achieve overall payment parity in the relevant jurisdiction. This approach differs from the usual method for the calculation of the Commonwealth’s funding contribution (which is determined on an episodic basis, not a global basis), and from the usual approach to influencing hospital behaviour (as any penalty is applied to the State or Territory, and not the hospital or LHN that treated more private patients).</w:t>
      </w:r>
    </w:p>
    <w:p w14:paraId="24E1E7AE" w14:textId="6826EC36" w:rsidR="009C77D1" w:rsidRDefault="009C77D1" w:rsidP="009C77D1">
      <w:pPr>
        <w:tabs>
          <w:tab w:val="left" w:pos="1591"/>
        </w:tabs>
        <w:rPr>
          <w:rFonts w:eastAsia="Verdana"/>
        </w:rPr>
      </w:pPr>
      <w:r>
        <w:rPr>
          <w:rFonts w:eastAsia="Verdana"/>
        </w:rPr>
        <w:t xml:space="preserve">The complexities in the application </w:t>
      </w:r>
      <w:r w:rsidRPr="004B12C3">
        <w:rPr>
          <w:rFonts w:eastAsia="Verdana"/>
        </w:rPr>
        <w:t xml:space="preserve">of </w:t>
      </w:r>
      <w:r>
        <w:rPr>
          <w:rFonts w:eastAsia="Verdana"/>
        </w:rPr>
        <w:t>P</w:t>
      </w:r>
      <w:r w:rsidRPr="004B12C3">
        <w:rPr>
          <w:rFonts w:eastAsia="Verdana"/>
        </w:rPr>
        <w:t xml:space="preserve">PN has </w:t>
      </w:r>
      <w:r>
        <w:rPr>
          <w:rFonts w:eastAsia="Verdana"/>
        </w:rPr>
        <w:t>been reported as generating</w:t>
      </w:r>
      <w:r w:rsidRPr="004B12C3">
        <w:rPr>
          <w:rFonts w:eastAsia="Verdana"/>
        </w:rPr>
        <w:t xml:space="preserve"> negative funding impacts on S</w:t>
      </w:r>
      <w:r>
        <w:rPr>
          <w:rFonts w:eastAsia="Verdana"/>
        </w:rPr>
        <w:t xml:space="preserve">tates and </w:t>
      </w:r>
      <w:r w:rsidRPr="004B12C3">
        <w:rPr>
          <w:rFonts w:eastAsia="Verdana"/>
        </w:rPr>
        <w:t>T</w:t>
      </w:r>
      <w:r>
        <w:rPr>
          <w:rFonts w:eastAsia="Verdana"/>
        </w:rPr>
        <w:t>erritorie</w:t>
      </w:r>
      <w:r w:rsidRPr="004B12C3">
        <w:rPr>
          <w:rFonts w:eastAsia="Verdana"/>
        </w:rPr>
        <w:t xml:space="preserve">s. </w:t>
      </w:r>
    </w:p>
    <w:tbl>
      <w:tblPr>
        <w:tblStyle w:val="TableGrid"/>
        <w:tblW w:w="0" w:type="auto"/>
        <w:tblLayout w:type="fixed"/>
        <w:tblLook w:val="04A0" w:firstRow="1" w:lastRow="0" w:firstColumn="1" w:lastColumn="0" w:noHBand="0" w:noVBand="1"/>
      </w:tblPr>
      <w:tblGrid>
        <w:gridCol w:w="7655"/>
        <w:gridCol w:w="2811"/>
      </w:tblGrid>
      <w:tr w:rsidR="008F5FBD" w14:paraId="32B60AFD" w14:textId="77777777" w:rsidTr="00655F3E">
        <w:trPr>
          <w:cnfStyle w:val="100000000000" w:firstRow="1" w:lastRow="0" w:firstColumn="0" w:lastColumn="0" w:oddVBand="0" w:evenVBand="0" w:oddHBand="0" w:evenHBand="0" w:firstRowFirstColumn="0" w:firstRowLastColumn="0" w:lastRowFirstColumn="0" w:lastRowLastColumn="0"/>
        </w:trPr>
        <w:tc>
          <w:tcPr>
            <w:tcW w:w="7655" w:type="dxa"/>
            <w:tcMar>
              <w:top w:w="0" w:type="dxa"/>
            </w:tcMar>
          </w:tcPr>
          <w:p w14:paraId="1601B3EC" w14:textId="44BFA4CC" w:rsidR="008F5FBD" w:rsidRPr="008F5FBD" w:rsidRDefault="008F5FBD" w:rsidP="008F5FBD">
            <w:pPr>
              <w:tabs>
                <w:tab w:val="left" w:pos="1591"/>
              </w:tabs>
              <w:ind w:right="432"/>
              <w:rPr>
                <w:rFonts w:eastAsia="Verdana"/>
              </w:rPr>
            </w:pPr>
            <w:r>
              <w:rPr>
                <w:rFonts w:eastAsia="Verdana"/>
              </w:rPr>
              <w:t xml:space="preserve">The </w:t>
            </w:r>
            <w:r w:rsidRPr="004B12C3">
              <w:rPr>
                <w:rFonts w:eastAsia="Verdana"/>
              </w:rPr>
              <w:t xml:space="preserve">private </w:t>
            </w:r>
            <w:r>
              <w:rPr>
                <w:rFonts w:eastAsia="Verdana"/>
              </w:rPr>
              <w:t>patient neutrality</w:t>
            </w:r>
            <w:r w:rsidRPr="004B12C3">
              <w:rPr>
                <w:rFonts w:eastAsia="Verdana"/>
              </w:rPr>
              <w:t xml:space="preserve"> adjustment </w:t>
            </w:r>
            <w:r>
              <w:rPr>
                <w:rFonts w:eastAsia="Verdana"/>
              </w:rPr>
              <w:t>has</w:t>
            </w:r>
            <w:r w:rsidRPr="007F379A">
              <w:rPr>
                <w:rFonts w:eastAsia="Verdana"/>
              </w:rPr>
              <w:t xml:space="preserve"> applied since 1 July 2021</w:t>
            </w:r>
            <w:r>
              <w:rPr>
                <w:rFonts w:eastAsia="Verdana"/>
              </w:rPr>
              <w:t xml:space="preserve"> however the </w:t>
            </w:r>
            <w:r w:rsidRPr="007F379A">
              <w:rPr>
                <w:rFonts w:eastAsia="Verdana"/>
              </w:rPr>
              <w:t>clauses have proved difficult to implement</w:t>
            </w:r>
            <w:r>
              <w:rPr>
                <w:rFonts w:eastAsia="Verdana"/>
              </w:rPr>
              <w:t xml:space="preserve"> in the funding model</w:t>
            </w:r>
            <w:r w:rsidRPr="007F379A">
              <w:rPr>
                <w:rFonts w:eastAsia="Verdana"/>
              </w:rPr>
              <w:t xml:space="preserve"> and added significantly to t</w:t>
            </w:r>
            <w:r>
              <w:rPr>
                <w:rFonts w:eastAsia="Verdana"/>
              </w:rPr>
              <w:t xml:space="preserve">he overall </w:t>
            </w:r>
            <w:r w:rsidRPr="007F379A">
              <w:rPr>
                <w:rFonts w:eastAsia="Verdana"/>
              </w:rPr>
              <w:t>complexity</w:t>
            </w:r>
            <w:r>
              <w:rPr>
                <w:rFonts w:eastAsia="Verdana"/>
              </w:rPr>
              <w:t xml:space="preserve"> of the model.</w:t>
            </w:r>
            <w:r w:rsidRPr="007F379A">
              <w:rPr>
                <w:rFonts w:eastAsia="Verdana"/>
              </w:rPr>
              <w:t xml:space="preserve"> </w:t>
            </w:r>
            <w:r>
              <w:rPr>
                <w:rFonts w:eastAsia="Verdana"/>
              </w:rPr>
              <w:t xml:space="preserve">Further review and consideration is </w:t>
            </w:r>
            <w:r w:rsidRPr="003B1287">
              <w:rPr>
                <w:rFonts w:eastAsia="Verdana"/>
              </w:rPr>
              <w:t>require</w:t>
            </w:r>
            <w:r>
              <w:rPr>
                <w:rFonts w:eastAsia="Verdana"/>
              </w:rPr>
              <w:t>d on the</w:t>
            </w:r>
            <w:r w:rsidRPr="003B1287">
              <w:rPr>
                <w:rFonts w:eastAsia="Verdana"/>
              </w:rPr>
              <w:t xml:space="preserve"> implementation</w:t>
            </w:r>
            <w:r>
              <w:rPr>
                <w:rFonts w:eastAsia="Verdana"/>
              </w:rPr>
              <w:t xml:space="preserve"> and methodology</w:t>
            </w:r>
            <w:r w:rsidRPr="003B1287">
              <w:rPr>
                <w:rFonts w:eastAsia="Verdana"/>
              </w:rPr>
              <w:t xml:space="preserve"> of </w:t>
            </w:r>
            <w:r>
              <w:rPr>
                <w:rFonts w:eastAsia="Verdana"/>
              </w:rPr>
              <w:t>PPN</w:t>
            </w:r>
            <w:r w:rsidRPr="003B1287">
              <w:rPr>
                <w:rFonts w:eastAsia="Verdana"/>
              </w:rPr>
              <w:t xml:space="preserve">, particularly </w:t>
            </w:r>
            <w:r>
              <w:rPr>
                <w:rFonts w:eastAsia="Verdana"/>
              </w:rPr>
              <w:t>related to the calculation of growth funding, whether the clause and operation achieves the desired policy intent of Parties, and ensuring the methodology for adjusting payments does not unfairly penalise the public system. This may mean the methodology for PPN requires simplification. Several options were raised in consultation that could be considered in a review:</w:t>
            </w:r>
          </w:p>
        </w:tc>
        <w:tc>
          <w:tcPr>
            <w:tcW w:w="2811" w:type="dxa"/>
            <w:tcMar>
              <w:top w:w="0" w:type="dxa"/>
            </w:tcMar>
            <w:vAlign w:val="center"/>
          </w:tcPr>
          <w:p w14:paraId="5A601297" w14:textId="2EB32A9B" w:rsidR="008F5FBD" w:rsidRPr="0008071D" w:rsidRDefault="008F5FBD" w:rsidP="008F5FBD">
            <w:pPr>
              <w:pStyle w:val="Pullout-QuoteGreen"/>
              <w:spacing w:after="120" w:line="216" w:lineRule="auto"/>
              <w:ind w:left="0"/>
              <w:rPr>
                <w:color w:val="007680"/>
              </w:rPr>
            </w:pPr>
            <w:r>
              <w:rPr>
                <w:color w:val="007680"/>
              </w:rPr>
              <w:t>“Pricing adjustments (for private patient neutrality) only being applied as a penalty rather than as a result of collaboration.”</w:t>
            </w:r>
          </w:p>
        </w:tc>
      </w:tr>
    </w:tbl>
    <w:p w14:paraId="52AC7A87" w14:textId="77777777" w:rsidR="009C77D1" w:rsidRDefault="009C77D1">
      <w:pPr>
        <w:pStyle w:val="ListParagraph"/>
        <w:numPr>
          <w:ilvl w:val="0"/>
          <w:numId w:val="76"/>
        </w:numPr>
        <w:ind w:left="714" w:hanging="357"/>
        <w:contextualSpacing w:val="0"/>
      </w:pPr>
      <w:r>
        <w:t xml:space="preserve">Utilise the private hospital NHCDC datasets as the basis for price and cost weights (assuming utilisation of actual cost of service delivery which is comparable to the public system). This aims to test there are no positive or negative impacts, as the basis of pricing is on the private cohort of data rather than the public calculation. </w:t>
      </w:r>
    </w:p>
    <w:p w14:paraId="3DE5678F" w14:textId="77777777" w:rsidR="009C77D1" w:rsidRDefault="009C77D1">
      <w:pPr>
        <w:pStyle w:val="ListParagraph"/>
        <w:numPr>
          <w:ilvl w:val="0"/>
          <w:numId w:val="76"/>
        </w:numPr>
        <w:ind w:left="714" w:hanging="357"/>
        <w:contextualSpacing w:val="0"/>
      </w:pPr>
      <w:r>
        <w:t>Deem private patients out-of-scope for Commonwealth NHRA funding, with Commonwealth funding for private patients provided through the MBS program and underwriting private health insurance through the PHI rebate. This would have no impact on patient choice or doctor’s rights to exercise rights of private practice.</w:t>
      </w:r>
    </w:p>
    <w:tbl>
      <w:tblPr>
        <w:tblStyle w:val="TableGrid"/>
        <w:tblW w:w="10490" w:type="dxa"/>
        <w:shd w:val="clear" w:color="auto" w:fill="F2F2F2"/>
        <w:tblLook w:val="04A0" w:firstRow="1" w:lastRow="0" w:firstColumn="1" w:lastColumn="0" w:noHBand="0" w:noVBand="1"/>
      </w:tblPr>
      <w:tblGrid>
        <w:gridCol w:w="10490"/>
      </w:tblGrid>
      <w:tr w:rsidR="009C77D1" w14:paraId="58FEE755" w14:textId="77777777" w:rsidTr="00C2225F">
        <w:trPr>
          <w:cnfStyle w:val="100000000000" w:firstRow="1" w:lastRow="0" w:firstColumn="0" w:lastColumn="0" w:oddVBand="0" w:evenVBand="0" w:oddHBand="0" w:evenHBand="0" w:firstRowFirstColumn="0" w:firstRowLastColumn="0" w:lastRowFirstColumn="0" w:lastRowLastColumn="0"/>
        </w:trPr>
        <w:tc>
          <w:tcPr>
            <w:tcW w:w="10490" w:type="dxa"/>
            <w:shd w:val="clear" w:color="auto" w:fill="F2F2F2"/>
            <w:hideMark/>
          </w:tcPr>
          <w:p w14:paraId="24C29C9D" w14:textId="5D13C274" w:rsidR="009C77D1" w:rsidRDefault="00DE5344" w:rsidP="00C2225F">
            <w:pPr>
              <w:spacing w:before="120"/>
              <w:ind w:left="142"/>
              <w:rPr>
                <w:rFonts w:eastAsia="Verdana"/>
                <w:lang w:val="en-GB"/>
              </w:rPr>
            </w:pPr>
            <w:r w:rsidRPr="000B485E">
              <w:rPr>
                <w:noProof/>
                <w:color w:val="00707E" w:themeColor="accent5" w:themeShade="BF"/>
                <w:lang w:val="en-GB"/>
              </w:rPr>
              <w:drawing>
                <wp:inline distT="0" distB="0" distL="0" distR="0" wp14:anchorId="5A17B11C" wp14:editId="59F25843">
                  <wp:extent cx="269875" cy="269875"/>
                  <wp:effectExtent l="0" t="0" r="0" b="0"/>
                  <wp:docPr id="3" name="Graphic 3" descr="P1758C1T86#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Graphic 3" descr="P1758C1T86#yIS1">
                            <a:extLst>
                              <a:ext uri="{C183D7F6-B498-43B3-948B-1728B52AA6E4}">
                                <adec:decorative xmlns:adec="http://schemas.microsoft.com/office/drawing/2017/decorative" val="1"/>
                              </a:ext>
                            </a:extLst>
                          </pic:cNvPr>
                          <pic:cNvPicPr>
                            <a:picLocks noChangeAspect="1"/>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269875" cy="269875"/>
                          </a:xfrm>
                          <a:prstGeom prst="rect">
                            <a:avLst/>
                          </a:prstGeom>
                        </pic:spPr>
                      </pic:pic>
                    </a:graphicData>
                  </a:graphic>
                </wp:inline>
              </w:drawing>
            </w:r>
            <w:r w:rsidR="009C77D1" w:rsidRPr="000B485E">
              <w:rPr>
                <w:rFonts w:eastAsia="Verdana"/>
                <w:b/>
                <w:bCs/>
                <w:color w:val="00707E" w:themeColor="accent5" w:themeShade="BF"/>
                <w:lang w:val="en-GB"/>
              </w:rPr>
              <w:t>Recommendation</w:t>
            </w:r>
            <w:r w:rsidR="009C77D1" w:rsidRPr="000B485E">
              <w:rPr>
                <w:rFonts w:eastAsia="Verdana"/>
                <w:b/>
                <w:bCs/>
                <w:noProof/>
                <w:color w:val="00707E" w:themeColor="accent5" w:themeShade="BF"/>
                <w:lang w:val="en-GB"/>
              </w:rPr>
              <w:t xml:space="preserve"> </w:t>
            </w:r>
            <w:r w:rsidR="00BA297F">
              <w:rPr>
                <w:rFonts w:eastAsia="Verdana"/>
                <w:b/>
                <w:bCs/>
                <w:noProof/>
                <w:color w:val="00707E" w:themeColor="accent5" w:themeShade="BF"/>
                <w:lang w:val="en-GB"/>
              </w:rPr>
              <w:t>2</w:t>
            </w:r>
            <w:r w:rsidR="009931A6">
              <w:rPr>
                <w:rFonts w:eastAsia="Verdana"/>
                <w:b/>
                <w:bCs/>
                <w:noProof/>
                <w:color w:val="00707E" w:themeColor="accent5" w:themeShade="BF"/>
                <w:lang w:val="en-GB"/>
              </w:rPr>
              <w:t>1</w:t>
            </w:r>
            <w:r w:rsidR="009C77D1" w:rsidRPr="000B485E">
              <w:rPr>
                <w:rFonts w:eastAsia="Verdana"/>
                <w:b/>
                <w:bCs/>
                <w:color w:val="00707E" w:themeColor="accent5" w:themeShade="BF"/>
                <w:lang w:val="en-GB"/>
              </w:rPr>
              <w:t xml:space="preserve">: </w:t>
            </w:r>
            <w:r w:rsidR="009C77D1">
              <w:rPr>
                <w:rFonts w:eastAsia="Verdana"/>
                <w:lang w:val="en-GB"/>
              </w:rPr>
              <w:t xml:space="preserve">A review should be undertaken by IHACPA, in consultation with jurisdictions and the NHFB, regarding the requirements and implementation of the </w:t>
            </w:r>
            <w:r w:rsidR="009C77D1">
              <w:rPr>
                <w:rFonts w:eastAsia="Verdana"/>
                <w:b/>
                <w:bCs/>
                <w:lang w:val="en-GB"/>
              </w:rPr>
              <w:t>arrangements for determining funding neutrality for private patients in public hospitals</w:t>
            </w:r>
            <w:r w:rsidR="009C77D1">
              <w:rPr>
                <w:rFonts w:eastAsia="Verdana"/>
                <w:lang w:val="en-GB"/>
              </w:rPr>
              <w:t xml:space="preserve">, particularly in the calculation of growth funding, to determine whether the policy intent of the parties is being achieved, and what if any adjustments are required. </w:t>
            </w:r>
          </w:p>
        </w:tc>
      </w:tr>
    </w:tbl>
    <w:p w14:paraId="455ADE36" w14:textId="77777777" w:rsidR="00655F3E" w:rsidRDefault="00655F3E" w:rsidP="00655F3E"/>
    <w:p w14:paraId="2DE9CD87" w14:textId="456B6DAA" w:rsidR="009C77D1" w:rsidRPr="00CC3B4F" w:rsidRDefault="009C77D1" w:rsidP="00655F3E">
      <w:pPr>
        <w:pStyle w:val="Heading3"/>
        <w:keepLines w:val="0"/>
      </w:pPr>
      <w:r w:rsidRPr="00CC3B4F">
        <w:t xml:space="preserve">Commonwealth funding share and growth cap  </w:t>
      </w:r>
    </w:p>
    <w:p w14:paraId="7D7E8663" w14:textId="1EFADD1B" w:rsidR="009C77D1" w:rsidRPr="00CC3B4F" w:rsidRDefault="009C77D1" w:rsidP="007745A8">
      <w:pPr>
        <w:pStyle w:val="Heading4"/>
      </w:pPr>
      <w:bookmarkStart w:id="269" w:name="_Ref148442235"/>
      <w:r w:rsidRPr="00CC3B4F">
        <w:t xml:space="preserve">Accelerate </w:t>
      </w:r>
      <w:r w:rsidR="001327DB">
        <w:t xml:space="preserve">the </w:t>
      </w:r>
      <w:r w:rsidRPr="00CC3B4F">
        <w:t>Commonwealth contribution</w:t>
      </w:r>
      <w:bookmarkEnd w:id="269"/>
      <w:r w:rsidRPr="00CC3B4F">
        <w:t xml:space="preserve"> </w:t>
      </w:r>
    </w:p>
    <w:p w14:paraId="79F675B4" w14:textId="77777777" w:rsidR="009C77D1" w:rsidRDefault="009C77D1" w:rsidP="009C77D1">
      <w:pPr>
        <w:tabs>
          <w:tab w:val="left" w:pos="1591"/>
        </w:tabs>
        <w:rPr>
          <w:rFonts w:eastAsia="Verdana"/>
        </w:rPr>
      </w:pPr>
      <w:r>
        <w:rPr>
          <w:rFonts w:eastAsia="Verdana"/>
        </w:rPr>
        <w:t>An explicit objective of the NHRA (Clause 7k) is to ‘…ensure the sustainability of funding for public hospitals by increasing the Commonwealth’s share of public hospital funding through a 45 per cent contribution to the costs of growth, subject to the operation of the National Funding Cap’. In the Agreement, this commitment is met through the ‘base plus growth’ funding model which took effect from 2014-15, with the addition of the National Funding Cap from 2017-18.</w:t>
      </w:r>
    </w:p>
    <w:p w14:paraId="506C88B4" w14:textId="0077F494" w:rsidR="00F13CC7" w:rsidRDefault="00AF63EE" w:rsidP="009C77D1">
      <w:pPr>
        <w:tabs>
          <w:tab w:val="left" w:pos="1591"/>
        </w:tabs>
        <w:rPr>
          <w:rFonts w:eastAsia="Verdana"/>
        </w:rPr>
      </w:pPr>
      <w:r>
        <w:rPr>
          <w:rFonts w:eastAsia="Verdana"/>
          <w:noProof/>
        </w:rPr>
        <w:drawing>
          <wp:inline distT="0" distB="0" distL="0" distR="0" wp14:anchorId="6B36F189" wp14:editId="0E47DBF7">
            <wp:extent cx="6647677" cy="3131559"/>
            <wp:effectExtent l="0" t="0" r="1270" b="0"/>
            <wp:docPr id="481345125" name="Chart 481345125" descr="P1764#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AEDEA8E" w14:textId="37EEFAF5" w:rsidR="00AF63EE" w:rsidRDefault="00AF63EE" w:rsidP="00C2024B">
      <w:pPr>
        <w:pStyle w:val="Caption"/>
        <w:rPr>
          <w:noProof/>
          <w:sz w:val="20"/>
          <w:szCs w:val="20"/>
        </w:rPr>
      </w:pPr>
      <w:bookmarkStart w:id="270" w:name="_Ref146708991"/>
      <w:bookmarkStart w:id="271" w:name="_Toc148968412"/>
      <w:r>
        <w:t xml:space="preserve">Figure </w:t>
      </w:r>
      <w:r>
        <w:fldChar w:fldCharType="begin"/>
      </w:r>
      <w:r>
        <w:instrText xml:space="preserve"> SEQ Figure \* ARABIC </w:instrText>
      </w:r>
      <w:r>
        <w:fldChar w:fldCharType="separate"/>
      </w:r>
      <w:r w:rsidR="003F5D51">
        <w:rPr>
          <w:noProof/>
        </w:rPr>
        <w:t>34</w:t>
      </w:r>
      <w:r>
        <w:rPr>
          <w:noProof/>
        </w:rPr>
        <w:fldChar w:fldCharType="end"/>
      </w:r>
      <w:bookmarkEnd w:id="270"/>
      <w:r>
        <w:t>: Change in the Commonwealth Contribution Rate from 2013-14 to 2022-23</w:t>
      </w:r>
      <w:bookmarkEnd w:id="271"/>
    </w:p>
    <w:p w14:paraId="0F0BFF44" w14:textId="77777777" w:rsidR="00655F3E" w:rsidRDefault="00655F3E" w:rsidP="00655F3E">
      <w:r>
        <w:t>Three elements of the operation of the funding model warrant consideration:</w:t>
      </w:r>
    </w:p>
    <w:p w14:paraId="67FAFC8D" w14:textId="287155DE" w:rsidR="009C77D1" w:rsidRPr="00655F3E" w:rsidRDefault="009C77D1">
      <w:pPr>
        <w:pStyle w:val="ListParagraph"/>
        <w:numPr>
          <w:ilvl w:val="0"/>
          <w:numId w:val="77"/>
        </w:numPr>
        <w:tabs>
          <w:tab w:val="left" w:pos="1591"/>
        </w:tabs>
        <w:contextualSpacing w:val="0"/>
        <w:rPr>
          <w:rFonts w:eastAsia="Verdana"/>
          <w:color w:val="000000" w:themeColor="text1"/>
        </w:rPr>
      </w:pPr>
      <w:r w:rsidRPr="00021500">
        <w:rPr>
          <w:rFonts w:eastAsia="Verdana"/>
          <w:b/>
          <w:bCs/>
        </w:rPr>
        <w:t>45% Commonwealth contribution:</w:t>
      </w:r>
      <w:r>
        <w:rPr>
          <w:rFonts w:eastAsia="Verdana"/>
        </w:rPr>
        <w:t xml:space="preserve"> in consultation there was a degree of misunderstanding about the Commonwealth commitment to 45% share of public hospital funding. Although the formula to effect the Commonwealth share was always a base plus growth model, there is a widespread view that the Commonwealth is funding 45% of the cost of public hospitals (or aspires to). As can be seen </w:t>
      </w:r>
      <w:r w:rsidRPr="00655F3E">
        <w:rPr>
          <w:rFonts w:eastAsia="Verdana"/>
          <w:color w:val="000000" w:themeColor="text1"/>
        </w:rPr>
        <w:t xml:space="preserve">from </w:t>
      </w:r>
      <w:r w:rsidR="0048280C" w:rsidRPr="00B25012">
        <w:rPr>
          <w:rFonts w:eastAsia="Verdana"/>
          <w:color w:val="000000" w:themeColor="text1"/>
        </w:rPr>
        <w:fldChar w:fldCharType="begin" w:fldLock="1"/>
      </w:r>
      <w:r w:rsidR="0048280C" w:rsidRPr="00B25012">
        <w:rPr>
          <w:rFonts w:eastAsia="Verdana"/>
          <w:color w:val="000000" w:themeColor="text1"/>
        </w:rPr>
        <w:instrText xml:space="preserve"> REF _Ref146708991 \h </w:instrText>
      </w:r>
      <w:r w:rsidR="0048280C" w:rsidRPr="00B25012">
        <w:rPr>
          <w:rFonts w:eastAsia="Verdana"/>
          <w:color w:val="000000" w:themeColor="text1"/>
        </w:rPr>
      </w:r>
      <w:r w:rsidR="0048280C" w:rsidRPr="00B25012">
        <w:rPr>
          <w:rFonts w:eastAsia="Verdana"/>
          <w:color w:val="000000" w:themeColor="text1"/>
        </w:rPr>
        <w:fldChar w:fldCharType="separate"/>
      </w:r>
      <w:r w:rsidR="00FA10A4">
        <w:t xml:space="preserve">Figure </w:t>
      </w:r>
      <w:r w:rsidR="00FA10A4">
        <w:rPr>
          <w:noProof/>
        </w:rPr>
        <w:t>34</w:t>
      </w:r>
      <w:r w:rsidR="0048280C" w:rsidRPr="00B25012">
        <w:rPr>
          <w:rFonts w:eastAsia="Verdana"/>
          <w:color w:val="000000" w:themeColor="text1"/>
        </w:rPr>
        <w:fldChar w:fldCharType="end"/>
      </w:r>
      <w:r w:rsidR="0048280C" w:rsidRPr="00B25012">
        <w:rPr>
          <w:rFonts w:eastAsia="Verdana"/>
          <w:color w:val="000000" w:themeColor="text1"/>
        </w:rPr>
        <w:t xml:space="preserve"> </w:t>
      </w:r>
      <w:r w:rsidRPr="00655F3E">
        <w:rPr>
          <w:rFonts w:eastAsia="Verdana"/>
          <w:color w:val="000000" w:themeColor="text1"/>
        </w:rPr>
        <w:t>this is not the case. While there has been an increase in the Commonwealth share over time (from a national average 33.</w:t>
      </w:r>
      <w:r w:rsidR="00D1227C" w:rsidRPr="00655F3E">
        <w:rPr>
          <w:rFonts w:eastAsia="Verdana"/>
          <w:color w:val="000000" w:themeColor="text1"/>
        </w:rPr>
        <w:t>7</w:t>
      </w:r>
      <w:r w:rsidRPr="00655F3E">
        <w:rPr>
          <w:rFonts w:eastAsia="Verdana"/>
          <w:color w:val="000000" w:themeColor="text1"/>
        </w:rPr>
        <w:t xml:space="preserve">% to 40.3% over the life of the Agreement) many stakeholders argue that this is too slow. Further, the operation of the national funding cap </w:t>
      </w:r>
      <w:r w:rsidR="001327DB" w:rsidRPr="00655F3E">
        <w:rPr>
          <w:rFonts w:eastAsia="Verdana"/>
          <w:color w:val="000000" w:themeColor="text1"/>
        </w:rPr>
        <w:t>constrains</w:t>
      </w:r>
      <w:r w:rsidRPr="00655F3E">
        <w:rPr>
          <w:rFonts w:eastAsia="Verdana"/>
          <w:color w:val="000000" w:themeColor="text1"/>
        </w:rPr>
        <w:t xml:space="preserve"> the pace at which the Commonwealth share will increase in future years as it constrains the level of activity to which it contributes. Evidence presented to the Review suggested that the </w:t>
      </w:r>
      <w:r w:rsidR="001327DB" w:rsidRPr="00655F3E">
        <w:rPr>
          <w:rFonts w:eastAsia="Verdana"/>
          <w:color w:val="000000" w:themeColor="text1"/>
        </w:rPr>
        <w:t>Commonwealth share</w:t>
      </w:r>
      <w:r w:rsidRPr="00655F3E">
        <w:rPr>
          <w:rFonts w:eastAsia="Verdana"/>
          <w:color w:val="000000" w:themeColor="text1"/>
        </w:rPr>
        <w:t xml:space="preserve"> </w:t>
      </w:r>
      <w:r w:rsidR="00A7575E">
        <w:rPr>
          <w:rFonts w:eastAsia="Verdana"/>
          <w:color w:val="000000" w:themeColor="text1"/>
        </w:rPr>
        <w:t>may</w:t>
      </w:r>
      <w:r w:rsidRPr="00655F3E">
        <w:rPr>
          <w:rFonts w:eastAsia="Verdana"/>
          <w:color w:val="000000" w:themeColor="text1"/>
        </w:rPr>
        <w:t xml:space="preserve"> decrease</w:t>
      </w:r>
      <w:r w:rsidR="00A7575E">
        <w:rPr>
          <w:rFonts w:eastAsia="Verdana"/>
          <w:color w:val="000000" w:themeColor="text1"/>
        </w:rPr>
        <w:t xml:space="preserve"> or at best flatten</w:t>
      </w:r>
      <w:r w:rsidRPr="00655F3E">
        <w:rPr>
          <w:rFonts w:eastAsia="Verdana"/>
          <w:color w:val="000000" w:themeColor="text1"/>
        </w:rPr>
        <w:t xml:space="preserve"> in the</w:t>
      </w:r>
      <w:r w:rsidR="00B83CAD">
        <w:rPr>
          <w:rFonts w:eastAsia="Verdana"/>
          <w:color w:val="000000" w:themeColor="text1"/>
        </w:rPr>
        <w:t xml:space="preserve"> </w:t>
      </w:r>
      <w:r w:rsidR="00B83CAD">
        <w:rPr>
          <w:rFonts w:eastAsia="Verdana"/>
          <w:color w:val="000000" w:themeColor="text1"/>
        </w:rPr>
        <w:br/>
        <w:t>post-COVID-19</w:t>
      </w:r>
      <w:r w:rsidRPr="00655F3E">
        <w:rPr>
          <w:rFonts w:eastAsia="Verdana"/>
          <w:color w:val="000000" w:themeColor="text1"/>
        </w:rPr>
        <w:t xml:space="preserve"> period as a consequence of the operation of the cap</w:t>
      </w:r>
      <w:r w:rsidR="00EC6789" w:rsidRPr="00655F3E">
        <w:rPr>
          <w:rFonts w:eastAsia="Verdana"/>
          <w:color w:val="000000" w:themeColor="text1"/>
        </w:rPr>
        <w:t xml:space="preserve"> and effect of COVID-19 activity levels</w:t>
      </w:r>
      <w:r w:rsidRPr="00655F3E">
        <w:rPr>
          <w:rFonts w:eastAsia="Verdana"/>
          <w:color w:val="000000" w:themeColor="text1"/>
        </w:rPr>
        <w:t>.</w:t>
      </w:r>
    </w:p>
    <w:p w14:paraId="22B7A509" w14:textId="482A0D80" w:rsidR="009C77D1" w:rsidRDefault="002B47A3">
      <w:pPr>
        <w:pStyle w:val="ListParagraph"/>
        <w:numPr>
          <w:ilvl w:val="0"/>
          <w:numId w:val="77"/>
        </w:numPr>
        <w:tabs>
          <w:tab w:val="left" w:pos="1591"/>
        </w:tabs>
        <w:contextualSpacing w:val="0"/>
        <w:rPr>
          <w:rFonts w:eastAsia="Verdana"/>
        </w:rPr>
      </w:pPr>
      <w:r>
        <w:rPr>
          <w:rFonts w:eastAsia="Verdana"/>
          <w:b/>
          <w:bCs/>
          <w:color w:val="000000" w:themeColor="text1"/>
        </w:rPr>
        <w:t>Variability</w:t>
      </w:r>
      <w:r w:rsidRPr="00655F3E">
        <w:rPr>
          <w:rFonts w:eastAsia="Verdana"/>
          <w:b/>
          <w:bCs/>
          <w:color w:val="000000" w:themeColor="text1"/>
        </w:rPr>
        <w:t xml:space="preserve"> </w:t>
      </w:r>
      <w:r w:rsidR="009C77D1" w:rsidRPr="00655F3E">
        <w:rPr>
          <w:rFonts w:eastAsia="Verdana"/>
          <w:b/>
          <w:bCs/>
          <w:color w:val="000000" w:themeColor="text1"/>
        </w:rPr>
        <w:t>between States</w:t>
      </w:r>
      <w:r w:rsidR="00021500" w:rsidRPr="00655F3E">
        <w:rPr>
          <w:rFonts w:eastAsia="Verdana"/>
          <w:b/>
          <w:bCs/>
          <w:color w:val="000000" w:themeColor="text1"/>
        </w:rPr>
        <w:t xml:space="preserve"> and Territories</w:t>
      </w:r>
      <w:r w:rsidR="009C77D1" w:rsidRPr="00655F3E">
        <w:rPr>
          <w:rFonts w:eastAsia="Verdana"/>
          <w:b/>
          <w:bCs/>
          <w:color w:val="000000" w:themeColor="text1"/>
        </w:rPr>
        <w:t>:</w:t>
      </w:r>
      <w:r w:rsidR="009C77D1" w:rsidRPr="00655F3E">
        <w:rPr>
          <w:rFonts w:eastAsia="Verdana"/>
          <w:color w:val="000000" w:themeColor="text1"/>
        </w:rPr>
        <w:t xml:space="preserve"> for historical reasons there are significant differences between States and Territories in the extent of the Commonwealth share of public hospital funding. The whisker plots at </w:t>
      </w:r>
      <w:r w:rsidR="006B2A35" w:rsidRPr="00655F3E">
        <w:rPr>
          <w:rFonts w:eastAsia="Verdana"/>
          <w:color w:val="000000" w:themeColor="text1"/>
        </w:rPr>
        <w:fldChar w:fldCharType="begin" w:fldLock="1"/>
      </w:r>
      <w:r w:rsidR="006B2A35" w:rsidRPr="00655F3E">
        <w:rPr>
          <w:rFonts w:eastAsia="Verdana"/>
          <w:color w:val="000000" w:themeColor="text1"/>
        </w:rPr>
        <w:instrText xml:space="preserve"> REF _Ref146708991 \h </w:instrText>
      </w:r>
      <w:r w:rsidR="006B2A35" w:rsidRPr="00655F3E">
        <w:rPr>
          <w:rFonts w:eastAsia="Verdana"/>
          <w:color w:val="000000" w:themeColor="text1"/>
        </w:rPr>
      </w:r>
      <w:r w:rsidR="006B2A35" w:rsidRPr="00655F3E">
        <w:rPr>
          <w:rFonts w:eastAsia="Verdana"/>
          <w:color w:val="000000" w:themeColor="text1"/>
        </w:rPr>
        <w:fldChar w:fldCharType="separate"/>
      </w:r>
      <w:r w:rsidR="00FA10A4">
        <w:t xml:space="preserve">Figure </w:t>
      </w:r>
      <w:r w:rsidR="00FA10A4">
        <w:rPr>
          <w:noProof/>
        </w:rPr>
        <w:t>34</w:t>
      </w:r>
      <w:r w:rsidR="006B2A35" w:rsidRPr="00655F3E">
        <w:rPr>
          <w:rFonts w:eastAsia="Verdana"/>
          <w:color w:val="000000" w:themeColor="text1"/>
        </w:rPr>
        <w:fldChar w:fldCharType="end"/>
      </w:r>
      <w:r w:rsidR="006B2A35" w:rsidRPr="00655F3E">
        <w:rPr>
          <w:rFonts w:eastAsia="Verdana"/>
          <w:color w:val="000000" w:themeColor="text1"/>
        </w:rPr>
        <w:t xml:space="preserve"> </w:t>
      </w:r>
      <w:r w:rsidR="009C77D1" w:rsidRPr="00655F3E">
        <w:rPr>
          <w:rFonts w:eastAsia="Verdana"/>
          <w:color w:val="000000" w:themeColor="text1"/>
        </w:rPr>
        <w:t>show the variability between the lowest and highest jurisdiction in terms of Commonwealth share – in 2022</w:t>
      </w:r>
      <w:r w:rsidR="00C87ACF" w:rsidRPr="00655F3E">
        <w:rPr>
          <w:rFonts w:eastAsia="Verdana"/>
          <w:color w:val="000000" w:themeColor="text1"/>
        </w:rPr>
        <w:t>-</w:t>
      </w:r>
      <w:r w:rsidR="009C77D1" w:rsidRPr="00655F3E">
        <w:rPr>
          <w:rFonts w:eastAsia="Verdana"/>
          <w:color w:val="000000" w:themeColor="text1"/>
        </w:rPr>
        <w:t xml:space="preserve">23 </w:t>
      </w:r>
      <w:r w:rsidR="0009119A" w:rsidRPr="00655F3E">
        <w:rPr>
          <w:rFonts w:eastAsia="Verdana"/>
          <w:color w:val="000000" w:themeColor="text1"/>
        </w:rPr>
        <w:t xml:space="preserve">there was </w:t>
      </w:r>
      <w:r w:rsidR="009C77D1" w:rsidRPr="00655F3E">
        <w:rPr>
          <w:rFonts w:eastAsia="Verdana"/>
          <w:color w:val="000000" w:themeColor="text1"/>
        </w:rPr>
        <w:t xml:space="preserve">a range of </w:t>
      </w:r>
      <w:r w:rsidR="00482F2A" w:rsidRPr="00655F3E">
        <w:rPr>
          <w:rFonts w:eastAsia="Verdana"/>
          <w:color w:val="000000" w:themeColor="text1"/>
        </w:rPr>
        <w:t>32.9</w:t>
      </w:r>
      <w:r w:rsidR="009C77D1" w:rsidRPr="00655F3E">
        <w:rPr>
          <w:rFonts w:eastAsia="Verdana"/>
          <w:color w:val="000000" w:themeColor="text1"/>
        </w:rPr>
        <w:t xml:space="preserve">% to </w:t>
      </w:r>
      <w:r w:rsidR="00482F2A" w:rsidRPr="00655F3E">
        <w:rPr>
          <w:rFonts w:eastAsia="Verdana"/>
          <w:color w:val="000000" w:themeColor="text1"/>
        </w:rPr>
        <w:t>41.9</w:t>
      </w:r>
      <w:r w:rsidR="009C77D1" w:rsidRPr="00655F3E">
        <w:rPr>
          <w:rFonts w:eastAsia="Verdana"/>
          <w:color w:val="000000" w:themeColor="text1"/>
        </w:rPr>
        <w:t xml:space="preserve">%. While there has been a narrowing of this difference over the course of the Agreement (an </w:t>
      </w:r>
      <w:r w:rsidR="009C77D1" w:rsidRPr="00C87ACF">
        <w:rPr>
          <w:rFonts w:eastAsia="Verdana"/>
        </w:rPr>
        <w:t xml:space="preserve">initial </w:t>
      </w:r>
      <w:r w:rsidR="001E1778">
        <w:rPr>
          <w:rFonts w:eastAsia="Verdana"/>
        </w:rPr>
        <w:t xml:space="preserve">range of </w:t>
      </w:r>
      <w:r w:rsidR="00BA6148">
        <w:rPr>
          <w:rFonts w:eastAsia="Verdana"/>
        </w:rPr>
        <w:t xml:space="preserve">nearly </w:t>
      </w:r>
      <w:r w:rsidR="00140644">
        <w:rPr>
          <w:rFonts w:eastAsia="Verdana"/>
        </w:rPr>
        <w:t>20 percentage</w:t>
      </w:r>
      <w:r w:rsidR="001E1778">
        <w:rPr>
          <w:rFonts w:eastAsia="Verdana"/>
        </w:rPr>
        <w:t xml:space="preserve"> points between the lowest and highest </w:t>
      </w:r>
      <w:r w:rsidR="00921BB7">
        <w:rPr>
          <w:rFonts w:eastAsia="Verdana"/>
        </w:rPr>
        <w:t>Commonwealth share</w:t>
      </w:r>
      <w:r w:rsidR="001E1778">
        <w:rPr>
          <w:rFonts w:eastAsia="Verdana"/>
        </w:rPr>
        <w:t xml:space="preserve"> compared to nine percentage points now</w:t>
      </w:r>
      <w:r w:rsidR="00330BB2" w:rsidRPr="00C87ACF">
        <w:rPr>
          <w:rFonts w:eastAsia="Verdana"/>
        </w:rPr>
        <w:t>)</w:t>
      </w:r>
      <w:r w:rsidR="009C77D1" w:rsidRPr="00C87ACF">
        <w:rPr>
          <w:rFonts w:eastAsia="Verdana"/>
        </w:rPr>
        <w:t>, the gap remains significant resulting in additional financial pressure on those States and Territories</w:t>
      </w:r>
      <w:r w:rsidR="009C77D1">
        <w:rPr>
          <w:rFonts w:eastAsia="Verdana"/>
        </w:rPr>
        <w:t xml:space="preserve"> </w:t>
      </w:r>
      <w:r w:rsidR="00C42C6B">
        <w:rPr>
          <w:rFonts w:eastAsia="Verdana"/>
        </w:rPr>
        <w:t xml:space="preserve">who sit </w:t>
      </w:r>
      <w:r w:rsidR="009C77D1">
        <w:rPr>
          <w:rFonts w:eastAsia="Verdana"/>
        </w:rPr>
        <w:t>below the median.</w:t>
      </w:r>
    </w:p>
    <w:p w14:paraId="7A430EC0" w14:textId="77777777" w:rsidR="009C77D1" w:rsidRDefault="009C77D1">
      <w:pPr>
        <w:pStyle w:val="ListParagraph"/>
        <w:numPr>
          <w:ilvl w:val="0"/>
          <w:numId w:val="77"/>
        </w:numPr>
        <w:tabs>
          <w:tab w:val="left" w:pos="1591"/>
        </w:tabs>
        <w:contextualSpacing w:val="0"/>
        <w:rPr>
          <w:rFonts w:eastAsia="Verdana"/>
        </w:rPr>
      </w:pPr>
      <w:r w:rsidRPr="00021500">
        <w:rPr>
          <w:rFonts w:eastAsia="Verdana"/>
          <w:b/>
          <w:bCs/>
        </w:rPr>
        <w:t>The base plus growth model:</w:t>
      </w:r>
      <w:r>
        <w:rPr>
          <w:rFonts w:eastAsia="Verdana"/>
        </w:rPr>
        <w:t xml:space="preserve"> there is a question as to whether the base plus growth model remains fit for purpose. While it has been successful in gradually increasing the Commonwealth’s contribution over time, this is not occurring very quickly and embeds inequities between jurisdictions. Further it requires complex technical work arounds, such as back-casting (which puts the base year and the new year on the same basis in terms of the NEP and NWAU and ensures that efficient growth is calculated on a consistent basis based on changes to underlying methodologies, such as introduction of new adjustments). The inherent complexity of back-casting and related growth-funding calculations can also impact on the transparency of public hospital funding and the understanding of pricing and funding incentives by system stakeholders and decision-makers, particularly at the LHN and hospital level.</w:t>
      </w:r>
    </w:p>
    <w:p w14:paraId="7999DCB3" w14:textId="7AD0BE0A" w:rsidR="009C77D1" w:rsidRPr="00F5309B" w:rsidRDefault="009C77D1" w:rsidP="00C47984">
      <w:pPr>
        <w:pStyle w:val="ListParagraph"/>
        <w:tabs>
          <w:tab w:val="left" w:pos="1591"/>
        </w:tabs>
        <w:contextualSpacing w:val="0"/>
        <w:rPr>
          <w:rFonts w:eastAsia="Verdana"/>
        </w:rPr>
      </w:pPr>
      <w:r>
        <w:rPr>
          <w:rFonts w:eastAsia="Verdana"/>
        </w:rPr>
        <w:t xml:space="preserve">An alternative proposed to the Review was to move to the Commonwealth maintaining an “equitable” funding share and value, for example by the Commonwealth contributing a fixed percentage of the NEP of the NWAU delivered by each </w:t>
      </w:r>
      <w:r w:rsidR="00B74398">
        <w:rPr>
          <w:rFonts w:eastAsia="Verdana"/>
        </w:rPr>
        <w:t>S</w:t>
      </w:r>
      <w:r>
        <w:rPr>
          <w:rFonts w:eastAsia="Verdana"/>
        </w:rPr>
        <w:t xml:space="preserve">tate and </w:t>
      </w:r>
      <w:r w:rsidR="00B74398">
        <w:rPr>
          <w:rFonts w:eastAsia="Verdana"/>
        </w:rPr>
        <w:t>T</w:t>
      </w:r>
      <w:r>
        <w:rPr>
          <w:rFonts w:eastAsia="Verdana"/>
        </w:rPr>
        <w:t xml:space="preserve">erritory. Given the likely financial impact of this, one approach is to step toward a 45% NEP percentage through the next Agreement (at a pace subject to costing and negotiation) beginning by bringing lagging jurisdictions up to the national average and then stepping toward 45% over several years.  </w:t>
      </w:r>
    </w:p>
    <w:p w14:paraId="1EB4B019" w14:textId="07A7A7BF" w:rsidR="009C77D1" w:rsidRDefault="009C77D1" w:rsidP="009C77D1">
      <w:pPr>
        <w:pStyle w:val="ListParagraph"/>
        <w:contextualSpacing w:val="0"/>
        <w:rPr>
          <w:rFonts w:eastAsia="Verdana"/>
        </w:rPr>
      </w:pPr>
      <w:r>
        <w:rPr>
          <w:rFonts w:eastAsia="Verdana"/>
        </w:rPr>
        <w:t xml:space="preserve">An increase in the Commonwealth share over time, and greater equalisation between individual jurisdictions, </w:t>
      </w:r>
      <w:r w:rsidR="002B47A3">
        <w:rPr>
          <w:rFonts w:eastAsia="Verdana"/>
        </w:rPr>
        <w:t xml:space="preserve">could allow </w:t>
      </w:r>
      <w:r>
        <w:rPr>
          <w:rFonts w:eastAsia="Verdana"/>
        </w:rPr>
        <w:t xml:space="preserve">a portion of the funds currently being contributed by the States and Territories </w:t>
      </w:r>
      <w:r w:rsidR="00592196">
        <w:rPr>
          <w:rFonts w:eastAsia="Verdana"/>
        </w:rPr>
        <w:t xml:space="preserve">to be </w:t>
      </w:r>
      <w:r>
        <w:rPr>
          <w:rFonts w:eastAsia="Verdana"/>
        </w:rPr>
        <w:t>freed up for other purposes. It will be important that these funds remain in the health system</w:t>
      </w:r>
      <w:r w:rsidR="00592196">
        <w:rPr>
          <w:rFonts w:eastAsia="Verdana"/>
        </w:rPr>
        <w:t>,</w:t>
      </w:r>
      <w:r>
        <w:rPr>
          <w:rFonts w:eastAsia="Verdana"/>
        </w:rPr>
        <w:t xml:space="preserve"> given the level of support that will be needed for new models of care (as set </w:t>
      </w:r>
      <w:r w:rsidRPr="00251960">
        <w:rPr>
          <w:rFonts w:eastAsia="Verdana"/>
        </w:rPr>
        <w:t xml:space="preserve">out in Section </w:t>
      </w:r>
      <w:r w:rsidR="002F2663">
        <w:rPr>
          <w:rFonts w:eastAsia="Verdana"/>
        </w:rPr>
        <w:t xml:space="preserve">5.2 and 5.3 </w:t>
      </w:r>
      <w:r w:rsidRPr="00251960">
        <w:rPr>
          <w:rFonts w:eastAsia="Verdana"/>
        </w:rPr>
        <w:t>of this Report) and innovation</w:t>
      </w:r>
      <w:r>
        <w:rPr>
          <w:rFonts w:eastAsia="Verdana"/>
        </w:rPr>
        <w:t>. There should be a requirement as part of a negotiation on a new funding model that the States and Territories</w:t>
      </w:r>
      <w:r w:rsidR="00230A86">
        <w:rPr>
          <w:rFonts w:eastAsia="Verdana"/>
        </w:rPr>
        <w:t>,</w:t>
      </w:r>
      <w:r>
        <w:rPr>
          <w:rFonts w:eastAsia="Verdana"/>
        </w:rPr>
        <w:t xml:space="preserve"> at </w:t>
      </w:r>
      <w:r w:rsidR="00230A86">
        <w:rPr>
          <w:rFonts w:eastAsia="Verdana"/>
        </w:rPr>
        <w:t xml:space="preserve">a minimum, </w:t>
      </w:r>
      <w:r>
        <w:rPr>
          <w:rFonts w:eastAsia="Verdana"/>
        </w:rPr>
        <w:t>maintain</w:t>
      </w:r>
      <w:r w:rsidR="002F2663">
        <w:rPr>
          <w:rFonts w:eastAsia="Verdana"/>
        </w:rPr>
        <w:t>,</w:t>
      </w:r>
      <w:r>
        <w:rPr>
          <w:rFonts w:eastAsia="Verdana"/>
        </w:rPr>
        <w:t xml:space="preserve"> and preferably grow</w:t>
      </w:r>
      <w:r w:rsidR="002F2663">
        <w:rPr>
          <w:rFonts w:eastAsia="Verdana"/>
        </w:rPr>
        <w:t>,</w:t>
      </w:r>
      <w:r>
        <w:rPr>
          <w:rFonts w:eastAsia="Verdana"/>
        </w:rPr>
        <w:t xml:space="preserve"> their contribution to health spending through the various mechanisms designed to improve allocative efficiency and for the National Innovation Fund. </w:t>
      </w:r>
    </w:p>
    <w:tbl>
      <w:tblPr>
        <w:tblStyle w:val="TableGrid"/>
        <w:tblW w:w="10490" w:type="dxa"/>
        <w:shd w:val="clear" w:color="auto" w:fill="F2F2F2"/>
        <w:tblLook w:val="04A0" w:firstRow="1" w:lastRow="0" w:firstColumn="1" w:lastColumn="0" w:noHBand="0" w:noVBand="1"/>
      </w:tblPr>
      <w:tblGrid>
        <w:gridCol w:w="10490"/>
      </w:tblGrid>
      <w:tr w:rsidR="009C77D1" w14:paraId="622A5EE4" w14:textId="77777777" w:rsidTr="00C2225F">
        <w:trPr>
          <w:cnfStyle w:val="100000000000" w:firstRow="1" w:lastRow="0" w:firstColumn="0" w:lastColumn="0" w:oddVBand="0" w:evenVBand="0" w:oddHBand="0" w:evenHBand="0" w:firstRowFirstColumn="0" w:firstRowLastColumn="0" w:lastRowFirstColumn="0" w:lastRowLastColumn="0"/>
        </w:trPr>
        <w:tc>
          <w:tcPr>
            <w:tcW w:w="10490" w:type="dxa"/>
            <w:shd w:val="clear" w:color="auto" w:fill="F2F2F2"/>
            <w:hideMark/>
          </w:tcPr>
          <w:p w14:paraId="14D4664F" w14:textId="1E7EC8C5" w:rsidR="009C77D1" w:rsidRDefault="00655F3E" w:rsidP="00650E28">
            <w:pPr>
              <w:keepNext/>
              <w:keepLines/>
              <w:spacing w:before="120"/>
              <w:ind w:left="142"/>
              <w:rPr>
                <w:rFonts w:eastAsia="Verdana"/>
                <w:lang w:val="en-GB"/>
              </w:rPr>
            </w:pPr>
            <w:r w:rsidRPr="009C5E67">
              <w:rPr>
                <w:noProof/>
                <w:color w:val="00707E" w:themeColor="accent5" w:themeShade="BF"/>
                <w:lang w:val="en-GB"/>
              </w:rPr>
              <w:drawing>
                <wp:inline distT="0" distB="0" distL="0" distR="0" wp14:anchorId="00E8F49A" wp14:editId="03FC72EB">
                  <wp:extent cx="269875" cy="269875"/>
                  <wp:effectExtent l="0" t="0" r="0" b="0"/>
                  <wp:docPr id="227" name="Graphic 227" descr="P1772C1T87#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7" name="Graphic 227" descr="P1772C1T87#yIS1">
                            <a:extLst>
                              <a:ext uri="{C183D7F6-B498-43B3-948B-1728B52AA6E4}">
                                <adec:decorative xmlns:adec="http://schemas.microsoft.com/office/drawing/2017/decorative" val="1"/>
                              </a:ext>
                            </a:extLst>
                          </pic:cNvPr>
                          <pic:cNvPicPr>
                            <a:picLocks noChangeAspect="1"/>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269875" cy="269875"/>
                          </a:xfrm>
                          <a:prstGeom prst="rect">
                            <a:avLst/>
                          </a:prstGeom>
                        </pic:spPr>
                      </pic:pic>
                    </a:graphicData>
                  </a:graphic>
                </wp:inline>
              </w:drawing>
            </w:r>
            <w:r w:rsidR="009C77D1">
              <w:rPr>
                <w:rFonts w:eastAsia="Verdana"/>
                <w:b/>
                <w:bCs/>
                <w:color w:val="00707E"/>
                <w:lang w:val="en-GB"/>
              </w:rPr>
              <w:t>Recommendation</w:t>
            </w:r>
            <w:r w:rsidR="009C77D1" w:rsidRPr="009C5E67">
              <w:rPr>
                <w:rFonts w:eastAsia="Verdana"/>
                <w:b/>
                <w:bCs/>
                <w:noProof/>
                <w:color w:val="00707E" w:themeColor="accent5" w:themeShade="BF"/>
                <w:lang w:val="en-GB"/>
              </w:rPr>
              <w:t xml:space="preserve"> 2</w:t>
            </w:r>
            <w:r w:rsidR="007F391F">
              <w:rPr>
                <w:rFonts w:eastAsia="Verdana"/>
                <w:b/>
                <w:bCs/>
                <w:noProof/>
                <w:color w:val="00707E" w:themeColor="accent5" w:themeShade="BF"/>
                <w:lang w:val="en-GB"/>
              </w:rPr>
              <w:t>2</w:t>
            </w:r>
            <w:r w:rsidR="009C77D1">
              <w:rPr>
                <w:rFonts w:eastAsia="Verdana"/>
                <w:b/>
                <w:bCs/>
                <w:color w:val="00707E"/>
                <w:lang w:val="en-GB"/>
              </w:rPr>
              <w:t xml:space="preserve">: </w:t>
            </w:r>
            <w:r w:rsidR="009C77D1">
              <w:rPr>
                <w:rFonts w:eastAsia="Verdana"/>
                <w:lang w:val="en-GB"/>
              </w:rPr>
              <w:t>A new Agreement should put in place a</w:t>
            </w:r>
            <w:r w:rsidR="009C77D1">
              <w:rPr>
                <w:rFonts w:eastAsia="Verdana"/>
                <w:b/>
                <w:bCs/>
                <w:lang w:val="en-GB"/>
              </w:rPr>
              <w:t xml:space="preserve"> new and simpler funding model to </w:t>
            </w:r>
            <w:r w:rsidR="007E5CFC">
              <w:rPr>
                <w:rFonts w:eastAsia="Verdana"/>
                <w:b/>
                <w:bCs/>
                <w:lang w:val="en-GB"/>
              </w:rPr>
              <w:t xml:space="preserve">gradually </w:t>
            </w:r>
            <w:r w:rsidR="009C77D1">
              <w:rPr>
                <w:rFonts w:eastAsia="Verdana"/>
                <w:b/>
                <w:bCs/>
                <w:lang w:val="en-GB"/>
              </w:rPr>
              <w:t xml:space="preserve">increase the Commonwealth contribution to 45% of nationally efficient public hospital activity </w:t>
            </w:r>
            <w:r w:rsidR="009C77D1">
              <w:rPr>
                <w:rFonts w:eastAsia="Verdana"/>
                <w:lang w:val="en-GB"/>
              </w:rPr>
              <w:t>through:</w:t>
            </w:r>
          </w:p>
          <w:p w14:paraId="33659328" w14:textId="1C588C43" w:rsidR="009C77D1" w:rsidRPr="00635396" w:rsidRDefault="009C77D1" w:rsidP="00650E28">
            <w:pPr>
              <w:pStyle w:val="ListParagraph"/>
              <w:keepNext/>
              <w:keepLines/>
              <w:numPr>
                <w:ilvl w:val="0"/>
                <w:numId w:val="78"/>
              </w:numPr>
              <w:ind w:left="567" w:hanging="357"/>
              <w:contextualSpacing w:val="0"/>
              <w:rPr>
                <w:rFonts w:eastAsia="Verdana"/>
                <w:color w:val="000000" w:themeColor="text1"/>
                <w:lang w:val="en-GB"/>
              </w:rPr>
            </w:pPr>
            <w:r w:rsidRPr="00635396">
              <w:rPr>
                <w:rFonts w:eastAsia="Verdana"/>
                <w:color w:val="000000" w:themeColor="text1"/>
                <w:lang w:val="en-GB"/>
              </w:rPr>
              <w:t>An initial injection of Commonwealth funds into those States and Territories that sit below the current median contribution rate to bring them closer to the national average</w:t>
            </w:r>
            <w:r>
              <w:rPr>
                <w:rFonts w:eastAsia="Verdana"/>
                <w:color w:val="000000" w:themeColor="text1"/>
                <w:lang w:val="en-GB"/>
              </w:rPr>
              <w:t>.</w:t>
            </w:r>
          </w:p>
          <w:p w14:paraId="5ACB30AF" w14:textId="38BEAF68" w:rsidR="009C77D1" w:rsidRPr="00635396" w:rsidRDefault="001327DB" w:rsidP="00650E28">
            <w:pPr>
              <w:pStyle w:val="ListParagraph"/>
              <w:keepNext/>
              <w:keepLines/>
              <w:numPr>
                <w:ilvl w:val="0"/>
                <w:numId w:val="78"/>
              </w:numPr>
              <w:ind w:left="567" w:hanging="357"/>
              <w:contextualSpacing w:val="0"/>
              <w:rPr>
                <w:rFonts w:eastAsia="Verdana"/>
                <w:color w:val="000000" w:themeColor="text1"/>
                <w:lang w:val="en-GB"/>
              </w:rPr>
            </w:pPr>
            <w:r>
              <w:rPr>
                <w:rFonts w:eastAsia="Verdana"/>
                <w:color w:val="000000" w:themeColor="text1"/>
                <w:lang w:val="en-GB"/>
              </w:rPr>
              <w:t xml:space="preserve">Consideration </w:t>
            </w:r>
            <w:r w:rsidR="009C77D1" w:rsidRPr="00635396">
              <w:rPr>
                <w:rFonts w:eastAsia="Verdana"/>
                <w:color w:val="000000" w:themeColor="text1"/>
                <w:lang w:val="en-GB"/>
              </w:rPr>
              <w:t xml:space="preserve">of a new funding model that sets the Commonwealth contribution as a fixed percentage of the national efficient price of each </w:t>
            </w:r>
            <w:r w:rsidR="009D258A">
              <w:rPr>
                <w:rFonts w:eastAsia="Verdana"/>
                <w:color w:val="000000" w:themeColor="text1"/>
                <w:lang w:val="en-GB"/>
              </w:rPr>
              <w:t>S</w:t>
            </w:r>
            <w:r w:rsidR="009C77D1" w:rsidRPr="00635396">
              <w:rPr>
                <w:rFonts w:eastAsia="Verdana"/>
                <w:color w:val="000000" w:themeColor="text1"/>
                <w:lang w:val="en-GB"/>
              </w:rPr>
              <w:t xml:space="preserve">tate and </w:t>
            </w:r>
            <w:r w:rsidR="009D258A">
              <w:rPr>
                <w:rFonts w:eastAsia="Verdana"/>
                <w:color w:val="000000" w:themeColor="text1"/>
                <w:lang w:val="en-GB"/>
              </w:rPr>
              <w:t>T</w:t>
            </w:r>
            <w:r w:rsidR="009C77D1" w:rsidRPr="00635396">
              <w:rPr>
                <w:rFonts w:eastAsia="Verdana"/>
                <w:color w:val="000000" w:themeColor="text1"/>
                <w:lang w:val="en-GB"/>
              </w:rPr>
              <w:t>erritory’s total NWAU</w:t>
            </w:r>
            <w:r w:rsidR="009C77D1">
              <w:rPr>
                <w:rFonts w:eastAsia="Verdana"/>
                <w:color w:val="000000" w:themeColor="text1"/>
                <w:lang w:val="en-GB"/>
              </w:rPr>
              <w:t>.</w:t>
            </w:r>
          </w:p>
          <w:p w14:paraId="40178A88" w14:textId="77777777" w:rsidR="009C77D1" w:rsidRPr="00635396" w:rsidRDefault="009C77D1" w:rsidP="00650E28">
            <w:pPr>
              <w:pStyle w:val="ListParagraph"/>
              <w:keepNext/>
              <w:keepLines/>
              <w:numPr>
                <w:ilvl w:val="0"/>
                <w:numId w:val="78"/>
              </w:numPr>
              <w:ind w:left="567" w:hanging="357"/>
              <w:contextualSpacing w:val="0"/>
              <w:rPr>
                <w:rFonts w:eastAsia="Verdana"/>
                <w:lang w:val="en-GB"/>
              </w:rPr>
            </w:pPr>
            <w:r w:rsidRPr="00635396">
              <w:rPr>
                <w:rFonts w:eastAsia="Verdana"/>
                <w:color w:val="000000" w:themeColor="text1"/>
                <w:lang w:val="en-GB"/>
              </w:rPr>
              <w:t>A stepped transition to increasing the Commonwealth percentage contribution to 45% over the course of the Agreement.</w:t>
            </w:r>
          </w:p>
        </w:tc>
      </w:tr>
    </w:tbl>
    <w:p w14:paraId="0E8748B7" w14:textId="77777777" w:rsidR="009C77D1" w:rsidRDefault="009C77D1" w:rsidP="009C77D1"/>
    <w:tbl>
      <w:tblPr>
        <w:tblStyle w:val="TableGrid"/>
        <w:tblW w:w="10490" w:type="dxa"/>
        <w:shd w:val="clear" w:color="auto" w:fill="F2F2F2"/>
        <w:tblLook w:val="04A0" w:firstRow="1" w:lastRow="0" w:firstColumn="1" w:lastColumn="0" w:noHBand="0" w:noVBand="1"/>
      </w:tblPr>
      <w:tblGrid>
        <w:gridCol w:w="10490"/>
      </w:tblGrid>
      <w:tr w:rsidR="009C77D1" w14:paraId="71562A4A" w14:textId="77777777" w:rsidTr="00C2225F">
        <w:trPr>
          <w:cnfStyle w:val="100000000000" w:firstRow="1" w:lastRow="0" w:firstColumn="0" w:lastColumn="0" w:oddVBand="0" w:evenVBand="0" w:oddHBand="0" w:evenHBand="0" w:firstRowFirstColumn="0" w:firstRowLastColumn="0" w:lastRowFirstColumn="0" w:lastRowLastColumn="0"/>
        </w:trPr>
        <w:tc>
          <w:tcPr>
            <w:tcW w:w="10490" w:type="dxa"/>
            <w:shd w:val="clear" w:color="auto" w:fill="F2F2F2"/>
            <w:hideMark/>
          </w:tcPr>
          <w:p w14:paraId="76FD5FEE" w14:textId="75C9C768" w:rsidR="009C77D1" w:rsidRPr="00E5451D" w:rsidRDefault="00655F3E" w:rsidP="0064606D">
            <w:pPr>
              <w:spacing w:before="120"/>
              <w:ind w:left="142"/>
              <w:rPr>
                <w:rFonts w:eastAsia="Verdana"/>
                <w:lang w:val="en-GB"/>
              </w:rPr>
            </w:pPr>
            <w:r w:rsidRPr="009C5E67">
              <w:rPr>
                <w:noProof/>
                <w:color w:val="00707E" w:themeColor="accent5" w:themeShade="BF"/>
                <w:lang w:val="en-GB"/>
              </w:rPr>
              <w:drawing>
                <wp:inline distT="0" distB="0" distL="0" distR="0" wp14:anchorId="3AFCB6B9" wp14:editId="0BFABB51">
                  <wp:extent cx="269875" cy="269875"/>
                  <wp:effectExtent l="0" t="0" r="0" b="0"/>
                  <wp:docPr id="229" name="Graphic 229" descr="P1778C1T88#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9" name="Graphic 229" descr="P1778C1T88#yIS1">
                            <a:extLst>
                              <a:ext uri="{C183D7F6-B498-43B3-948B-1728B52AA6E4}">
                                <adec:decorative xmlns:adec="http://schemas.microsoft.com/office/drawing/2017/decorative" val="1"/>
                              </a:ext>
                            </a:extLst>
                          </pic:cNvPr>
                          <pic:cNvPicPr>
                            <a:picLocks noChangeAspect="1"/>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269875" cy="269875"/>
                          </a:xfrm>
                          <a:prstGeom prst="rect">
                            <a:avLst/>
                          </a:prstGeom>
                        </pic:spPr>
                      </pic:pic>
                    </a:graphicData>
                  </a:graphic>
                </wp:inline>
              </w:drawing>
            </w:r>
            <w:r w:rsidR="009C77D1" w:rsidRPr="00E5451D">
              <w:rPr>
                <w:rFonts w:eastAsia="Verdana"/>
                <w:b/>
                <w:bCs/>
                <w:color w:val="00707E"/>
                <w:lang w:val="en-GB"/>
              </w:rPr>
              <w:t>Recommendation</w:t>
            </w:r>
            <w:r w:rsidR="009C77D1" w:rsidRPr="009C5E67">
              <w:rPr>
                <w:rFonts w:eastAsia="Verdana"/>
                <w:b/>
                <w:bCs/>
                <w:noProof/>
                <w:color w:val="00707E" w:themeColor="accent5" w:themeShade="BF"/>
                <w:lang w:val="en-GB"/>
              </w:rPr>
              <w:t xml:space="preserve"> 2</w:t>
            </w:r>
            <w:r w:rsidR="007F391F">
              <w:rPr>
                <w:rFonts w:eastAsia="Verdana"/>
                <w:b/>
                <w:bCs/>
                <w:noProof/>
                <w:color w:val="00707E" w:themeColor="accent5" w:themeShade="BF"/>
                <w:lang w:val="en-GB"/>
              </w:rPr>
              <w:t>3</w:t>
            </w:r>
            <w:r w:rsidR="009C77D1" w:rsidRPr="00E5451D">
              <w:rPr>
                <w:rFonts w:eastAsia="Verdana"/>
                <w:b/>
                <w:bCs/>
                <w:color w:val="00707E"/>
                <w:lang w:val="en-GB"/>
              </w:rPr>
              <w:t xml:space="preserve">: </w:t>
            </w:r>
            <w:r w:rsidR="009C77D1" w:rsidRPr="00E5451D">
              <w:rPr>
                <w:rFonts w:eastAsia="Verdana"/>
                <w:lang w:val="en-GB"/>
              </w:rPr>
              <w:t xml:space="preserve">State and Territories should maintain their level of contribution to health funding through </w:t>
            </w:r>
            <w:r w:rsidR="00AA0346">
              <w:rPr>
                <w:rFonts w:eastAsia="Verdana"/>
                <w:lang w:val="en-GB"/>
              </w:rPr>
              <w:t>the</w:t>
            </w:r>
            <w:r w:rsidR="009C77D1" w:rsidRPr="00E5451D">
              <w:rPr>
                <w:rFonts w:eastAsia="Verdana"/>
                <w:lang w:val="en-GB"/>
              </w:rPr>
              <w:t xml:space="preserve"> transition</w:t>
            </w:r>
            <w:r w:rsidR="00AA0346">
              <w:rPr>
                <w:rFonts w:eastAsia="Verdana"/>
                <w:lang w:val="en-GB"/>
              </w:rPr>
              <w:t xml:space="preserve"> at Recommendation 22</w:t>
            </w:r>
            <w:r w:rsidR="009C77D1" w:rsidRPr="00E5451D">
              <w:rPr>
                <w:rFonts w:eastAsia="Verdana"/>
                <w:lang w:val="en-GB"/>
              </w:rPr>
              <w:t xml:space="preserve">, </w:t>
            </w:r>
            <w:r w:rsidR="00707A4F">
              <w:rPr>
                <w:rFonts w:eastAsia="Verdana"/>
                <w:lang w:val="en-GB"/>
              </w:rPr>
              <w:t xml:space="preserve">noting that this would allow </w:t>
            </w:r>
            <w:r w:rsidR="00101A9B">
              <w:rPr>
                <w:rFonts w:eastAsia="Verdana"/>
                <w:lang w:val="en-GB"/>
              </w:rPr>
              <w:t>State</w:t>
            </w:r>
            <w:r w:rsidR="00A773CF">
              <w:rPr>
                <w:rFonts w:eastAsia="Verdana"/>
                <w:lang w:val="en-GB"/>
              </w:rPr>
              <w:t xml:space="preserve"> and </w:t>
            </w:r>
            <w:r w:rsidR="00101A9B">
              <w:rPr>
                <w:rFonts w:eastAsia="Verdana"/>
                <w:lang w:val="en-GB"/>
              </w:rPr>
              <w:t xml:space="preserve">Territory </w:t>
            </w:r>
            <w:r w:rsidR="009C77D1" w:rsidRPr="00E5451D">
              <w:rPr>
                <w:rFonts w:eastAsia="Verdana"/>
                <w:lang w:val="en-GB"/>
              </w:rPr>
              <w:t xml:space="preserve">funds displaced through an increased Commonwealth contribution </w:t>
            </w:r>
            <w:r w:rsidR="00707A4F">
              <w:rPr>
                <w:rFonts w:eastAsia="Verdana"/>
                <w:lang w:val="en-GB"/>
              </w:rPr>
              <w:t xml:space="preserve">to be </w:t>
            </w:r>
            <w:r w:rsidR="009C77D1" w:rsidRPr="00E5451D">
              <w:rPr>
                <w:rFonts w:eastAsia="Verdana"/>
                <w:b/>
                <w:bCs/>
                <w:lang w:val="en-GB"/>
              </w:rPr>
              <w:t xml:space="preserve">directed to support </w:t>
            </w:r>
            <w:r w:rsidR="008A347D">
              <w:rPr>
                <w:rFonts w:eastAsia="Verdana"/>
                <w:b/>
                <w:bCs/>
                <w:lang w:val="en-GB"/>
              </w:rPr>
              <w:t xml:space="preserve">new and </w:t>
            </w:r>
            <w:r w:rsidR="009C7DBD" w:rsidRPr="00E5451D">
              <w:rPr>
                <w:rFonts w:eastAsia="Verdana"/>
                <w:b/>
                <w:bCs/>
                <w:lang w:val="en-GB"/>
              </w:rPr>
              <w:t>innovati</w:t>
            </w:r>
            <w:r w:rsidR="009C7DBD">
              <w:rPr>
                <w:rFonts w:eastAsia="Verdana"/>
                <w:b/>
                <w:bCs/>
                <w:lang w:val="en-GB"/>
              </w:rPr>
              <w:t xml:space="preserve">ve models of care </w:t>
            </w:r>
            <w:r w:rsidR="007E5CFC">
              <w:rPr>
                <w:rFonts w:eastAsia="Verdana"/>
                <w:b/>
                <w:bCs/>
                <w:lang w:val="en-GB"/>
              </w:rPr>
              <w:t xml:space="preserve">consistent with the National Health Funding and Payments Framework </w:t>
            </w:r>
            <w:r w:rsidR="007E5CFC" w:rsidRPr="003807D7">
              <w:rPr>
                <w:rFonts w:eastAsia="Verdana"/>
                <w:lang w:val="en-GB"/>
              </w:rPr>
              <w:t>at Recommendation 1</w:t>
            </w:r>
            <w:r w:rsidR="00167FF1" w:rsidRPr="003807D7">
              <w:rPr>
                <w:rFonts w:eastAsia="Verdana"/>
                <w:lang w:val="en-GB"/>
              </w:rPr>
              <w:t>6</w:t>
            </w:r>
            <w:r w:rsidR="009C77D1" w:rsidRPr="00E5451D">
              <w:rPr>
                <w:rFonts w:eastAsia="Verdana"/>
                <w:b/>
                <w:bCs/>
                <w:lang w:val="en-GB"/>
              </w:rPr>
              <w:t>.</w:t>
            </w:r>
          </w:p>
        </w:tc>
      </w:tr>
    </w:tbl>
    <w:p w14:paraId="11A14A67" w14:textId="77777777" w:rsidR="009C77D1" w:rsidRDefault="009C77D1" w:rsidP="009C77D1"/>
    <w:p w14:paraId="73B00C16" w14:textId="77777777" w:rsidR="009C77D1" w:rsidRPr="00CC3B4F" w:rsidRDefault="009C77D1" w:rsidP="007745A8">
      <w:pPr>
        <w:pStyle w:val="Heading4"/>
      </w:pPr>
      <w:bookmarkStart w:id="272" w:name="_Ref148442266"/>
      <w:r w:rsidRPr="00CC3B4F">
        <w:t>Reframe the 6.5% national funding cap</w:t>
      </w:r>
      <w:bookmarkEnd w:id="272"/>
    </w:p>
    <w:tbl>
      <w:tblPr>
        <w:tblStyle w:val="TableGrid"/>
        <w:tblW w:w="0" w:type="auto"/>
        <w:tblBorders>
          <w:top w:val="dashSmallGap" w:sz="4" w:space="0" w:color="8496B0" w:themeColor="text2" w:themeTint="99"/>
          <w:left w:val="dashSmallGap" w:sz="4" w:space="0" w:color="8496B0" w:themeColor="text2" w:themeTint="99"/>
          <w:bottom w:val="dashSmallGap" w:sz="4" w:space="0" w:color="8496B0" w:themeColor="text2" w:themeTint="99"/>
          <w:right w:val="dashSmallGap" w:sz="4" w:space="0" w:color="8496B0" w:themeColor="text2" w:themeTint="99"/>
        </w:tblBorders>
        <w:tblLook w:val="04A0" w:firstRow="1" w:lastRow="0" w:firstColumn="1" w:lastColumn="0" w:noHBand="0" w:noVBand="1"/>
      </w:tblPr>
      <w:tblGrid>
        <w:gridCol w:w="10456"/>
      </w:tblGrid>
      <w:tr w:rsidR="009C77D1" w14:paraId="3800502D" w14:textId="77777777" w:rsidTr="00622DD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43CC8A73" w14:textId="2495E4C7" w:rsidR="009C77D1" w:rsidRPr="00F5309B" w:rsidRDefault="009C77D1" w:rsidP="00C2225F">
            <w:pPr>
              <w:pStyle w:val="Summarytable"/>
              <w:rPr>
                <w:color w:val="8496B0" w:themeColor="text2" w:themeTint="99"/>
                <w:lang w:val="en-GB"/>
              </w:rPr>
            </w:pPr>
            <w:r w:rsidRPr="00655F3E">
              <w:rPr>
                <w:noProof/>
                <w:color w:val="44546A" w:themeColor="text2"/>
                <w:lang w:val="en-GB"/>
              </w:rPr>
              <w:drawing>
                <wp:inline distT="0" distB="0" distL="0" distR="0" wp14:anchorId="11075F6E" wp14:editId="2EA149DF">
                  <wp:extent cx="270000" cy="270000"/>
                  <wp:effectExtent l="0" t="0" r="0" b="0"/>
                  <wp:docPr id="230" name="Graphic 230" descr="P1782C1T8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descr="P1782C1T89#yIS1">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70000" cy="270000"/>
                          </a:xfrm>
                          <a:prstGeom prst="rect">
                            <a:avLst/>
                          </a:prstGeom>
                        </pic:spPr>
                      </pic:pic>
                    </a:graphicData>
                  </a:graphic>
                </wp:inline>
              </w:drawing>
            </w:r>
            <w:r w:rsidR="001A09FC" w:rsidRPr="00D66B60">
              <w:rPr>
                <w:color w:val="5B708F"/>
                <w:lang w:val="en-GB"/>
              </w:rPr>
              <w:t>Observation</w:t>
            </w:r>
            <w:r w:rsidRPr="00D66B60">
              <w:rPr>
                <w:color w:val="5B708F"/>
                <w:lang w:val="en-GB"/>
              </w:rPr>
              <w:t xml:space="preserve">: </w:t>
            </w:r>
            <w:r w:rsidRPr="00D66B60">
              <w:rPr>
                <w:b w:val="0"/>
                <w:bCs w:val="0"/>
                <w:color w:val="5B708F"/>
                <w:lang w:val="en-GB"/>
              </w:rPr>
              <w:t>What is the 6.5% national funding cap?</w:t>
            </w:r>
            <w:r w:rsidR="003F5D51">
              <w:rPr>
                <w:rFonts w:ascii="ZWAdobeF" w:hAnsi="ZWAdobeF" w:cs="ZWAdobeF"/>
                <w:b w:val="0"/>
                <w:bCs w:val="0"/>
                <w:sz w:val="2"/>
                <w:szCs w:val="2"/>
                <w:lang w:val="en-GB"/>
              </w:rPr>
              <w:t>133F</w:t>
            </w:r>
            <w:r w:rsidRPr="00D66B60">
              <w:rPr>
                <w:rStyle w:val="FootnoteReference"/>
                <w:b w:val="0"/>
                <w:bCs w:val="0"/>
                <w:color w:val="5B708F"/>
              </w:rPr>
              <w:footnoteReference w:id="135"/>
            </w:r>
          </w:p>
          <w:p w14:paraId="18E82B55" w14:textId="77777777" w:rsidR="009C77D1" w:rsidRDefault="009C77D1" w:rsidP="00C2225F">
            <w:pPr>
              <w:ind w:left="142"/>
              <w:rPr>
                <w:lang w:val="en-GB"/>
              </w:rPr>
            </w:pPr>
            <w:r>
              <w:rPr>
                <w:lang w:val="en-GB"/>
              </w:rPr>
              <w:t>The growth in annual Commonwealth national health reform funding for national public hospital services will not exceed 6.5% a year (the Funding Cap) – Clauses A56-58. The Funding Cap includes a:</w:t>
            </w:r>
          </w:p>
          <w:p w14:paraId="1DD30F48" w14:textId="5DAA898A" w:rsidR="009C77D1" w:rsidRDefault="009C77D1" w:rsidP="009C77D1">
            <w:pPr>
              <w:pStyle w:val="ListBullet"/>
              <w:ind w:left="567"/>
              <w:rPr>
                <w:lang w:val="en-GB"/>
              </w:rPr>
            </w:pPr>
            <w:r>
              <w:rPr>
                <w:b/>
                <w:bCs/>
                <w:lang w:val="en-GB"/>
              </w:rPr>
              <w:t>State-based Soft Cap</w:t>
            </w:r>
            <w:r>
              <w:rPr>
                <w:lang w:val="en-GB"/>
              </w:rPr>
              <w:t xml:space="preserve"> of 6.5%, to be applied to the Commonwealth national health reform funding entitlement of each State</w:t>
            </w:r>
            <w:r w:rsidR="00A773CF">
              <w:rPr>
                <w:lang w:val="en-GB"/>
              </w:rPr>
              <w:t xml:space="preserve"> and </w:t>
            </w:r>
            <w:r>
              <w:rPr>
                <w:lang w:val="en-GB"/>
              </w:rPr>
              <w:t>Territory throughout the financial year; and</w:t>
            </w:r>
          </w:p>
          <w:p w14:paraId="44FE07DC" w14:textId="204F99FA" w:rsidR="009C77D1" w:rsidRDefault="009C77D1" w:rsidP="009C77D1">
            <w:pPr>
              <w:pStyle w:val="ListBullet"/>
              <w:spacing w:after="120"/>
              <w:ind w:left="567"/>
              <w:rPr>
                <w:lang w:val="en-GB"/>
              </w:rPr>
            </w:pPr>
            <w:r>
              <w:rPr>
                <w:b/>
                <w:bCs/>
                <w:lang w:val="en-GB"/>
              </w:rPr>
              <w:t>A National Funding Cap</w:t>
            </w:r>
            <w:r>
              <w:rPr>
                <w:lang w:val="en-GB"/>
              </w:rPr>
              <w:t xml:space="preserve"> of 6.5%, to be applied to the Commonwealth national health reform funding entitlement for all States</w:t>
            </w:r>
            <w:r w:rsidR="005477FB">
              <w:rPr>
                <w:lang w:val="en-GB"/>
              </w:rPr>
              <w:t xml:space="preserve"> and </w:t>
            </w:r>
            <w:r>
              <w:rPr>
                <w:lang w:val="en-GB"/>
              </w:rPr>
              <w:t>Territories throughout the financial year.</w:t>
            </w:r>
          </w:p>
          <w:p w14:paraId="6080606E" w14:textId="09ACDD69" w:rsidR="009C77D1" w:rsidRDefault="009C77D1" w:rsidP="00C2225F">
            <w:pPr>
              <w:ind w:left="142"/>
              <w:rPr>
                <w:lang w:val="en-GB"/>
              </w:rPr>
            </w:pPr>
            <w:r>
              <w:rPr>
                <w:lang w:val="en-GB"/>
              </w:rPr>
              <w:t>States</w:t>
            </w:r>
            <w:r w:rsidR="00B8643A">
              <w:rPr>
                <w:lang w:val="en-GB"/>
              </w:rPr>
              <w:t xml:space="preserve"> and </w:t>
            </w:r>
            <w:r>
              <w:rPr>
                <w:lang w:val="en-GB"/>
              </w:rPr>
              <w:t>Territories may be entitled to additional funding over the Soft Cap if there is funding available under the National Funding Cap (a Redistribution Amount) upon completion of the annual Reconciliation. The Redistribution Amount will be determined as the total of any funding remaining under the National Funding Cap, resulting from a State</w:t>
            </w:r>
            <w:r w:rsidR="005477FB">
              <w:rPr>
                <w:lang w:val="en-GB"/>
              </w:rPr>
              <w:t xml:space="preserve"> and </w:t>
            </w:r>
            <w:r>
              <w:rPr>
                <w:lang w:val="en-GB"/>
              </w:rPr>
              <w:t>Territory with growth less than 6.5%.</w:t>
            </w:r>
          </w:p>
        </w:tc>
      </w:tr>
    </w:tbl>
    <w:p w14:paraId="7F109D9E" w14:textId="77777777" w:rsidR="009C77D1" w:rsidRDefault="009C77D1" w:rsidP="009C77D1">
      <w:pPr>
        <w:rPr>
          <w:rFonts w:eastAsia="Verdana"/>
        </w:rPr>
      </w:pPr>
    </w:p>
    <w:p w14:paraId="3B7BBD58" w14:textId="77777777" w:rsidR="009C77D1" w:rsidRDefault="009C77D1" w:rsidP="009C77D1">
      <w:pPr>
        <w:rPr>
          <w:rFonts w:eastAsia="Verdana"/>
        </w:rPr>
      </w:pPr>
      <w:r>
        <w:rPr>
          <w:rFonts w:eastAsia="Verdana"/>
        </w:rPr>
        <w:t xml:space="preserve">A further area of concern raised with the Review was the way in which the 6.5% national funding cap is framed, particularly in an environment of cost pressure. </w:t>
      </w:r>
    </w:p>
    <w:p w14:paraId="151BB80E" w14:textId="77777777" w:rsidR="009C77D1" w:rsidRDefault="009C77D1" w:rsidP="009C77D1">
      <w:pPr>
        <w:rPr>
          <w:rFonts w:eastAsia="Verdana"/>
        </w:rPr>
      </w:pPr>
      <w:r>
        <w:rPr>
          <w:rFonts w:eastAsia="Verdana"/>
        </w:rPr>
        <w:t>The current annual implementation of the national growth cap strongly incentivises States and Territories to deliver as close as possible to 6.5% growth in ABF entitlement each year, as every dollar under 6.5% is effectively lost for all future years, and every NWAU delivered over 6.5% permanently reduces their funding for all future years, as efficient growth in activity is calculated on NWAU delivered, not NWAU funded by the Commonwealth. However, the consequence of this is that the States and Territories are incentivised to deliver enough NWAU to reach 6.5% growth each year, but no more. This means that temporary needs, such as an elective surgery blitz to recover from a pandemic are potentially deterred by the national funding cap.</w:t>
      </w:r>
    </w:p>
    <w:p w14:paraId="6370B7D1" w14:textId="77777777" w:rsidR="009C77D1" w:rsidRDefault="009C77D1" w:rsidP="009C77D1">
      <w:pPr>
        <w:rPr>
          <w:rFonts w:eastAsia="Verdana"/>
        </w:rPr>
      </w:pPr>
      <w:r>
        <w:rPr>
          <w:rFonts w:eastAsia="Verdana"/>
        </w:rPr>
        <w:t>The funding cap incorporates both price and activity growth and applies across the Commonwealth funding entitlement of each State and Territory throughout the relevant financial year. Including price growth in this calculation is particularly contentious due to the level of inflationary pressure that jurisdictions currently face, a fact made more acute by the lag between when costs are incurred and when they flow through to the NEP.</w:t>
      </w:r>
    </w:p>
    <w:p w14:paraId="7648B8BF" w14:textId="78EBE7B4" w:rsidR="009C77D1" w:rsidRDefault="009C77D1" w:rsidP="009C77D1">
      <w:pPr>
        <w:rPr>
          <w:rFonts w:eastAsia="Verdana"/>
        </w:rPr>
      </w:pPr>
      <w:r>
        <w:rPr>
          <w:rFonts w:eastAsia="Verdana"/>
        </w:rPr>
        <w:t>A number of jurisdictions reported that, for current projections, the proportion of funding growth that is driven by price variables is greater than activity</w:t>
      </w:r>
      <w:r w:rsidR="00B5349C">
        <w:rPr>
          <w:rFonts w:eastAsia="Verdana"/>
        </w:rPr>
        <w:t>. This is</w:t>
      </w:r>
      <w:r>
        <w:rPr>
          <w:rFonts w:eastAsia="Verdana"/>
        </w:rPr>
        <w:t xml:space="preserve"> significantly limiting their ability to grow service capacity to address projected demand, particularly in a post-COVID demand environment and arguably shifting the financial burden to them as a reasonable level of demand growth is unavoidable. This proportion of funding growth is illustrated in the following jurisdictional case study provided as part of this Review.</w:t>
      </w:r>
    </w:p>
    <w:tbl>
      <w:tblPr>
        <w:tblStyle w:val="TableGrid"/>
        <w:tblW w:w="0" w:type="auto"/>
        <w:tblBorders>
          <w:top w:val="dotted" w:sz="4" w:space="0" w:color="0097A9" w:themeColor="accent5"/>
          <w:left w:val="dotted" w:sz="4" w:space="0" w:color="0097A9" w:themeColor="accent5"/>
          <w:bottom w:val="dotted" w:sz="4" w:space="0" w:color="0097A9" w:themeColor="accent5"/>
          <w:right w:val="dotted" w:sz="4" w:space="0" w:color="0097A9" w:themeColor="accent5"/>
          <w:insideH w:val="dotted" w:sz="4" w:space="0" w:color="0097A9" w:themeColor="accent5"/>
        </w:tblBorders>
        <w:tblLook w:val="04A0" w:firstRow="1" w:lastRow="0" w:firstColumn="1" w:lastColumn="0" w:noHBand="0" w:noVBand="1"/>
      </w:tblPr>
      <w:tblGrid>
        <w:gridCol w:w="6205"/>
        <w:gridCol w:w="4251"/>
      </w:tblGrid>
      <w:tr w:rsidR="00AF63EE" w14:paraId="35A86D36" w14:textId="77777777" w:rsidTr="008838A5">
        <w:trPr>
          <w:cnfStyle w:val="100000000000" w:firstRow="1" w:lastRow="0" w:firstColumn="0" w:lastColumn="0" w:oddVBand="0" w:evenVBand="0" w:oddHBand="0" w:evenHBand="0" w:firstRowFirstColumn="0" w:firstRowLastColumn="0" w:lastRowFirstColumn="0" w:lastRowLastColumn="0"/>
        </w:trPr>
        <w:tc>
          <w:tcPr>
            <w:tcW w:w="6205"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2F17A438" w14:textId="045AC3A0" w:rsidR="00AF63EE" w:rsidRDefault="00AF63EE" w:rsidP="00436AB4">
            <w:pPr>
              <w:pStyle w:val="Summarytable"/>
              <w:rPr>
                <w:color w:val="0097A9"/>
                <w:lang w:val="en-GB"/>
              </w:rPr>
            </w:pPr>
            <w:r>
              <w:rPr>
                <w:noProof/>
                <w:lang w:val="en-GB"/>
              </w:rPr>
              <w:drawing>
                <wp:inline distT="0" distB="0" distL="0" distR="0" wp14:anchorId="2BBFF425" wp14:editId="23C9EAAD">
                  <wp:extent cx="269875" cy="269875"/>
                  <wp:effectExtent l="0" t="0" r="0" b="0"/>
                  <wp:docPr id="233" name="Graphic 233" descr="P1793C1T90#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3" name="Graphic 233" descr="P1793C1T90#yIS1">
                            <a:extLst>
                              <a:ext uri="{C183D7F6-B498-43B3-948B-1728B52AA6E4}">
                                <adec:decorative xmlns:adec="http://schemas.microsoft.com/office/drawing/2017/decorative" val="1"/>
                              </a:ext>
                            </a:extLst>
                          </pic:cNvPr>
                          <pic:cNvPicPr>
                            <a:picLocks noChangeAspect="1"/>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69875" cy="269875"/>
                          </a:xfrm>
                          <a:prstGeom prst="rect">
                            <a:avLst/>
                          </a:prstGeom>
                        </pic:spPr>
                      </pic:pic>
                    </a:graphicData>
                  </a:graphic>
                </wp:inline>
              </w:drawing>
            </w:r>
            <w:r w:rsidRPr="00486AC2">
              <w:rPr>
                <w:color w:val="00707E" w:themeColor="accent5" w:themeShade="BF"/>
                <w:lang w:val="en-GB"/>
              </w:rPr>
              <w:t xml:space="preserve">Case study: </w:t>
            </w:r>
            <w:r w:rsidRPr="00486AC2">
              <w:rPr>
                <w:b w:val="0"/>
                <w:bCs w:val="0"/>
                <w:color w:val="00707E" w:themeColor="accent5" w:themeShade="BF"/>
                <w:lang w:val="en-GB"/>
              </w:rPr>
              <w:t>Components of the NHRA contributing to Funding Growth: A view from one jurisdiction</w:t>
            </w:r>
          </w:p>
          <w:p w14:paraId="37010986" w14:textId="77777777" w:rsidR="00AF63EE" w:rsidRDefault="00AF63EE" w:rsidP="00AF63EE">
            <w:pPr>
              <w:pStyle w:val="Summarytable"/>
              <w:rPr>
                <w:b w:val="0"/>
                <w:bCs w:val="0"/>
                <w:lang w:val="en-GB"/>
              </w:rPr>
            </w:pPr>
            <w:r w:rsidRPr="00216B18">
              <w:rPr>
                <w:b w:val="0"/>
                <w:bCs w:val="0"/>
                <w:lang w:val="en-GB"/>
              </w:rPr>
              <w:t xml:space="preserve">A significant proportion of funding growth is currently being utilised by price as shown </w:t>
            </w:r>
            <w:r>
              <w:rPr>
                <w:b w:val="0"/>
                <w:bCs w:val="0"/>
                <w:lang w:val="en-GB"/>
              </w:rPr>
              <w:t>on the right-hand side of the chart</w:t>
            </w:r>
            <w:r w:rsidRPr="00216B18">
              <w:rPr>
                <w:b w:val="0"/>
                <w:bCs w:val="0"/>
                <w:lang w:val="en-GB"/>
              </w:rPr>
              <w:t>.</w:t>
            </w:r>
          </w:p>
          <w:p w14:paraId="565B5747" w14:textId="7B884D0E" w:rsidR="00AF63EE" w:rsidRDefault="00AF63EE" w:rsidP="00AF63EE">
            <w:pPr>
              <w:pStyle w:val="Summarytable"/>
              <w:rPr>
                <w:b w:val="0"/>
                <w:bCs w:val="0"/>
                <w:lang w:val="en-GB"/>
              </w:rPr>
            </w:pPr>
            <w:r w:rsidRPr="00216B18">
              <w:rPr>
                <w:b w:val="0"/>
                <w:bCs w:val="0"/>
                <w:lang w:val="en-GB"/>
              </w:rPr>
              <w:t>Previously</w:t>
            </w:r>
            <w:r>
              <w:rPr>
                <w:b w:val="0"/>
                <w:bCs w:val="0"/>
                <w:lang w:val="en-GB"/>
              </w:rPr>
              <w:t>,</w:t>
            </w:r>
            <w:r w:rsidRPr="00216B18">
              <w:rPr>
                <w:b w:val="0"/>
                <w:bCs w:val="0"/>
                <w:lang w:val="en-GB"/>
              </w:rPr>
              <w:t xml:space="preserve"> price growth utilised an average of 2.6 percentage points of funding growth. However</w:t>
            </w:r>
            <w:r>
              <w:rPr>
                <w:b w:val="0"/>
                <w:bCs w:val="0"/>
                <w:lang w:val="en-GB"/>
              </w:rPr>
              <w:t>,</w:t>
            </w:r>
            <w:r w:rsidRPr="00216B18">
              <w:rPr>
                <w:b w:val="0"/>
                <w:bCs w:val="0"/>
                <w:lang w:val="en-GB"/>
              </w:rPr>
              <w:t xml:space="preserve"> price is now estimated to average 4.5 percentage points driven by the incorporation of COVID-19 cost in the 2022-23 price. </w:t>
            </w:r>
          </w:p>
          <w:p w14:paraId="2F37CA33" w14:textId="09303256" w:rsidR="00AF63EE" w:rsidRPr="00216B18" w:rsidRDefault="00AF63EE" w:rsidP="00AF63EE">
            <w:pPr>
              <w:pStyle w:val="Summarytable"/>
              <w:rPr>
                <w:b w:val="0"/>
                <w:bCs w:val="0"/>
                <w:lang w:val="en-GB"/>
              </w:rPr>
            </w:pPr>
            <w:r w:rsidRPr="00216B18">
              <w:rPr>
                <w:b w:val="0"/>
                <w:bCs w:val="0"/>
                <w:lang w:val="en-GB"/>
              </w:rPr>
              <w:t>Over the forward years, the level of activity growth available under the 6.5</w:t>
            </w:r>
            <w:r>
              <w:rPr>
                <w:b w:val="0"/>
                <w:bCs w:val="0"/>
                <w:lang w:val="en-GB"/>
              </w:rPr>
              <w:t>% fu</w:t>
            </w:r>
            <w:r w:rsidRPr="00216B18">
              <w:rPr>
                <w:b w:val="0"/>
                <w:bCs w:val="0"/>
                <w:lang w:val="en-GB"/>
              </w:rPr>
              <w:t xml:space="preserve">nding cap, once price growth is accounted for, is significantly limited and will impact </w:t>
            </w:r>
            <w:r>
              <w:rPr>
                <w:b w:val="0"/>
                <w:bCs w:val="0"/>
                <w:lang w:val="en-GB"/>
              </w:rPr>
              <w:t>jurisdictions’</w:t>
            </w:r>
            <w:r w:rsidRPr="00216B18">
              <w:rPr>
                <w:b w:val="0"/>
                <w:bCs w:val="0"/>
                <w:lang w:val="en-GB"/>
              </w:rPr>
              <w:t xml:space="preserve"> ability to grow services to address backlogs in elective surgeries, decrease the elective surgery waitlist and meet the demands of the population.</w:t>
            </w:r>
          </w:p>
        </w:tc>
        <w:tc>
          <w:tcPr>
            <w:tcW w:w="425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C6689E" w14:textId="59FD5E91" w:rsidR="00AF63EE" w:rsidRDefault="00AF63EE" w:rsidP="00AF63EE">
            <w:pPr>
              <w:pStyle w:val="Summarytable"/>
              <w:spacing w:after="0" w:line="240" w:lineRule="auto"/>
              <w:ind w:left="144"/>
              <w:rPr>
                <w:b w:val="0"/>
                <w:bCs w:val="0"/>
                <w:lang w:val="en-GB"/>
              </w:rPr>
            </w:pPr>
            <w:r>
              <w:rPr>
                <w:noProof/>
              </w:rPr>
              <w:drawing>
                <wp:inline distT="0" distB="0" distL="0" distR="0" wp14:anchorId="6821BC50" wp14:editId="4D638778">
                  <wp:extent cx="2512088" cy="2214972"/>
                  <wp:effectExtent l="0" t="0" r="2540" b="0"/>
                  <wp:docPr id="232" name="Picture 232" descr="P1797C2T90#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P1797C2T90#yIS1">
                            <a:extLst>
                              <a:ext uri="{C183D7F6-B498-43B3-948B-1728B52AA6E4}">
                                <adec:decorative xmlns:adec="http://schemas.microsoft.com/office/drawing/2017/decorative" val="0"/>
                              </a:ext>
                            </a:extLst>
                          </pic:cNvPr>
                          <pic:cNvPicPr/>
                        </pic:nvPicPr>
                        <pic:blipFill>
                          <a:blip r:embed="rId103">
                            <a:extLst>
                              <a:ext uri="{28A0092B-C50C-407E-A947-70E740481C1C}">
                                <a14:useLocalDpi xmlns:a14="http://schemas.microsoft.com/office/drawing/2010/main" val="0"/>
                              </a:ext>
                            </a:extLst>
                          </a:blip>
                          <a:stretch>
                            <a:fillRect/>
                          </a:stretch>
                        </pic:blipFill>
                        <pic:spPr>
                          <a:xfrm>
                            <a:off x="0" y="0"/>
                            <a:ext cx="2519155" cy="2221203"/>
                          </a:xfrm>
                          <a:prstGeom prst="rect">
                            <a:avLst/>
                          </a:prstGeom>
                        </pic:spPr>
                      </pic:pic>
                    </a:graphicData>
                  </a:graphic>
                </wp:inline>
              </w:drawing>
            </w:r>
          </w:p>
        </w:tc>
      </w:tr>
    </w:tbl>
    <w:p w14:paraId="60FE7539" w14:textId="77777777" w:rsidR="007F391F" w:rsidRPr="00AF63EE" w:rsidRDefault="007F391F" w:rsidP="00AF63EE">
      <w:pPr>
        <w:spacing w:after="0" w:line="240" w:lineRule="auto"/>
        <w:rPr>
          <w:rFonts w:eastAsia="Verdana"/>
          <w:sz w:val="16"/>
          <w:szCs w:val="16"/>
        </w:rPr>
      </w:pPr>
    </w:p>
    <w:p w14:paraId="21292ACA" w14:textId="2545ADCC" w:rsidR="009C77D1" w:rsidRDefault="009C77D1" w:rsidP="009C77D1">
      <w:pPr>
        <w:rPr>
          <w:rFonts w:eastAsia="Verdana"/>
        </w:rPr>
      </w:pPr>
      <w:r>
        <w:rPr>
          <w:rFonts w:eastAsia="Verdana"/>
        </w:rPr>
        <w:t xml:space="preserve">The operation of the funding cap should be reviewed to ensure it does not erode the shared responsibility between the Commonwealth and States and Territories to provide the best possible health outcomes, especially as the system recovers from COVID-19 volatility.  One option that would return the funding cap closer to its intended purpose would be to reframe it as an activity cap only and remove the inclusion of price growth. There are strong efficiency drivers on all parties to the Agreement, more so on </w:t>
      </w:r>
      <w:r w:rsidR="00571F93">
        <w:rPr>
          <w:rFonts w:eastAsia="Verdana"/>
        </w:rPr>
        <w:t>the States and Territories</w:t>
      </w:r>
      <w:r w:rsidR="00EE1234">
        <w:rPr>
          <w:rFonts w:eastAsia="Verdana"/>
        </w:rPr>
        <w:t xml:space="preserve"> </w:t>
      </w:r>
      <w:r w:rsidR="00571F93">
        <w:rPr>
          <w:rFonts w:eastAsia="Verdana"/>
        </w:rPr>
        <w:t>as they</w:t>
      </w:r>
      <w:r w:rsidR="001327DB">
        <w:rPr>
          <w:rFonts w:eastAsia="Verdana"/>
        </w:rPr>
        <w:t xml:space="preserve"> </w:t>
      </w:r>
      <w:r>
        <w:rPr>
          <w:rFonts w:eastAsia="Verdana"/>
        </w:rPr>
        <w:t xml:space="preserve">bear more of the cost of services, such that caps on price </w:t>
      </w:r>
      <w:r w:rsidR="001327DB">
        <w:rPr>
          <w:rFonts w:eastAsia="Verdana"/>
        </w:rPr>
        <w:t xml:space="preserve">are </w:t>
      </w:r>
      <w:r>
        <w:rPr>
          <w:rFonts w:eastAsia="Verdana"/>
        </w:rPr>
        <w:t>less relevant.</w:t>
      </w:r>
    </w:p>
    <w:p w14:paraId="435B5E4D" w14:textId="1C061540" w:rsidR="009C77D1" w:rsidRDefault="009C77D1" w:rsidP="009C77D1">
      <w:pPr>
        <w:pStyle w:val="Subdotpoint"/>
        <w:numPr>
          <w:ilvl w:val="0"/>
          <w:numId w:val="0"/>
        </w:numPr>
      </w:pPr>
      <w:r>
        <w:rPr>
          <w:rFonts w:eastAsia="Verdana"/>
        </w:rPr>
        <w:t xml:space="preserve">A reframed national growth cap that is a </w:t>
      </w:r>
      <w:r>
        <w:rPr>
          <w:rFonts w:eastAsia="Verdana"/>
          <w:b/>
          <w:bCs/>
        </w:rPr>
        <w:t>cap on activity only</w:t>
      </w:r>
      <w:r>
        <w:rPr>
          <w:rFonts w:eastAsia="Verdana"/>
        </w:rPr>
        <w:t xml:space="preserve"> should be set at a lower amount (say 4-5% with price excluded), subject to negotiation. </w:t>
      </w:r>
      <w:r>
        <w:t xml:space="preserve">The NHRA already provides some exceptions to the national cap, such as for </w:t>
      </w:r>
      <w:r w:rsidR="00EE1234">
        <w:t xml:space="preserve">high-cost, </w:t>
      </w:r>
      <w:r>
        <w:t xml:space="preserve">highly specialised therapies for the first two years of delivery (refer to section </w:t>
      </w:r>
      <w:r w:rsidR="00AF7A98">
        <w:fldChar w:fldCharType="begin" w:fldLock="1"/>
      </w:r>
      <w:r w:rsidR="00AF7A98">
        <w:instrText xml:space="preserve"> REF _Ref146791120 \w \h </w:instrText>
      </w:r>
      <w:r w:rsidR="00AF7A98">
        <w:fldChar w:fldCharType="separate"/>
      </w:r>
      <w:r w:rsidR="00FA10A4">
        <w:t>5.4.5</w:t>
      </w:r>
      <w:r w:rsidR="00AF7A98">
        <w:fldChar w:fldCharType="end"/>
      </w:r>
      <w:r>
        <w:t xml:space="preserve"> for further information on high</w:t>
      </w:r>
      <w:r w:rsidR="00921BB7">
        <w:t>-</w:t>
      </w:r>
      <w:r>
        <w:t>cost, highly</w:t>
      </w:r>
      <w:r w:rsidR="00BE0850">
        <w:t xml:space="preserve"> </w:t>
      </w:r>
      <w:r>
        <w:t xml:space="preserve">specialised therapies). There remains a place for this in a new Agreement and such arrangements may also be relevant where there are </w:t>
      </w:r>
      <w:r w:rsidR="001327DB">
        <w:t>priorities</w:t>
      </w:r>
      <w:r>
        <w:t xml:space="preserve"> agreed by the parties that require additional effort or a greater sharing of responsibilities, for example activity delivered to First Nations’ people or care provided to aged care or disability patients whose medical episodes are complete. </w:t>
      </w:r>
    </w:p>
    <w:tbl>
      <w:tblPr>
        <w:tblStyle w:val="TableGrid"/>
        <w:tblW w:w="10490" w:type="dxa"/>
        <w:shd w:val="clear" w:color="auto" w:fill="F2F2F2"/>
        <w:tblLook w:val="04A0" w:firstRow="1" w:lastRow="0" w:firstColumn="1" w:lastColumn="0" w:noHBand="0" w:noVBand="1"/>
      </w:tblPr>
      <w:tblGrid>
        <w:gridCol w:w="10490"/>
      </w:tblGrid>
      <w:tr w:rsidR="009C77D1" w14:paraId="0927D5E5" w14:textId="77777777" w:rsidTr="00C2225F">
        <w:trPr>
          <w:cnfStyle w:val="100000000000" w:firstRow="1" w:lastRow="0" w:firstColumn="0" w:lastColumn="0" w:oddVBand="0" w:evenVBand="0" w:oddHBand="0" w:evenHBand="0" w:firstRowFirstColumn="0" w:firstRowLastColumn="0" w:lastRowFirstColumn="0" w:lastRowLastColumn="0"/>
        </w:trPr>
        <w:tc>
          <w:tcPr>
            <w:tcW w:w="10490" w:type="dxa"/>
            <w:shd w:val="clear" w:color="auto" w:fill="F2F2F2"/>
            <w:hideMark/>
          </w:tcPr>
          <w:p w14:paraId="233D7E6D" w14:textId="437B83FA" w:rsidR="009C77D1" w:rsidRDefault="008838A5" w:rsidP="00C2225F">
            <w:pPr>
              <w:spacing w:before="120"/>
              <w:ind w:left="142"/>
              <w:rPr>
                <w:rFonts w:eastAsia="Verdana"/>
                <w:lang w:val="en-GB"/>
              </w:rPr>
            </w:pPr>
            <w:r w:rsidRPr="009C5E67">
              <w:rPr>
                <w:noProof/>
                <w:color w:val="00707E" w:themeColor="accent5" w:themeShade="BF"/>
                <w:lang w:val="en-GB"/>
              </w:rPr>
              <w:drawing>
                <wp:inline distT="0" distB="0" distL="0" distR="0" wp14:anchorId="7592BA3C" wp14:editId="18FF995E">
                  <wp:extent cx="269875" cy="269875"/>
                  <wp:effectExtent l="0" t="0" r="0" b="0"/>
                  <wp:docPr id="237" name="Graphic 237" descr="P1802C1T91#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7" name="Graphic 237" descr="P1802C1T91#yIS1">
                            <a:extLst>
                              <a:ext uri="{C183D7F6-B498-43B3-948B-1728B52AA6E4}">
                                <adec:decorative xmlns:adec="http://schemas.microsoft.com/office/drawing/2017/decorative" val="1"/>
                              </a:ext>
                            </a:extLst>
                          </pic:cNvPr>
                          <pic:cNvPicPr>
                            <a:picLocks noChangeAspect="1"/>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269875" cy="269875"/>
                          </a:xfrm>
                          <a:prstGeom prst="rect">
                            <a:avLst/>
                          </a:prstGeom>
                        </pic:spPr>
                      </pic:pic>
                    </a:graphicData>
                  </a:graphic>
                </wp:inline>
              </w:drawing>
            </w:r>
            <w:r w:rsidR="009C77D1">
              <w:rPr>
                <w:rFonts w:eastAsia="Verdana"/>
                <w:b/>
                <w:bCs/>
                <w:color w:val="00707E"/>
                <w:lang w:val="en-GB"/>
              </w:rPr>
              <w:t>Recommendation</w:t>
            </w:r>
            <w:r w:rsidR="009C77D1">
              <w:rPr>
                <w:rFonts w:eastAsia="Verdana"/>
                <w:b/>
                <w:bCs/>
                <w:noProof/>
                <w:color w:val="0097A9"/>
                <w:lang w:val="en-GB"/>
              </w:rPr>
              <w:t xml:space="preserve"> </w:t>
            </w:r>
            <w:r w:rsidR="009C77D1" w:rsidRPr="009C5E67">
              <w:rPr>
                <w:rFonts w:eastAsia="Verdana"/>
                <w:b/>
                <w:bCs/>
                <w:noProof/>
                <w:color w:val="00707E" w:themeColor="accent5" w:themeShade="BF"/>
                <w:lang w:val="en-GB"/>
              </w:rPr>
              <w:t>2</w:t>
            </w:r>
            <w:r w:rsidR="00692398">
              <w:rPr>
                <w:rFonts w:eastAsia="Verdana"/>
                <w:b/>
                <w:bCs/>
                <w:noProof/>
                <w:color w:val="00707E" w:themeColor="accent5" w:themeShade="BF"/>
                <w:lang w:val="en-GB"/>
              </w:rPr>
              <w:t>4</w:t>
            </w:r>
            <w:r w:rsidR="009C77D1">
              <w:rPr>
                <w:rFonts w:eastAsia="Verdana"/>
                <w:b/>
                <w:bCs/>
                <w:color w:val="00707E"/>
                <w:lang w:val="en-GB"/>
              </w:rPr>
              <w:t xml:space="preserve">: </w:t>
            </w:r>
            <w:r w:rsidR="009C77D1">
              <w:rPr>
                <w:rFonts w:eastAsia="Verdana"/>
                <w:lang w:val="en-GB"/>
              </w:rPr>
              <w:t xml:space="preserve">Consideration </w:t>
            </w:r>
            <w:r w:rsidR="000F08B0">
              <w:rPr>
                <w:rFonts w:eastAsia="Verdana"/>
                <w:lang w:val="en-GB"/>
              </w:rPr>
              <w:t xml:space="preserve">should </w:t>
            </w:r>
            <w:r w:rsidR="009C77D1">
              <w:rPr>
                <w:rFonts w:eastAsia="Verdana"/>
                <w:lang w:val="en-GB"/>
              </w:rPr>
              <w:t xml:space="preserve">be given to </w:t>
            </w:r>
            <w:r w:rsidR="009C77D1">
              <w:rPr>
                <w:rFonts w:eastAsia="Verdana"/>
                <w:b/>
                <w:bCs/>
                <w:lang w:val="en-GB"/>
              </w:rPr>
              <w:t>reframe the 6.5% national funding cap</w:t>
            </w:r>
            <w:r w:rsidR="009C77D1">
              <w:rPr>
                <w:rFonts w:eastAsia="Verdana"/>
                <w:lang w:val="en-GB"/>
              </w:rPr>
              <w:t xml:space="preserve"> to an activity cap alone (~4-5% activity growth)</w:t>
            </w:r>
            <w:r w:rsidR="002F3029">
              <w:rPr>
                <w:rFonts w:eastAsia="Verdana"/>
                <w:lang w:val="en-GB"/>
              </w:rPr>
              <w:t>,</w:t>
            </w:r>
            <w:r w:rsidR="009C77D1">
              <w:rPr>
                <w:rFonts w:eastAsia="Verdana"/>
                <w:lang w:val="en-GB"/>
              </w:rPr>
              <w:t xml:space="preserve"> with price growth not subject to a cap but based on an efficient price calculation using contemporary activity and cost data. </w:t>
            </w:r>
          </w:p>
        </w:tc>
      </w:tr>
    </w:tbl>
    <w:p w14:paraId="4D8EDF93" w14:textId="77777777" w:rsidR="009B4D68" w:rsidRDefault="009B4D68" w:rsidP="00D2518E"/>
    <w:p w14:paraId="7B2BCDD7" w14:textId="39961420" w:rsidR="009C77D1" w:rsidRPr="00CC3B4F" w:rsidRDefault="009C77D1" w:rsidP="00CC3B4F">
      <w:pPr>
        <w:pStyle w:val="Heading3"/>
      </w:pPr>
      <w:bookmarkStart w:id="273" w:name="_Ref148442285"/>
      <w:r w:rsidRPr="00CC3B4F">
        <w:t>Block funding and public health funding</w:t>
      </w:r>
      <w:bookmarkEnd w:id="273"/>
      <w:r w:rsidRPr="00CC3B4F">
        <w:t xml:space="preserve"> </w:t>
      </w:r>
    </w:p>
    <w:p w14:paraId="5A84A16C" w14:textId="77777777" w:rsidR="009C77D1" w:rsidRDefault="009C77D1" w:rsidP="009C77D1">
      <w:pPr>
        <w:rPr>
          <w:rFonts w:eastAsia="Verdana"/>
        </w:rPr>
      </w:pPr>
      <w:r>
        <w:rPr>
          <w:rFonts w:eastAsia="Verdana"/>
        </w:rPr>
        <w:t xml:space="preserve">The NHRA (Clauses A49 to 55) sets out the reasons and process for use of block funding to support those public hospital services that are most appropriately funded in this way. When ABF was introduced as part of the NHRA there was considerable uncertainty regarding the feasibility of moving all components of funding to ABF in the short or medium term, so ABF classification systems for as many types of activity as feasible were created, with remaining activities to be paid as block funding. </w:t>
      </w:r>
    </w:p>
    <w:p w14:paraId="2D3190DD" w14:textId="275ABBCE" w:rsidR="009C77D1" w:rsidRDefault="009C77D1" w:rsidP="009C77D1">
      <w:pPr>
        <w:rPr>
          <w:rFonts w:eastAsia="Verdana"/>
        </w:rPr>
      </w:pPr>
      <w:r>
        <w:rPr>
          <w:rFonts w:eastAsia="Verdana"/>
        </w:rPr>
        <w:t>Block funding from the Commonwealth is managed through the National Health Funding Pool account to the State</w:t>
      </w:r>
      <w:r w:rsidR="005477FB">
        <w:rPr>
          <w:rFonts w:eastAsia="Verdana"/>
        </w:rPr>
        <w:t xml:space="preserve"> or </w:t>
      </w:r>
      <w:r>
        <w:rPr>
          <w:rFonts w:eastAsia="Verdana"/>
        </w:rPr>
        <w:t>Territory and distributed to health services/other organisations based on specific funding arrangements established by each State</w:t>
      </w:r>
      <w:r w:rsidR="005477FB">
        <w:rPr>
          <w:rFonts w:eastAsia="Verdana"/>
        </w:rPr>
        <w:t xml:space="preserve"> and </w:t>
      </w:r>
      <w:r>
        <w:rPr>
          <w:rFonts w:eastAsia="Verdana"/>
        </w:rPr>
        <w:t>Territory</w:t>
      </w:r>
      <w:r w:rsidR="00B5349C">
        <w:rPr>
          <w:rFonts w:eastAsia="Verdana"/>
        </w:rPr>
        <w:t>. These</w:t>
      </w:r>
      <w:r>
        <w:rPr>
          <w:rFonts w:eastAsia="Verdana"/>
        </w:rPr>
        <w:t xml:space="preserve"> </w:t>
      </w:r>
      <w:r w:rsidR="00B5349C">
        <w:rPr>
          <w:rFonts w:eastAsia="Verdana"/>
        </w:rPr>
        <w:t xml:space="preserve">block funding components </w:t>
      </w:r>
      <w:r>
        <w:rPr>
          <w:rFonts w:eastAsia="Verdana"/>
        </w:rPr>
        <w:t xml:space="preserve">predominantly relate to the activity of small rural and regional hospitals with lower patient volumes, teaching training and research and public health allocations. A fixed plus variable model is used to determine Commonwealth contributions of </w:t>
      </w:r>
      <w:r w:rsidR="00B5349C">
        <w:rPr>
          <w:rFonts w:eastAsia="Verdana"/>
        </w:rPr>
        <w:t xml:space="preserve">block </w:t>
      </w:r>
      <w:r>
        <w:rPr>
          <w:rFonts w:eastAsia="Verdana"/>
        </w:rPr>
        <w:t>funding.</w:t>
      </w:r>
    </w:p>
    <w:p w14:paraId="401AAB1F" w14:textId="25765E44" w:rsidR="009C77D1" w:rsidRPr="0004265C" w:rsidRDefault="009C77D1" w:rsidP="00C47984">
      <w:r w:rsidRPr="0004265C">
        <w:t xml:space="preserve">As at March 2023, IHACPA has identified </w:t>
      </w:r>
      <w:r w:rsidR="001327DB" w:rsidRPr="0004265C">
        <w:t xml:space="preserve">that </w:t>
      </w:r>
      <w:r w:rsidRPr="0004265C">
        <w:t>400 hospitals are designated for block funding</w:t>
      </w:r>
      <w:r w:rsidR="003F5D51">
        <w:rPr>
          <w:rFonts w:ascii="ZWAdobeF" w:hAnsi="ZWAdobeF" w:cs="ZWAdobeF"/>
          <w:sz w:val="2"/>
          <w:szCs w:val="2"/>
        </w:rPr>
        <w:t>134F</w:t>
      </w:r>
      <w:r w:rsidRPr="0004265C">
        <w:rPr>
          <w:rStyle w:val="FootnoteReference"/>
        </w:rPr>
        <w:footnoteReference w:id="136"/>
      </w:r>
      <w:r w:rsidRPr="0004265C">
        <w:t>.</w:t>
      </w:r>
    </w:p>
    <w:p w14:paraId="5A23A657" w14:textId="0F7564C3" w:rsidR="009C77D1" w:rsidRPr="0004265C" w:rsidRDefault="009C77D1" w:rsidP="009C77D1">
      <w:pPr>
        <w:rPr>
          <w:rFonts w:eastAsia="Verdana"/>
        </w:rPr>
      </w:pPr>
      <w:r w:rsidRPr="0004265C">
        <w:rPr>
          <w:rFonts w:eastAsia="Verdana"/>
        </w:rPr>
        <w:t xml:space="preserve">The general criteria for </w:t>
      </w:r>
      <w:r w:rsidR="00B5349C">
        <w:rPr>
          <w:rFonts w:eastAsia="Verdana"/>
        </w:rPr>
        <w:t>b</w:t>
      </w:r>
      <w:r w:rsidR="00B5349C" w:rsidRPr="0004265C">
        <w:rPr>
          <w:rFonts w:eastAsia="Verdana"/>
        </w:rPr>
        <w:t xml:space="preserve">lock </w:t>
      </w:r>
      <w:r w:rsidRPr="0004265C">
        <w:rPr>
          <w:rFonts w:eastAsia="Verdana"/>
        </w:rPr>
        <w:t>funding are</w:t>
      </w:r>
      <w:r w:rsidR="00D5517B" w:rsidRPr="0004265C">
        <w:rPr>
          <w:rFonts w:eastAsia="Verdana"/>
        </w:rPr>
        <w:t xml:space="preserve"> that the technical requirements for applying ABF are not able to be satisfied and that there is an absence of economies of scale that mean some services would not be financially viable under ABF.</w:t>
      </w:r>
    </w:p>
    <w:p w14:paraId="282F29C7" w14:textId="490B247A" w:rsidR="009C77D1" w:rsidRPr="0004265C" w:rsidRDefault="009C77D1" w:rsidP="009C77D1">
      <w:pPr>
        <w:rPr>
          <w:rFonts w:eastAsia="Verdana"/>
        </w:rPr>
      </w:pPr>
      <w:r w:rsidRPr="0004265C">
        <w:rPr>
          <w:rFonts w:eastAsia="Verdana"/>
        </w:rPr>
        <w:t>Block funding that is set in these circumstances are based on a scale of NWAU levels for the relevant hospitals.</w:t>
      </w:r>
      <w:r w:rsidR="003F5D51">
        <w:rPr>
          <w:rFonts w:ascii="ZWAdobeF" w:eastAsia="Verdana" w:hAnsi="ZWAdobeF" w:cs="ZWAdobeF"/>
          <w:sz w:val="2"/>
          <w:szCs w:val="2"/>
        </w:rPr>
        <w:t>135F</w:t>
      </w:r>
      <w:r w:rsidRPr="0004265C">
        <w:rPr>
          <w:rStyle w:val="FootnoteReference"/>
          <w:rFonts w:eastAsia="Verdana"/>
        </w:rPr>
        <w:footnoteReference w:id="137"/>
      </w:r>
    </w:p>
    <w:p w14:paraId="34627915" w14:textId="77777777" w:rsidR="009C77D1" w:rsidRPr="0004265C" w:rsidRDefault="009C77D1" w:rsidP="009C77D1">
      <w:pPr>
        <w:rPr>
          <w:rFonts w:eastAsia="Verdana"/>
        </w:rPr>
      </w:pPr>
      <w:r w:rsidRPr="0004265C">
        <w:rPr>
          <w:rFonts w:eastAsia="Verdana"/>
        </w:rPr>
        <w:t>Small rural hospitals typically serve smaller populations with lower patient volumes compared to larger urban facilities. In an ABF model, where reimbursement is tied to the number of patients treated or procedures performed, these hospitals may struggle to generate sufficient revenue to cover their fixed costs. This can lead to financial instability and risk of closure. Block funding helps ensure that these hospitals remain open and can continue to offer services that are tailored to community needs.</w:t>
      </w:r>
    </w:p>
    <w:p w14:paraId="6871D3AA" w14:textId="5B5DABD1" w:rsidR="009C77D1" w:rsidRPr="009821E4" w:rsidRDefault="009C77D1" w:rsidP="009C77D1">
      <w:pPr>
        <w:rPr>
          <w:rFonts w:eastAsia="Verdana"/>
        </w:rPr>
      </w:pPr>
      <w:r w:rsidRPr="0004265C">
        <w:rPr>
          <w:rFonts w:eastAsia="Verdana"/>
        </w:rPr>
        <w:t>The NHRA currently enables block funding for small rural health services through flexible funding models for thin markets like the Multi-Purpose Service</w:t>
      </w:r>
      <w:r w:rsidR="00DD0411">
        <w:rPr>
          <w:rFonts w:eastAsia="Verdana"/>
        </w:rPr>
        <w:t xml:space="preserve"> model</w:t>
      </w:r>
      <w:r w:rsidRPr="0004265C">
        <w:rPr>
          <w:rFonts w:eastAsia="Verdana"/>
        </w:rPr>
        <w:t xml:space="preserve">. This flexibility enables local tailored healthcare by providing flexibility, autonomy, and the ability to allocate resources according to specific community needs, including programs for out-of-hospital care. </w:t>
      </w:r>
      <w:r w:rsidRPr="00C80C3D">
        <w:rPr>
          <w:rFonts w:eastAsia="Verdana"/>
          <w:highlight w:val="yellow"/>
        </w:rPr>
        <w:t xml:space="preserve"> </w:t>
      </w:r>
    </w:p>
    <w:tbl>
      <w:tblPr>
        <w:tblStyle w:val="TableGrid"/>
        <w:tblW w:w="10490" w:type="dxa"/>
        <w:shd w:val="clear" w:color="auto" w:fill="F2F2F2"/>
        <w:tblLook w:val="04A0" w:firstRow="1" w:lastRow="0" w:firstColumn="1" w:lastColumn="0" w:noHBand="0" w:noVBand="1"/>
      </w:tblPr>
      <w:tblGrid>
        <w:gridCol w:w="10490"/>
      </w:tblGrid>
      <w:tr w:rsidR="0089518F" w14:paraId="4C4D4823" w14:textId="77777777">
        <w:trPr>
          <w:cnfStyle w:val="100000000000" w:firstRow="1" w:lastRow="0" w:firstColumn="0" w:lastColumn="0" w:oddVBand="0" w:evenVBand="0" w:oddHBand="0" w:evenHBand="0" w:firstRowFirstColumn="0" w:firstRowLastColumn="0" w:lastRowFirstColumn="0" w:lastRowLastColumn="0"/>
        </w:trPr>
        <w:tc>
          <w:tcPr>
            <w:tcW w:w="10490" w:type="dxa"/>
            <w:shd w:val="clear" w:color="auto" w:fill="F2F2F2"/>
            <w:hideMark/>
          </w:tcPr>
          <w:p w14:paraId="00CCCFD1" w14:textId="054A3C5C" w:rsidR="0089518F" w:rsidRDefault="008838A5" w:rsidP="008838A5">
            <w:pPr>
              <w:spacing w:before="120"/>
              <w:ind w:left="142"/>
              <w:rPr>
                <w:rFonts w:eastAsia="Verdana"/>
                <w:lang w:val="en-GB"/>
              </w:rPr>
            </w:pPr>
            <w:r>
              <w:rPr>
                <w:noProof/>
                <w:lang w:val="en-GB"/>
              </w:rPr>
              <w:drawing>
                <wp:inline distT="0" distB="0" distL="0" distR="0" wp14:anchorId="0DD06460" wp14:editId="0EA76842">
                  <wp:extent cx="269875" cy="269875"/>
                  <wp:effectExtent l="0" t="0" r="0" b="0"/>
                  <wp:docPr id="481345093" name="Graphic 481345093" descr="P1813C1T92#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1345093" name="Graphic 481345093" descr="P1813C1T92#yIS1">
                            <a:extLst>
                              <a:ext uri="{C183D7F6-B498-43B3-948B-1728B52AA6E4}">
                                <adec:decorative xmlns:adec="http://schemas.microsoft.com/office/drawing/2017/decorative" val="1"/>
                              </a:ext>
                            </a:extLst>
                          </pic:cNvPr>
                          <pic:cNvPicPr>
                            <a:picLocks noChangeAspect="1"/>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269875" cy="269875"/>
                          </a:xfrm>
                          <a:prstGeom prst="rect">
                            <a:avLst/>
                          </a:prstGeom>
                        </pic:spPr>
                      </pic:pic>
                    </a:graphicData>
                  </a:graphic>
                </wp:inline>
              </w:drawing>
            </w:r>
            <w:r w:rsidR="0089518F">
              <w:rPr>
                <w:rFonts w:eastAsia="Verdana"/>
                <w:b/>
                <w:bCs/>
                <w:color w:val="00707E" w:themeColor="accent5" w:themeShade="BF"/>
                <w:lang w:val="en-GB"/>
              </w:rPr>
              <w:t>Recommendation</w:t>
            </w:r>
            <w:r w:rsidR="0089518F">
              <w:rPr>
                <w:rFonts w:eastAsia="Verdana"/>
                <w:b/>
                <w:bCs/>
                <w:noProof/>
                <w:color w:val="00707E" w:themeColor="accent5" w:themeShade="BF"/>
                <w:lang w:val="en-GB"/>
              </w:rPr>
              <w:t xml:space="preserve"> 2</w:t>
            </w:r>
            <w:r w:rsidR="00692398">
              <w:rPr>
                <w:rFonts w:eastAsia="Verdana"/>
                <w:b/>
                <w:bCs/>
                <w:noProof/>
                <w:color w:val="00707E" w:themeColor="accent5" w:themeShade="BF"/>
                <w:lang w:val="en-GB"/>
              </w:rPr>
              <w:t>5</w:t>
            </w:r>
            <w:r w:rsidR="0089518F">
              <w:rPr>
                <w:rFonts w:eastAsia="Verdana"/>
                <w:b/>
                <w:bCs/>
                <w:color w:val="00707E" w:themeColor="accent5" w:themeShade="BF"/>
                <w:lang w:val="en-GB"/>
              </w:rPr>
              <w:t xml:space="preserve">: </w:t>
            </w:r>
            <w:r w:rsidR="00120FF7" w:rsidRPr="00120FF7">
              <w:rPr>
                <w:rFonts w:eastAsia="Verdana"/>
                <w:b/>
                <w:bCs/>
                <w:lang w:val="en-GB"/>
              </w:rPr>
              <w:t xml:space="preserve">Block funding </w:t>
            </w:r>
            <w:r w:rsidR="00C523EC">
              <w:rPr>
                <w:rFonts w:eastAsia="Verdana"/>
                <w:b/>
                <w:bCs/>
                <w:lang w:val="en-GB"/>
              </w:rPr>
              <w:t xml:space="preserve">arrangements </w:t>
            </w:r>
            <w:r w:rsidR="00120FF7" w:rsidRPr="00120FF7">
              <w:rPr>
                <w:rFonts w:eastAsia="Verdana"/>
                <w:b/>
                <w:bCs/>
                <w:lang w:val="en-GB"/>
              </w:rPr>
              <w:t>should be retained as a feature of a future NHRA</w:t>
            </w:r>
            <w:r w:rsidR="00120FF7" w:rsidRPr="00120FF7">
              <w:rPr>
                <w:rFonts w:eastAsia="Verdana"/>
                <w:lang w:val="en-GB"/>
              </w:rPr>
              <w:t>, recognising that certain services and functions, particularly in rural and remote areas</w:t>
            </w:r>
            <w:r w:rsidR="005839B7">
              <w:rPr>
                <w:rFonts w:eastAsia="Verdana"/>
                <w:lang w:val="en-GB"/>
              </w:rPr>
              <w:t>,</w:t>
            </w:r>
            <w:r w:rsidR="00120FF7" w:rsidRPr="00120FF7">
              <w:rPr>
                <w:rFonts w:eastAsia="Verdana"/>
                <w:lang w:val="en-GB"/>
              </w:rPr>
              <w:t xml:space="preserve"> are more appropriately funded in this way.</w:t>
            </w:r>
          </w:p>
        </w:tc>
      </w:tr>
    </w:tbl>
    <w:p w14:paraId="633EA020" w14:textId="77777777" w:rsidR="0089518F" w:rsidRPr="00C80C3D" w:rsidRDefault="0089518F" w:rsidP="009C77D1">
      <w:pPr>
        <w:rPr>
          <w:rFonts w:eastAsia="Verdana"/>
          <w:highlight w:val="yellow"/>
        </w:rPr>
      </w:pPr>
    </w:p>
    <w:p w14:paraId="71D2102C" w14:textId="338A8D6F" w:rsidR="009C77D1" w:rsidRPr="00CC3B4F" w:rsidRDefault="009C77D1" w:rsidP="007745A8">
      <w:pPr>
        <w:pStyle w:val="Heading4"/>
      </w:pPr>
      <w:bookmarkStart w:id="275" w:name="_Ref146626526"/>
      <w:r w:rsidRPr="00CC3B4F">
        <w:t>Transparency in Teaching</w:t>
      </w:r>
      <w:r w:rsidR="008D0D42">
        <w:t xml:space="preserve"> and </w:t>
      </w:r>
      <w:r w:rsidRPr="00CC3B4F">
        <w:t>Training funding</w:t>
      </w:r>
      <w:bookmarkEnd w:id="275"/>
    </w:p>
    <w:p w14:paraId="3E1364AA" w14:textId="4B834AFD" w:rsidR="009C77D1" w:rsidRDefault="009C77D1" w:rsidP="009C77D1">
      <w:pPr>
        <w:rPr>
          <w:rFonts w:eastAsia="Verdana"/>
        </w:rPr>
      </w:pPr>
      <w:r w:rsidRPr="00F951BC">
        <w:rPr>
          <w:rFonts w:eastAsia="Verdana"/>
        </w:rPr>
        <w:t>The Commonwealth Government provided $678 million for TTR in 2021-22</w:t>
      </w:r>
      <w:r w:rsidR="003F5D51">
        <w:rPr>
          <w:rFonts w:ascii="ZWAdobeF" w:eastAsia="Verdana" w:hAnsi="ZWAdobeF" w:cs="ZWAdobeF"/>
          <w:sz w:val="2"/>
          <w:szCs w:val="2"/>
        </w:rPr>
        <w:t>136F</w:t>
      </w:r>
      <w:r w:rsidRPr="00F951BC">
        <w:rPr>
          <w:rStyle w:val="FootnoteReference"/>
          <w:rFonts w:eastAsia="Verdana"/>
        </w:rPr>
        <w:footnoteReference w:id="138"/>
      </w:r>
      <w:r>
        <w:rPr>
          <w:rFonts w:eastAsia="Verdana"/>
        </w:rPr>
        <w:t>.</w:t>
      </w:r>
      <w:r w:rsidR="009B6DA1">
        <w:rPr>
          <w:rFonts w:eastAsia="Verdana"/>
        </w:rPr>
        <w:t xml:space="preserve"> However, there is </w:t>
      </w:r>
      <w:r>
        <w:rPr>
          <w:rFonts w:eastAsia="Verdana"/>
        </w:rPr>
        <w:t xml:space="preserve">limited transparency </w:t>
      </w:r>
      <w:r w:rsidR="009B6DA1">
        <w:rPr>
          <w:rFonts w:eastAsia="Verdana"/>
        </w:rPr>
        <w:t xml:space="preserve">and reporting </w:t>
      </w:r>
      <w:r>
        <w:rPr>
          <w:rFonts w:eastAsia="Verdana"/>
        </w:rPr>
        <w:t>on the allocation</w:t>
      </w:r>
      <w:r w:rsidR="002F2663">
        <w:rPr>
          <w:rFonts w:eastAsia="Verdana"/>
        </w:rPr>
        <w:t>,</w:t>
      </w:r>
      <w:r>
        <w:rPr>
          <w:rFonts w:eastAsia="Verdana"/>
        </w:rPr>
        <w:t xml:space="preserve"> </w:t>
      </w:r>
      <w:r w:rsidR="009B6DA1">
        <w:rPr>
          <w:rFonts w:eastAsia="Verdana"/>
        </w:rPr>
        <w:t xml:space="preserve">distribution and use of this </w:t>
      </w:r>
      <w:r w:rsidR="002F2663">
        <w:rPr>
          <w:rFonts w:eastAsia="Verdana"/>
        </w:rPr>
        <w:t>funding and</w:t>
      </w:r>
      <w:r>
        <w:rPr>
          <w:rFonts w:eastAsia="Verdana"/>
        </w:rPr>
        <w:t xml:space="preserve"> </w:t>
      </w:r>
      <w:r w:rsidR="009B6DA1">
        <w:rPr>
          <w:rFonts w:eastAsia="Verdana"/>
        </w:rPr>
        <w:t>the outcomes it generates</w:t>
      </w:r>
      <w:r>
        <w:rPr>
          <w:rFonts w:eastAsia="Verdana"/>
        </w:rPr>
        <w:t xml:space="preserve">. This is particularly relevant </w:t>
      </w:r>
      <w:r w:rsidR="009B6DA1">
        <w:rPr>
          <w:rFonts w:eastAsia="Verdana"/>
        </w:rPr>
        <w:t xml:space="preserve">for </w:t>
      </w:r>
      <w:r>
        <w:rPr>
          <w:rFonts w:eastAsia="Verdana"/>
        </w:rPr>
        <w:t xml:space="preserve">regional and rural hospitals as TTR funding is considered to be largely consumed by tertiary, quaternary services with a lack of rural and regional recognition. </w:t>
      </w:r>
    </w:p>
    <w:p w14:paraId="5B1B96CD" w14:textId="06E0B09E" w:rsidR="009B6DA1" w:rsidRPr="00392B66" w:rsidRDefault="009C77D1" w:rsidP="009B6DA1">
      <w:pPr>
        <w:rPr>
          <w:rFonts w:eastAsia="Verdana"/>
        </w:rPr>
      </w:pPr>
      <w:r w:rsidRPr="00392B66">
        <w:rPr>
          <w:rFonts w:eastAsia="Verdana"/>
        </w:rPr>
        <w:t>Attempts have been made to make the scope of TTR funding more objective and transparent</w:t>
      </w:r>
      <w:r w:rsidR="009B6DA1" w:rsidRPr="00392B66">
        <w:rPr>
          <w:rFonts w:eastAsia="Verdana"/>
        </w:rPr>
        <w:t>. In 2015, the then IHPA undertook a TTR costing study with an overall finding that the data provided an adequate starting point for the development of a teaching and training classification, but that there was insufficient data to support a research classification.</w:t>
      </w:r>
      <w:r w:rsidR="003F5D51">
        <w:rPr>
          <w:rFonts w:ascii="ZWAdobeF" w:eastAsia="Verdana" w:hAnsi="ZWAdobeF" w:cs="ZWAdobeF"/>
          <w:sz w:val="2"/>
          <w:szCs w:val="2"/>
        </w:rPr>
        <w:t>137F</w:t>
      </w:r>
      <w:r w:rsidR="009B6DA1" w:rsidRPr="00392B66">
        <w:rPr>
          <w:rStyle w:val="FootnoteReference"/>
          <w:rFonts w:eastAsia="Verdana"/>
        </w:rPr>
        <w:footnoteReference w:id="139"/>
      </w:r>
      <w:r w:rsidR="009B6DA1" w:rsidRPr="00392B66">
        <w:rPr>
          <w:rFonts w:eastAsia="Verdana"/>
        </w:rPr>
        <w:t xml:space="preserve"> </w:t>
      </w:r>
    </w:p>
    <w:p w14:paraId="176B361D" w14:textId="1CCF43EB" w:rsidR="009C77D1" w:rsidRDefault="009C77D1" w:rsidP="009C77D1">
      <w:pPr>
        <w:rPr>
          <w:rFonts w:eastAsia="Verdana"/>
        </w:rPr>
      </w:pPr>
      <w:r>
        <w:rPr>
          <w:rFonts w:eastAsia="Verdana"/>
        </w:rPr>
        <w:t>IHACPA</w:t>
      </w:r>
      <w:r w:rsidR="00DA36B9">
        <w:rPr>
          <w:rFonts w:eastAsia="Verdana"/>
        </w:rPr>
        <w:t>’</w:t>
      </w:r>
      <w:r>
        <w:rPr>
          <w:rFonts w:eastAsia="Verdana"/>
        </w:rPr>
        <w:t>s Australian Teaching and Training Classification (ATTC) national classification is not yet able to be implemented due to a lack of jurisdictional reporting and consistency. States and Territories report on a “best endeavours” basis</w:t>
      </w:r>
      <w:r w:rsidR="009B6DA1">
        <w:rPr>
          <w:rFonts w:eastAsia="Verdana"/>
        </w:rPr>
        <w:t xml:space="preserve">. </w:t>
      </w:r>
      <w:r>
        <w:rPr>
          <w:rFonts w:eastAsia="Verdana"/>
        </w:rPr>
        <w:t xml:space="preserve">Requiring States and Territories to report on the ATTC as a national minimum dataset would improve transparency and enable workforce planning. It would also enable the existing NHRA teaching and training funding </w:t>
      </w:r>
      <w:r w:rsidR="009B6DA1">
        <w:rPr>
          <w:rFonts w:eastAsia="Verdana"/>
        </w:rPr>
        <w:t xml:space="preserve">to transition </w:t>
      </w:r>
      <w:r>
        <w:rPr>
          <w:rFonts w:eastAsia="Verdana"/>
        </w:rPr>
        <w:t>amounts away from Block funding</w:t>
      </w:r>
      <w:r w:rsidR="00B445BD">
        <w:rPr>
          <w:rFonts w:eastAsia="Verdana"/>
        </w:rPr>
        <w:t xml:space="preserve"> and</w:t>
      </w:r>
      <w:r>
        <w:rPr>
          <w:rFonts w:eastAsia="Verdana"/>
        </w:rPr>
        <w:t xml:space="preserve"> facilitate the transition of this stream to ABF.</w:t>
      </w:r>
    </w:p>
    <w:p w14:paraId="2FDC177C" w14:textId="74E455AB" w:rsidR="009C77D1" w:rsidRDefault="009C77D1" w:rsidP="00AA7B1D">
      <w:r>
        <w:rPr>
          <w:rFonts w:eastAsia="Verdana"/>
        </w:rPr>
        <w:t>I</w:t>
      </w:r>
      <w:r w:rsidRPr="00F26ABA">
        <w:rPr>
          <w:rFonts w:eastAsia="Verdana"/>
        </w:rPr>
        <w:t>HACPA</w:t>
      </w:r>
      <w:r>
        <w:rPr>
          <w:rFonts w:eastAsia="Verdana"/>
        </w:rPr>
        <w:t>’s</w:t>
      </w:r>
      <w:r w:rsidRPr="00F26ABA">
        <w:rPr>
          <w:rFonts w:eastAsia="Verdana"/>
        </w:rPr>
        <w:t xml:space="preserve"> </w:t>
      </w:r>
      <w:r w:rsidRPr="004B2854">
        <w:rPr>
          <w:rFonts w:eastAsia="Verdana"/>
          <w:i/>
          <w:iCs/>
        </w:rPr>
        <w:t>Pricing Framework for Australian Public Hospital Services 2023–24</w:t>
      </w:r>
      <w:r>
        <w:rPr>
          <w:rFonts w:eastAsia="Verdana"/>
        </w:rPr>
        <w:t xml:space="preserve"> states </w:t>
      </w:r>
      <w:r w:rsidR="00C53DEE">
        <w:rPr>
          <w:rFonts w:eastAsia="Verdana"/>
        </w:rPr>
        <w:t xml:space="preserve">it </w:t>
      </w:r>
      <w:r w:rsidRPr="00F26ABA">
        <w:rPr>
          <w:rFonts w:eastAsia="Verdana"/>
        </w:rPr>
        <w:t>will continue to work with jurisdictions on investigating alternative models to block funding until the ATTC can be enabled.</w:t>
      </w:r>
      <w:r w:rsidR="003F5D51">
        <w:rPr>
          <w:rFonts w:ascii="ZWAdobeF" w:eastAsia="Verdana" w:hAnsi="ZWAdobeF" w:cs="ZWAdobeF"/>
          <w:sz w:val="2"/>
          <w:szCs w:val="2"/>
        </w:rPr>
        <w:t>138F</w:t>
      </w:r>
      <w:r>
        <w:rPr>
          <w:rStyle w:val="FootnoteReference"/>
          <w:rFonts w:eastAsia="Verdana"/>
        </w:rPr>
        <w:footnoteReference w:id="140"/>
      </w:r>
    </w:p>
    <w:tbl>
      <w:tblPr>
        <w:tblStyle w:val="TableGrid"/>
        <w:tblW w:w="10490" w:type="dxa"/>
        <w:shd w:val="clear" w:color="auto" w:fill="F2F2F2"/>
        <w:tblLook w:val="04A0" w:firstRow="1" w:lastRow="0" w:firstColumn="1" w:lastColumn="0" w:noHBand="0" w:noVBand="1"/>
      </w:tblPr>
      <w:tblGrid>
        <w:gridCol w:w="10490"/>
      </w:tblGrid>
      <w:tr w:rsidR="009C77D1" w14:paraId="54F6F1D7" w14:textId="77777777" w:rsidTr="00C2225F">
        <w:trPr>
          <w:cnfStyle w:val="100000000000" w:firstRow="1" w:lastRow="0" w:firstColumn="0" w:lastColumn="0" w:oddVBand="0" w:evenVBand="0" w:oddHBand="0" w:evenHBand="0" w:firstRowFirstColumn="0" w:firstRowLastColumn="0" w:lastRowFirstColumn="0" w:lastRowLastColumn="0"/>
        </w:trPr>
        <w:tc>
          <w:tcPr>
            <w:tcW w:w="10490" w:type="dxa"/>
            <w:shd w:val="clear" w:color="auto" w:fill="F2F2F2"/>
            <w:hideMark/>
          </w:tcPr>
          <w:p w14:paraId="297DAA31" w14:textId="5D9F2478" w:rsidR="009C77D1" w:rsidRDefault="008838A5" w:rsidP="008838A5">
            <w:pPr>
              <w:spacing w:before="120"/>
              <w:ind w:left="142"/>
              <w:rPr>
                <w:rFonts w:eastAsia="Verdana"/>
                <w:lang w:val="en-GB"/>
              </w:rPr>
            </w:pPr>
            <w:bookmarkStart w:id="281" w:name="_Hlk146709848"/>
            <w:r>
              <w:rPr>
                <w:noProof/>
                <w:lang w:val="en-GB"/>
              </w:rPr>
              <w:drawing>
                <wp:inline distT="0" distB="0" distL="0" distR="0" wp14:anchorId="3D4700F6" wp14:editId="67FCB063">
                  <wp:extent cx="269875" cy="269875"/>
                  <wp:effectExtent l="0" t="0" r="0" b="0"/>
                  <wp:docPr id="238" name="Graphic 238" descr="P1821C1T93#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8" name="Graphic 238" descr="P1821C1T93#yIS1">
                            <a:extLst>
                              <a:ext uri="{C183D7F6-B498-43B3-948B-1728B52AA6E4}">
                                <adec:decorative xmlns:adec="http://schemas.microsoft.com/office/drawing/2017/decorative" val="1"/>
                              </a:ext>
                            </a:extLst>
                          </pic:cNvPr>
                          <pic:cNvPicPr>
                            <a:picLocks noChangeAspect="1"/>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269875" cy="269875"/>
                          </a:xfrm>
                          <a:prstGeom prst="rect">
                            <a:avLst/>
                          </a:prstGeom>
                        </pic:spPr>
                      </pic:pic>
                    </a:graphicData>
                  </a:graphic>
                </wp:inline>
              </w:drawing>
            </w:r>
            <w:r w:rsidR="009C77D1">
              <w:rPr>
                <w:rFonts w:eastAsia="Verdana"/>
                <w:b/>
                <w:bCs/>
                <w:color w:val="00707E" w:themeColor="accent5" w:themeShade="BF"/>
                <w:lang w:val="en-GB"/>
              </w:rPr>
              <w:t>Recommendation</w:t>
            </w:r>
            <w:r w:rsidR="009C77D1">
              <w:rPr>
                <w:rFonts w:eastAsia="Verdana"/>
                <w:b/>
                <w:bCs/>
                <w:noProof/>
                <w:color w:val="00707E" w:themeColor="accent5" w:themeShade="BF"/>
                <w:lang w:val="en-GB"/>
              </w:rPr>
              <w:t xml:space="preserve"> 2</w:t>
            </w:r>
            <w:r w:rsidR="00692398">
              <w:rPr>
                <w:rFonts w:eastAsia="Verdana"/>
                <w:b/>
                <w:bCs/>
                <w:noProof/>
                <w:color w:val="00707E" w:themeColor="accent5" w:themeShade="BF"/>
                <w:lang w:val="en-GB"/>
              </w:rPr>
              <w:t>6</w:t>
            </w:r>
            <w:r w:rsidR="009C77D1">
              <w:rPr>
                <w:rFonts w:eastAsia="Verdana"/>
                <w:b/>
                <w:bCs/>
                <w:color w:val="00707E" w:themeColor="accent5" w:themeShade="BF"/>
                <w:lang w:val="en-GB"/>
              </w:rPr>
              <w:t xml:space="preserve">: </w:t>
            </w:r>
            <w:r w:rsidR="00B55513" w:rsidRPr="00B55513">
              <w:rPr>
                <w:rFonts w:eastAsia="Verdana"/>
                <w:color w:val="000000" w:themeColor="text1"/>
                <w:lang w:val="en-GB"/>
              </w:rPr>
              <w:t>T</w:t>
            </w:r>
            <w:r w:rsidR="009C77D1">
              <w:rPr>
                <w:rFonts w:eastAsia="Verdana"/>
                <w:lang w:val="en-GB"/>
              </w:rPr>
              <w:t xml:space="preserve">here should be </w:t>
            </w:r>
            <w:r w:rsidR="007E5CFC">
              <w:rPr>
                <w:rFonts w:eastAsia="Verdana"/>
                <w:b/>
                <w:bCs/>
                <w:lang w:val="en-GB"/>
              </w:rPr>
              <w:t xml:space="preserve">greater </w:t>
            </w:r>
            <w:r w:rsidR="009C77D1">
              <w:rPr>
                <w:rFonts w:eastAsia="Verdana"/>
                <w:b/>
                <w:bCs/>
                <w:lang w:val="en-GB"/>
              </w:rPr>
              <w:t xml:space="preserve">transparency in the funding and investment in </w:t>
            </w:r>
            <w:r w:rsidR="00D37FA8">
              <w:rPr>
                <w:rFonts w:eastAsia="Verdana"/>
                <w:b/>
                <w:bCs/>
                <w:lang w:val="en-GB"/>
              </w:rPr>
              <w:t>T</w:t>
            </w:r>
            <w:r w:rsidR="009C77D1">
              <w:rPr>
                <w:rFonts w:eastAsia="Verdana"/>
                <w:b/>
                <w:bCs/>
                <w:lang w:val="en-GB"/>
              </w:rPr>
              <w:t>eaching</w:t>
            </w:r>
            <w:r w:rsidR="00D37FA8">
              <w:rPr>
                <w:rFonts w:eastAsia="Verdana"/>
                <w:b/>
                <w:bCs/>
                <w:lang w:val="en-GB"/>
              </w:rPr>
              <w:t xml:space="preserve"> and</w:t>
            </w:r>
            <w:r w:rsidR="009C77D1">
              <w:rPr>
                <w:rFonts w:eastAsia="Verdana"/>
                <w:b/>
                <w:bCs/>
                <w:lang w:val="en-GB"/>
              </w:rPr>
              <w:t xml:space="preserve"> </w:t>
            </w:r>
            <w:r w:rsidR="00D37FA8">
              <w:rPr>
                <w:rFonts w:eastAsia="Verdana"/>
                <w:b/>
                <w:bCs/>
                <w:lang w:val="en-GB"/>
              </w:rPr>
              <w:t>T</w:t>
            </w:r>
            <w:r w:rsidR="009C77D1">
              <w:rPr>
                <w:rFonts w:eastAsia="Verdana"/>
                <w:b/>
                <w:bCs/>
                <w:lang w:val="en-GB"/>
              </w:rPr>
              <w:t xml:space="preserve">raining </w:t>
            </w:r>
            <w:r w:rsidR="00D37FA8">
              <w:rPr>
                <w:rFonts w:eastAsia="Verdana"/>
                <w:b/>
                <w:bCs/>
                <w:lang w:val="en-GB"/>
              </w:rPr>
              <w:t>functions</w:t>
            </w:r>
            <w:r w:rsidR="009C77D1">
              <w:rPr>
                <w:rFonts w:eastAsia="Verdana"/>
                <w:lang w:val="en-GB"/>
              </w:rPr>
              <w:t>.</w:t>
            </w:r>
            <w:bookmarkEnd w:id="281"/>
          </w:p>
        </w:tc>
      </w:tr>
    </w:tbl>
    <w:p w14:paraId="20A8AF5B" w14:textId="77777777" w:rsidR="009C77D1" w:rsidRPr="00430843" w:rsidRDefault="009C77D1" w:rsidP="009C77D1"/>
    <w:p w14:paraId="025BFF45" w14:textId="6BEBBA54" w:rsidR="009C77D1" w:rsidRPr="00CC3B4F" w:rsidRDefault="009C77D1" w:rsidP="007745A8">
      <w:pPr>
        <w:pStyle w:val="Heading4"/>
      </w:pPr>
      <w:bookmarkStart w:id="282" w:name="_Ref146626556"/>
      <w:bookmarkStart w:id="283" w:name="_Ref148442316"/>
      <w:r w:rsidRPr="00CC3B4F">
        <w:t>Transparency of Public Health funding</w:t>
      </w:r>
      <w:bookmarkEnd w:id="282"/>
      <w:r w:rsidR="00921BB7">
        <w:t xml:space="preserve"> and prevention activities</w:t>
      </w:r>
      <w:bookmarkEnd w:id="283"/>
    </w:p>
    <w:p w14:paraId="1E5C98F0" w14:textId="38E88EFA" w:rsidR="009C77D1" w:rsidRDefault="009C77D1" w:rsidP="009C77D1">
      <w:pPr>
        <w:rPr>
          <w:rFonts w:eastAsia="Verdana"/>
        </w:rPr>
      </w:pPr>
      <w:r>
        <w:rPr>
          <w:rFonts w:eastAsia="Verdana"/>
        </w:rPr>
        <w:t xml:space="preserve">Currently, the Addendum maintains a ‘Public Health’ funding allocation which represents the historic consolidation of several stand-alone payments that were incorporated into the NHRA at its inception in 2012. The funding allocation is based on a legacy indexation model </w:t>
      </w:r>
      <w:r w:rsidR="00DA36B9">
        <w:rPr>
          <w:rFonts w:eastAsia="Verdana"/>
        </w:rPr>
        <w:t>–</w:t>
      </w:r>
      <w:r>
        <w:rPr>
          <w:rFonts w:eastAsia="Verdana"/>
        </w:rPr>
        <w:t xml:space="preserve"> the historical Specific Purpose Payment (SPP) growth factor and gives States and Territories full discretion over the application of public health funding to the outcomes set out in the NHRA (Clause A15). </w:t>
      </w:r>
    </w:p>
    <w:p w14:paraId="616402BC" w14:textId="03F6168D" w:rsidR="009C77D1" w:rsidRDefault="009C77D1" w:rsidP="009C77D1">
      <w:pPr>
        <w:rPr>
          <w:rFonts w:eastAsia="Verdana"/>
        </w:rPr>
      </w:pPr>
      <w:r>
        <w:rPr>
          <w:rFonts w:eastAsia="Verdana"/>
        </w:rPr>
        <w:t>The Commonwealth provides $500 million per annum nationally for this type of funding. If this was a standalone payment it would represent the second largest ongoing transfer of health funding from the Commonwealth to the States and Territories</w:t>
      </w:r>
      <w:r w:rsidR="002D34A8">
        <w:rPr>
          <w:rFonts w:eastAsia="Verdana"/>
        </w:rPr>
        <w:t xml:space="preserve">, </w:t>
      </w:r>
      <w:r w:rsidR="00460242">
        <w:rPr>
          <w:rFonts w:eastAsia="Verdana"/>
        </w:rPr>
        <w:t>(</w:t>
      </w:r>
      <w:r w:rsidR="002D34A8">
        <w:rPr>
          <w:rFonts w:eastAsia="Verdana"/>
        </w:rPr>
        <w:t>though a small proportion of overall public hospital funding</w:t>
      </w:r>
      <w:r w:rsidR="00460242">
        <w:rPr>
          <w:rFonts w:eastAsia="Verdana"/>
        </w:rPr>
        <w:t>)</w:t>
      </w:r>
      <w:r>
        <w:rPr>
          <w:rFonts w:eastAsia="Verdana"/>
        </w:rPr>
        <w:t>. However, this funding is accompanied by no reporting or transparency. This became particularly apparent during the COVID-19 pandemic when the Commonwealth had limited visibility of the application of NHRA public health funding.</w:t>
      </w:r>
    </w:p>
    <w:p w14:paraId="54C9C515" w14:textId="77777777" w:rsidR="009C77D1" w:rsidRDefault="009C77D1" w:rsidP="009C77D1">
      <w:pPr>
        <w:rPr>
          <w:rFonts w:eastAsia="Verdana"/>
        </w:rPr>
      </w:pPr>
      <w:r>
        <w:rPr>
          <w:rFonts w:eastAsia="Verdana"/>
        </w:rPr>
        <w:t>There are a number of areas that warrant further development:</w:t>
      </w:r>
    </w:p>
    <w:p w14:paraId="5B9A87DA" w14:textId="49ABCBFB" w:rsidR="009C77D1" w:rsidRDefault="009C77D1">
      <w:pPr>
        <w:pStyle w:val="ListParagraph"/>
        <w:numPr>
          <w:ilvl w:val="0"/>
          <w:numId w:val="79"/>
        </w:numPr>
        <w:contextualSpacing w:val="0"/>
        <w:rPr>
          <w:rFonts w:eastAsia="Verdana"/>
        </w:rPr>
      </w:pPr>
      <w:r>
        <w:rPr>
          <w:rFonts w:eastAsia="Verdana"/>
        </w:rPr>
        <w:t xml:space="preserve">There should be greater transparency of the allocation of public health funding through the NHRA. A future Agreement should align to the </w:t>
      </w:r>
      <w:r w:rsidRPr="008C0AD4">
        <w:rPr>
          <w:rFonts w:eastAsia="Verdana"/>
          <w:i/>
          <w:iCs/>
        </w:rPr>
        <w:t xml:space="preserve">National Preventive Health </w:t>
      </w:r>
      <w:r w:rsidRPr="00F63967">
        <w:rPr>
          <w:rFonts w:eastAsia="Verdana"/>
          <w:i/>
          <w:iCs/>
        </w:rPr>
        <w:t>Strategy 2021–</w:t>
      </w:r>
      <w:r w:rsidR="00D5517B" w:rsidRPr="00C47984">
        <w:rPr>
          <w:rFonts w:eastAsia="Verdana"/>
          <w:i/>
          <w:iCs/>
        </w:rPr>
        <w:t>203</w:t>
      </w:r>
      <w:r w:rsidR="00F63967" w:rsidRPr="00F63967">
        <w:rPr>
          <w:rFonts w:eastAsia="Verdana"/>
          <w:i/>
          <w:iCs/>
        </w:rPr>
        <w:t>0</w:t>
      </w:r>
      <w:r w:rsidRPr="00F63967">
        <w:rPr>
          <w:rFonts w:eastAsia="Verdana"/>
          <w:i/>
          <w:iCs/>
        </w:rPr>
        <w:t xml:space="preserve"> </w:t>
      </w:r>
      <w:r w:rsidRPr="00F63967">
        <w:rPr>
          <w:rFonts w:eastAsia="Verdana"/>
        </w:rPr>
        <w:t>with</w:t>
      </w:r>
      <w:r>
        <w:rPr>
          <w:rFonts w:eastAsia="Verdana"/>
        </w:rPr>
        <w:t xml:space="preserve"> relevant NHRA public health funding supporting the objectives identified in this Strategy.</w:t>
      </w:r>
    </w:p>
    <w:p w14:paraId="525A8C23" w14:textId="639F7C50" w:rsidR="009C77D1" w:rsidRDefault="009C77D1">
      <w:pPr>
        <w:pStyle w:val="ListParagraph"/>
        <w:numPr>
          <w:ilvl w:val="0"/>
          <w:numId w:val="79"/>
        </w:numPr>
        <w:contextualSpacing w:val="0"/>
        <w:rPr>
          <w:rFonts w:eastAsia="Verdana"/>
        </w:rPr>
      </w:pPr>
      <w:r>
        <w:rPr>
          <w:rFonts w:eastAsia="Verdana"/>
        </w:rPr>
        <w:t xml:space="preserve">There should be an established process at the local level to undertake preventative health on a systemic basis. This was identified as an issue by the Productivity Commission in its report, </w:t>
      </w:r>
      <w:r w:rsidRPr="00C47984">
        <w:rPr>
          <w:rFonts w:eastAsia="Verdana"/>
          <w:i/>
          <w:iCs/>
        </w:rPr>
        <w:t>Shifting the Dial: 5 Year Productivity Review</w:t>
      </w:r>
      <w:r>
        <w:rPr>
          <w:rFonts w:eastAsia="Verdana"/>
        </w:rPr>
        <w:t xml:space="preserve">. This report recommended that Australian Governments allocate funding to PHNs and LHNs for improving population health, managing chronic conditions, and reducing hospitalisations at the regional level. This is consistent with two of the existing strategic priorities in the Addendum: </w:t>
      </w:r>
      <w:r w:rsidR="0065798E">
        <w:rPr>
          <w:rFonts w:eastAsia="Verdana"/>
        </w:rPr>
        <w:t>P</w:t>
      </w:r>
      <w:r>
        <w:rPr>
          <w:rFonts w:eastAsia="Verdana"/>
        </w:rPr>
        <w:t>revent</w:t>
      </w:r>
      <w:r w:rsidR="0065798E">
        <w:rPr>
          <w:rFonts w:eastAsia="Verdana"/>
        </w:rPr>
        <w:t>ion and Wellbeing and</w:t>
      </w:r>
      <w:r>
        <w:rPr>
          <w:rFonts w:eastAsia="Verdana"/>
        </w:rPr>
        <w:t xml:space="preserve"> </w:t>
      </w:r>
      <w:r w:rsidR="00E17C9C">
        <w:rPr>
          <w:rFonts w:eastAsia="Verdana"/>
        </w:rPr>
        <w:t>J</w:t>
      </w:r>
      <w:r>
        <w:rPr>
          <w:rFonts w:eastAsia="Verdana"/>
        </w:rPr>
        <w:t xml:space="preserve">oint </w:t>
      </w:r>
      <w:r w:rsidR="00E17C9C">
        <w:rPr>
          <w:rFonts w:eastAsia="Verdana"/>
        </w:rPr>
        <w:t>P</w:t>
      </w:r>
      <w:r>
        <w:rPr>
          <w:rFonts w:eastAsia="Verdana"/>
        </w:rPr>
        <w:t xml:space="preserve">lanning and </w:t>
      </w:r>
      <w:r w:rsidR="00E17C9C">
        <w:rPr>
          <w:rFonts w:eastAsia="Verdana"/>
        </w:rPr>
        <w:t>F</w:t>
      </w:r>
      <w:r>
        <w:rPr>
          <w:rFonts w:eastAsia="Verdana"/>
        </w:rPr>
        <w:t xml:space="preserve">unding at the </w:t>
      </w:r>
      <w:r w:rsidR="00E17C9C">
        <w:rPr>
          <w:rFonts w:eastAsia="Verdana"/>
        </w:rPr>
        <w:t>L</w:t>
      </w:r>
      <w:r>
        <w:rPr>
          <w:rFonts w:eastAsia="Verdana"/>
        </w:rPr>
        <w:t xml:space="preserve">ocal </w:t>
      </w:r>
      <w:r w:rsidR="00E17C9C">
        <w:rPr>
          <w:rFonts w:eastAsia="Verdana"/>
        </w:rPr>
        <w:t>L</w:t>
      </w:r>
      <w:r>
        <w:rPr>
          <w:rFonts w:eastAsia="Verdana"/>
        </w:rPr>
        <w:t xml:space="preserve">evel. </w:t>
      </w:r>
    </w:p>
    <w:p w14:paraId="76BF01AA" w14:textId="61F28D6C" w:rsidR="009C77D1" w:rsidRDefault="009C77D1">
      <w:pPr>
        <w:pStyle w:val="ListParagraph"/>
        <w:numPr>
          <w:ilvl w:val="0"/>
          <w:numId w:val="79"/>
        </w:numPr>
        <w:contextualSpacing w:val="0"/>
        <w:rPr>
          <w:rFonts w:eastAsia="Verdana"/>
        </w:rPr>
      </w:pPr>
      <w:r>
        <w:rPr>
          <w:rFonts w:eastAsia="Verdana"/>
        </w:rPr>
        <w:t xml:space="preserve">Consideration could be given to applying a more rigorous, evidence-based growth calculation in the public health funding stream to better reflect the drivers of public health risk and weighted population characteristics and status, including consideration of all determinants of health </w:t>
      </w:r>
      <w:r w:rsidR="00CF31A7">
        <w:rPr>
          <w:rFonts w:eastAsia="Verdana"/>
        </w:rPr>
        <w:t>e.g.,</w:t>
      </w:r>
      <w:r>
        <w:rPr>
          <w:rFonts w:eastAsia="Verdana"/>
        </w:rPr>
        <w:t xml:space="preserve"> social and cultural determinants as appropriate. The growth funding methodology could evolve in the long term to include outcome and cost-effectiveness factors in population and preventive health, which will likely become more tangible with the development of the Australian Centre for Disease Control (CDC) and ongoing health reforms. </w:t>
      </w:r>
    </w:p>
    <w:p w14:paraId="18AFC6A1" w14:textId="04003CC5" w:rsidR="009C77D1" w:rsidRDefault="009C77D1">
      <w:pPr>
        <w:pStyle w:val="ListParagraph"/>
        <w:numPr>
          <w:ilvl w:val="0"/>
          <w:numId w:val="79"/>
        </w:numPr>
        <w:contextualSpacing w:val="0"/>
        <w:rPr>
          <w:rFonts w:eastAsia="Verdana"/>
        </w:rPr>
      </w:pPr>
      <w:r>
        <w:rPr>
          <w:rFonts w:eastAsia="Verdana"/>
        </w:rPr>
        <w:t>It is likely there will be additional Commonwealth-State</w:t>
      </w:r>
      <w:r w:rsidR="005477FB">
        <w:rPr>
          <w:rFonts w:eastAsia="Verdana"/>
        </w:rPr>
        <w:t xml:space="preserve"> and </w:t>
      </w:r>
      <w:r>
        <w:rPr>
          <w:rFonts w:eastAsia="Verdana"/>
        </w:rPr>
        <w:t xml:space="preserve">Territory arrangements negotiated with the CDC establishment, which may intersect with the NHRA. The joint commitment of all jurisdictions to the CDC presents an opportunity to ensure that funding for public health activities, </w:t>
      </w:r>
      <w:r w:rsidR="00066509">
        <w:rPr>
          <w:rFonts w:eastAsia="Verdana"/>
        </w:rPr>
        <w:t>such as</w:t>
      </w:r>
      <w:r>
        <w:rPr>
          <w:rFonts w:eastAsia="Verdana"/>
        </w:rPr>
        <w:t xml:space="preserve"> health protection (including public health laboratory capacity), health promotion and preventive health initiatives, is used efficiently. It will be important to avoid duplication across funding sources, particularly around investments in public health infrastructure and preventive health activities, as well as the CDC’s role in addressing emerging issues in the health system and public health emergency readiness. </w:t>
      </w:r>
    </w:p>
    <w:tbl>
      <w:tblPr>
        <w:tblStyle w:val="TableGrid"/>
        <w:tblW w:w="0" w:type="auto"/>
        <w:shd w:val="clear" w:color="auto" w:fill="F2F2F2"/>
        <w:tblLook w:val="04A0" w:firstRow="1" w:lastRow="0" w:firstColumn="1" w:lastColumn="0" w:noHBand="0" w:noVBand="1"/>
      </w:tblPr>
      <w:tblGrid>
        <w:gridCol w:w="10348"/>
      </w:tblGrid>
      <w:tr w:rsidR="009C77D1" w14:paraId="512EA5BA" w14:textId="77777777" w:rsidTr="00C2225F">
        <w:trPr>
          <w:cnfStyle w:val="100000000000" w:firstRow="1" w:lastRow="0" w:firstColumn="0" w:lastColumn="0" w:oddVBand="0" w:evenVBand="0" w:oddHBand="0" w:evenHBand="0" w:firstRowFirstColumn="0" w:firstRowLastColumn="0" w:lastRowFirstColumn="0" w:lastRowLastColumn="0"/>
        </w:trPr>
        <w:tc>
          <w:tcPr>
            <w:tcW w:w="10348" w:type="dxa"/>
            <w:shd w:val="clear" w:color="auto" w:fill="F2F2F2"/>
            <w:hideMark/>
          </w:tcPr>
          <w:p w14:paraId="2A63C94F" w14:textId="78BE7DC0" w:rsidR="009C77D1" w:rsidRDefault="008838A5" w:rsidP="00C2225F">
            <w:pPr>
              <w:spacing w:before="120"/>
              <w:ind w:left="142"/>
              <w:rPr>
                <w:rFonts w:eastAsia="Verdana"/>
                <w:b/>
                <w:bCs/>
                <w:color w:val="00707E"/>
                <w:lang w:val="en-GB"/>
              </w:rPr>
            </w:pPr>
            <w:r>
              <w:rPr>
                <w:noProof/>
                <w:lang w:val="en-GB"/>
              </w:rPr>
              <w:drawing>
                <wp:inline distT="0" distB="0" distL="0" distR="0" wp14:anchorId="78F4A2BF" wp14:editId="5C146EA7">
                  <wp:extent cx="269875" cy="269875"/>
                  <wp:effectExtent l="0" t="0" r="0" b="0"/>
                  <wp:docPr id="239" name="Graphic 239" descr="P1832C1T94#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9" name="Graphic 239" descr="P1832C1T94#yIS1">
                            <a:extLst>
                              <a:ext uri="{C183D7F6-B498-43B3-948B-1728B52AA6E4}">
                                <adec:decorative xmlns:adec="http://schemas.microsoft.com/office/drawing/2017/decorative" val="1"/>
                              </a:ext>
                            </a:extLst>
                          </pic:cNvPr>
                          <pic:cNvPicPr>
                            <a:picLocks noChangeAspect="1"/>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269875" cy="269875"/>
                          </a:xfrm>
                          <a:prstGeom prst="rect">
                            <a:avLst/>
                          </a:prstGeom>
                        </pic:spPr>
                      </pic:pic>
                    </a:graphicData>
                  </a:graphic>
                </wp:inline>
              </w:drawing>
            </w:r>
            <w:r w:rsidR="009C77D1">
              <w:rPr>
                <w:rFonts w:eastAsia="Verdana"/>
                <w:b/>
                <w:bCs/>
                <w:color w:val="00707E"/>
                <w:lang w:val="en-GB"/>
              </w:rPr>
              <w:t>Recommendation</w:t>
            </w:r>
            <w:r w:rsidR="009C77D1">
              <w:rPr>
                <w:rFonts w:eastAsia="Verdana"/>
                <w:b/>
                <w:bCs/>
                <w:noProof/>
                <w:color w:val="0097A9"/>
                <w:lang w:val="en-GB"/>
              </w:rPr>
              <w:t xml:space="preserve"> </w:t>
            </w:r>
            <w:r w:rsidR="009C77D1">
              <w:rPr>
                <w:rFonts w:eastAsia="Verdana"/>
                <w:b/>
                <w:bCs/>
                <w:color w:val="00707E"/>
                <w:lang w:val="en-GB"/>
              </w:rPr>
              <w:t>2</w:t>
            </w:r>
            <w:r w:rsidR="00692398">
              <w:rPr>
                <w:rFonts w:eastAsia="Verdana"/>
                <w:b/>
                <w:bCs/>
                <w:color w:val="00707E"/>
                <w:lang w:val="en-GB"/>
              </w:rPr>
              <w:t>7</w:t>
            </w:r>
            <w:r w:rsidR="009C77D1">
              <w:rPr>
                <w:rFonts w:eastAsia="Verdana"/>
                <w:b/>
                <w:bCs/>
                <w:color w:val="00707E"/>
                <w:lang w:val="en-GB"/>
              </w:rPr>
              <w:t xml:space="preserve">: </w:t>
            </w:r>
            <w:r w:rsidR="009C77D1">
              <w:rPr>
                <w:rFonts w:eastAsia="Verdana"/>
                <w:color w:val="000000" w:themeColor="text1"/>
                <w:lang w:val="en-GB"/>
              </w:rPr>
              <w:t xml:space="preserve">A new Agreement should improve transparency and reporting on </w:t>
            </w:r>
            <w:r w:rsidR="009C77D1">
              <w:rPr>
                <w:rFonts w:eastAsia="Verdana"/>
                <w:b/>
                <w:bCs/>
                <w:color w:val="000000" w:themeColor="text1"/>
                <w:lang w:val="en-GB"/>
              </w:rPr>
              <w:t>Public Health funding and investments</w:t>
            </w:r>
            <w:r w:rsidR="009C77D1">
              <w:rPr>
                <w:rFonts w:eastAsia="Verdana"/>
                <w:color w:val="000000" w:themeColor="text1"/>
                <w:lang w:val="en-GB"/>
              </w:rPr>
              <w:t xml:space="preserve">. Funding through the NHRA should be harmonised with investments and priorities </w:t>
            </w:r>
            <w:r w:rsidR="001F5117">
              <w:rPr>
                <w:rFonts w:eastAsia="Verdana"/>
                <w:color w:val="000000" w:themeColor="text1"/>
                <w:lang w:val="en-GB"/>
              </w:rPr>
              <w:t>of</w:t>
            </w:r>
            <w:r w:rsidR="009C77D1">
              <w:rPr>
                <w:rFonts w:eastAsia="Verdana"/>
                <w:color w:val="000000" w:themeColor="text1"/>
                <w:lang w:val="en-GB"/>
              </w:rPr>
              <w:t xml:space="preserve"> the Australian Centre for Disease Control, once established, and align with the </w:t>
            </w:r>
            <w:r w:rsidR="009C77D1" w:rsidRPr="006126F0">
              <w:rPr>
                <w:rFonts w:eastAsia="Verdana"/>
                <w:i/>
                <w:iCs/>
                <w:color w:val="000000" w:themeColor="text1"/>
                <w:lang w:val="en-GB"/>
              </w:rPr>
              <w:t>National Preventive Health Strategy</w:t>
            </w:r>
            <w:r w:rsidR="009C77D1">
              <w:rPr>
                <w:rFonts w:eastAsia="Verdana"/>
                <w:color w:val="000000" w:themeColor="text1"/>
                <w:lang w:val="en-GB"/>
              </w:rPr>
              <w:t xml:space="preserve"> (</w:t>
            </w:r>
            <w:r w:rsidR="00D5517B">
              <w:rPr>
                <w:rFonts w:eastAsia="Verdana"/>
                <w:color w:val="000000" w:themeColor="text1"/>
                <w:lang w:val="en-GB"/>
              </w:rPr>
              <w:t xml:space="preserve">see </w:t>
            </w:r>
            <w:r w:rsidR="009C77D1">
              <w:rPr>
                <w:rFonts w:eastAsia="Verdana"/>
                <w:color w:val="000000" w:themeColor="text1"/>
                <w:lang w:val="en-GB"/>
              </w:rPr>
              <w:t xml:space="preserve">Recommendation </w:t>
            </w:r>
            <w:r w:rsidR="00EC1430">
              <w:rPr>
                <w:rFonts w:eastAsia="Verdana"/>
                <w:color w:val="000000" w:themeColor="text1"/>
                <w:lang w:val="en-GB"/>
              </w:rPr>
              <w:t>4</w:t>
            </w:r>
            <w:r w:rsidR="00167FF1">
              <w:rPr>
                <w:rFonts w:eastAsia="Verdana"/>
                <w:color w:val="000000" w:themeColor="text1"/>
                <w:lang w:val="en-GB"/>
              </w:rPr>
              <w:t>4</w:t>
            </w:r>
            <w:r w:rsidR="009C77D1">
              <w:rPr>
                <w:rFonts w:eastAsia="Verdana"/>
                <w:color w:val="000000" w:themeColor="text1"/>
                <w:lang w:val="en-GB"/>
              </w:rPr>
              <w:t>)</w:t>
            </w:r>
            <w:r w:rsidR="009C77D1">
              <w:rPr>
                <w:rFonts w:eastAsia="Verdana"/>
                <w:lang w:val="en-GB"/>
              </w:rPr>
              <w:t>.</w:t>
            </w:r>
            <w:r w:rsidR="00D15092">
              <w:rPr>
                <w:rFonts w:eastAsia="Verdana"/>
                <w:lang w:val="en-GB"/>
              </w:rPr>
              <w:t xml:space="preserve"> </w:t>
            </w:r>
          </w:p>
        </w:tc>
      </w:tr>
    </w:tbl>
    <w:p w14:paraId="2EB6588F" w14:textId="77777777" w:rsidR="007E5CFC" w:rsidRPr="007E5CFC" w:rsidRDefault="007E5CFC" w:rsidP="00D2518E">
      <w:bookmarkStart w:id="284" w:name="_Toc143291695"/>
      <w:bookmarkStart w:id="285" w:name="_Ref146027963"/>
    </w:p>
    <w:p w14:paraId="18C89E28" w14:textId="4722DE43" w:rsidR="00DC71B3" w:rsidRDefault="00DC71B3" w:rsidP="00446C50">
      <w:pPr>
        <w:pStyle w:val="Heading3"/>
        <w:keepLines w:val="0"/>
      </w:pPr>
      <w:bookmarkStart w:id="286" w:name="_Ref146791120"/>
      <w:r>
        <w:t>PBS reform</w:t>
      </w:r>
      <w:bookmarkEnd w:id="284"/>
      <w:r w:rsidR="004A0F62">
        <w:t xml:space="preserve"> and </w:t>
      </w:r>
      <w:r w:rsidR="00677BC2">
        <w:t>h</w:t>
      </w:r>
      <w:r w:rsidR="004A0F62">
        <w:t>igh-cost</w:t>
      </w:r>
      <w:r w:rsidR="00FF374B">
        <w:t xml:space="preserve">, </w:t>
      </w:r>
      <w:r w:rsidR="00677BC2">
        <w:t>h</w:t>
      </w:r>
      <w:r w:rsidR="00FF374B">
        <w:t xml:space="preserve">ighly </w:t>
      </w:r>
      <w:r w:rsidR="00677BC2">
        <w:t>s</w:t>
      </w:r>
      <w:r w:rsidR="00FF374B">
        <w:t>pecialised</w:t>
      </w:r>
      <w:r w:rsidR="004A0F62">
        <w:t xml:space="preserve"> therapies</w:t>
      </w:r>
      <w:bookmarkEnd w:id="286"/>
      <w:r w:rsidR="004A0F62">
        <w:t xml:space="preserve"> </w:t>
      </w:r>
      <w:bookmarkEnd w:id="285"/>
    </w:p>
    <w:p w14:paraId="7A7BBBC2" w14:textId="76B76AC4" w:rsidR="00EF7BC9" w:rsidRDefault="00EF7BC9" w:rsidP="00EF7BC9">
      <w:bookmarkStart w:id="287" w:name="_Toc143291696"/>
      <w:bookmarkStart w:id="288" w:name="_Ref144290457"/>
      <w:bookmarkStart w:id="289" w:name="_Ref145189580"/>
      <w:bookmarkStart w:id="290" w:name="_Ref145939559"/>
      <w:r>
        <w:t xml:space="preserve">Medications are the most common medical intervention and an essential component of our health system and treatment options provided to patients. As such, the </w:t>
      </w:r>
      <w:r w:rsidR="0002226B">
        <w:t xml:space="preserve">NHRA </w:t>
      </w:r>
      <w:r>
        <w:t>is a component of the broader health ecosystem which supports the achievement of the core objectives of the National Medicines Policy (NMP)</w:t>
      </w:r>
      <w:r w:rsidR="003F5D51">
        <w:rPr>
          <w:rFonts w:ascii="ZWAdobeF" w:hAnsi="ZWAdobeF" w:cs="ZWAdobeF"/>
          <w:sz w:val="2"/>
          <w:szCs w:val="2"/>
        </w:rPr>
        <w:t>139F</w:t>
      </w:r>
      <w:r>
        <w:rPr>
          <w:rStyle w:val="FootnoteReference"/>
        </w:rPr>
        <w:footnoteReference w:id="141"/>
      </w:r>
      <w:r>
        <w:t xml:space="preserve"> to ensure:</w:t>
      </w:r>
    </w:p>
    <w:p w14:paraId="77DEF636" w14:textId="77777777" w:rsidR="00EF7BC9" w:rsidRDefault="00EF7BC9" w:rsidP="007C7599">
      <w:pPr>
        <w:pStyle w:val="ListBullet"/>
        <w:ind w:left="567" w:hanging="283"/>
      </w:pPr>
      <w:r>
        <w:t>Equitable, timely, safe and affordable access to high-quality and reliable supply of medicines and medicines-related services for all Australians.</w:t>
      </w:r>
    </w:p>
    <w:p w14:paraId="3F9875D2" w14:textId="41717315" w:rsidR="00EF7BC9" w:rsidRDefault="00EF7BC9" w:rsidP="007C7599">
      <w:pPr>
        <w:pStyle w:val="ListBullet"/>
        <w:ind w:left="567" w:hanging="283"/>
      </w:pPr>
      <w:r>
        <w:t>Medicines are used safely, optimally and judiciously, with a focus on informed choice and well-coordinated</w:t>
      </w:r>
      <w:r w:rsidR="00CF31A7">
        <w:t xml:space="preserve"> </w:t>
      </w:r>
      <w:r w:rsidR="00CF31A7">
        <w:br/>
        <w:t>person-centred</w:t>
      </w:r>
      <w:r>
        <w:t xml:space="preserve"> care.</w:t>
      </w:r>
    </w:p>
    <w:p w14:paraId="56ECCB09" w14:textId="77777777" w:rsidR="00EF7BC9" w:rsidRDefault="00EF7BC9" w:rsidP="007C7599">
      <w:pPr>
        <w:pStyle w:val="ListBullet"/>
        <w:ind w:left="567" w:hanging="283"/>
      </w:pPr>
      <w:r>
        <w:t>Support for a positive and sustainable policy environment to drive world-class innovation and research, including translational research, and the successful development of medicines and medicines-related services in Australia.</w:t>
      </w:r>
    </w:p>
    <w:p w14:paraId="5535F8A0" w14:textId="3418E14E" w:rsidR="00EF7BC9" w:rsidRDefault="00EF7BC9" w:rsidP="00EF7BC9">
      <w:pPr>
        <w:spacing w:before="120"/>
      </w:pPr>
      <w:r>
        <w:t xml:space="preserve">The NHRA includes provisions for the supply of medicines to public hospital patients, in concert with other funding streams (e.g. Section 85 and Section 100 of the </w:t>
      </w:r>
      <w:r>
        <w:rPr>
          <w:i/>
          <w:iCs/>
        </w:rPr>
        <w:t>National Health Act 1953</w:t>
      </w:r>
      <w:r>
        <w:t>) and outlined in Pharmaceutical Reform Arrangements (PRAs) with specific jurisdictions. These elements cover</w:t>
      </w:r>
      <w:r w:rsidR="00C630D4">
        <w:t xml:space="preserve"> overnight and same</w:t>
      </w:r>
      <w:r w:rsidR="00584413">
        <w:t>-day inpatients upon discharge,</w:t>
      </w:r>
      <w:r>
        <w:t xml:space="preserve"> outpatient</w:t>
      </w:r>
      <w:r w:rsidR="00584413">
        <w:t>s</w:t>
      </w:r>
      <w:r>
        <w:t xml:space="preserve"> and high-cost therapies in different ways, and are reflected in different parts of the Addendum:</w:t>
      </w:r>
    </w:p>
    <w:p w14:paraId="12900298" w14:textId="6ECA4221" w:rsidR="00EF7BC9" w:rsidRDefault="00EF7BC9" w:rsidP="007C7599">
      <w:pPr>
        <w:pStyle w:val="Longdotpoints"/>
        <w:ind w:left="567"/>
      </w:pPr>
      <w:r>
        <w:t>States and Territories are to provide and fund pharmaceuticals for both public and private admitted patients,</w:t>
      </w:r>
      <w:r w:rsidR="00584413">
        <w:t xml:space="preserve"> in a public hospital during the time they are admitted,</w:t>
      </w:r>
      <w:r>
        <w:t xml:space="preserve"> and for public non-admitted patients in public hospitals.</w:t>
      </w:r>
    </w:p>
    <w:p w14:paraId="39C04D59" w14:textId="36FAA61D" w:rsidR="00EF7BC9" w:rsidRDefault="00EF7BC9" w:rsidP="007C7599">
      <w:pPr>
        <w:pStyle w:val="Longdotpoints"/>
        <w:ind w:left="567"/>
      </w:pPr>
      <w:r>
        <w:t>Supply of PBS medicines: Clause</w:t>
      </w:r>
      <w:r w:rsidR="005079B4">
        <w:t>s</w:t>
      </w:r>
      <w:r>
        <w:t xml:space="preserve"> 11c and A10</w:t>
      </w:r>
      <w:r w:rsidR="005079B4">
        <w:t xml:space="preserve"> of the Addendum</w:t>
      </w:r>
      <w:r>
        <w:t xml:space="preserve">: outlines </w:t>
      </w:r>
      <w:r w:rsidR="00DA49C2">
        <w:t xml:space="preserve">that </w:t>
      </w:r>
      <w:r>
        <w:t xml:space="preserve">the Commonwealth Government will contribute the funding for PBS subsidised medicines dispensed according to individual jurisdictional PRAs (in place with all States and Territories except </w:t>
      </w:r>
      <w:r w:rsidR="00B552E3" w:rsidRPr="00B552E3">
        <w:t>New South Wales</w:t>
      </w:r>
      <w:r>
        <w:t xml:space="preserve"> and the </w:t>
      </w:r>
      <w:r w:rsidR="00AF4316" w:rsidRPr="00AF4316">
        <w:t>Australian Capital Territory</w:t>
      </w:r>
      <w:r>
        <w:t>).</w:t>
      </w:r>
    </w:p>
    <w:p w14:paraId="216417CA" w14:textId="746E9D1F" w:rsidR="00EF7BC9" w:rsidRDefault="00EF7BC9" w:rsidP="007C7599">
      <w:pPr>
        <w:pStyle w:val="Longdotpoints"/>
        <w:ind w:left="567"/>
      </w:pPr>
      <w:r>
        <w:t xml:space="preserve">Governance and availability of </w:t>
      </w:r>
      <w:r w:rsidR="00D920A4">
        <w:t>h</w:t>
      </w:r>
      <w:r>
        <w:t>igh-</w:t>
      </w:r>
      <w:r w:rsidR="00D920A4">
        <w:t>c</w:t>
      </w:r>
      <w:r>
        <w:t xml:space="preserve">ost, </w:t>
      </w:r>
      <w:r w:rsidR="00D920A4">
        <w:t>h</w:t>
      </w:r>
      <w:r>
        <w:t>ighly</w:t>
      </w:r>
      <w:r w:rsidR="00BE0850">
        <w:t xml:space="preserve"> </w:t>
      </w:r>
      <w:r w:rsidR="00D920A4">
        <w:t>s</w:t>
      </w:r>
      <w:r>
        <w:t xml:space="preserve">pecialised </w:t>
      </w:r>
      <w:r w:rsidR="00D920A4">
        <w:t>t</w:t>
      </w:r>
      <w:r>
        <w:t xml:space="preserve">herapies: </w:t>
      </w:r>
      <w:r w:rsidR="00C4141D">
        <w:t xml:space="preserve">Clauses </w:t>
      </w:r>
      <w:r>
        <w:t>C11 through C16 and Appendix B</w:t>
      </w:r>
      <w:r w:rsidR="005079B4">
        <w:t xml:space="preserve"> </w:t>
      </w:r>
      <w:r w:rsidR="00C4141D">
        <w:t xml:space="preserve">of the </w:t>
      </w:r>
      <w:r w:rsidR="005079B4">
        <w:t>Addendum:</w:t>
      </w:r>
      <w:r w:rsidR="00C4141D">
        <w:t xml:space="preserve"> </w:t>
      </w:r>
      <w:r>
        <w:t xml:space="preserve">outlines the collaboration </w:t>
      </w:r>
      <w:r w:rsidR="006B0B33">
        <w:t xml:space="preserve">process </w:t>
      </w:r>
      <w:r>
        <w:t>to enable the adoption and availability of new and next generation</w:t>
      </w:r>
      <w:r w:rsidR="008C533B">
        <w:t xml:space="preserve"> </w:t>
      </w:r>
      <w:r w:rsidR="008C533B">
        <w:br/>
        <w:t>high-cost</w:t>
      </w:r>
      <w:r>
        <w:t>, highly specialised therapies and how their funding will be allocated between the Commonwealth and States and Territories and as part of broader activity considerations.</w:t>
      </w:r>
    </w:p>
    <w:p w14:paraId="17F16CAA" w14:textId="2BB26303" w:rsidR="00EF7BC9" w:rsidRDefault="00EF7BC9" w:rsidP="00EF7BC9">
      <w:pPr>
        <w:pStyle w:val="Longdotpoints"/>
        <w:numPr>
          <w:ilvl w:val="0"/>
          <w:numId w:val="0"/>
        </w:numPr>
      </w:pPr>
      <w:r>
        <w:fldChar w:fldCharType="begin" w:fldLock="1"/>
      </w:r>
      <w:r>
        <w:instrText xml:space="preserve"> REF _Ref144975894 \h </w:instrText>
      </w:r>
      <w:r>
        <w:fldChar w:fldCharType="separate"/>
      </w:r>
      <w:r w:rsidR="00FA10A4">
        <w:t xml:space="preserve">Table </w:t>
      </w:r>
      <w:r w:rsidR="00FA10A4">
        <w:rPr>
          <w:noProof/>
        </w:rPr>
        <w:t>3</w:t>
      </w:r>
      <w:r>
        <w:fldChar w:fldCharType="end"/>
      </w:r>
      <w:r>
        <w:t xml:space="preserve"> provides a summary of the multiple funding streams for medicines used in hospitals, how they apply and some examples of medicines included in each category. </w:t>
      </w:r>
    </w:p>
    <w:p w14:paraId="23E265CA" w14:textId="58E3118E" w:rsidR="00EF7BC9" w:rsidRDefault="00EF7BC9" w:rsidP="00C2024B">
      <w:pPr>
        <w:pStyle w:val="Caption"/>
      </w:pPr>
      <w:bookmarkStart w:id="292" w:name="_Ref144975894"/>
      <w:bookmarkStart w:id="293" w:name="_Toc148968367"/>
      <w:r>
        <w:t xml:space="preserve">Table </w:t>
      </w:r>
      <w:r>
        <w:fldChar w:fldCharType="begin"/>
      </w:r>
      <w:r>
        <w:instrText xml:space="preserve"> SEQ Table \* ARABIC </w:instrText>
      </w:r>
      <w:r>
        <w:fldChar w:fldCharType="separate"/>
      </w:r>
      <w:r w:rsidR="003F5D51">
        <w:rPr>
          <w:noProof/>
        </w:rPr>
        <w:t>3</w:t>
      </w:r>
      <w:r>
        <w:rPr>
          <w:noProof/>
        </w:rPr>
        <w:fldChar w:fldCharType="end"/>
      </w:r>
      <w:bookmarkEnd w:id="292"/>
      <w:r>
        <w:t>: Summary of Medication funding streams and examples</w:t>
      </w:r>
      <w:bookmarkEnd w:id="293"/>
    </w:p>
    <w:tbl>
      <w:tblPr>
        <w:tblStyle w:val="Deloittetable"/>
        <w:tblW w:w="5000" w:type="pct"/>
        <w:tblLook w:val="04A0" w:firstRow="1" w:lastRow="0" w:firstColumn="1" w:lastColumn="0" w:noHBand="0" w:noVBand="1"/>
      </w:tblPr>
      <w:tblGrid>
        <w:gridCol w:w="2614"/>
        <w:gridCol w:w="2614"/>
        <w:gridCol w:w="2614"/>
        <w:gridCol w:w="2614"/>
      </w:tblGrid>
      <w:tr w:rsidR="00B25012" w:rsidRPr="00B25012" w14:paraId="1BA76BDC" w14:textId="77777777">
        <w:trPr>
          <w:cnfStyle w:val="100000000000" w:firstRow="1" w:lastRow="0" w:firstColumn="0" w:lastColumn="0" w:oddVBand="0" w:evenVBand="0" w:oddHBand="0" w:evenHBand="0" w:firstRowFirstColumn="0" w:firstRowLastColumn="0" w:lastRowFirstColumn="0" w:lastRowLastColumn="0"/>
          <w:tblHeader/>
        </w:trPr>
        <w:tc>
          <w:tcPr>
            <w:tcW w:w="1250" w:type="pct"/>
            <w:tcBorders>
              <w:top w:val="single" w:sz="24" w:space="0" w:color="007F8F" w:themeColor="accent5"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F67BA6B" w14:textId="77777777" w:rsidR="00EF7BC9" w:rsidRPr="00B25012" w:rsidRDefault="00EF7BC9">
            <w:pPr>
              <w:pStyle w:val="Tableheading"/>
              <w:spacing w:line="216" w:lineRule="auto"/>
              <w:rPr>
                <w:color w:val="00707E" w:themeColor="accent5" w:themeShade="BF"/>
                <w:sz w:val="18"/>
                <w:szCs w:val="18"/>
                <w:lang w:val="en-GB"/>
              </w:rPr>
            </w:pPr>
            <w:r w:rsidRPr="00B25012">
              <w:rPr>
                <w:color w:val="00707E" w:themeColor="accent5" w:themeShade="BF"/>
                <w:sz w:val="18"/>
                <w:szCs w:val="18"/>
                <w:lang w:val="en-GB"/>
              </w:rPr>
              <w:t xml:space="preserve">PBS “Section 85 drugs” </w:t>
            </w:r>
          </w:p>
        </w:tc>
        <w:tc>
          <w:tcPr>
            <w:tcW w:w="1250" w:type="pct"/>
            <w:tcBorders>
              <w:top w:val="single" w:sz="24" w:space="0" w:color="007F8F" w:themeColor="accent5"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9677204" w14:textId="77777777" w:rsidR="00EF7BC9" w:rsidRPr="00B25012" w:rsidRDefault="00EF7BC9">
            <w:pPr>
              <w:pStyle w:val="Tableheading"/>
              <w:spacing w:line="216" w:lineRule="auto"/>
              <w:rPr>
                <w:color w:val="00707E" w:themeColor="accent5" w:themeShade="BF"/>
                <w:sz w:val="18"/>
                <w:szCs w:val="18"/>
                <w:lang w:val="en-GB"/>
              </w:rPr>
            </w:pPr>
            <w:r w:rsidRPr="00B25012">
              <w:rPr>
                <w:color w:val="00707E" w:themeColor="accent5" w:themeShade="BF"/>
                <w:sz w:val="18"/>
                <w:szCs w:val="18"/>
                <w:lang w:val="en-GB"/>
              </w:rPr>
              <w:t xml:space="preserve">PBS “Section 100 drugs” </w:t>
            </w:r>
          </w:p>
        </w:tc>
        <w:tc>
          <w:tcPr>
            <w:tcW w:w="1250" w:type="pct"/>
            <w:tcBorders>
              <w:top w:val="single" w:sz="24" w:space="0" w:color="007F8F" w:themeColor="accent5"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08DC071" w14:textId="77777777" w:rsidR="00EF7BC9" w:rsidRPr="00B25012" w:rsidRDefault="00EF7BC9">
            <w:pPr>
              <w:pStyle w:val="Tableheading"/>
              <w:spacing w:line="216" w:lineRule="auto"/>
              <w:rPr>
                <w:color w:val="00707E" w:themeColor="accent5" w:themeShade="BF"/>
                <w:sz w:val="18"/>
                <w:szCs w:val="18"/>
                <w:lang w:val="en-GB"/>
              </w:rPr>
            </w:pPr>
            <w:r w:rsidRPr="00B25012">
              <w:rPr>
                <w:color w:val="00707E" w:themeColor="accent5" w:themeShade="BF"/>
                <w:sz w:val="18"/>
                <w:szCs w:val="18"/>
                <w:lang w:val="en-GB"/>
              </w:rPr>
              <w:t>Inpatient Medications</w:t>
            </w:r>
          </w:p>
        </w:tc>
        <w:tc>
          <w:tcPr>
            <w:tcW w:w="1250" w:type="pct"/>
            <w:tcBorders>
              <w:top w:val="single" w:sz="24" w:space="0" w:color="007F8F" w:themeColor="accent5"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91CA9B6" w14:textId="77777777" w:rsidR="00EF7BC9" w:rsidRPr="00B25012" w:rsidRDefault="00EF7BC9">
            <w:pPr>
              <w:pStyle w:val="Tableheading"/>
              <w:spacing w:line="216" w:lineRule="auto"/>
              <w:rPr>
                <w:color w:val="00707E" w:themeColor="accent5" w:themeShade="BF"/>
                <w:sz w:val="18"/>
                <w:szCs w:val="18"/>
                <w:lang w:val="en-GB"/>
              </w:rPr>
            </w:pPr>
            <w:r w:rsidRPr="00B25012">
              <w:rPr>
                <w:color w:val="00707E" w:themeColor="accent5" w:themeShade="BF"/>
                <w:sz w:val="18"/>
                <w:szCs w:val="18"/>
                <w:lang w:val="en-GB"/>
              </w:rPr>
              <w:t>High cost, highly specialised therapies</w:t>
            </w:r>
          </w:p>
        </w:tc>
      </w:tr>
      <w:tr w:rsidR="00EF7BC9" w:rsidRPr="00B90857" w14:paraId="4909025F" w14:textId="77777777">
        <w:tc>
          <w:tcPr>
            <w:tcW w:w="1250" w:type="pct"/>
            <w:tcBorders>
              <w:top w:val="single" w:sz="4" w:space="0" w:color="D9D9D9" w:themeColor="background1" w:themeShade="D9"/>
              <w:left w:val="single" w:sz="8" w:space="0" w:color="D9D9D9"/>
              <w:bottom w:val="nil"/>
              <w:right w:val="single" w:sz="8" w:space="0" w:color="D9D9D9"/>
            </w:tcBorders>
            <w:hideMark/>
          </w:tcPr>
          <w:p w14:paraId="00E18801" w14:textId="77777777" w:rsidR="00EF7BC9" w:rsidRPr="00B90857" w:rsidRDefault="00EF7BC9">
            <w:pPr>
              <w:pStyle w:val="TabletextLeft"/>
              <w:spacing w:line="216" w:lineRule="auto"/>
              <w:rPr>
                <w:sz w:val="18"/>
                <w:szCs w:val="18"/>
                <w:lang w:val="en-GB"/>
              </w:rPr>
            </w:pPr>
            <w:r w:rsidRPr="00B90857">
              <w:rPr>
                <w:sz w:val="18"/>
                <w:szCs w:val="18"/>
                <w:lang w:val="en-GB"/>
              </w:rPr>
              <w:t xml:space="preserve">Medicines available on the general schedule of the PBS and can be accessed for </w:t>
            </w:r>
            <w:r>
              <w:rPr>
                <w:sz w:val="18"/>
                <w:szCs w:val="18"/>
                <w:lang w:val="en-GB"/>
              </w:rPr>
              <w:t>o</w:t>
            </w:r>
            <w:r w:rsidRPr="00B90857">
              <w:rPr>
                <w:sz w:val="18"/>
                <w:szCs w:val="18"/>
                <w:lang w:val="en-GB"/>
              </w:rPr>
              <w:t>utpatient and discharge medication supply via those jurisdictions with PRAs in place.</w:t>
            </w:r>
          </w:p>
        </w:tc>
        <w:tc>
          <w:tcPr>
            <w:tcW w:w="1250" w:type="pct"/>
            <w:tcBorders>
              <w:top w:val="single" w:sz="4" w:space="0" w:color="D9D9D9" w:themeColor="background1" w:themeShade="D9"/>
              <w:left w:val="single" w:sz="8" w:space="0" w:color="D9D9D9"/>
              <w:bottom w:val="nil"/>
              <w:right w:val="single" w:sz="8" w:space="0" w:color="D9D9D9"/>
            </w:tcBorders>
            <w:hideMark/>
          </w:tcPr>
          <w:p w14:paraId="01644877" w14:textId="564796A5" w:rsidR="00EF7BC9" w:rsidRPr="00B90857" w:rsidRDefault="00EF7BC9" w:rsidP="00482456">
            <w:pPr>
              <w:pStyle w:val="TabletextLeft"/>
              <w:spacing w:line="216" w:lineRule="auto"/>
              <w:rPr>
                <w:sz w:val="18"/>
                <w:szCs w:val="18"/>
                <w:lang w:val="en-GB"/>
              </w:rPr>
            </w:pPr>
            <w:r w:rsidRPr="00B90857">
              <w:rPr>
                <w:sz w:val="18"/>
                <w:szCs w:val="18"/>
                <w:lang w:val="en-GB"/>
              </w:rPr>
              <w:t xml:space="preserve">Highly </w:t>
            </w:r>
            <w:r>
              <w:rPr>
                <w:sz w:val="18"/>
                <w:szCs w:val="18"/>
                <w:lang w:val="en-GB"/>
              </w:rPr>
              <w:t>s</w:t>
            </w:r>
            <w:r w:rsidRPr="00B90857">
              <w:rPr>
                <w:sz w:val="18"/>
                <w:szCs w:val="18"/>
                <w:lang w:val="en-GB"/>
              </w:rPr>
              <w:t xml:space="preserve">pecialised </w:t>
            </w:r>
            <w:r>
              <w:rPr>
                <w:sz w:val="18"/>
                <w:szCs w:val="18"/>
                <w:lang w:val="en-GB"/>
              </w:rPr>
              <w:t>m</w:t>
            </w:r>
            <w:r w:rsidRPr="00B90857">
              <w:rPr>
                <w:sz w:val="18"/>
                <w:szCs w:val="18"/>
                <w:lang w:val="en-GB"/>
              </w:rPr>
              <w:t>edicines used for the treatment of complex medical conditions that require ongoing specialist medical supervision.</w:t>
            </w:r>
          </w:p>
        </w:tc>
        <w:tc>
          <w:tcPr>
            <w:tcW w:w="1250" w:type="pct"/>
            <w:tcBorders>
              <w:top w:val="single" w:sz="4" w:space="0" w:color="D9D9D9" w:themeColor="background1" w:themeShade="D9"/>
              <w:left w:val="single" w:sz="8" w:space="0" w:color="D9D9D9"/>
              <w:bottom w:val="nil"/>
              <w:right w:val="single" w:sz="8" w:space="0" w:color="D9D9D9"/>
            </w:tcBorders>
            <w:hideMark/>
          </w:tcPr>
          <w:p w14:paraId="7F3CA490" w14:textId="77777777" w:rsidR="00EF7BC9" w:rsidRPr="00B90857" w:rsidRDefault="00EF7BC9">
            <w:pPr>
              <w:pStyle w:val="Longdotpoints"/>
              <w:numPr>
                <w:ilvl w:val="0"/>
                <w:numId w:val="0"/>
              </w:numPr>
              <w:rPr>
                <w:sz w:val="18"/>
                <w:szCs w:val="18"/>
                <w:lang w:val="en-GB"/>
              </w:rPr>
            </w:pPr>
            <w:r w:rsidRPr="00B90857">
              <w:rPr>
                <w:sz w:val="18"/>
                <w:szCs w:val="18"/>
                <w:lang w:val="en-GB"/>
              </w:rPr>
              <w:t>Medicines provided to a patient during an overnight or same-day episode of care which are either continuation of therapy prior to admission or commenced as part of the episode of care.</w:t>
            </w:r>
          </w:p>
          <w:p w14:paraId="54823660" w14:textId="77777777" w:rsidR="00EF7BC9" w:rsidRPr="00B90857" w:rsidRDefault="00EF7BC9">
            <w:pPr>
              <w:pStyle w:val="TabletextLeft"/>
              <w:spacing w:line="216" w:lineRule="auto"/>
              <w:rPr>
                <w:sz w:val="18"/>
                <w:szCs w:val="18"/>
                <w:lang w:val="en-GB"/>
              </w:rPr>
            </w:pPr>
            <w:r w:rsidRPr="00B90857">
              <w:rPr>
                <w:i/>
                <w:sz w:val="18"/>
                <w:szCs w:val="18"/>
                <w:lang w:val="en-GB"/>
              </w:rPr>
              <w:t xml:space="preserve">Jurisdictions who do not have a PRA will include </w:t>
            </w:r>
            <w:r>
              <w:rPr>
                <w:i/>
                <w:sz w:val="18"/>
                <w:szCs w:val="18"/>
                <w:lang w:val="en-GB"/>
              </w:rPr>
              <w:t xml:space="preserve">public </w:t>
            </w:r>
            <w:r w:rsidRPr="00B90857">
              <w:rPr>
                <w:i/>
                <w:sz w:val="18"/>
                <w:szCs w:val="18"/>
                <w:lang w:val="en-GB"/>
              </w:rPr>
              <w:t>outpatient</w:t>
            </w:r>
            <w:r>
              <w:rPr>
                <w:i/>
                <w:sz w:val="18"/>
                <w:szCs w:val="18"/>
                <w:lang w:val="en-GB"/>
              </w:rPr>
              <w:t>s</w:t>
            </w:r>
            <w:r w:rsidRPr="00B90857">
              <w:rPr>
                <w:i/>
                <w:sz w:val="18"/>
                <w:szCs w:val="18"/>
                <w:lang w:val="en-GB"/>
              </w:rPr>
              <w:t xml:space="preserve"> and discharge medication supply within this category.</w:t>
            </w:r>
          </w:p>
        </w:tc>
        <w:tc>
          <w:tcPr>
            <w:tcW w:w="1250" w:type="pct"/>
            <w:tcBorders>
              <w:top w:val="single" w:sz="4" w:space="0" w:color="D9D9D9" w:themeColor="background1" w:themeShade="D9"/>
              <w:left w:val="single" w:sz="8" w:space="0" w:color="D9D9D9"/>
              <w:bottom w:val="nil"/>
              <w:right w:val="single" w:sz="8" w:space="0" w:color="D9D9D9"/>
            </w:tcBorders>
            <w:hideMark/>
          </w:tcPr>
          <w:p w14:paraId="226CF53E" w14:textId="4FBC2723" w:rsidR="00EF7BC9" w:rsidRPr="00B90857" w:rsidRDefault="00EF7BC9">
            <w:pPr>
              <w:pStyle w:val="TabletextLeft"/>
              <w:spacing w:line="216" w:lineRule="auto"/>
              <w:rPr>
                <w:sz w:val="18"/>
                <w:szCs w:val="18"/>
                <w:lang w:val="en-GB"/>
              </w:rPr>
            </w:pPr>
            <w:r w:rsidRPr="00B90857">
              <w:rPr>
                <w:sz w:val="18"/>
                <w:szCs w:val="18"/>
                <w:lang w:val="en-GB"/>
              </w:rPr>
              <w:t>Therapeutic Goods Administration (TGA)-approved medicines or biologicals delivered in public hospitals where the therapy and its conditions of use are recommended by the Medical Services Advisory Committee (MSAC) or the Pharmaceutical Benefits Advisory Committee (PBAC), and the average annual treatment costs at commencement is greater than $200,000 per patient (including ancillary costs)</w:t>
            </w:r>
            <w:r w:rsidR="00D83B21">
              <w:rPr>
                <w:sz w:val="18"/>
                <w:szCs w:val="18"/>
                <w:lang w:val="en-GB"/>
              </w:rPr>
              <w:t xml:space="preserve"> – and where the therapy is not otherwise funded through a Commonwealth program or the costs of the therapy would be appropriately funded through a component of an existing pricing classification.</w:t>
            </w:r>
          </w:p>
        </w:tc>
      </w:tr>
      <w:tr w:rsidR="00EF7BC9" w:rsidRPr="00B90857" w14:paraId="5F41090C" w14:textId="77777777">
        <w:tc>
          <w:tcPr>
            <w:tcW w:w="1250" w:type="pct"/>
            <w:tcBorders>
              <w:top w:val="nil"/>
              <w:left w:val="single" w:sz="8" w:space="0" w:color="D9D9D9"/>
              <w:bottom w:val="single" w:sz="8" w:space="0" w:color="D9D9D9"/>
              <w:right w:val="single" w:sz="8" w:space="0" w:color="D9D9D9"/>
            </w:tcBorders>
            <w:hideMark/>
          </w:tcPr>
          <w:p w14:paraId="79ACCED9" w14:textId="77777777" w:rsidR="00EF7BC9" w:rsidRPr="00B90857" w:rsidRDefault="00EF7BC9" w:rsidP="00A850C3">
            <w:pPr>
              <w:pStyle w:val="Longdotpoints"/>
              <w:numPr>
                <w:ilvl w:val="0"/>
                <w:numId w:val="37"/>
              </w:numPr>
              <w:ind w:left="426"/>
              <w:rPr>
                <w:sz w:val="18"/>
                <w:szCs w:val="18"/>
                <w:lang w:val="en-GB"/>
              </w:rPr>
            </w:pPr>
            <w:r w:rsidRPr="00B90857">
              <w:rPr>
                <w:sz w:val="18"/>
                <w:szCs w:val="18"/>
                <w:lang w:val="en-GB"/>
              </w:rPr>
              <w:t>Antihypertensives</w:t>
            </w:r>
          </w:p>
          <w:p w14:paraId="758860F3" w14:textId="77777777" w:rsidR="00EF7BC9" w:rsidRPr="00B90857" w:rsidRDefault="00EF7BC9" w:rsidP="00A850C3">
            <w:pPr>
              <w:pStyle w:val="Longdotpoints"/>
              <w:numPr>
                <w:ilvl w:val="0"/>
                <w:numId w:val="37"/>
              </w:numPr>
              <w:ind w:left="426"/>
              <w:rPr>
                <w:sz w:val="18"/>
                <w:szCs w:val="18"/>
                <w:lang w:val="en-GB"/>
              </w:rPr>
            </w:pPr>
            <w:r w:rsidRPr="00B90857">
              <w:rPr>
                <w:sz w:val="18"/>
                <w:szCs w:val="18"/>
                <w:lang w:val="en-GB"/>
              </w:rPr>
              <w:t>Anticonvulsants</w:t>
            </w:r>
          </w:p>
          <w:p w14:paraId="0BFC4FE1" w14:textId="77777777" w:rsidR="00EF7BC9" w:rsidRPr="00B90857" w:rsidRDefault="00EF7BC9" w:rsidP="00A850C3">
            <w:pPr>
              <w:pStyle w:val="Longdotpoints"/>
              <w:numPr>
                <w:ilvl w:val="0"/>
                <w:numId w:val="37"/>
              </w:numPr>
              <w:ind w:left="426"/>
              <w:rPr>
                <w:sz w:val="18"/>
                <w:szCs w:val="18"/>
                <w:lang w:val="en-GB"/>
              </w:rPr>
            </w:pPr>
            <w:r w:rsidRPr="00B90857">
              <w:rPr>
                <w:sz w:val="18"/>
                <w:szCs w:val="18"/>
                <w:lang w:val="en-GB"/>
              </w:rPr>
              <w:t>Oral and injectable hypoglycaemics</w:t>
            </w:r>
          </w:p>
          <w:p w14:paraId="6991191E" w14:textId="77777777" w:rsidR="00EF7BC9" w:rsidRPr="00B90857" w:rsidRDefault="00EF7BC9" w:rsidP="00A850C3">
            <w:pPr>
              <w:pStyle w:val="Longdotpoints"/>
              <w:numPr>
                <w:ilvl w:val="0"/>
                <w:numId w:val="37"/>
              </w:numPr>
              <w:ind w:left="426"/>
              <w:rPr>
                <w:sz w:val="18"/>
                <w:szCs w:val="18"/>
                <w:lang w:val="en-GB"/>
              </w:rPr>
            </w:pPr>
            <w:r w:rsidRPr="00B90857">
              <w:rPr>
                <w:sz w:val="18"/>
                <w:szCs w:val="18"/>
                <w:lang w:val="en-GB"/>
              </w:rPr>
              <w:t>Topical corticosteroids</w:t>
            </w:r>
          </w:p>
          <w:p w14:paraId="7E7D7E71" w14:textId="77777777" w:rsidR="00EF7BC9" w:rsidRPr="00B90857" w:rsidRDefault="00EF7BC9" w:rsidP="00A850C3">
            <w:pPr>
              <w:pStyle w:val="TabletextLeft"/>
              <w:numPr>
                <w:ilvl w:val="0"/>
                <w:numId w:val="37"/>
              </w:numPr>
              <w:spacing w:line="216" w:lineRule="auto"/>
              <w:ind w:left="426"/>
              <w:rPr>
                <w:sz w:val="18"/>
                <w:szCs w:val="18"/>
                <w:lang w:val="en-GB"/>
              </w:rPr>
            </w:pPr>
            <w:r w:rsidRPr="00B90857">
              <w:rPr>
                <w:sz w:val="18"/>
                <w:szCs w:val="18"/>
                <w:lang w:val="en-GB"/>
              </w:rPr>
              <w:t>Inhaled therapies for asthma and chronic obstructive airways disease</w:t>
            </w:r>
          </w:p>
        </w:tc>
        <w:tc>
          <w:tcPr>
            <w:tcW w:w="1250" w:type="pct"/>
            <w:tcBorders>
              <w:top w:val="nil"/>
              <w:left w:val="single" w:sz="8" w:space="0" w:color="D9D9D9"/>
              <w:bottom w:val="single" w:sz="8" w:space="0" w:color="D9D9D9"/>
              <w:right w:val="single" w:sz="8" w:space="0" w:color="D9D9D9"/>
            </w:tcBorders>
            <w:hideMark/>
          </w:tcPr>
          <w:p w14:paraId="2F68C07E" w14:textId="22F9D31D" w:rsidR="00EF7BC9" w:rsidRPr="00B90857" w:rsidRDefault="00EF7BC9" w:rsidP="00A850C3">
            <w:pPr>
              <w:pStyle w:val="Longdotpoints"/>
              <w:numPr>
                <w:ilvl w:val="0"/>
                <w:numId w:val="37"/>
              </w:numPr>
              <w:ind w:left="495"/>
              <w:rPr>
                <w:sz w:val="18"/>
                <w:szCs w:val="18"/>
                <w:lang w:val="en-GB"/>
              </w:rPr>
            </w:pPr>
            <w:r>
              <w:rPr>
                <w:sz w:val="18"/>
                <w:szCs w:val="18"/>
                <w:lang w:val="en-GB"/>
              </w:rPr>
              <w:t xml:space="preserve">Some </w:t>
            </w:r>
            <w:r w:rsidR="002B15E5" w:rsidRPr="002B15E5">
              <w:rPr>
                <w:sz w:val="18"/>
                <w:szCs w:val="18"/>
                <w:lang w:val="en-GB"/>
              </w:rPr>
              <w:t xml:space="preserve">Human Immunodeficiency Virus </w:t>
            </w:r>
            <w:r w:rsidR="002B15E5">
              <w:rPr>
                <w:sz w:val="18"/>
                <w:szCs w:val="18"/>
                <w:lang w:val="en-GB"/>
              </w:rPr>
              <w:t>(</w:t>
            </w:r>
            <w:r w:rsidRPr="00B90857">
              <w:rPr>
                <w:sz w:val="18"/>
                <w:szCs w:val="18"/>
                <w:lang w:val="en-GB"/>
              </w:rPr>
              <w:t>HIV</w:t>
            </w:r>
            <w:r w:rsidR="002B15E5">
              <w:rPr>
                <w:sz w:val="18"/>
                <w:szCs w:val="18"/>
                <w:lang w:val="en-GB"/>
              </w:rPr>
              <w:t>)</w:t>
            </w:r>
            <w:r w:rsidRPr="00B90857">
              <w:rPr>
                <w:sz w:val="18"/>
                <w:szCs w:val="18"/>
                <w:lang w:val="en-GB"/>
              </w:rPr>
              <w:t xml:space="preserve"> antiretrovirals</w:t>
            </w:r>
          </w:p>
          <w:p w14:paraId="60AD7CF6" w14:textId="77777777" w:rsidR="00EF7BC9" w:rsidRPr="00B90857" w:rsidRDefault="00EF7BC9" w:rsidP="00A850C3">
            <w:pPr>
              <w:pStyle w:val="Longdotpoints"/>
              <w:numPr>
                <w:ilvl w:val="0"/>
                <w:numId w:val="37"/>
              </w:numPr>
              <w:ind w:left="495"/>
              <w:rPr>
                <w:sz w:val="18"/>
                <w:szCs w:val="18"/>
                <w:lang w:val="en-GB"/>
              </w:rPr>
            </w:pPr>
            <w:r>
              <w:rPr>
                <w:sz w:val="18"/>
                <w:szCs w:val="18"/>
                <w:lang w:val="en-GB"/>
              </w:rPr>
              <w:t>Some m</w:t>
            </w:r>
            <w:r w:rsidRPr="00B90857">
              <w:rPr>
                <w:sz w:val="18"/>
                <w:szCs w:val="18"/>
                <w:lang w:val="en-GB"/>
              </w:rPr>
              <w:t>onoclonal antibodies</w:t>
            </w:r>
          </w:p>
          <w:p w14:paraId="7A9FC560" w14:textId="77777777" w:rsidR="00EF7BC9" w:rsidRPr="00B90857" w:rsidRDefault="00EF7BC9" w:rsidP="00A850C3">
            <w:pPr>
              <w:pStyle w:val="Longdotpoints"/>
              <w:numPr>
                <w:ilvl w:val="0"/>
                <w:numId w:val="37"/>
              </w:numPr>
              <w:ind w:left="495"/>
              <w:rPr>
                <w:sz w:val="18"/>
                <w:szCs w:val="18"/>
                <w:lang w:val="en-GB"/>
              </w:rPr>
            </w:pPr>
            <w:r w:rsidRPr="00B90857">
              <w:rPr>
                <w:sz w:val="18"/>
                <w:szCs w:val="18"/>
                <w:lang w:val="en-GB"/>
              </w:rPr>
              <w:t>Immunosuppressants for organ transplantation</w:t>
            </w:r>
          </w:p>
          <w:p w14:paraId="5E63F62C" w14:textId="5F081D91" w:rsidR="00EF7BC9" w:rsidRPr="00B90857" w:rsidRDefault="00EF7BC9" w:rsidP="00A850C3">
            <w:pPr>
              <w:pStyle w:val="Longdotpoints"/>
              <w:numPr>
                <w:ilvl w:val="0"/>
                <w:numId w:val="37"/>
              </w:numPr>
              <w:ind w:left="495"/>
              <w:rPr>
                <w:sz w:val="18"/>
                <w:szCs w:val="18"/>
                <w:lang w:val="en-GB"/>
              </w:rPr>
            </w:pPr>
            <w:r>
              <w:rPr>
                <w:sz w:val="18"/>
                <w:szCs w:val="18"/>
                <w:lang w:val="en-GB"/>
              </w:rPr>
              <w:t>Some a</w:t>
            </w:r>
            <w:r w:rsidRPr="00B90857">
              <w:rPr>
                <w:sz w:val="18"/>
                <w:szCs w:val="18"/>
                <w:lang w:val="en-GB"/>
              </w:rPr>
              <w:t>ntineoplastic agents (</w:t>
            </w:r>
            <w:r w:rsidR="00882AA9" w:rsidRPr="00B90857">
              <w:rPr>
                <w:sz w:val="18"/>
                <w:szCs w:val="18"/>
                <w:lang w:val="en-GB"/>
              </w:rPr>
              <w:t>e.g.,</w:t>
            </w:r>
            <w:r w:rsidRPr="00B90857">
              <w:rPr>
                <w:sz w:val="18"/>
                <w:szCs w:val="18"/>
                <w:lang w:val="en-GB"/>
              </w:rPr>
              <w:t xml:space="preserve"> chemotherapy)</w:t>
            </w:r>
          </w:p>
          <w:p w14:paraId="3BE7F164" w14:textId="77777777" w:rsidR="00EF7BC9" w:rsidRPr="00B90857" w:rsidRDefault="00EF7BC9" w:rsidP="00A850C3">
            <w:pPr>
              <w:pStyle w:val="TabletextLeft"/>
              <w:numPr>
                <w:ilvl w:val="0"/>
                <w:numId w:val="37"/>
              </w:numPr>
              <w:spacing w:line="216" w:lineRule="auto"/>
              <w:ind w:left="495"/>
              <w:rPr>
                <w:sz w:val="18"/>
                <w:szCs w:val="18"/>
                <w:lang w:val="en-GB"/>
              </w:rPr>
            </w:pPr>
            <w:r w:rsidRPr="00B90857">
              <w:rPr>
                <w:sz w:val="18"/>
                <w:szCs w:val="18"/>
                <w:lang w:val="en-GB"/>
              </w:rPr>
              <w:t>Clozapine for schizophrenia</w:t>
            </w:r>
          </w:p>
        </w:tc>
        <w:tc>
          <w:tcPr>
            <w:tcW w:w="1250" w:type="pct"/>
            <w:tcBorders>
              <w:top w:val="nil"/>
              <w:left w:val="single" w:sz="8" w:space="0" w:color="D9D9D9"/>
              <w:bottom w:val="single" w:sz="8" w:space="0" w:color="D9D9D9"/>
              <w:right w:val="single" w:sz="8" w:space="0" w:color="D9D9D9"/>
            </w:tcBorders>
            <w:hideMark/>
          </w:tcPr>
          <w:p w14:paraId="4C246963" w14:textId="77777777" w:rsidR="00EF7BC9" w:rsidRPr="00B90857" w:rsidRDefault="00EF7BC9" w:rsidP="00A850C3">
            <w:pPr>
              <w:pStyle w:val="Longdotpoints"/>
              <w:numPr>
                <w:ilvl w:val="0"/>
                <w:numId w:val="37"/>
              </w:numPr>
              <w:ind w:left="436" w:hanging="283"/>
              <w:rPr>
                <w:sz w:val="18"/>
                <w:szCs w:val="18"/>
                <w:lang w:val="en-GB"/>
              </w:rPr>
            </w:pPr>
            <w:r w:rsidRPr="00B90857">
              <w:rPr>
                <w:sz w:val="18"/>
                <w:szCs w:val="18"/>
                <w:lang w:val="en-GB"/>
              </w:rPr>
              <w:t>Analgesics</w:t>
            </w:r>
          </w:p>
          <w:p w14:paraId="2BEBCF8F" w14:textId="77777777" w:rsidR="00EF7BC9" w:rsidRPr="00B90857" w:rsidRDefault="00EF7BC9" w:rsidP="00A850C3">
            <w:pPr>
              <w:pStyle w:val="Longdotpoints"/>
              <w:numPr>
                <w:ilvl w:val="0"/>
                <w:numId w:val="37"/>
              </w:numPr>
              <w:ind w:left="436" w:hanging="283"/>
              <w:rPr>
                <w:sz w:val="18"/>
                <w:szCs w:val="18"/>
                <w:lang w:val="en-GB"/>
              </w:rPr>
            </w:pPr>
            <w:r w:rsidRPr="00B90857">
              <w:rPr>
                <w:sz w:val="18"/>
                <w:szCs w:val="18"/>
                <w:lang w:val="en-GB"/>
              </w:rPr>
              <w:t>Antiemetics</w:t>
            </w:r>
          </w:p>
          <w:p w14:paraId="10867D90" w14:textId="77777777" w:rsidR="00EF7BC9" w:rsidRPr="00B90857" w:rsidRDefault="00EF7BC9" w:rsidP="00A850C3">
            <w:pPr>
              <w:pStyle w:val="Longdotpoints"/>
              <w:numPr>
                <w:ilvl w:val="0"/>
                <w:numId w:val="37"/>
              </w:numPr>
              <w:ind w:left="436" w:hanging="283"/>
              <w:rPr>
                <w:sz w:val="18"/>
                <w:szCs w:val="18"/>
                <w:lang w:val="en-GB"/>
              </w:rPr>
            </w:pPr>
            <w:r w:rsidRPr="00B90857">
              <w:rPr>
                <w:sz w:val="18"/>
                <w:szCs w:val="18"/>
                <w:lang w:val="en-GB"/>
              </w:rPr>
              <w:t>Antihypertensives</w:t>
            </w:r>
          </w:p>
          <w:p w14:paraId="128BC446" w14:textId="77777777" w:rsidR="00EF7BC9" w:rsidRPr="00B90857" w:rsidRDefault="00EF7BC9" w:rsidP="00A850C3">
            <w:pPr>
              <w:pStyle w:val="Longdotpoints"/>
              <w:numPr>
                <w:ilvl w:val="0"/>
                <w:numId w:val="37"/>
              </w:numPr>
              <w:ind w:left="436" w:hanging="283"/>
              <w:rPr>
                <w:sz w:val="18"/>
                <w:szCs w:val="18"/>
                <w:lang w:val="en-GB"/>
              </w:rPr>
            </w:pPr>
            <w:r w:rsidRPr="00B90857">
              <w:rPr>
                <w:sz w:val="18"/>
                <w:szCs w:val="18"/>
                <w:lang w:val="en-GB"/>
              </w:rPr>
              <w:t>Antimicrobials</w:t>
            </w:r>
          </w:p>
        </w:tc>
        <w:tc>
          <w:tcPr>
            <w:tcW w:w="1250" w:type="pct"/>
            <w:tcBorders>
              <w:top w:val="nil"/>
              <w:left w:val="single" w:sz="8" w:space="0" w:color="D9D9D9"/>
              <w:bottom w:val="single" w:sz="8" w:space="0" w:color="D9D9D9"/>
              <w:right w:val="single" w:sz="8" w:space="0" w:color="D9D9D9"/>
            </w:tcBorders>
            <w:hideMark/>
          </w:tcPr>
          <w:p w14:paraId="16F5656F" w14:textId="77777777" w:rsidR="00EF7BC9" w:rsidRPr="00B90857" w:rsidRDefault="00EF7BC9" w:rsidP="00A850C3">
            <w:pPr>
              <w:pStyle w:val="TabletextLeft"/>
              <w:numPr>
                <w:ilvl w:val="0"/>
                <w:numId w:val="37"/>
              </w:numPr>
              <w:spacing w:line="216" w:lineRule="auto"/>
              <w:ind w:left="426"/>
              <w:rPr>
                <w:sz w:val="18"/>
                <w:szCs w:val="18"/>
                <w:lang w:val="en-GB"/>
              </w:rPr>
            </w:pPr>
            <w:r w:rsidRPr="00226A66">
              <w:rPr>
                <w:sz w:val="18"/>
                <w:szCs w:val="18"/>
              </w:rPr>
              <w:t>Kymriah® – for the treatment of acute lymphoblastic leukaemia in children and young adults</w:t>
            </w:r>
          </w:p>
        </w:tc>
      </w:tr>
      <w:tr w:rsidR="00EF7BC9" w:rsidRPr="00B90857" w14:paraId="19AAEBB1" w14:textId="77777777">
        <w:tc>
          <w:tcPr>
            <w:tcW w:w="2500" w:type="pct"/>
            <w:gridSpan w:val="2"/>
            <w:tcBorders>
              <w:top w:val="single" w:sz="8" w:space="0" w:color="D9D9D9"/>
              <w:left w:val="single" w:sz="8" w:space="0" w:color="D9D9D9"/>
              <w:bottom w:val="single" w:sz="8" w:space="0" w:color="D9D9D9"/>
              <w:right w:val="single" w:sz="8" w:space="0" w:color="D9D9D9"/>
            </w:tcBorders>
            <w:hideMark/>
          </w:tcPr>
          <w:p w14:paraId="5D04F443" w14:textId="1FB53DE9" w:rsidR="00EF7BC9" w:rsidRPr="00B90857" w:rsidRDefault="00EF7BC9">
            <w:pPr>
              <w:pStyle w:val="TabletextLeft"/>
              <w:spacing w:line="216" w:lineRule="auto"/>
              <w:ind w:left="0"/>
              <w:jc w:val="center"/>
              <w:rPr>
                <w:sz w:val="18"/>
                <w:szCs w:val="18"/>
                <w:lang w:val="en-GB"/>
              </w:rPr>
            </w:pPr>
            <w:r w:rsidRPr="00B90857">
              <w:rPr>
                <w:b/>
                <w:sz w:val="18"/>
                <w:szCs w:val="18"/>
                <w:lang w:val="en-GB"/>
              </w:rPr>
              <w:t xml:space="preserve">Pharmaceutical Reform </w:t>
            </w:r>
            <w:r w:rsidR="00EC2926">
              <w:rPr>
                <w:b/>
                <w:sz w:val="18"/>
                <w:szCs w:val="18"/>
                <w:lang w:val="en-GB"/>
              </w:rPr>
              <w:t>Arrangements</w:t>
            </w:r>
          </w:p>
        </w:tc>
        <w:tc>
          <w:tcPr>
            <w:tcW w:w="2500" w:type="pct"/>
            <w:gridSpan w:val="2"/>
            <w:tcBorders>
              <w:top w:val="single" w:sz="8" w:space="0" w:color="D9D9D9"/>
              <w:left w:val="single" w:sz="8" w:space="0" w:color="D9D9D9"/>
              <w:bottom w:val="single" w:sz="8" w:space="0" w:color="D9D9D9"/>
              <w:right w:val="single" w:sz="8" w:space="0" w:color="D9D9D9"/>
            </w:tcBorders>
            <w:hideMark/>
          </w:tcPr>
          <w:p w14:paraId="221BA58E" w14:textId="77777777" w:rsidR="00EF7BC9" w:rsidRPr="00B90857" w:rsidRDefault="00EF7BC9">
            <w:pPr>
              <w:pStyle w:val="TabletextLeft"/>
              <w:spacing w:line="216" w:lineRule="auto"/>
              <w:ind w:left="0"/>
              <w:jc w:val="center"/>
              <w:rPr>
                <w:b/>
                <w:bCs/>
                <w:sz w:val="18"/>
                <w:szCs w:val="18"/>
                <w:lang w:val="en-GB"/>
              </w:rPr>
            </w:pPr>
            <w:r w:rsidRPr="00B90857">
              <w:rPr>
                <w:b/>
                <w:bCs/>
                <w:sz w:val="18"/>
                <w:szCs w:val="18"/>
                <w:lang w:val="en-GB"/>
              </w:rPr>
              <w:t>NHRA</w:t>
            </w:r>
          </w:p>
        </w:tc>
      </w:tr>
    </w:tbl>
    <w:p w14:paraId="4D209421" w14:textId="77777777" w:rsidR="00EF7BC9" w:rsidRDefault="00EF7BC9" w:rsidP="00EF7BC9"/>
    <w:p w14:paraId="75DFA3FB" w14:textId="54405155" w:rsidR="00EF7BC9" w:rsidRDefault="00EF7BC9" w:rsidP="007745A8">
      <w:pPr>
        <w:pStyle w:val="Heading4"/>
      </w:pPr>
      <w:bookmarkStart w:id="294" w:name="_Ref144887774"/>
      <w:r>
        <w:t xml:space="preserve">Pharmaceutical Reform </w:t>
      </w:r>
      <w:bookmarkEnd w:id="294"/>
      <w:r w:rsidR="000679BC">
        <w:t>Arrangements</w:t>
      </w:r>
    </w:p>
    <w:p w14:paraId="1FA2C6E7" w14:textId="798B9CC4" w:rsidR="00EF7BC9" w:rsidRDefault="00EF7BC9" w:rsidP="00EF7BC9">
      <w:pPr>
        <w:spacing w:before="120"/>
      </w:pPr>
      <w:r>
        <w:t>In Australia’s public hospitals, subsidies for PBS Section 85 drugs dispensed from a hospital pharmacy can only be accessed if the jurisdiction is a signatory to the PRA as set out in the Business Rules to the NHRA at Section G5. Hospital pharmacies in jurisdictions not covered by a PRA are able to apply to supply Section 100 Highly Specialised Drugs (HSDs), however other Section 100 medicines are not covered by this arrangement. During the year 2020-21, 21% of all PBS medicines were dispensed by public hospitals either on discharge or in the outpatient setting.</w:t>
      </w:r>
      <w:r w:rsidR="003F5D51">
        <w:rPr>
          <w:rFonts w:ascii="ZWAdobeF" w:hAnsi="ZWAdobeF" w:cs="ZWAdobeF"/>
          <w:sz w:val="2"/>
          <w:szCs w:val="2"/>
        </w:rPr>
        <w:t>140F</w:t>
      </w:r>
      <w:r>
        <w:rPr>
          <w:rStyle w:val="FootnoteReference"/>
        </w:rPr>
        <w:footnoteReference w:id="142"/>
      </w:r>
      <w:r>
        <w:t xml:space="preserve"> Of the total public hospital PBS expenditure, Section 100 HSDs contribute approximately 52% of these costs and these medicines are specifically funded via the </w:t>
      </w:r>
      <w:r>
        <w:rPr>
          <w:i/>
          <w:iCs/>
        </w:rPr>
        <w:t xml:space="preserve">National Health (Highly Specialised Drugs Program) Special Arrangement </w:t>
      </w:r>
      <w:r w:rsidR="00D83B21">
        <w:rPr>
          <w:i/>
          <w:iCs/>
        </w:rPr>
        <w:t>2021</w:t>
      </w:r>
      <w:r>
        <w:t>. HSDs are for the treatment of complex medical conditions that require ongoing specialised medical supervision</w:t>
      </w:r>
      <w:bookmarkStart w:id="295" w:name="_Ref146024523"/>
      <w:r w:rsidR="003F5D51">
        <w:rPr>
          <w:rFonts w:ascii="ZWAdobeF" w:hAnsi="ZWAdobeF" w:cs="ZWAdobeF"/>
          <w:sz w:val="2"/>
          <w:szCs w:val="2"/>
        </w:rPr>
        <w:t>141F</w:t>
      </w:r>
      <w:r>
        <w:rPr>
          <w:rStyle w:val="FootnoteReference"/>
        </w:rPr>
        <w:footnoteReference w:id="143"/>
      </w:r>
      <w:bookmarkEnd w:id="295"/>
      <w:r>
        <w:t xml:space="preserve"> and include HIV anti-retrovirals, Hepatitis drugs, monoclonal antibodies, and clozapine (antipsychotic).</w:t>
      </w:r>
    </w:p>
    <w:p w14:paraId="42B542FE" w14:textId="34B52363" w:rsidR="00EF7BC9" w:rsidRDefault="00EF7BC9" w:rsidP="00EF7BC9">
      <w:r>
        <w:t xml:space="preserve">Bilateral PRAs commenced in 2001, initially with Victoria and followed by all other States and Territories by 2010, except for </w:t>
      </w:r>
      <w:r w:rsidR="00B552E3" w:rsidRPr="00B552E3">
        <w:t>New South Wales</w:t>
      </w:r>
      <w:r>
        <w:t xml:space="preserve"> and the </w:t>
      </w:r>
      <w:r w:rsidR="00AF4316" w:rsidRPr="00AF4316">
        <w:t>Australian Capital Territory</w:t>
      </w:r>
      <w:r>
        <w:t xml:space="preserve"> who remain without a PRA. These PRAs provide the mechanism by which public hospitals can access the </w:t>
      </w:r>
      <w:r w:rsidR="00A436F4">
        <w:t xml:space="preserve">subsidies through the </w:t>
      </w:r>
      <w:r>
        <w:t>PBS when supplying medicines for admitted patients on discharge, non-admitted patients and same-day admitted patients.</w:t>
      </w:r>
    </w:p>
    <w:p w14:paraId="3ED7D128" w14:textId="400524C8" w:rsidR="00EF7BC9" w:rsidRDefault="00EF7BC9" w:rsidP="00EF7BC9">
      <w:r>
        <w:t xml:space="preserve">The intent of PRAs is to enable consistent and equitable access to medicines upon discharge and in the outpatient setting, with a particular focus on continuity of care. There is a risk where these arrangements are not in place, that patients do not receive a consistent supply of medications, putting the onus on the patient to access primary care and community pharmacies to bridge supply gaps, with the associated time and cost this may entail. The reasons for </w:t>
      </w:r>
      <w:r w:rsidR="00B552E3" w:rsidRPr="00B552E3">
        <w:t>New South Wales</w:t>
      </w:r>
      <w:r>
        <w:t xml:space="preserve"> and </w:t>
      </w:r>
      <w:r w:rsidR="00AF4316" w:rsidRPr="00AF4316">
        <w:t>Australian Capital Territory</w:t>
      </w:r>
      <w:r>
        <w:t xml:space="preserve"> not entering into PRAs were not submitted to the Review, though it is understood from informal discussions that analysis of the risks and benefits of participating in the PRAs have been considered by the jurisdictions and at those times the benefits did not outweigh the risks or costs. Given the</w:t>
      </w:r>
      <w:r w:rsidR="00D9397B">
        <w:t xml:space="preserve"> ev</w:t>
      </w:r>
      <w:r w:rsidR="00DA36B9">
        <w:t>olv</w:t>
      </w:r>
      <w:r>
        <w:t xml:space="preserve">ing nature of the health system, developing models of care and the desire for consistent access to medicines, there is another opportunity to revisit </w:t>
      </w:r>
      <w:r w:rsidR="00B552E3" w:rsidRPr="00B552E3">
        <w:t>New South Wales</w:t>
      </w:r>
      <w:r>
        <w:t xml:space="preserve"> and </w:t>
      </w:r>
      <w:r w:rsidR="00AF4316" w:rsidRPr="00AF4316">
        <w:t>Australian Capital Territory</w:t>
      </w:r>
      <w:r>
        <w:t xml:space="preserve"> entering into PRAs with the Commonwealth.</w:t>
      </w:r>
    </w:p>
    <w:p w14:paraId="787FBEEC" w14:textId="2DA5B220" w:rsidR="00EF7BC9" w:rsidRDefault="00EF7BC9" w:rsidP="00EF7BC9">
      <w:r>
        <w:t>In an environment where not all States</w:t>
      </w:r>
      <w:r w:rsidR="00B8643A">
        <w:t xml:space="preserve"> and </w:t>
      </w:r>
      <w:r>
        <w:t xml:space="preserve">Territories are signatories to the PRA, there is a risk that the costs of medicines that make up part of the calculation of the National Efficient Price, distort the price of the NEP itself and ultimately penalise those jurisdictions that do not have PRAs (i.e., </w:t>
      </w:r>
      <w:r w:rsidR="00B552E3" w:rsidRPr="00B552E3">
        <w:t>New South Wales</w:t>
      </w:r>
      <w:r>
        <w:t xml:space="preserve"> and </w:t>
      </w:r>
      <w:r w:rsidR="00AF4316" w:rsidRPr="00AF4316">
        <w:t>Australian Capital Territory</w:t>
      </w:r>
      <w:r>
        <w:t xml:space="preserve">). </w:t>
      </w:r>
    </w:p>
    <w:p w14:paraId="57CC6A4E" w14:textId="5D317915" w:rsidR="00EF7BC9" w:rsidRDefault="00EF7BC9" w:rsidP="00EF7BC9">
      <w:r>
        <w:t>There is an opportunity to improve patient outcomes and eliminate inconsistencies by creating</w:t>
      </w:r>
      <w:r w:rsidR="00710B0A">
        <w:t xml:space="preserve"> either</w:t>
      </w:r>
      <w:r>
        <w:t xml:space="preserve"> a new schedule in the NHRA </w:t>
      </w:r>
      <w:r w:rsidR="00710B0A">
        <w:t xml:space="preserve">or amending current Clauses </w:t>
      </w:r>
      <w:r w:rsidR="004A5397">
        <w:t xml:space="preserve">A9 and A10, to </w:t>
      </w:r>
      <w:r>
        <w:t xml:space="preserve">articulate how the NHRA is intended to support a core intent of the NMP, equitable access to affordable and high-quality medicines for Australians. </w:t>
      </w:r>
      <w:r w:rsidR="004A5397">
        <w:t>The new arrangement</w:t>
      </w:r>
      <w:r>
        <w:t xml:space="preserve"> would replace PRAs and be the catalyst </w:t>
      </w:r>
      <w:r w:rsidR="004A5397">
        <w:t xml:space="preserve">for </w:t>
      </w:r>
      <w:r>
        <w:t xml:space="preserve">adoption of PBS reforms in all </w:t>
      </w:r>
      <w:r w:rsidR="00B74398">
        <w:t>S</w:t>
      </w:r>
      <w:r>
        <w:t xml:space="preserve">tates and </w:t>
      </w:r>
      <w:r w:rsidR="00B74398">
        <w:t>T</w:t>
      </w:r>
      <w:r>
        <w:t>erritories. This would have the potential to deliver benefits including:</w:t>
      </w:r>
    </w:p>
    <w:p w14:paraId="581714DE" w14:textId="2AE64394" w:rsidR="00EF7BC9" w:rsidRDefault="00EF7BC9" w:rsidP="00A850C3">
      <w:pPr>
        <w:pStyle w:val="ListParagraph"/>
        <w:numPr>
          <w:ilvl w:val="0"/>
          <w:numId w:val="36"/>
        </w:numPr>
      </w:pPr>
      <w:r>
        <w:t>National consistency in deployment of PBS subsidised medicines, without the need for maintenance of individual agreements between the Commonwealth and jurisdictions</w:t>
      </w:r>
      <w:r w:rsidR="00F7601B">
        <w:t>.</w:t>
      </w:r>
    </w:p>
    <w:p w14:paraId="08885D05" w14:textId="59369D70" w:rsidR="00EF7BC9" w:rsidRDefault="00EF7BC9" w:rsidP="00A850C3">
      <w:pPr>
        <w:pStyle w:val="ListParagraph"/>
        <w:numPr>
          <w:ilvl w:val="0"/>
          <w:numId w:val="36"/>
        </w:numPr>
      </w:pPr>
      <w:r>
        <w:t xml:space="preserve">Improved continuity of medication access and compliance for patients in </w:t>
      </w:r>
      <w:r w:rsidR="00B552E3" w:rsidRPr="00B552E3">
        <w:t>New South Wales</w:t>
      </w:r>
      <w:r>
        <w:t xml:space="preserve"> and </w:t>
      </w:r>
      <w:r w:rsidR="00AF4316" w:rsidRPr="00AF4316">
        <w:t>Australian Capital Territory</w:t>
      </w:r>
      <w:r w:rsidR="00F7601B">
        <w:t>.</w:t>
      </w:r>
    </w:p>
    <w:p w14:paraId="72655085" w14:textId="77777777" w:rsidR="00EF7BC9" w:rsidRDefault="00EF7BC9" w:rsidP="00A850C3">
      <w:pPr>
        <w:pStyle w:val="ListParagraph"/>
        <w:numPr>
          <w:ilvl w:val="0"/>
          <w:numId w:val="36"/>
        </w:numPr>
      </w:pPr>
      <w:r>
        <w:t>More accurate reflection of the costs of medications delivered via public hospitals in reporting to IHACPA.</w:t>
      </w:r>
    </w:p>
    <w:tbl>
      <w:tblPr>
        <w:tblStyle w:val="TableGrid"/>
        <w:tblW w:w="0" w:type="auto"/>
        <w:shd w:val="clear" w:color="auto" w:fill="F2F2F2" w:themeFill="background1" w:themeFillShade="F2"/>
        <w:tblLook w:val="04A0" w:firstRow="1" w:lastRow="0" w:firstColumn="1" w:lastColumn="0" w:noHBand="0" w:noVBand="1"/>
      </w:tblPr>
      <w:tblGrid>
        <w:gridCol w:w="10466"/>
      </w:tblGrid>
      <w:tr w:rsidR="00EF7BC9" w14:paraId="260CF13E" w14:textId="77777777">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hideMark/>
          </w:tcPr>
          <w:p w14:paraId="76FA7DF8" w14:textId="77777777" w:rsidR="00AA0F2C" w:rsidRDefault="00EF7BC9">
            <w:pPr>
              <w:pStyle w:val="Summarytable"/>
              <w:rPr>
                <w:b w:val="0"/>
                <w:bCs w:val="0"/>
                <w:lang w:val="en-GB"/>
              </w:rPr>
            </w:pPr>
            <w:r w:rsidRPr="004567AB">
              <w:rPr>
                <w:noProof/>
                <w:color w:val="00707E" w:themeColor="accent5" w:themeShade="BF"/>
                <w:lang w:val="en-GB"/>
              </w:rPr>
              <w:drawing>
                <wp:inline distT="0" distB="0" distL="0" distR="0" wp14:anchorId="20923165" wp14:editId="4C48A583">
                  <wp:extent cx="269875" cy="269875"/>
                  <wp:effectExtent l="0" t="0" r="0" b="0"/>
                  <wp:docPr id="1489793632" name="Graphic 1489793632" descr="P1886C1T96#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89793632" name="Graphic 1489793632" descr="P1886C1T96#yIS1">
                            <a:extLst>
                              <a:ext uri="{C183D7F6-B498-43B3-948B-1728B52AA6E4}">
                                <adec:decorative xmlns:adec="http://schemas.microsoft.com/office/drawing/2017/decorative" val="1"/>
                              </a:ext>
                            </a:extLst>
                          </pic:cNvPr>
                          <pic:cNvPicPr>
                            <a:picLocks noChangeAspect="1"/>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69875" cy="269875"/>
                          </a:xfrm>
                          <a:prstGeom prst="rect">
                            <a:avLst/>
                          </a:prstGeom>
                        </pic:spPr>
                      </pic:pic>
                    </a:graphicData>
                  </a:graphic>
                </wp:inline>
              </w:drawing>
            </w:r>
            <w:r w:rsidRPr="004567AB">
              <w:rPr>
                <w:color w:val="00707E" w:themeColor="accent5" w:themeShade="BF"/>
                <w:lang w:val="en-GB"/>
              </w:rPr>
              <w:t>Recommendation</w:t>
            </w:r>
            <w:r>
              <w:rPr>
                <w:color w:val="00707E" w:themeColor="accent5" w:themeShade="BF"/>
                <w:lang w:val="en-GB"/>
              </w:rPr>
              <w:t xml:space="preserve"> 2</w:t>
            </w:r>
            <w:r w:rsidR="00CD15C0">
              <w:rPr>
                <w:color w:val="00707E" w:themeColor="accent5" w:themeShade="BF"/>
                <w:lang w:val="en-GB"/>
              </w:rPr>
              <w:t>8</w:t>
            </w:r>
            <w:r>
              <w:rPr>
                <w:color w:val="00707E" w:themeColor="accent5" w:themeShade="BF"/>
                <w:lang w:val="en-GB"/>
              </w:rPr>
              <w:t xml:space="preserve">: </w:t>
            </w:r>
            <w:r w:rsidR="00710B0A">
              <w:rPr>
                <w:b w:val="0"/>
                <w:lang w:val="en-GB"/>
              </w:rPr>
              <w:t>A new Agreement should</w:t>
            </w:r>
            <w:r>
              <w:rPr>
                <w:b w:val="0"/>
                <w:bCs w:val="0"/>
                <w:lang w:val="en-GB"/>
              </w:rPr>
              <w:t xml:space="preserve"> deliver </w:t>
            </w:r>
            <w:r w:rsidRPr="00650E28">
              <w:rPr>
                <w:lang w:val="en-GB"/>
              </w:rPr>
              <w:t>nationally consistent access to medicines across the care continuum</w:t>
            </w:r>
            <w:r>
              <w:rPr>
                <w:b w:val="0"/>
                <w:bCs w:val="0"/>
                <w:lang w:val="en-GB"/>
              </w:rPr>
              <w:t xml:space="preserve">, noting the benefits to patients of continuity of care on admission and discharge. </w:t>
            </w:r>
          </w:p>
          <w:p w14:paraId="62992A70" w14:textId="1FA0DB42" w:rsidR="00AA0F2C" w:rsidRDefault="00EF7BC9" w:rsidP="004122B6">
            <w:pPr>
              <w:pStyle w:val="Summarytable"/>
              <w:numPr>
                <w:ilvl w:val="1"/>
                <w:numId w:val="147"/>
              </w:numPr>
              <w:rPr>
                <w:b w:val="0"/>
                <w:bCs w:val="0"/>
                <w:lang w:val="en-GB"/>
              </w:rPr>
            </w:pPr>
            <w:r>
              <w:rPr>
                <w:b w:val="0"/>
                <w:bCs w:val="0"/>
                <w:lang w:val="en-GB"/>
              </w:rPr>
              <w:t xml:space="preserve">This would replace Pharmaceutical Reform Arrangements (PRAs) and require negotiations with, and preparations by, </w:t>
            </w:r>
            <w:r w:rsidR="00B552E3" w:rsidRPr="00B552E3">
              <w:rPr>
                <w:b w:val="0"/>
                <w:bCs w:val="0"/>
                <w:lang w:val="en-GB"/>
              </w:rPr>
              <w:t>New South Wales</w:t>
            </w:r>
            <w:r>
              <w:rPr>
                <w:b w:val="0"/>
                <w:bCs w:val="0"/>
                <w:lang w:val="en-GB"/>
              </w:rPr>
              <w:t xml:space="preserve"> and </w:t>
            </w:r>
            <w:r w:rsidR="00AF4316" w:rsidRPr="00AF4316">
              <w:rPr>
                <w:b w:val="0"/>
                <w:bCs w:val="0"/>
                <w:lang w:val="en-GB"/>
              </w:rPr>
              <w:t>Australian Capital Territory</w:t>
            </w:r>
            <w:r>
              <w:rPr>
                <w:b w:val="0"/>
                <w:bCs w:val="0"/>
                <w:lang w:val="en-GB"/>
              </w:rPr>
              <w:t xml:space="preserve"> for access to PBS medicines in public hospitals for admitted patients on discharge, non-admitted patients and same day admitted patients.</w:t>
            </w:r>
          </w:p>
          <w:p w14:paraId="11709F99" w14:textId="1F22018C" w:rsidR="00AA0F2C" w:rsidRDefault="00E1711B" w:rsidP="004122B6">
            <w:pPr>
              <w:pStyle w:val="Summarytable"/>
              <w:numPr>
                <w:ilvl w:val="1"/>
                <w:numId w:val="147"/>
              </w:numPr>
              <w:rPr>
                <w:b w:val="0"/>
                <w:bCs w:val="0"/>
                <w:lang w:val="en-GB"/>
              </w:rPr>
            </w:pPr>
            <w:r>
              <w:rPr>
                <w:b w:val="0"/>
                <w:bCs w:val="0"/>
                <w:lang w:val="en-GB"/>
              </w:rPr>
              <w:t xml:space="preserve">Interim PRA arrangements for </w:t>
            </w:r>
            <w:r w:rsidR="00B552E3" w:rsidRPr="00B552E3">
              <w:rPr>
                <w:b w:val="0"/>
                <w:bCs w:val="0"/>
                <w:lang w:val="en-GB"/>
              </w:rPr>
              <w:t>New South Wales</w:t>
            </w:r>
            <w:r>
              <w:rPr>
                <w:b w:val="0"/>
                <w:bCs w:val="0"/>
                <w:lang w:val="en-GB"/>
              </w:rPr>
              <w:t xml:space="preserve"> and the </w:t>
            </w:r>
            <w:r w:rsidR="00AF4316" w:rsidRPr="00AF4316">
              <w:rPr>
                <w:b w:val="0"/>
                <w:bCs w:val="0"/>
                <w:lang w:val="en-GB"/>
              </w:rPr>
              <w:t>Australian Capital Territory</w:t>
            </w:r>
            <w:r>
              <w:rPr>
                <w:b w:val="0"/>
                <w:bCs w:val="0"/>
                <w:lang w:val="en-GB"/>
              </w:rPr>
              <w:t xml:space="preserve"> </w:t>
            </w:r>
            <w:r w:rsidR="00AA0F2C">
              <w:rPr>
                <w:b w:val="0"/>
                <w:bCs w:val="0"/>
                <w:lang w:val="en-GB"/>
              </w:rPr>
              <w:t>in the lead-up to a new Agreement c</w:t>
            </w:r>
            <w:r>
              <w:rPr>
                <w:b w:val="0"/>
                <w:bCs w:val="0"/>
                <w:lang w:val="en-GB"/>
              </w:rPr>
              <w:t>ould be progressed, if supported by those jurisdictions.</w:t>
            </w:r>
            <w:r w:rsidR="00251150">
              <w:rPr>
                <w:b w:val="0"/>
                <w:bCs w:val="0"/>
                <w:lang w:val="en-GB"/>
              </w:rPr>
              <w:t xml:space="preserve"> </w:t>
            </w:r>
            <w:r w:rsidR="00710B0A">
              <w:rPr>
                <w:b w:val="0"/>
                <w:bCs w:val="0"/>
                <w:lang w:val="en-GB"/>
              </w:rPr>
              <w:t xml:space="preserve"> </w:t>
            </w:r>
          </w:p>
          <w:p w14:paraId="33CEF800" w14:textId="70D4092B" w:rsidR="00EF7BC9" w:rsidRDefault="00710B0A" w:rsidP="004122B6">
            <w:pPr>
              <w:pStyle w:val="Summarytable"/>
              <w:numPr>
                <w:ilvl w:val="1"/>
                <w:numId w:val="147"/>
              </w:numPr>
              <w:rPr>
                <w:b w:val="0"/>
                <w:bCs w:val="0"/>
                <w:lang w:val="en-GB"/>
              </w:rPr>
            </w:pPr>
            <w:r>
              <w:rPr>
                <w:b w:val="0"/>
                <w:bCs w:val="0"/>
                <w:lang w:val="en-GB"/>
              </w:rPr>
              <w:t xml:space="preserve">This change could be </w:t>
            </w:r>
            <w:r w:rsidR="00F51037">
              <w:rPr>
                <w:b w:val="0"/>
                <w:bCs w:val="0"/>
                <w:lang w:val="en-GB"/>
              </w:rPr>
              <w:t>implemented</w:t>
            </w:r>
            <w:r>
              <w:rPr>
                <w:b w:val="0"/>
                <w:bCs w:val="0"/>
                <w:lang w:val="en-GB"/>
              </w:rPr>
              <w:t xml:space="preserve"> either through a new Medicines Schedule added to the Agreement, or through amendments to current Clauses A9 and A10 which address access to the Pharmaceutical Benefits Scheme. </w:t>
            </w:r>
          </w:p>
        </w:tc>
      </w:tr>
    </w:tbl>
    <w:p w14:paraId="598F97D0" w14:textId="77777777" w:rsidR="00EF7BC9" w:rsidRDefault="00EF7BC9" w:rsidP="00EF7BC9"/>
    <w:p w14:paraId="4CE1A5DF" w14:textId="054A1358" w:rsidR="00EF7BC9" w:rsidRDefault="00EF7BC9" w:rsidP="007745A8">
      <w:pPr>
        <w:pStyle w:val="Heading4"/>
      </w:pPr>
      <w:bookmarkStart w:id="296" w:name="_Ref148442358"/>
      <w:r>
        <w:t>High-</w:t>
      </w:r>
      <w:r w:rsidR="00677BC2">
        <w:t>c</w:t>
      </w:r>
      <w:r>
        <w:t xml:space="preserve">ost, </w:t>
      </w:r>
      <w:r w:rsidR="00677BC2">
        <w:t>h</w:t>
      </w:r>
      <w:r>
        <w:t xml:space="preserve">ighly </w:t>
      </w:r>
      <w:r w:rsidR="00677BC2">
        <w:t>s</w:t>
      </w:r>
      <w:r>
        <w:t xml:space="preserve">pecialised </w:t>
      </w:r>
      <w:r w:rsidR="00677BC2">
        <w:t>t</w:t>
      </w:r>
      <w:r>
        <w:t>herapies</w:t>
      </w:r>
      <w:bookmarkEnd w:id="296"/>
    </w:p>
    <w:p w14:paraId="07A534F5" w14:textId="0DE0ED21" w:rsidR="00EF7BC9" w:rsidRDefault="00EF7BC9" w:rsidP="00EF7BC9">
      <w:pPr>
        <w:spacing w:before="120"/>
      </w:pPr>
      <w:r>
        <w:t>High-cost, highly specialised therapies are defined in the NHRA as those TGA-approved medicines or biologicals delivered in public hospitals where the therapy and its conditions of use are recommended by the MSAC or the PBAC, and the average annual treatment costs at commencement is greater than $200,000 per patient (including ancillary costs)</w:t>
      </w:r>
      <w:r w:rsidR="00A436F4">
        <w:t>, and where the therapy is not otherwise funded through a Commonwealth program or the costs of the therapy would be appropriately funded through a component of an existing pricing classification</w:t>
      </w:r>
      <w:r>
        <w:t>. For these therapies, the Agreement outlines that the Commonwealth contributes 50% of the growth in the efficient price or costs, and that those costs are exempt from the funding cap for a period of two years from the commencement of service delivery of the new treatment.</w:t>
      </w:r>
    </w:p>
    <w:p w14:paraId="67ED3F6B" w14:textId="46C19B27" w:rsidR="00EF7BC9" w:rsidRDefault="00EF7BC9" w:rsidP="00EF7BC9">
      <w:r>
        <w:t xml:space="preserve">Provisioning for high-cost, highly specialised therapies in the Addendum is important as their inclusion enables equity of access to new and novel therapies, which may not be available to the population via other funding mechanisms. This is separate to the HSD Program referred to in section </w:t>
      </w:r>
      <w:r>
        <w:fldChar w:fldCharType="begin" w:fldLock="1"/>
      </w:r>
      <w:r>
        <w:instrText xml:space="preserve"> REF _Ref144887774 \r \h </w:instrText>
      </w:r>
      <w:r>
        <w:fldChar w:fldCharType="separate"/>
      </w:r>
      <w:r w:rsidR="00FA10A4">
        <w:t>5.4.5.1</w:t>
      </w:r>
      <w:r>
        <w:fldChar w:fldCharType="end"/>
      </w:r>
      <w:r>
        <w:t xml:space="preserve">, where PBS Section 100 drugs made available through public hospitals attract PBS subsidy. </w:t>
      </w:r>
    </w:p>
    <w:p w14:paraId="13A6D05A" w14:textId="25155E7C" w:rsidR="00EF7BC9" w:rsidRPr="00355485" w:rsidRDefault="00EF7BC9" w:rsidP="00EF7BC9">
      <w:pPr>
        <w:rPr>
          <w:i/>
          <w:iCs/>
        </w:rPr>
      </w:pPr>
      <w:r w:rsidRPr="00316DDD">
        <w:t xml:space="preserve">To date, high-cost, highly specialised therapies jointly funded under the NHRA include cell and gene therapies. While there are currently only </w:t>
      </w:r>
      <w:r w:rsidR="006829E5">
        <w:t>four CAR-T</w:t>
      </w:r>
      <w:r w:rsidR="006829E5" w:rsidRPr="00316DDD">
        <w:t xml:space="preserve"> </w:t>
      </w:r>
      <w:r w:rsidRPr="00316DDD">
        <w:t xml:space="preserve">cell therapies and </w:t>
      </w:r>
      <w:r w:rsidR="006829E5">
        <w:t>two</w:t>
      </w:r>
      <w:r w:rsidR="006829E5" w:rsidRPr="00316DDD">
        <w:t xml:space="preserve"> </w:t>
      </w:r>
      <w:r w:rsidRPr="00316DDD">
        <w:t>gene therapies that are TGA-approved, there are several cell and gene therapies in the development pipeline. In 2019</w:t>
      </w:r>
      <w:r>
        <w:t>,</w:t>
      </w:r>
      <w:r w:rsidRPr="00316DDD">
        <w:t xml:space="preserve"> the </w:t>
      </w:r>
      <w:r w:rsidRPr="00224C34">
        <w:t xml:space="preserve">United States Food and Drug Administration </w:t>
      </w:r>
      <w:r>
        <w:t>(</w:t>
      </w:r>
      <w:r w:rsidRPr="00316DDD">
        <w:t>FDA</w:t>
      </w:r>
      <w:r>
        <w:t>)</w:t>
      </w:r>
      <w:r w:rsidRPr="00316DDD">
        <w:t xml:space="preserve"> predicted that it would approve </w:t>
      </w:r>
      <w:r w:rsidR="00D86AB2">
        <w:t>between 1</w:t>
      </w:r>
      <w:r w:rsidR="008C1716">
        <w:t xml:space="preserve">0 to </w:t>
      </w:r>
      <w:r w:rsidRPr="00316DDD">
        <w:t>20 new cell and gene therapies a year by 2025. The anticipated increase in number and diversity of these therapies to be marketed in the future is anticipated to present significant resourcing and cost challenges</w:t>
      </w:r>
      <w:r w:rsidR="008A1E0E">
        <w:t xml:space="preserve">, noting that not all of these therapies </w:t>
      </w:r>
      <w:r w:rsidR="00926CE5">
        <w:t xml:space="preserve">will </w:t>
      </w:r>
      <w:r w:rsidR="008A1E0E">
        <w:t>necessarily meet the definition to be funded under the NHRA</w:t>
      </w:r>
      <w:r w:rsidRPr="00316DDD">
        <w:t>.</w:t>
      </w:r>
    </w:p>
    <w:p w14:paraId="0193D66E" w14:textId="4B24606C" w:rsidR="00EF7BC9" w:rsidRDefault="00EF7BC9" w:rsidP="00EF7BC9">
      <w:pPr>
        <w:rPr>
          <w:highlight w:val="cyan"/>
        </w:rPr>
      </w:pPr>
      <w:r>
        <w:t>Novel high-cost therapies often require complex protocols that involve the close management of a patient in a high acuity setting and end-to-end supply chain management. This can include long stays in ICU, expensive diagnostic tests (some of which are only available overseas and therefore ineligible for MBS funding), specialist pharmacists, and relocation of carers and famil</w:t>
      </w:r>
      <w:r w:rsidR="008C1716">
        <w:t>ies</w:t>
      </w:r>
      <w:r>
        <w:t xml:space="preserve"> for extended periods to be close to the patient. Additionally, effective delivery of these therapies </w:t>
      </w:r>
      <w:r w:rsidR="005B1319">
        <w:t xml:space="preserve">can </w:t>
      </w:r>
      <w:r>
        <w:t>require coordinated and extremely stringent quality management systems and consistency in how health services deliver these therapies.</w:t>
      </w:r>
    </w:p>
    <w:p w14:paraId="1F95E340" w14:textId="55B571D3" w:rsidR="00EF7BC9" w:rsidRDefault="001D578B" w:rsidP="00EF7BC9">
      <w:r>
        <w:t>The</w:t>
      </w:r>
      <w:r w:rsidR="00DA36B9">
        <w:t xml:space="preserve"> </w:t>
      </w:r>
      <w:r w:rsidR="00D9397B">
        <w:t>NHRA</w:t>
      </w:r>
      <w:r w:rsidR="00EF7BC9">
        <w:t xml:space="preserve"> sets out the Commonwealth contribution of 50% of the unit price for high-cost therapies plus associated ancillary costs, which </w:t>
      </w:r>
      <w:r>
        <w:t xml:space="preserve">should </w:t>
      </w:r>
      <w:r w:rsidR="00EF7BC9">
        <w:t xml:space="preserve">include </w:t>
      </w:r>
      <w:r>
        <w:t xml:space="preserve">direct </w:t>
      </w:r>
      <w:r w:rsidR="00EF7BC9">
        <w:t xml:space="preserve">‘wrap around’ costs. </w:t>
      </w:r>
    </w:p>
    <w:p w14:paraId="543BC4F3" w14:textId="5DDC1BF4" w:rsidR="00EF7BC9" w:rsidRDefault="00281339" w:rsidP="00EF7BC9">
      <w:r>
        <w:t>However, there is currently no consistent approach to managing the total costs of some high-cost, highly specialised therapies, for example there is no consistent approach to capture/report on ancillary costs as each facility has its own way of reporting costs.</w:t>
      </w:r>
      <w:r w:rsidR="00631282">
        <w:t xml:space="preserve"> </w:t>
      </w:r>
      <w:r w:rsidR="00EF7BC9">
        <w:t xml:space="preserve">This leads to variation in access to these treatments due to differing </w:t>
      </w:r>
      <w:r w:rsidR="00B74398">
        <w:t>S</w:t>
      </w:r>
      <w:r w:rsidR="00EF7BC9">
        <w:t xml:space="preserve">tate and </w:t>
      </w:r>
      <w:r w:rsidR="00B74398">
        <w:t>T</w:t>
      </w:r>
      <w:r w:rsidR="00EF7BC9">
        <w:t>erritory priorities and policies and a lack of clarity with respect to long-term sustainability of high-cost, highly specialised therapies provision.</w:t>
      </w:r>
    </w:p>
    <w:p w14:paraId="13FF7430" w14:textId="77777777" w:rsidR="00EF7BC9" w:rsidRDefault="00EF7BC9" w:rsidP="00EF7BC9">
      <w:r>
        <w:t>These examples further highlight the adoption readiness challenges public hospitals face as new high-cost therapies are approved for use in Australia and incorporated into clinical models of care. Given that hospital budgets are set annually based on projected activity and casemix, the addition of an unanticipated high-cost therapy treatment during the financial year, places financial strain upon hospitals as the additional costs are not reflected in their ABF revenue.</w:t>
      </w:r>
    </w:p>
    <w:tbl>
      <w:tblPr>
        <w:tblStyle w:val="TableGrid"/>
        <w:tblW w:w="0" w:type="auto"/>
        <w:tblBorders>
          <w:top w:val="dotted" w:sz="4" w:space="0" w:color="0097A9" w:themeColor="accent5"/>
          <w:left w:val="dotted" w:sz="4" w:space="0" w:color="0097A9" w:themeColor="accent5"/>
          <w:bottom w:val="dotted" w:sz="4" w:space="0" w:color="0097A9" w:themeColor="accent5"/>
          <w:right w:val="dotted" w:sz="4" w:space="0" w:color="0097A9" w:themeColor="accent5"/>
        </w:tblBorders>
        <w:tblLook w:val="04A0" w:firstRow="1" w:lastRow="0" w:firstColumn="1" w:lastColumn="0" w:noHBand="0" w:noVBand="1"/>
      </w:tblPr>
      <w:tblGrid>
        <w:gridCol w:w="10456"/>
      </w:tblGrid>
      <w:tr w:rsidR="00EF7BC9" w14:paraId="69CFE3E0" w14:textId="77777777">
        <w:trPr>
          <w:cnfStyle w:val="100000000000" w:firstRow="1" w:lastRow="0" w:firstColumn="0" w:lastColumn="0" w:oddVBand="0" w:evenVBand="0" w:oddHBand="0" w:evenHBand="0" w:firstRowFirstColumn="0" w:firstRowLastColumn="0" w:lastRowFirstColumn="0" w:lastRowLastColumn="0"/>
        </w:trPr>
        <w:tc>
          <w:tcPr>
            <w:tcW w:w="10456" w:type="dxa"/>
            <w:tcBorders>
              <w:top w:val="dotted" w:sz="4" w:space="0" w:color="0097A9" w:themeColor="accent5"/>
              <w:left w:val="dotted" w:sz="4" w:space="0" w:color="0097A9" w:themeColor="accent5"/>
              <w:bottom w:val="dotted" w:sz="4" w:space="0" w:color="0097A9" w:themeColor="accent5"/>
              <w:right w:val="dotted" w:sz="4" w:space="0" w:color="0097A9" w:themeColor="accent5"/>
            </w:tcBorders>
            <w:hideMark/>
          </w:tcPr>
          <w:p w14:paraId="4A18FF66" w14:textId="1CEB3B27" w:rsidR="00EF7BC9" w:rsidRDefault="00EF7BC9" w:rsidP="00A67271">
            <w:pPr>
              <w:pStyle w:val="Summarytable"/>
              <w:keepNext/>
              <w:rPr>
                <w:color w:val="00707E" w:themeColor="accent5" w:themeShade="BF"/>
                <w:lang w:val="en-GB"/>
              </w:rPr>
            </w:pPr>
            <w:r w:rsidRPr="003572D7">
              <w:rPr>
                <w:noProof/>
                <w:lang w:val="en-GB"/>
              </w:rPr>
              <w:drawing>
                <wp:inline distT="0" distB="0" distL="0" distR="0" wp14:anchorId="7CA7A7EA" wp14:editId="1E6C59B0">
                  <wp:extent cx="269875" cy="269875"/>
                  <wp:effectExtent l="0" t="0" r="0" b="0"/>
                  <wp:docPr id="1489793630" name="Graphic 1489793630" descr="P1900C1T97#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89793630" name="Graphic 1489793630" descr="P1900C1T97#yIS1">
                            <a:extLst>
                              <a:ext uri="{C183D7F6-B498-43B3-948B-1728B52AA6E4}">
                                <adec:decorative xmlns:adec="http://schemas.microsoft.com/office/drawing/2017/decorative" val="1"/>
                              </a:ext>
                            </a:extLst>
                          </pic:cNvPr>
                          <pic:cNvPicPr>
                            <a:picLocks noChangeAspect="1"/>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269875" cy="269875"/>
                          </a:xfrm>
                          <a:prstGeom prst="rect">
                            <a:avLst/>
                          </a:prstGeom>
                        </pic:spPr>
                      </pic:pic>
                    </a:graphicData>
                  </a:graphic>
                </wp:inline>
              </w:drawing>
            </w:r>
            <w:r w:rsidRPr="003572D7">
              <w:rPr>
                <w:color w:val="00707E" w:themeColor="accent5" w:themeShade="BF"/>
                <w:lang w:val="en-GB"/>
              </w:rPr>
              <w:t>Case study:</w:t>
            </w:r>
            <w:r>
              <w:rPr>
                <w:color w:val="00707E" w:themeColor="accent5" w:themeShade="BF"/>
                <w:lang w:val="en-GB"/>
              </w:rPr>
              <w:t xml:space="preserve"> </w:t>
            </w:r>
            <w:r>
              <w:rPr>
                <w:b w:val="0"/>
                <w:bCs w:val="0"/>
                <w:color w:val="00707E" w:themeColor="accent5" w:themeShade="BF"/>
                <w:lang w:val="en-GB"/>
              </w:rPr>
              <w:t>CAR-T cell therapy</w:t>
            </w:r>
          </w:p>
          <w:p w14:paraId="3C0ABB1B" w14:textId="1BC4FFD5" w:rsidR="00EF7BC9" w:rsidRDefault="00EF7BC9" w:rsidP="00A67271">
            <w:pPr>
              <w:pStyle w:val="Summarytable"/>
              <w:keepNext/>
              <w:rPr>
                <w:b w:val="0"/>
                <w:bCs w:val="0"/>
                <w:lang w:val="en-GB"/>
              </w:rPr>
            </w:pPr>
            <w:r>
              <w:rPr>
                <w:b w:val="0"/>
                <w:bCs w:val="0"/>
                <w:lang w:val="en-GB"/>
              </w:rPr>
              <w:t>In January 2020, the Federal Government announced the funding for CAR</w:t>
            </w:r>
            <w:r w:rsidR="00F6667C">
              <w:rPr>
                <w:b w:val="0"/>
                <w:bCs w:val="0"/>
                <w:lang w:val="en-GB"/>
              </w:rPr>
              <w:t>-</w:t>
            </w:r>
            <w:r>
              <w:rPr>
                <w:b w:val="0"/>
                <w:bCs w:val="0"/>
                <w:lang w:val="en-GB"/>
              </w:rPr>
              <w:t>T</w:t>
            </w:r>
            <w:r w:rsidR="00F6667C">
              <w:rPr>
                <w:b w:val="0"/>
                <w:bCs w:val="0"/>
                <w:lang w:val="en-GB"/>
              </w:rPr>
              <w:t xml:space="preserve"> </w:t>
            </w:r>
            <w:r>
              <w:rPr>
                <w:b w:val="0"/>
                <w:bCs w:val="0"/>
                <w:lang w:val="en-GB"/>
              </w:rPr>
              <w:t>cell therapy, Kymriah®, that included an estimated annual patient population of between 200 and 250 people with Diffuse Large B Cell Lymphoma, Transformed Follicular Lymphoma and Primary Mediastinal B Cell Lymphoma accessing the high-cost therapy. At the time of approval</w:t>
            </w:r>
            <w:r w:rsidR="009D4433">
              <w:rPr>
                <w:b w:val="0"/>
                <w:bCs w:val="0"/>
                <w:lang w:val="en-GB"/>
              </w:rPr>
              <w:t>,</w:t>
            </w:r>
            <w:r>
              <w:rPr>
                <w:b w:val="0"/>
                <w:bCs w:val="0"/>
                <w:lang w:val="en-GB"/>
              </w:rPr>
              <w:t xml:space="preserve"> the estimated treatment cost was $500,000 per patient.</w:t>
            </w:r>
          </w:p>
          <w:p w14:paraId="02B8C67E" w14:textId="048567BE" w:rsidR="00EF7BC9" w:rsidRDefault="00EF7BC9" w:rsidP="00A67271">
            <w:pPr>
              <w:pStyle w:val="Summarytable"/>
              <w:keepNext/>
              <w:rPr>
                <w:b w:val="0"/>
                <w:bCs w:val="0"/>
                <w:lang w:val="en-GB"/>
              </w:rPr>
            </w:pPr>
            <w:r>
              <w:rPr>
                <w:b w:val="0"/>
                <w:bCs w:val="0"/>
                <w:lang w:val="en-GB"/>
              </w:rPr>
              <w:t>The delivery of this treatment is limited to specialist treatment centres (</w:t>
            </w:r>
            <w:r w:rsidR="002B15E5">
              <w:rPr>
                <w:b w:val="0"/>
                <w:bCs w:val="0"/>
                <w:lang w:val="en-GB"/>
              </w:rPr>
              <w:t>e.g.,</w:t>
            </w:r>
            <w:r>
              <w:rPr>
                <w:b w:val="0"/>
                <w:bCs w:val="0"/>
                <w:lang w:val="en-GB"/>
              </w:rPr>
              <w:t xml:space="preserve"> the Peter MacCallum Cancer Centre and Royal Children’s Hospital in Melbourne, Royal Prince Alfred in Sydney and a few others). There is currently only one TGA registered commercial development and manufacturing organisation in Australia, Cell Therapies Pty Ltd, based in </w:t>
            </w:r>
            <w:r w:rsidR="00C45B8C">
              <w:rPr>
                <w:b w:val="0"/>
                <w:bCs w:val="0"/>
                <w:lang w:val="en-GB"/>
              </w:rPr>
              <w:t xml:space="preserve">the </w:t>
            </w:r>
            <w:r>
              <w:rPr>
                <w:b w:val="0"/>
                <w:bCs w:val="0"/>
                <w:lang w:val="en-GB"/>
              </w:rPr>
              <w:t xml:space="preserve">Peter MacCallum Cancer Centre as part of the Biomedical Precinct in Parkville, Melbourne. The existing agreements see the Federal Government contribute 50% of the treatment cost and associated ancillary costs. </w:t>
            </w:r>
          </w:p>
          <w:p w14:paraId="05A36E6C" w14:textId="79D00AE0" w:rsidR="00EF7BC9" w:rsidRDefault="00EF7BC9" w:rsidP="00A67271">
            <w:pPr>
              <w:pStyle w:val="Summarytable"/>
              <w:keepNext/>
              <w:rPr>
                <w:b w:val="0"/>
                <w:bCs w:val="0"/>
                <w:lang w:val="en-GB"/>
              </w:rPr>
            </w:pPr>
            <w:r>
              <w:rPr>
                <w:b w:val="0"/>
                <w:bCs w:val="0"/>
                <w:lang w:val="en-GB"/>
              </w:rPr>
              <w:t>Patient access to CAR-T cell therapy</w:t>
            </w:r>
            <w:r w:rsidR="00C45B8C">
              <w:rPr>
                <w:b w:val="0"/>
                <w:bCs w:val="0"/>
                <w:lang w:val="en-GB"/>
              </w:rPr>
              <w:t>,</w:t>
            </w:r>
            <w:r>
              <w:rPr>
                <w:b w:val="0"/>
                <w:bCs w:val="0"/>
                <w:lang w:val="en-GB"/>
              </w:rPr>
              <w:t xml:space="preserve"> given the specific infrastructure required</w:t>
            </w:r>
            <w:r w:rsidR="00C45B8C">
              <w:rPr>
                <w:b w:val="0"/>
                <w:bCs w:val="0"/>
                <w:lang w:val="en-GB"/>
              </w:rPr>
              <w:t>,</w:t>
            </w:r>
            <w:r>
              <w:rPr>
                <w:b w:val="0"/>
                <w:bCs w:val="0"/>
                <w:lang w:val="en-GB"/>
              </w:rPr>
              <w:t xml:space="preserve"> is limited to a small number of public health services. There could be an opportunity to explore opportunities to leverage capacity in CAR-T cell treatment centres in private hospitals where eligible public patients could be treated. This could be particularly useful</w:t>
            </w:r>
            <w:r w:rsidR="00281339">
              <w:rPr>
                <w:b w:val="0"/>
                <w:bCs w:val="0"/>
                <w:lang w:val="en-GB"/>
              </w:rPr>
              <w:t xml:space="preserve"> if/</w:t>
            </w:r>
            <w:r>
              <w:rPr>
                <w:b w:val="0"/>
                <w:bCs w:val="0"/>
                <w:lang w:val="en-GB"/>
              </w:rPr>
              <w:t>when the indications for usage are expanded by MSAC in the future.</w:t>
            </w:r>
          </w:p>
        </w:tc>
      </w:tr>
    </w:tbl>
    <w:p w14:paraId="6765F383" w14:textId="77777777" w:rsidR="00EF7BC9" w:rsidRDefault="00EF7BC9" w:rsidP="00A67271">
      <w:pPr>
        <w:keepNext/>
        <w:keepLines/>
        <w:spacing w:before="120"/>
        <w:rPr>
          <w:b/>
          <w:bCs/>
        </w:rPr>
      </w:pPr>
      <w:r>
        <w:rPr>
          <w:b/>
          <w:bCs/>
        </w:rPr>
        <w:t>Governance and approvals of high-cost therapies</w:t>
      </w:r>
    </w:p>
    <w:p w14:paraId="4D3BCFC4" w14:textId="77777777" w:rsidR="00EF7BC9" w:rsidRDefault="00EF7BC9" w:rsidP="00A67271">
      <w:pPr>
        <w:keepNext/>
        <w:keepLines/>
      </w:pPr>
      <w:r>
        <w:t xml:space="preserve">Australia has a history of early adoption and application of new and novel medications and therapies, facilitated by the HTA process including assessment by MSAC and PBAC. </w:t>
      </w:r>
    </w:p>
    <w:p w14:paraId="0A9E709E" w14:textId="098BE8BE" w:rsidR="00EF7BC9" w:rsidRDefault="00EF7BC9" w:rsidP="00EF7BC9">
      <w:r>
        <w:t>However, advice provided to the Review highlighted that this process in respect of high</w:t>
      </w:r>
      <w:r w:rsidR="001D578B">
        <w:t>-</w:t>
      </w:r>
      <w:r>
        <w:t>cost, highly specialised therapies is being hampered by:</w:t>
      </w:r>
    </w:p>
    <w:p w14:paraId="7B530BC7" w14:textId="7C3B93FC" w:rsidR="00EF7BC9" w:rsidRDefault="00EF7BC9" w:rsidP="001F0B16">
      <w:pPr>
        <w:pStyle w:val="ListBullet"/>
        <w:ind w:left="567"/>
      </w:pPr>
      <w:r>
        <w:t xml:space="preserve">A lack of effective horizon scanning and forward planning across all governments to support prioritisation of, and </w:t>
      </w:r>
      <w:r w:rsidR="00AA683D">
        <w:t>provision</w:t>
      </w:r>
      <w:r>
        <w:t xml:space="preserve"> for, high-cost, highly specialised therapies.</w:t>
      </w:r>
    </w:p>
    <w:p w14:paraId="3BF7BBD7" w14:textId="77777777" w:rsidR="00EF7BC9" w:rsidRDefault="00EF7BC9" w:rsidP="001F0B16">
      <w:pPr>
        <w:pStyle w:val="ListBullet"/>
        <w:ind w:left="567"/>
      </w:pPr>
      <w:r>
        <w:t>Fragmented and often undefined approval and implementation processes, that jurisdictions have been reluctant to use, in part due to uncertainty as to which wrap around services delivered as part of the treatment journey, are eligible for the NHRA-established HTA process.</w:t>
      </w:r>
    </w:p>
    <w:p w14:paraId="29EE0C56" w14:textId="14A936BE" w:rsidR="00EF7BC9" w:rsidRDefault="00EF7BC9" w:rsidP="001F0B16">
      <w:pPr>
        <w:pStyle w:val="ListBullet"/>
        <w:ind w:left="567"/>
      </w:pPr>
      <w:r>
        <w:t xml:space="preserve">A shift towards access to high-cost therapies earlier in </w:t>
      </w:r>
      <w:r w:rsidR="001D578B">
        <w:t xml:space="preserve">the </w:t>
      </w:r>
      <w:r>
        <w:t>evidence cycle which</w:t>
      </w:r>
      <w:r w:rsidR="007E5CFC">
        <w:t>,</w:t>
      </w:r>
      <w:r>
        <w:t xml:space="preserve"> while positive for some patients</w:t>
      </w:r>
      <w:r w:rsidR="00AA683D">
        <w:t>,</w:t>
      </w:r>
      <w:r>
        <w:t xml:space="preserve"> means that there is more uncertainty about the number of patients who will access the therapies and the flow on financial impacts for health services. This can also result in a shorter preparation period for health services to deliver the high-cost therapies.</w:t>
      </w:r>
    </w:p>
    <w:p w14:paraId="2C5C01EE" w14:textId="234268D5" w:rsidR="00EF7BC9" w:rsidRDefault="00EF7BC9" w:rsidP="001F0B16">
      <w:pPr>
        <w:pStyle w:val="ListBullet"/>
        <w:ind w:left="567"/>
      </w:pPr>
      <w:r>
        <w:t>Concern that not all stakeholders are participating in the HTA process</w:t>
      </w:r>
      <w:r w:rsidR="00281339">
        <w:t xml:space="preserve"> for high-cost, highly</w:t>
      </w:r>
      <w:r w:rsidR="004B6ED4">
        <w:t xml:space="preserve"> </w:t>
      </w:r>
      <w:r w:rsidR="00281339">
        <w:t>specialised therapies</w:t>
      </w:r>
      <w:r>
        <w:t xml:space="preserve">, for example, National Blood Authority </w:t>
      </w:r>
      <w:r w:rsidR="003E2079">
        <w:t xml:space="preserve">(NBA) </w:t>
      </w:r>
      <w:r>
        <w:t>and Organ and Tissue Donation Authority</w:t>
      </w:r>
      <w:r w:rsidR="003E2079">
        <w:t xml:space="preserve"> (OTDA)</w:t>
      </w:r>
      <w:r>
        <w:t>, in respect of novel blood products and next generation cell and gene-modified cell therapies, with flow-on impacts to jurisdictions.</w:t>
      </w:r>
    </w:p>
    <w:p w14:paraId="60C2D443" w14:textId="77777777" w:rsidR="00EF7BC9" w:rsidRDefault="00EF7BC9" w:rsidP="001F0B16">
      <w:pPr>
        <w:pStyle w:val="ListBullet"/>
        <w:spacing w:after="120"/>
        <w:ind w:left="567"/>
        <w:contextualSpacing w:val="0"/>
      </w:pPr>
      <w:r>
        <w:t>A lack of joined-up decision making about how to best support access to these therapies for eligible patients, regardless of their geographic location, in a structured and planned way.</w:t>
      </w:r>
    </w:p>
    <w:p w14:paraId="2D55EF26" w14:textId="3FC9C447" w:rsidR="00EF7BC9" w:rsidRDefault="00EF7BC9" w:rsidP="00EF7BC9">
      <w:r>
        <w:t>These compounding factors reduce equitable access and referral</w:t>
      </w:r>
      <w:r w:rsidR="00440BFB">
        <w:t>,</w:t>
      </w:r>
      <w:r>
        <w:t xml:space="preserve"> even for approved therapies. As a result, there is a risk that eligible patients can miss out on access to effective and cost-effective treatment options.</w:t>
      </w:r>
    </w:p>
    <w:p w14:paraId="54C4525B" w14:textId="77777777" w:rsidR="00EF7BC9" w:rsidRDefault="00EF7BC9" w:rsidP="00EF7BC9">
      <w:pPr>
        <w:keepNext/>
      </w:pPr>
      <w:r>
        <w:t>More broadly, the current Addendum sets out, not only a process for HTA assessment, but also aspires to establish a national unified framework:</w:t>
      </w:r>
    </w:p>
    <w:p w14:paraId="0A9846D4" w14:textId="77777777" w:rsidR="00EF7BC9" w:rsidRDefault="00EF7BC9" w:rsidP="00EF7BC9">
      <w:pPr>
        <w:ind w:left="284"/>
        <w:rPr>
          <w:i/>
          <w:iCs/>
        </w:rPr>
      </w:pPr>
      <w:r>
        <w:rPr>
          <w:i/>
          <w:iCs/>
        </w:rPr>
        <w:t>C10: The parties further agree to jointly develop a federated approach to health technology assessment, with a view towards a unified framework in the longer term. The goal is to increase the impact of HTA on policy, funding (investment and disinvestment) and service delivery decision making at all levels of the health system.</w:t>
      </w:r>
    </w:p>
    <w:p w14:paraId="0EE1D75C" w14:textId="10E6391D" w:rsidR="00EF7BC9" w:rsidRDefault="00EF7BC9" w:rsidP="00EF7BC9">
      <w:r>
        <w:t>While the Addendum acknowledged that a unified framework was ambitious, this should be a priority of the next Agreement, with a view to harmonising not only the assessment process but also the implementation process for high</w:t>
      </w:r>
      <w:r w:rsidR="001D578B">
        <w:t>-</w:t>
      </w:r>
      <w:r>
        <w:t>cost, highly specialised therapies, noting the</w:t>
      </w:r>
      <w:r w:rsidR="001D578B">
        <w:t>ir</w:t>
      </w:r>
      <w:r>
        <w:t xml:space="preserve"> growing incidence and reach</w:t>
      </w:r>
      <w:r w:rsidR="009D2290">
        <w:t>,</w:t>
      </w:r>
      <w:r>
        <w:t xml:space="preserve"> and the importance of enabling eligible patients fair and equitable access. Consideration should be given to designating treatment centres, along the lines of the approach previously taken to Nationally Funded Centres, with fair apportionment of costs of both products and treatment.</w:t>
      </w:r>
    </w:p>
    <w:p w14:paraId="090F9B93" w14:textId="77777777" w:rsidR="00EF7BC9" w:rsidRDefault="00EF7BC9" w:rsidP="00EF7BC9">
      <w:pPr>
        <w:keepNext/>
        <w:rPr>
          <w:b/>
          <w:bCs/>
        </w:rPr>
      </w:pPr>
      <w:r>
        <w:rPr>
          <w:b/>
          <w:bCs/>
        </w:rPr>
        <w:t>Financial sustainability</w:t>
      </w:r>
    </w:p>
    <w:p w14:paraId="36CFFDE4" w14:textId="77777777" w:rsidR="00EF7BC9" w:rsidRDefault="00EF7BC9" w:rsidP="00EF7BC9">
      <w:r>
        <w:t>Access to novel and effective medicines is a core attribute of the National Medicines Policy which impacts how medicines are used in the hospital system. The increasing specificity of the medicines is often linked to upfront genetic testing and profiling which influences treatment selection. It is noted that where these close links exist that the approval process requires coordination between both the PBAC and the MSAC.</w:t>
      </w:r>
    </w:p>
    <w:p w14:paraId="4E543D07" w14:textId="28A19317" w:rsidR="00EF7BC9" w:rsidRDefault="00EF7BC9" w:rsidP="00EF7BC9">
      <w:r>
        <w:t>The specific nature of some upfront genotyping investigations can see diagnostic testing occurring outside of Australia. This results in out of pocket or unfunded costs to patients or health services to optimise access to appropriate medicines. Added to this is the concentration of some specialist services to major metropolitan health services (e.g., access to CAR-T cell therapy). These circumstances have an impact on equitable access to medicines needed for individual conditions.</w:t>
      </w:r>
    </w:p>
    <w:tbl>
      <w:tblPr>
        <w:tblStyle w:val="TableGrid"/>
        <w:tblW w:w="0" w:type="auto"/>
        <w:shd w:val="clear" w:color="auto" w:fill="F2F2F2" w:themeFill="background1" w:themeFillShade="F2"/>
        <w:tblLook w:val="04A0" w:firstRow="1" w:lastRow="0" w:firstColumn="1" w:lastColumn="0" w:noHBand="0" w:noVBand="1"/>
      </w:tblPr>
      <w:tblGrid>
        <w:gridCol w:w="10466"/>
      </w:tblGrid>
      <w:tr w:rsidR="00EF7BC9" w14:paraId="343F4B5A" w14:textId="77777777">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hideMark/>
          </w:tcPr>
          <w:p w14:paraId="10B6148E" w14:textId="6D491693" w:rsidR="00EF7BC9" w:rsidRDefault="00EF7BC9">
            <w:pPr>
              <w:pStyle w:val="Summarytable"/>
              <w:rPr>
                <w:b w:val="0"/>
                <w:bCs w:val="0"/>
                <w:lang w:val="en-GB"/>
              </w:rPr>
            </w:pPr>
            <w:r w:rsidRPr="004567AB">
              <w:rPr>
                <w:noProof/>
                <w:color w:val="00707E" w:themeColor="accent5" w:themeShade="BF"/>
                <w:lang w:val="en-GB"/>
              </w:rPr>
              <w:drawing>
                <wp:inline distT="0" distB="0" distL="0" distR="0" wp14:anchorId="5F11FD5D" wp14:editId="513FB83B">
                  <wp:extent cx="269875" cy="269875"/>
                  <wp:effectExtent l="0" t="0" r="0" b="0"/>
                  <wp:docPr id="1489793629" name="Graphic 1489793629" descr="P1920C1T98#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89793629" name="Graphic 1489793629" descr="P1920C1T98#yIS1">
                            <a:extLst>
                              <a:ext uri="{C183D7F6-B498-43B3-948B-1728B52AA6E4}">
                                <adec:decorative xmlns:adec="http://schemas.microsoft.com/office/drawing/2017/decorative" val="1"/>
                              </a:ext>
                            </a:extLst>
                          </pic:cNvPr>
                          <pic:cNvPicPr>
                            <a:picLocks noChangeAspect="1"/>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69875" cy="269875"/>
                          </a:xfrm>
                          <a:prstGeom prst="rect">
                            <a:avLst/>
                          </a:prstGeom>
                        </pic:spPr>
                      </pic:pic>
                    </a:graphicData>
                  </a:graphic>
                </wp:inline>
              </w:drawing>
            </w:r>
            <w:r w:rsidRPr="004567AB">
              <w:rPr>
                <w:color w:val="00707E" w:themeColor="accent5" w:themeShade="BF"/>
                <w:lang w:val="en-GB"/>
              </w:rPr>
              <w:t>Recommendation</w:t>
            </w:r>
            <w:r>
              <w:rPr>
                <w:color w:val="00707E" w:themeColor="accent5" w:themeShade="BF"/>
                <w:lang w:val="en-GB"/>
              </w:rPr>
              <w:t xml:space="preserve"> 2</w:t>
            </w:r>
            <w:r w:rsidR="0011578A">
              <w:rPr>
                <w:color w:val="00707E" w:themeColor="accent5" w:themeShade="BF"/>
                <w:lang w:val="en-GB"/>
              </w:rPr>
              <w:t>9</w:t>
            </w:r>
            <w:r>
              <w:rPr>
                <w:color w:val="00707E" w:themeColor="accent5" w:themeShade="BF"/>
                <w:lang w:val="en-GB"/>
              </w:rPr>
              <w:t xml:space="preserve">: </w:t>
            </w:r>
            <w:r w:rsidR="008C06F0">
              <w:rPr>
                <w:b w:val="0"/>
                <w:bCs w:val="0"/>
                <w:color w:val="000000" w:themeColor="text1"/>
                <w:lang w:val="en-GB"/>
              </w:rPr>
              <w:t>A</w:t>
            </w:r>
            <w:r>
              <w:rPr>
                <w:b w:val="0"/>
                <w:bCs w:val="0"/>
                <w:color w:val="000000" w:themeColor="text1"/>
                <w:lang w:val="en-GB"/>
              </w:rPr>
              <w:t xml:space="preserve"> structured </w:t>
            </w:r>
            <w:r>
              <w:rPr>
                <w:color w:val="000000" w:themeColor="text1"/>
                <w:lang w:val="en-GB"/>
              </w:rPr>
              <w:t>horizon scanning process</w:t>
            </w:r>
            <w:r>
              <w:rPr>
                <w:b w:val="0"/>
                <w:bCs w:val="0"/>
                <w:color w:val="000000" w:themeColor="text1"/>
                <w:lang w:val="en-GB"/>
              </w:rPr>
              <w:t xml:space="preserve"> </w:t>
            </w:r>
            <w:r w:rsidR="008C06F0">
              <w:rPr>
                <w:b w:val="0"/>
                <w:bCs w:val="0"/>
                <w:color w:val="000000" w:themeColor="text1"/>
                <w:lang w:val="en-GB"/>
              </w:rPr>
              <w:t>should be established f</w:t>
            </w:r>
            <w:r>
              <w:rPr>
                <w:b w:val="0"/>
                <w:bCs w:val="0"/>
                <w:color w:val="000000" w:themeColor="text1"/>
                <w:lang w:val="en-GB"/>
              </w:rPr>
              <w:t xml:space="preserve">or high-cost, highly specialised therapies, with involvement of all jurisdictions, and with input from relevant stakeholders, including but not limited to the </w:t>
            </w:r>
            <w:r w:rsidR="004D5EEA">
              <w:rPr>
                <w:b w:val="0"/>
                <w:bCs w:val="0"/>
                <w:color w:val="000000" w:themeColor="text1"/>
                <w:lang w:val="en-GB"/>
              </w:rPr>
              <w:t>National Blood Authority</w:t>
            </w:r>
            <w:r>
              <w:rPr>
                <w:b w:val="0"/>
                <w:bCs w:val="0"/>
                <w:color w:val="000000" w:themeColor="text1"/>
                <w:lang w:val="en-GB"/>
              </w:rPr>
              <w:t xml:space="preserve">, </w:t>
            </w:r>
            <w:r w:rsidR="003E2079">
              <w:rPr>
                <w:b w:val="0"/>
                <w:bCs w:val="0"/>
                <w:color w:val="000000" w:themeColor="text1"/>
                <w:lang w:val="en-GB"/>
              </w:rPr>
              <w:t>Organ and Tissue Donation Authority</w:t>
            </w:r>
            <w:r w:rsidR="008219B7">
              <w:rPr>
                <w:b w:val="0"/>
                <w:bCs w:val="0"/>
                <w:color w:val="000000" w:themeColor="text1"/>
                <w:lang w:val="en-GB"/>
              </w:rPr>
              <w:t>,</w:t>
            </w:r>
            <w:r w:rsidR="003E2079">
              <w:rPr>
                <w:b w:val="0"/>
                <w:bCs w:val="0"/>
                <w:color w:val="000000" w:themeColor="text1"/>
                <w:lang w:val="en-GB"/>
              </w:rPr>
              <w:t xml:space="preserve"> </w:t>
            </w:r>
            <w:r w:rsidR="00DA36B9" w:rsidRPr="00DA36B9">
              <w:rPr>
                <w:b w:val="0"/>
                <w:bCs w:val="0"/>
                <w:color w:val="000000" w:themeColor="text1"/>
                <w:lang w:val="en-GB"/>
              </w:rPr>
              <w:t>Pharmaceutical Benefits Advisory Committee</w:t>
            </w:r>
            <w:r>
              <w:rPr>
                <w:b w:val="0"/>
                <w:bCs w:val="0"/>
                <w:color w:val="000000" w:themeColor="text1"/>
                <w:lang w:val="en-GB"/>
              </w:rPr>
              <w:t xml:space="preserve"> and </w:t>
            </w:r>
            <w:r w:rsidR="00DA36B9" w:rsidRPr="00DA36B9">
              <w:rPr>
                <w:b w:val="0"/>
                <w:bCs w:val="0"/>
                <w:color w:val="000000" w:themeColor="text1"/>
                <w:lang w:val="en-GB"/>
              </w:rPr>
              <w:t xml:space="preserve">Medical Services Advisory </w:t>
            </w:r>
            <w:r w:rsidR="008219B7" w:rsidRPr="00DA36B9">
              <w:rPr>
                <w:b w:val="0"/>
                <w:bCs w:val="0"/>
                <w:color w:val="000000" w:themeColor="text1"/>
                <w:lang w:val="en-GB"/>
              </w:rPr>
              <w:t>Committee</w:t>
            </w:r>
            <w:r w:rsidR="00EB4B35">
              <w:rPr>
                <w:b w:val="0"/>
                <w:bCs w:val="0"/>
                <w:color w:val="000000" w:themeColor="text1"/>
                <w:lang w:val="en-GB"/>
              </w:rPr>
              <w:t>,</w:t>
            </w:r>
            <w:r w:rsidR="008219B7" w:rsidRPr="00DA36B9">
              <w:rPr>
                <w:b w:val="0"/>
                <w:bCs w:val="0"/>
                <w:color w:val="000000" w:themeColor="text1"/>
                <w:lang w:val="en-GB"/>
              </w:rPr>
              <w:t xml:space="preserve"> to</w:t>
            </w:r>
            <w:r>
              <w:rPr>
                <w:b w:val="0"/>
                <w:bCs w:val="0"/>
                <w:color w:val="000000" w:themeColor="text1"/>
                <w:lang w:val="en-GB"/>
              </w:rPr>
              <w:t xml:space="preserve"> support forward planning and priority setting.</w:t>
            </w:r>
          </w:p>
        </w:tc>
      </w:tr>
    </w:tbl>
    <w:p w14:paraId="7B3A8546" w14:textId="77777777" w:rsidR="00EF7BC9" w:rsidRDefault="00EF7BC9" w:rsidP="00EF7BC9"/>
    <w:tbl>
      <w:tblPr>
        <w:tblStyle w:val="TableGrid"/>
        <w:tblW w:w="0" w:type="auto"/>
        <w:shd w:val="clear" w:color="auto" w:fill="F2F2F2" w:themeFill="background1" w:themeFillShade="F2"/>
        <w:tblLook w:val="04A0" w:firstRow="1" w:lastRow="0" w:firstColumn="1" w:lastColumn="0" w:noHBand="0" w:noVBand="1"/>
      </w:tblPr>
      <w:tblGrid>
        <w:gridCol w:w="10466"/>
      </w:tblGrid>
      <w:tr w:rsidR="00EF7BC9" w14:paraId="1BC1583E" w14:textId="77777777">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hideMark/>
          </w:tcPr>
          <w:p w14:paraId="0F17B682" w14:textId="2AB3CC82" w:rsidR="00EF7BC9" w:rsidRDefault="00B34F0C">
            <w:pPr>
              <w:pStyle w:val="Summarytable"/>
              <w:rPr>
                <w:lang w:val="en-GB"/>
              </w:rPr>
            </w:pPr>
            <w:r>
              <w:rPr>
                <w:noProof/>
                <w:lang w:val="en-GB"/>
              </w:rPr>
              <w:drawing>
                <wp:inline distT="0" distB="0" distL="0" distR="0" wp14:anchorId="07C90414" wp14:editId="4419E3D1">
                  <wp:extent cx="269875" cy="269875"/>
                  <wp:effectExtent l="0" t="0" r="0" b="0"/>
                  <wp:docPr id="1489793628" name="Graphic 1489793628" descr="P1923C1T99#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89793628" name="Graphic 1489793628" descr="P1923C1T99#yIS1">
                            <a:extLst>
                              <a:ext uri="{C183D7F6-B498-43B3-948B-1728B52AA6E4}">
                                <adec:decorative xmlns:adec="http://schemas.microsoft.com/office/drawing/2017/decorative" val="1"/>
                              </a:ext>
                            </a:extLst>
                          </pic:cNvPr>
                          <pic:cNvPicPr>
                            <a:picLocks noChangeAspect="1"/>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69875" cy="269875"/>
                          </a:xfrm>
                          <a:prstGeom prst="rect">
                            <a:avLst/>
                          </a:prstGeom>
                        </pic:spPr>
                      </pic:pic>
                    </a:graphicData>
                  </a:graphic>
                </wp:inline>
              </w:drawing>
            </w:r>
            <w:r w:rsidR="00EF7BC9">
              <w:rPr>
                <w:color w:val="00707E" w:themeColor="accent5" w:themeShade="BF"/>
                <w:lang w:val="en-GB"/>
              </w:rPr>
              <w:t xml:space="preserve">Recommendation </w:t>
            </w:r>
            <w:r w:rsidR="0011578A">
              <w:rPr>
                <w:color w:val="00707E" w:themeColor="accent5" w:themeShade="BF"/>
                <w:lang w:val="en-GB"/>
              </w:rPr>
              <w:t>30</w:t>
            </w:r>
            <w:r w:rsidR="00EF7BC9">
              <w:rPr>
                <w:color w:val="00707E" w:themeColor="accent5" w:themeShade="BF"/>
                <w:lang w:val="en-GB"/>
              </w:rPr>
              <w:t xml:space="preserve">: </w:t>
            </w:r>
            <w:r w:rsidR="008C06F0">
              <w:rPr>
                <w:b w:val="0"/>
                <w:bCs w:val="0"/>
                <w:lang w:val="en-GB"/>
              </w:rPr>
              <w:t xml:space="preserve">A </w:t>
            </w:r>
            <w:r w:rsidR="00EF7BC9" w:rsidRPr="005D1939">
              <w:rPr>
                <w:lang w:val="en-GB"/>
              </w:rPr>
              <w:t xml:space="preserve">unified national HTA process for the assessment and delivery of </w:t>
            </w:r>
            <w:r w:rsidR="00EF7BC9">
              <w:rPr>
                <w:lang w:val="en-GB"/>
              </w:rPr>
              <w:t>high-cost, highly specialised therapies</w:t>
            </w:r>
            <w:r w:rsidR="00EF7BC9">
              <w:rPr>
                <w:b w:val="0"/>
                <w:bCs w:val="0"/>
                <w:lang w:val="en-GB"/>
              </w:rPr>
              <w:t xml:space="preserve"> </w:t>
            </w:r>
            <w:r w:rsidR="00A163BB" w:rsidRPr="00B45CA4">
              <w:rPr>
                <w:lang w:val="en-GB"/>
              </w:rPr>
              <w:t>under the NHRA</w:t>
            </w:r>
            <w:r w:rsidR="001E33D7" w:rsidRPr="00B45CA4">
              <w:rPr>
                <w:lang w:val="en-GB"/>
              </w:rPr>
              <w:t xml:space="preserve"> </w:t>
            </w:r>
            <w:r w:rsidR="008C06F0" w:rsidRPr="00B45CA4">
              <w:rPr>
                <w:lang w:val="en-GB"/>
              </w:rPr>
              <w:t>should be progressed</w:t>
            </w:r>
            <w:r w:rsidR="00B45CA4">
              <w:rPr>
                <w:lang w:val="en-GB"/>
              </w:rPr>
              <w:t>,</w:t>
            </w:r>
            <w:r w:rsidR="008C06F0">
              <w:rPr>
                <w:b w:val="0"/>
                <w:bCs w:val="0"/>
                <w:lang w:val="en-GB"/>
              </w:rPr>
              <w:t xml:space="preserve"> </w:t>
            </w:r>
            <w:r w:rsidR="00EF7BC9">
              <w:rPr>
                <w:b w:val="0"/>
                <w:bCs w:val="0"/>
                <w:lang w:val="en-GB"/>
              </w:rPr>
              <w:t xml:space="preserve">that addresses issues of national consistency, </w:t>
            </w:r>
            <w:r w:rsidR="000C558B">
              <w:rPr>
                <w:b w:val="0"/>
                <w:bCs w:val="0"/>
                <w:lang w:val="en-GB"/>
              </w:rPr>
              <w:t xml:space="preserve">risk sharing, </w:t>
            </w:r>
            <w:r w:rsidR="00EF7BC9">
              <w:rPr>
                <w:b w:val="0"/>
                <w:bCs w:val="0"/>
                <w:lang w:val="en-GB"/>
              </w:rPr>
              <w:t xml:space="preserve">access (including the potential for private sector delivery), affordability, timeliness and information sharing. </w:t>
            </w:r>
          </w:p>
        </w:tc>
      </w:tr>
    </w:tbl>
    <w:p w14:paraId="63631325" w14:textId="77777777" w:rsidR="00EF7BC9" w:rsidRDefault="00EF7BC9" w:rsidP="00EF7BC9"/>
    <w:tbl>
      <w:tblPr>
        <w:tblStyle w:val="TableGrid"/>
        <w:tblW w:w="0" w:type="auto"/>
        <w:shd w:val="clear" w:color="auto" w:fill="F2F2F2" w:themeFill="background1" w:themeFillShade="F2"/>
        <w:tblLook w:val="04A0" w:firstRow="1" w:lastRow="0" w:firstColumn="1" w:lastColumn="0" w:noHBand="0" w:noVBand="1"/>
      </w:tblPr>
      <w:tblGrid>
        <w:gridCol w:w="10466"/>
      </w:tblGrid>
      <w:tr w:rsidR="00EF7BC9" w14:paraId="678626FA" w14:textId="77777777">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hideMark/>
          </w:tcPr>
          <w:p w14:paraId="6AE25D5D" w14:textId="35A86FA7" w:rsidR="00EF7BC9" w:rsidRDefault="00EF7BC9">
            <w:pPr>
              <w:pStyle w:val="Summarytable"/>
              <w:rPr>
                <w:b w:val="0"/>
                <w:bCs w:val="0"/>
                <w:lang w:val="en-GB"/>
              </w:rPr>
            </w:pPr>
            <w:r w:rsidRPr="004567AB">
              <w:rPr>
                <w:noProof/>
                <w:color w:val="00707E" w:themeColor="accent5" w:themeShade="BF"/>
                <w:lang w:val="en-GB"/>
              </w:rPr>
              <w:drawing>
                <wp:inline distT="0" distB="0" distL="0" distR="0" wp14:anchorId="372934B0" wp14:editId="64413B47">
                  <wp:extent cx="269875" cy="269875"/>
                  <wp:effectExtent l="0" t="0" r="0" b="0"/>
                  <wp:docPr id="1489793627" name="Graphic 1489793627" descr="P1926C1T100#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89793627" name="Graphic 1489793627" descr="P1926C1T100#yIS1">
                            <a:extLst>
                              <a:ext uri="{C183D7F6-B498-43B3-948B-1728B52AA6E4}">
                                <adec:decorative xmlns:adec="http://schemas.microsoft.com/office/drawing/2017/decorative" val="1"/>
                              </a:ext>
                            </a:extLst>
                          </pic:cNvPr>
                          <pic:cNvPicPr>
                            <a:picLocks noChangeAspect="1"/>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69875" cy="269875"/>
                          </a:xfrm>
                          <a:prstGeom prst="rect">
                            <a:avLst/>
                          </a:prstGeom>
                        </pic:spPr>
                      </pic:pic>
                    </a:graphicData>
                  </a:graphic>
                </wp:inline>
              </w:drawing>
            </w:r>
            <w:r w:rsidRPr="004567AB">
              <w:rPr>
                <w:color w:val="00707E" w:themeColor="accent5" w:themeShade="BF"/>
                <w:lang w:val="en-GB"/>
              </w:rPr>
              <w:t>Recommendation</w:t>
            </w:r>
            <w:r>
              <w:rPr>
                <w:color w:val="00707E" w:themeColor="accent5" w:themeShade="BF"/>
                <w:lang w:val="en-GB"/>
              </w:rPr>
              <w:t xml:space="preserve"> </w:t>
            </w:r>
            <w:r w:rsidR="0011578A">
              <w:rPr>
                <w:color w:val="00707E" w:themeColor="accent5" w:themeShade="BF"/>
                <w:lang w:val="en-GB"/>
              </w:rPr>
              <w:t>31</w:t>
            </w:r>
            <w:r>
              <w:rPr>
                <w:color w:val="00707E" w:themeColor="accent5" w:themeShade="BF"/>
                <w:lang w:val="en-GB"/>
              </w:rPr>
              <w:t xml:space="preserve">: </w:t>
            </w:r>
            <w:r w:rsidRPr="005D1939">
              <w:rPr>
                <w:b w:val="0"/>
                <w:lang w:val="en-GB"/>
              </w:rPr>
              <w:t xml:space="preserve">The unified HTA framework and methodology </w:t>
            </w:r>
            <w:r w:rsidR="007E5CFC">
              <w:rPr>
                <w:b w:val="0"/>
                <w:lang w:val="en-GB"/>
              </w:rPr>
              <w:t>at</w:t>
            </w:r>
            <w:r w:rsidR="007E5CFC" w:rsidRPr="005D1939">
              <w:rPr>
                <w:b w:val="0"/>
                <w:lang w:val="en-GB"/>
              </w:rPr>
              <w:t xml:space="preserve"> </w:t>
            </w:r>
            <w:r w:rsidRPr="005D1939">
              <w:rPr>
                <w:b w:val="0"/>
                <w:lang w:val="en-GB"/>
              </w:rPr>
              <w:t xml:space="preserve">Recommendation </w:t>
            </w:r>
            <w:r w:rsidR="00CA211F">
              <w:rPr>
                <w:b w:val="0"/>
                <w:bCs w:val="0"/>
                <w:lang w:val="en-GB"/>
              </w:rPr>
              <w:t>30</w:t>
            </w:r>
            <w:r w:rsidRPr="005D1939">
              <w:rPr>
                <w:b w:val="0"/>
                <w:lang w:val="en-GB"/>
              </w:rPr>
              <w:t xml:space="preserve"> should</w:t>
            </w:r>
            <w:r>
              <w:rPr>
                <w:b w:val="0"/>
                <w:bCs w:val="0"/>
                <w:lang w:val="en-GB"/>
              </w:rPr>
              <w:t xml:space="preserve">: </w:t>
            </w:r>
          </w:p>
          <w:p w14:paraId="09249A58" w14:textId="5F97A2B8" w:rsidR="00EF7BC9" w:rsidRPr="00107518" w:rsidRDefault="00EF7BC9">
            <w:pPr>
              <w:pStyle w:val="Summarytable"/>
              <w:numPr>
                <w:ilvl w:val="0"/>
                <w:numId w:val="94"/>
              </w:numPr>
              <w:ind w:left="1134"/>
              <w:rPr>
                <w:b w:val="0"/>
                <w:bCs w:val="0"/>
                <w:lang w:val="en-GB"/>
              </w:rPr>
            </w:pPr>
            <w:r w:rsidRPr="00107518">
              <w:rPr>
                <w:lang w:val="en-GB"/>
              </w:rPr>
              <w:t>Drive consistency</w:t>
            </w:r>
            <w:r w:rsidRPr="00107518">
              <w:rPr>
                <w:b w:val="0"/>
                <w:bCs w:val="0"/>
                <w:lang w:val="en-GB"/>
              </w:rPr>
              <w:t xml:space="preserve"> in identification of all costs associated with delivery (Commonwealth</w:t>
            </w:r>
            <w:r w:rsidR="005477FB">
              <w:rPr>
                <w:b w:val="0"/>
                <w:bCs w:val="0"/>
                <w:lang w:val="en-GB"/>
              </w:rPr>
              <w:t>,</w:t>
            </w:r>
            <w:r w:rsidRPr="00107518">
              <w:rPr>
                <w:b w:val="0"/>
                <w:bCs w:val="0"/>
                <w:lang w:val="en-GB"/>
              </w:rPr>
              <w:t xml:space="preserve"> State</w:t>
            </w:r>
            <w:r w:rsidR="005477FB">
              <w:rPr>
                <w:b w:val="0"/>
                <w:bCs w:val="0"/>
                <w:lang w:val="en-GB"/>
              </w:rPr>
              <w:t xml:space="preserve"> and </w:t>
            </w:r>
            <w:r w:rsidRPr="00107518">
              <w:rPr>
                <w:b w:val="0"/>
                <w:bCs w:val="0"/>
                <w:lang w:val="en-GB"/>
              </w:rPr>
              <w:t>Territory funded), but also lifetime potential avoided health system costs, through strengthened data collection and analysis.</w:t>
            </w:r>
          </w:p>
          <w:p w14:paraId="5C41E8A0" w14:textId="77777777" w:rsidR="00EF7BC9" w:rsidRDefault="00EF7BC9">
            <w:pPr>
              <w:pStyle w:val="Summarytable"/>
              <w:numPr>
                <w:ilvl w:val="0"/>
                <w:numId w:val="94"/>
              </w:numPr>
              <w:ind w:left="1134"/>
              <w:rPr>
                <w:b w:val="0"/>
                <w:bCs w:val="0"/>
                <w:lang w:val="en-GB"/>
              </w:rPr>
            </w:pPr>
            <w:r>
              <w:rPr>
                <w:lang w:val="en-GB"/>
              </w:rPr>
              <w:t>T</w:t>
            </w:r>
            <w:r w:rsidRPr="005D1939">
              <w:rPr>
                <w:lang w:val="en-GB"/>
              </w:rPr>
              <w:t>ake a cross-modal approach</w:t>
            </w:r>
            <w:r>
              <w:rPr>
                <w:b w:val="0"/>
                <w:bCs w:val="0"/>
                <w:lang w:val="en-GB"/>
              </w:rPr>
              <w:t xml:space="preserve"> that compares new high-cost, highly specialised therapies to the range of treatments/technologies for the same indication (e.g., medicines, devices, surgery).</w:t>
            </w:r>
          </w:p>
        </w:tc>
      </w:tr>
    </w:tbl>
    <w:p w14:paraId="2D09B56B" w14:textId="3D423A50" w:rsidR="00303E7C" w:rsidRDefault="0094150D" w:rsidP="008A111B">
      <w:pPr>
        <w:pStyle w:val="Heading2"/>
        <w:pageBreakBefore/>
      </w:pPr>
      <w:bookmarkStart w:id="297" w:name="_Ref146699625"/>
      <w:r>
        <w:rPr>
          <w:noProof/>
        </w:rPr>
        <w:drawing>
          <wp:anchor distT="0" distB="0" distL="114300" distR="114300" simplePos="0" relativeHeight="251669504" behindDoc="0" locked="0" layoutInCell="1" allowOverlap="1" wp14:anchorId="6BA2F8C0" wp14:editId="42620B66">
            <wp:simplePos x="0" y="0"/>
            <wp:positionH relativeFrom="column">
              <wp:posOffset>5995268</wp:posOffset>
            </wp:positionH>
            <wp:positionV relativeFrom="paragraph">
              <wp:posOffset>619</wp:posOffset>
            </wp:positionV>
            <wp:extent cx="647887" cy="760021"/>
            <wp:effectExtent l="0" t="0" r="0" b="2540"/>
            <wp:wrapSquare wrapText="bothSides"/>
            <wp:docPr id="52379482" name="Picture 52379482" descr="P193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9482" name="Picture 52379482" descr="P1930#y1">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647887" cy="760021"/>
                    </a:xfrm>
                    <a:prstGeom prst="rect">
                      <a:avLst/>
                    </a:prstGeom>
                  </pic:spPr>
                </pic:pic>
              </a:graphicData>
            </a:graphic>
            <wp14:sizeRelH relativeFrom="page">
              <wp14:pctWidth>0</wp14:pctWidth>
            </wp14:sizeRelH>
            <wp14:sizeRelV relativeFrom="page">
              <wp14:pctHeight>0</wp14:pctHeight>
            </wp14:sizeRelV>
          </wp:anchor>
        </w:drawing>
      </w:r>
      <w:r w:rsidR="00303E7C">
        <w:t>Progressing long-term health reforms</w:t>
      </w:r>
      <w:bookmarkEnd w:id="287"/>
      <w:bookmarkEnd w:id="288"/>
      <w:bookmarkEnd w:id="289"/>
      <w:bookmarkEnd w:id="290"/>
      <w:bookmarkEnd w:id="297"/>
    </w:p>
    <w:p w14:paraId="0060C7E4" w14:textId="5C2EC13B" w:rsidR="0099566D" w:rsidRDefault="0099566D" w:rsidP="0099566D">
      <w:pPr>
        <w:pStyle w:val="Heading3"/>
      </w:pPr>
      <w:bookmarkStart w:id="298" w:name="_Ref146113590"/>
      <w:r>
        <w:t>National commitment</w:t>
      </w:r>
      <w:bookmarkEnd w:id="298"/>
    </w:p>
    <w:p w14:paraId="71970440" w14:textId="360AB240" w:rsidR="008F5C6A" w:rsidRDefault="008F5C6A" w:rsidP="008F5C6A">
      <w:r>
        <w:t xml:space="preserve">Schedule C of the NHRA Addendum sets out the commitment of the parties to shared action on long-term health system reform </w:t>
      </w:r>
      <w:r w:rsidR="008A35D2">
        <w:t xml:space="preserve">(LTR) </w:t>
      </w:r>
      <w:r>
        <w:t>to achieve the critical priorities of:</w:t>
      </w:r>
    </w:p>
    <w:p w14:paraId="498B0AB4" w14:textId="77777777" w:rsidR="008F5C6A" w:rsidRDefault="008F5C6A" w:rsidP="00A850C3">
      <w:pPr>
        <w:pStyle w:val="ListParagraph"/>
        <w:numPr>
          <w:ilvl w:val="0"/>
          <w:numId w:val="45"/>
        </w:numPr>
      </w:pPr>
      <w:r>
        <w:t>Improving efficiency and ensuring financial sustainability</w:t>
      </w:r>
    </w:p>
    <w:p w14:paraId="7626742D" w14:textId="77777777" w:rsidR="008F5C6A" w:rsidRDefault="008F5C6A" w:rsidP="00A850C3">
      <w:pPr>
        <w:pStyle w:val="ListParagraph"/>
        <w:numPr>
          <w:ilvl w:val="0"/>
          <w:numId w:val="45"/>
        </w:numPr>
      </w:pPr>
      <w:r>
        <w:t>Delivering safe, high-quality care in the right place at the right time through:</w:t>
      </w:r>
    </w:p>
    <w:p w14:paraId="3C43EBEB" w14:textId="77777777" w:rsidR="008F5C6A" w:rsidRDefault="008F5C6A" w:rsidP="00A850C3">
      <w:pPr>
        <w:pStyle w:val="ListParagraph"/>
        <w:numPr>
          <w:ilvl w:val="1"/>
          <w:numId w:val="45"/>
        </w:numPr>
      </w:pPr>
      <w:r>
        <w:t>nationally cohesive health technology assessment</w:t>
      </w:r>
    </w:p>
    <w:p w14:paraId="14BE5CBB" w14:textId="77777777" w:rsidR="008F5C6A" w:rsidRDefault="008F5C6A" w:rsidP="00A850C3">
      <w:pPr>
        <w:pStyle w:val="ListParagraph"/>
        <w:numPr>
          <w:ilvl w:val="1"/>
          <w:numId w:val="45"/>
        </w:numPr>
      </w:pPr>
      <w:r>
        <w:t>paying for value and outcomes</w:t>
      </w:r>
    </w:p>
    <w:p w14:paraId="65F83AE9" w14:textId="77777777" w:rsidR="008F5C6A" w:rsidRDefault="008F5C6A" w:rsidP="00A850C3">
      <w:pPr>
        <w:pStyle w:val="ListParagraph"/>
        <w:numPr>
          <w:ilvl w:val="1"/>
          <w:numId w:val="45"/>
        </w:numPr>
      </w:pPr>
      <w:r>
        <w:t>joint planning and funding at a local level</w:t>
      </w:r>
    </w:p>
    <w:p w14:paraId="7EF8F9B2" w14:textId="77777777" w:rsidR="008F5C6A" w:rsidRDefault="008F5C6A" w:rsidP="00A850C3">
      <w:pPr>
        <w:pStyle w:val="ListParagraph"/>
        <w:numPr>
          <w:ilvl w:val="0"/>
          <w:numId w:val="45"/>
        </w:numPr>
      </w:pPr>
      <w:r>
        <w:t>Prioritising prevention and helping people manage their health across their lifetime through:</w:t>
      </w:r>
    </w:p>
    <w:p w14:paraId="309027F0" w14:textId="004700F4" w:rsidR="008F5C6A" w:rsidRDefault="005C2602" w:rsidP="00A850C3">
      <w:pPr>
        <w:pStyle w:val="ListParagraph"/>
        <w:numPr>
          <w:ilvl w:val="1"/>
          <w:numId w:val="45"/>
        </w:numPr>
      </w:pPr>
      <w:r>
        <w:t xml:space="preserve">empowering </w:t>
      </w:r>
      <w:r w:rsidR="008F5C6A">
        <w:t>people through health literacy</w:t>
      </w:r>
    </w:p>
    <w:p w14:paraId="2558E8D9" w14:textId="3EFC316C" w:rsidR="008F5C6A" w:rsidRDefault="005C2602" w:rsidP="00A850C3">
      <w:pPr>
        <w:pStyle w:val="ListParagraph"/>
        <w:numPr>
          <w:ilvl w:val="1"/>
          <w:numId w:val="45"/>
        </w:numPr>
      </w:pPr>
      <w:r>
        <w:t xml:space="preserve">prevention </w:t>
      </w:r>
      <w:r w:rsidR="008F5C6A">
        <w:t>and wellbeing</w:t>
      </w:r>
    </w:p>
    <w:p w14:paraId="5EE98B52" w14:textId="77777777" w:rsidR="008F5C6A" w:rsidRDefault="008F5C6A" w:rsidP="00A850C3">
      <w:pPr>
        <w:pStyle w:val="ListParagraph"/>
        <w:numPr>
          <w:ilvl w:val="0"/>
          <w:numId w:val="45"/>
        </w:numPr>
      </w:pPr>
      <w:r>
        <w:t>Driving best practice and performance using data and research through:</w:t>
      </w:r>
    </w:p>
    <w:p w14:paraId="4092B55C" w14:textId="6C00D4D6" w:rsidR="008F5C6A" w:rsidRDefault="005C2602" w:rsidP="00A850C3">
      <w:pPr>
        <w:pStyle w:val="ListParagraph"/>
        <w:numPr>
          <w:ilvl w:val="1"/>
          <w:numId w:val="45"/>
        </w:numPr>
      </w:pPr>
      <w:r>
        <w:t xml:space="preserve">enhanced </w:t>
      </w:r>
      <w:r w:rsidR="008F5C6A">
        <w:t>health data.</w:t>
      </w:r>
    </w:p>
    <w:p w14:paraId="57446BD4" w14:textId="7C0A00EA" w:rsidR="008F5C6A" w:rsidRDefault="008F5C6A" w:rsidP="008F5C6A">
      <w:r>
        <w:t>Despite the specific reference to the six LTRs</w:t>
      </w:r>
      <w:r w:rsidR="003F5D51">
        <w:rPr>
          <w:rFonts w:ascii="ZWAdobeF" w:hAnsi="ZWAdobeF" w:cs="ZWAdobeF"/>
          <w:sz w:val="2"/>
          <w:szCs w:val="2"/>
        </w:rPr>
        <w:t>142F</w:t>
      </w:r>
      <w:r>
        <w:rPr>
          <w:rStyle w:val="FootnoteReference"/>
        </w:rPr>
        <w:footnoteReference w:id="144"/>
      </w:r>
      <w:r>
        <w:t xml:space="preserve"> in the Addendum, developed and agreed through a collaborative process between all jurisdictions, and with specific processes and actions committed to in the Agreement, progress on advancing the LTRs</w:t>
      </w:r>
      <w:r w:rsidRPr="00C87188">
        <w:t xml:space="preserve"> has been limited</w:t>
      </w:r>
      <w:r>
        <w:t>, has lacked ambition, been constrained by lack of funding and resources and is not generating the system level improvements that the Addendum envisaged.</w:t>
      </w:r>
    </w:p>
    <w:p w14:paraId="76E982F2" w14:textId="26D1F8A3" w:rsidR="008F5C6A" w:rsidRDefault="008F5C6A" w:rsidP="008F5C6A">
      <w:r>
        <w:t xml:space="preserve">The Review identified </w:t>
      </w:r>
      <w:r w:rsidR="00253504">
        <w:t>a</w:t>
      </w:r>
      <w:r>
        <w:t xml:space="preserve"> number of projects that have been supported through the LTR agenda, with the majority resulting from the original sign-on bonus paid to States</w:t>
      </w:r>
      <w:r w:rsidR="00B8643A">
        <w:t xml:space="preserve"> and </w:t>
      </w:r>
      <w:r w:rsidR="006D3C6E">
        <w:t>Territories</w:t>
      </w:r>
      <w:r w:rsidR="003F5D51">
        <w:rPr>
          <w:rFonts w:ascii="ZWAdobeF" w:hAnsi="ZWAdobeF" w:cs="ZWAdobeF"/>
          <w:sz w:val="2"/>
          <w:szCs w:val="2"/>
        </w:rPr>
        <w:t>143F</w:t>
      </w:r>
      <w:r w:rsidR="00D544AB">
        <w:rPr>
          <w:rStyle w:val="FootnoteReference"/>
        </w:rPr>
        <w:footnoteReference w:id="145"/>
      </w:r>
      <w:r>
        <w:t xml:space="preserve"> rather than directly related to this element of the Agreement. </w:t>
      </w:r>
      <w:r w:rsidR="00500CEE" w:rsidRPr="00591244">
        <w:rPr>
          <w:rFonts w:eastAsiaTheme="minorEastAsia"/>
        </w:rPr>
        <w:t xml:space="preserve">Projects supported </w:t>
      </w:r>
      <w:r w:rsidR="00077D04">
        <w:rPr>
          <w:rFonts w:eastAsiaTheme="minorEastAsia"/>
        </w:rPr>
        <w:t>S</w:t>
      </w:r>
      <w:r w:rsidR="00500CEE" w:rsidRPr="00591244">
        <w:rPr>
          <w:rFonts w:eastAsiaTheme="minorEastAsia"/>
        </w:rPr>
        <w:t>tate</w:t>
      </w:r>
      <w:r w:rsidR="005477FB">
        <w:rPr>
          <w:rFonts w:eastAsiaTheme="minorEastAsia"/>
        </w:rPr>
        <w:t xml:space="preserve"> and </w:t>
      </w:r>
      <w:r w:rsidR="00077D04">
        <w:rPr>
          <w:rFonts w:eastAsiaTheme="minorEastAsia"/>
        </w:rPr>
        <w:t>Territory</w:t>
      </w:r>
      <w:r w:rsidR="00500CEE" w:rsidRPr="00591244">
        <w:rPr>
          <w:rFonts w:eastAsiaTheme="minorEastAsia"/>
        </w:rPr>
        <w:t xml:space="preserve"> priorities linked to the LTR agenda and, while all projects are to be evaluated and lessons shared, there is no pathway to ongoing funding or scaling explicitly required from these projects.</w:t>
      </w:r>
    </w:p>
    <w:p w14:paraId="0B32D456" w14:textId="5060B067" w:rsidR="00A628D4" w:rsidRPr="00A97309" w:rsidRDefault="00A628D4" w:rsidP="00C2024B">
      <w:pPr>
        <w:pStyle w:val="Caption"/>
      </w:pPr>
      <w:bookmarkStart w:id="299" w:name="_Toc148968368"/>
      <w:r>
        <w:t xml:space="preserve">Table </w:t>
      </w:r>
      <w:r>
        <w:fldChar w:fldCharType="begin"/>
      </w:r>
      <w:r>
        <w:instrText xml:space="preserve"> SEQ Table \* ARABIC </w:instrText>
      </w:r>
      <w:r>
        <w:fldChar w:fldCharType="separate"/>
      </w:r>
      <w:r w:rsidR="003F5D51">
        <w:rPr>
          <w:noProof/>
        </w:rPr>
        <w:t>4</w:t>
      </w:r>
      <w:r>
        <w:rPr>
          <w:noProof/>
        </w:rPr>
        <w:fldChar w:fldCharType="end"/>
      </w:r>
      <w:r w:rsidRPr="00A97309">
        <w:t xml:space="preserve">: </w:t>
      </w:r>
      <w:r w:rsidR="00500CEE">
        <w:t xml:space="preserve">Sample </w:t>
      </w:r>
      <w:r>
        <w:t>of</w:t>
      </w:r>
      <w:r w:rsidR="000C6313">
        <w:t xml:space="preserve"> LTR </w:t>
      </w:r>
      <w:r w:rsidR="00AF69D2">
        <w:t>activities funded via the Health Innovation Fund</w:t>
      </w:r>
      <w:bookmarkEnd w:id="299"/>
      <w:r w:rsidR="00AF69D2">
        <w:t xml:space="preserve"> </w:t>
      </w:r>
    </w:p>
    <w:tbl>
      <w:tblPr>
        <w:tblStyle w:val="Deloittetable"/>
        <w:tblW w:w="4796" w:type="pct"/>
        <w:tblLook w:val="04A0" w:firstRow="1" w:lastRow="0" w:firstColumn="1" w:lastColumn="0" w:noHBand="0" w:noVBand="1"/>
      </w:tblPr>
      <w:tblGrid>
        <w:gridCol w:w="1700"/>
        <w:gridCol w:w="1418"/>
        <w:gridCol w:w="1986"/>
        <w:gridCol w:w="3684"/>
        <w:gridCol w:w="1251"/>
      </w:tblGrid>
      <w:tr w:rsidR="00B25012" w:rsidRPr="00B25012" w14:paraId="2617AF55" w14:textId="60E2E3A7" w:rsidTr="00B05216">
        <w:trPr>
          <w:cnfStyle w:val="100000000000" w:firstRow="1" w:lastRow="0" w:firstColumn="0" w:lastColumn="0" w:oddVBand="0" w:evenVBand="0" w:oddHBand="0" w:evenHBand="0" w:firstRowFirstColumn="0" w:firstRowLastColumn="0" w:lastRowFirstColumn="0" w:lastRowLastColumn="0"/>
          <w:tblHeader/>
        </w:trPr>
        <w:tc>
          <w:tcPr>
            <w:tcW w:w="847" w:type="pct"/>
            <w:tcBorders>
              <w:top w:val="single" w:sz="24" w:space="0" w:color="0097A9" w:themeColor="accent5"/>
              <w:bottom w:val="single" w:sz="8" w:space="0" w:color="D9D9D9"/>
            </w:tcBorders>
          </w:tcPr>
          <w:p w14:paraId="38088E35" w14:textId="36CD74E7" w:rsidR="00A628D4" w:rsidRPr="00B25012" w:rsidRDefault="0083163D" w:rsidP="005A12E7">
            <w:pPr>
              <w:pStyle w:val="Tableheading"/>
              <w:spacing w:line="216" w:lineRule="auto"/>
              <w:rPr>
                <w:color w:val="00707E" w:themeColor="accent5" w:themeShade="BF"/>
                <w:sz w:val="18"/>
                <w:szCs w:val="18"/>
              </w:rPr>
            </w:pPr>
            <w:r w:rsidRPr="00B25012">
              <w:rPr>
                <w:color w:val="00707E" w:themeColor="accent5" w:themeShade="BF"/>
                <w:sz w:val="18"/>
                <w:szCs w:val="18"/>
              </w:rPr>
              <w:t>Title</w:t>
            </w:r>
          </w:p>
        </w:tc>
        <w:tc>
          <w:tcPr>
            <w:tcW w:w="706" w:type="pct"/>
            <w:tcBorders>
              <w:top w:val="single" w:sz="24" w:space="0" w:color="0097A9" w:themeColor="accent5"/>
              <w:bottom w:val="single" w:sz="8" w:space="0" w:color="D9D9D9"/>
            </w:tcBorders>
          </w:tcPr>
          <w:p w14:paraId="3B444C1D" w14:textId="1565DE04" w:rsidR="00A628D4" w:rsidRPr="00B25012" w:rsidRDefault="00B05216" w:rsidP="005A12E7">
            <w:pPr>
              <w:pStyle w:val="Tableheading"/>
              <w:spacing w:line="216" w:lineRule="auto"/>
              <w:rPr>
                <w:color w:val="00707E" w:themeColor="accent5" w:themeShade="BF"/>
                <w:sz w:val="18"/>
                <w:szCs w:val="18"/>
              </w:rPr>
            </w:pPr>
            <w:r w:rsidRPr="00B25012">
              <w:rPr>
                <w:color w:val="00707E" w:themeColor="accent5" w:themeShade="BF"/>
                <w:sz w:val="18"/>
                <w:szCs w:val="18"/>
              </w:rPr>
              <w:t>Jurisdiction</w:t>
            </w:r>
            <w:r w:rsidR="006D050B" w:rsidRPr="00B25012">
              <w:rPr>
                <w:color w:val="00707E" w:themeColor="accent5" w:themeShade="BF"/>
                <w:sz w:val="18"/>
                <w:szCs w:val="18"/>
              </w:rPr>
              <w:t>, funding, time</w:t>
            </w:r>
            <w:r w:rsidRPr="00B25012">
              <w:rPr>
                <w:color w:val="00707E" w:themeColor="accent5" w:themeShade="BF"/>
                <w:sz w:val="18"/>
                <w:szCs w:val="18"/>
              </w:rPr>
              <w:t>line</w:t>
            </w:r>
          </w:p>
        </w:tc>
        <w:tc>
          <w:tcPr>
            <w:tcW w:w="989" w:type="pct"/>
            <w:tcBorders>
              <w:top w:val="single" w:sz="24" w:space="0" w:color="0097A9" w:themeColor="accent5"/>
              <w:bottom w:val="single" w:sz="8" w:space="0" w:color="D9D9D9"/>
            </w:tcBorders>
          </w:tcPr>
          <w:p w14:paraId="4628CB9A" w14:textId="40549346" w:rsidR="00A628D4" w:rsidRPr="00B25012" w:rsidRDefault="006D050B" w:rsidP="005A12E7">
            <w:pPr>
              <w:pStyle w:val="Tableheading"/>
              <w:spacing w:line="216" w:lineRule="auto"/>
              <w:rPr>
                <w:color w:val="00707E" w:themeColor="accent5" w:themeShade="BF"/>
                <w:sz w:val="18"/>
                <w:szCs w:val="18"/>
              </w:rPr>
            </w:pPr>
            <w:r w:rsidRPr="00B25012">
              <w:rPr>
                <w:color w:val="00707E" w:themeColor="accent5" w:themeShade="BF"/>
                <w:sz w:val="18"/>
                <w:szCs w:val="18"/>
              </w:rPr>
              <w:t>Target population</w:t>
            </w:r>
          </w:p>
        </w:tc>
        <w:tc>
          <w:tcPr>
            <w:tcW w:w="1835" w:type="pct"/>
            <w:tcBorders>
              <w:top w:val="single" w:sz="24" w:space="0" w:color="0097A9" w:themeColor="accent5"/>
              <w:bottom w:val="single" w:sz="8" w:space="0" w:color="D9D9D9"/>
            </w:tcBorders>
          </w:tcPr>
          <w:p w14:paraId="52AF187F" w14:textId="36EBB458" w:rsidR="006D050B" w:rsidRPr="00B25012" w:rsidRDefault="006D050B" w:rsidP="005A12E7">
            <w:pPr>
              <w:pStyle w:val="Tableheading"/>
              <w:spacing w:line="216" w:lineRule="auto"/>
              <w:rPr>
                <w:color w:val="00707E" w:themeColor="accent5" w:themeShade="BF"/>
                <w:sz w:val="18"/>
                <w:szCs w:val="18"/>
              </w:rPr>
            </w:pPr>
            <w:r w:rsidRPr="00B25012">
              <w:rPr>
                <w:color w:val="00707E" w:themeColor="accent5" w:themeShade="BF"/>
                <w:sz w:val="18"/>
                <w:szCs w:val="18"/>
              </w:rPr>
              <w:t>Description</w:t>
            </w:r>
          </w:p>
        </w:tc>
        <w:tc>
          <w:tcPr>
            <w:tcW w:w="623" w:type="pct"/>
            <w:tcBorders>
              <w:top w:val="single" w:sz="24" w:space="0" w:color="0097A9" w:themeColor="accent5"/>
              <w:bottom w:val="single" w:sz="8" w:space="0" w:color="D9D9D9"/>
            </w:tcBorders>
          </w:tcPr>
          <w:p w14:paraId="3F824205" w14:textId="70BFF476" w:rsidR="006D050B" w:rsidRPr="00B25012" w:rsidRDefault="006D050B" w:rsidP="005A12E7">
            <w:pPr>
              <w:pStyle w:val="Tableheading"/>
              <w:spacing w:line="216" w:lineRule="auto"/>
              <w:rPr>
                <w:color w:val="00707E" w:themeColor="accent5" w:themeShade="BF"/>
                <w:sz w:val="18"/>
                <w:szCs w:val="18"/>
              </w:rPr>
            </w:pPr>
            <w:r w:rsidRPr="00B25012">
              <w:rPr>
                <w:color w:val="00707E" w:themeColor="accent5" w:themeShade="BF"/>
                <w:sz w:val="18"/>
                <w:szCs w:val="18"/>
              </w:rPr>
              <w:t xml:space="preserve">LTR </w:t>
            </w:r>
            <w:r w:rsidR="00EC41AB" w:rsidRPr="00B25012">
              <w:rPr>
                <w:color w:val="00707E" w:themeColor="accent5" w:themeShade="BF"/>
                <w:sz w:val="18"/>
                <w:szCs w:val="18"/>
              </w:rPr>
              <w:t>priority area</w:t>
            </w:r>
          </w:p>
        </w:tc>
      </w:tr>
      <w:tr w:rsidR="00DF201A" w:rsidRPr="005A12E7" w14:paraId="772CB835" w14:textId="0956A27E" w:rsidTr="00B05216">
        <w:tc>
          <w:tcPr>
            <w:tcW w:w="847" w:type="pct"/>
            <w:tcBorders>
              <w:top w:val="single" w:sz="8" w:space="0" w:color="D9D9D9"/>
              <w:left w:val="nil"/>
              <w:bottom w:val="single" w:sz="8" w:space="0" w:color="D9D9D9"/>
              <w:right w:val="nil"/>
            </w:tcBorders>
            <w:shd w:val="clear" w:color="auto" w:fill="auto"/>
          </w:tcPr>
          <w:p w14:paraId="75AE284B" w14:textId="0F1468FA" w:rsidR="00A628D4" w:rsidRPr="00705F2C" w:rsidRDefault="00932A57" w:rsidP="005A12E7">
            <w:pPr>
              <w:pStyle w:val="TabletextLeft"/>
              <w:spacing w:line="216" w:lineRule="auto"/>
              <w:rPr>
                <w:sz w:val="18"/>
                <w:szCs w:val="18"/>
              </w:rPr>
            </w:pPr>
            <w:r w:rsidRPr="005A12E7">
              <w:rPr>
                <w:sz w:val="18"/>
                <w:szCs w:val="18"/>
              </w:rPr>
              <w:t>Equitable health outcomes for people who experience mental illness</w:t>
            </w:r>
          </w:p>
        </w:tc>
        <w:tc>
          <w:tcPr>
            <w:tcW w:w="706" w:type="pct"/>
            <w:tcBorders>
              <w:top w:val="single" w:sz="8" w:space="0" w:color="D9D9D9"/>
              <w:left w:val="nil"/>
              <w:bottom w:val="single" w:sz="8" w:space="0" w:color="D9D9D9"/>
              <w:right w:val="nil"/>
            </w:tcBorders>
          </w:tcPr>
          <w:p w14:paraId="354CABF9" w14:textId="2AAE7295" w:rsidR="00A628D4" w:rsidRPr="00705F2C" w:rsidRDefault="00B552E3" w:rsidP="005A12E7">
            <w:pPr>
              <w:pStyle w:val="TabletextLeft"/>
              <w:spacing w:line="216" w:lineRule="auto"/>
              <w:rPr>
                <w:sz w:val="18"/>
                <w:szCs w:val="18"/>
              </w:rPr>
            </w:pPr>
            <w:r w:rsidRPr="00B552E3">
              <w:rPr>
                <w:sz w:val="18"/>
                <w:szCs w:val="18"/>
              </w:rPr>
              <w:t>New South Wales</w:t>
            </w:r>
            <w:r w:rsidR="00F605B6" w:rsidRPr="002C5C89">
              <w:rPr>
                <w:sz w:val="18"/>
                <w:szCs w:val="18"/>
              </w:rPr>
              <w:br/>
              <w:t>$9.2m</w:t>
            </w:r>
            <w:r w:rsidR="00223202" w:rsidRPr="002C5C89">
              <w:rPr>
                <w:sz w:val="18"/>
                <w:szCs w:val="18"/>
              </w:rPr>
              <w:br/>
              <w:t>Complete</w:t>
            </w:r>
          </w:p>
        </w:tc>
        <w:tc>
          <w:tcPr>
            <w:tcW w:w="989" w:type="pct"/>
            <w:tcBorders>
              <w:top w:val="single" w:sz="8" w:space="0" w:color="D9D9D9"/>
              <w:left w:val="nil"/>
              <w:bottom w:val="single" w:sz="8" w:space="0" w:color="D9D9D9"/>
              <w:right w:val="nil"/>
            </w:tcBorders>
            <w:shd w:val="clear" w:color="auto" w:fill="auto"/>
          </w:tcPr>
          <w:p w14:paraId="596E4A7E" w14:textId="38B6F6BA" w:rsidR="00A628D4" w:rsidRPr="00705F2C" w:rsidRDefault="002C5C89" w:rsidP="005A12E7">
            <w:pPr>
              <w:pStyle w:val="TabletextLeft"/>
              <w:spacing w:line="216" w:lineRule="auto"/>
              <w:rPr>
                <w:sz w:val="18"/>
                <w:szCs w:val="18"/>
              </w:rPr>
            </w:pPr>
            <w:r w:rsidRPr="002C5C89">
              <w:rPr>
                <w:sz w:val="18"/>
                <w:szCs w:val="18"/>
              </w:rPr>
              <w:t>High risk population groups affected by mental illness.</w:t>
            </w:r>
          </w:p>
        </w:tc>
        <w:tc>
          <w:tcPr>
            <w:tcW w:w="1835" w:type="pct"/>
            <w:tcBorders>
              <w:top w:val="single" w:sz="8" w:space="0" w:color="D9D9D9"/>
              <w:left w:val="nil"/>
              <w:bottom w:val="single" w:sz="8" w:space="0" w:color="D9D9D9"/>
              <w:right w:val="nil"/>
            </w:tcBorders>
          </w:tcPr>
          <w:p w14:paraId="0DCF8B47" w14:textId="0ED8425C" w:rsidR="00506935" w:rsidRPr="00506935" w:rsidRDefault="00A84891" w:rsidP="008D43A9">
            <w:pPr>
              <w:pStyle w:val="TabletextLeft"/>
              <w:spacing w:line="216" w:lineRule="auto"/>
              <w:rPr>
                <w:sz w:val="18"/>
                <w:szCs w:val="18"/>
              </w:rPr>
            </w:pPr>
            <w:r>
              <w:rPr>
                <w:sz w:val="18"/>
                <w:szCs w:val="18"/>
              </w:rPr>
              <w:t>A</w:t>
            </w:r>
            <w:r w:rsidR="00506935" w:rsidRPr="00506935">
              <w:rPr>
                <w:sz w:val="18"/>
                <w:szCs w:val="18"/>
              </w:rPr>
              <w:t>imed to achieve equitable health outcomes and address service gaps for high-risk population groups affected by mental illness.</w:t>
            </w:r>
          </w:p>
          <w:p w14:paraId="3328430C" w14:textId="22D9ADE1" w:rsidR="00506935" w:rsidRPr="00506935" w:rsidRDefault="00506935" w:rsidP="00A850C3">
            <w:pPr>
              <w:pStyle w:val="TabletextLeft"/>
              <w:numPr>
                <w:ilvl w:val="0"/>
                <w:numId w:val="60"/>
              </w:numPr>
              <w:spacing w:line="216" w:lineRule="auto"/>
              <w:ind w:left="420" w:hanging="283"/>
              <w:rPr>
                <w:sz w:val="18"/>
                <w:szCs w:val="18"/>
              </w:rPr>
            </w:pPr>
            <w:r w:rsidRPr="000972BC">
              <w:rPr>
                <w:sz w:val="18"/>
                <w:szCs w:val="18"/>
              </w:rPr>
              <w:t>Youth Aftercare Pilot:</w:t>
            </w:r>
            <w:r w:rsidRPr="00506935">
              <w:rPr>
                <w:sz w:val="18"/>
                <w:szCs w:val="18"/>
              </w:rPr>
              <w:t xml:space="preserve"> Community based assertive outreach support model targeting individuals under 25 years who have significant risk of suicide</w:t>
            </w:r>
            <w:r w:rsidR="00D871CA">
              <w:rPr>
                <w:sz w:val="18"/>
                <w:szCs w:val="18"/>
              </w:rPr>
              <w:t>.</w:t>
            </w:r>
          </w:p>
          <w:p w14:paraId="5FC147D7" w14:textId="0C5E8160" w:rsidR="006D050B" w:rsidRPr="00705F2C" w:rsidRDefault="00506935" w:rsidP="00A850C3">
            <w:pPr>
              <w:pStyle w:val="TabletextLeft"/>
              <w:numPr>
                <w:ilvl w:val="0"/>
                <w:numId w:val="60"/>
              </w:numPr>
              <w:spacing w:line="216" w:lineRule="auto"/>
              <w:ind w:left="420" w:hanging="283"/>
              <w:rPr>
                <w:sz w:val="18"/>
                <w:szCs w:val="18"/>
              </w:rPr>
            </w:pPr>
            <w:r w:rsidRPr="000972BC">
              <w:rPr>
                <w:sz w:val="18"/>
                <w:szCs w:val="18"/>
              </w:rPr>
              <w:t>Health Literacy Initiative:</w:t>
            </w:r>
            <w:r w:rsidRPr="00506935">
              <w:rPr>
                <w:sz w:val="18"/>
                <w:szCs w:val="18"/>
              </w:rPr>
              <w:t xml:space="preserve"> codesigned education and training program to improve health literacy responsiveness of organisations to be implemented across </w:t>
            </w:r>
            <w:r w:rsidR="00B552E3" w:rsidRPr="00B552E3">
              <w:rPr>
                <w:sz w:val="18"/>
                <w:szCs w:val="18"/>
              </w:rPr>
              <w:t>New South Wales</w:t>
            </w:r>
            <w:r w:rsidRPr="00506935">
              <w:rPr>
                <w:sz w:val="18"/>
                <w:szCs w:val="18"/>
              </w:rPr>
              <w:t xml:space="preserve"> PHNs</w:t>
            </w:r>
            <w:r w:rsidR="00D871CA">
              <w:rPr>
                <w:sz w:val="18"/>
                <w:szCs w:val="18"/>
              </w:rPr>
              <w:t>.</w:t>
            </w:r>
          </w:p>
        </w:tc>
        <w:tc>
          <w:tcPr>
            <w:tcW w:w="623" w:type="pct"/>
            <w:tcBorders>
              <w:top w:val="single" w:sz="8" w:space="0" w:color="D9D9D9"/>
              <w:left w:val="nil"/>
              <w:bottom w:val="single" w:sz="8" w:space="0" w:color="D9D9D9"/>
              <w:right w:val="nil"/>
            </w:tcBorders>
          </w:tcPr>
          <w:p w14:paraId="588EB9C5" w14:textId="7242B5E7" w:rsidR="006D050B" w:rsidRPr="00705F2C" w:rsidRDefault="00500CEE" w:rsidP="005A12E7">
            <w:pPr>
              <w:pStyle w:val="TabletextLeft"/>
              <w:spacing w:line="216" w:lineRule="auto"/>
              <w:rPr>
                <w:sz w:val="18"/>
                <w:szCs w:val="18"/>
              </w:rPr>
            </w:pPr>
            <w:r>
              <w:rPr>
                <w:sz w:val="18"/>
                <w:szCs w:val="18"/>
              </w:rPr>
              <w:t xml:space="preserve">Prevention and </w:t>
            </w:r>
            <w:r w:rsidR="000F77E8">
              <w:rPr>
                <w:sz w:val="18"/>
                <w:szCs w:val="18"/>
              </w:rPr>
              <w:t>w</w:t>
            </w:r>
            <w:r>
              <w:rPr>
                <w:sz w:val="18"/>
                <w:szCs w:val="18"/>
              </w:rPr>
              <w:t xml:space="preserve">ellbeing and Enhanced </w:t>
            </w:r>
            <w:r w:rsidR="000F77E8">
              <w:rPr>
                <w:sz w:val="18"/>
                <w:szCs w:val="18"/>
              </w:rPr>
              <w:t>h</w:t>
            </w:r>
            <w:r>
              <w:rPr>
                <w:sz w:val="18"/>
                <w:szCs w:val="18"/>
              </w:rPr>
              <w:t xml:space="preserve">ealth </w:t>
            </w:r>
            <w:r w:rsidR="000F77E8">
              <w:rPr>
                <w:sz w:val="18"/>
                <w:szCs w:val="18"/>
              </w:rPr>
              <w:t>d</w:t>
            </w:r>
            <w:r>
              <w:rPr>
                <w:sz w:val="18"/>
                <w:szCs w:val="18"/>
              </w:rPr>
              <w:t>ata</w:t>
            </w:r>
          </w:p>
        </w:tc>
      </w:tr>
      <w:tr w:rsidR="00932A57" w:rsidRPr="005A12E7" w14:paraId="0950FFA4" w14:textId="77777777" w:rsidTr="00B05216">
        <w:tc>
          <w:tcPr>
            <w:tcW w:w="847" w:type="pct"/>
            <w:tcBorders>
              <w:top w:val="single" w:sz="8" w:space="0" w:color="D9D9D9"/>
              <w:left w:val="nil"/>
              <w:bottom w:val="single" w:sz="8" w:space="0" w:color="D9D9D9"/>
              <w:right w:val="nil"/>
            </w:tcBorders>
            <w:shd w:val="clear" w:color="auto" w:fill="auto"/>
          </w:tcPr>
          <w:p w14:paraId="00DF4DBC" w14:textId="1D0BEF3A" w:rsidR="00932A57" w:rsidRPr="00705F2C" w:rsidRDefault="00932A57" w:rsidP="005A12E7">
            <w:pPr>
              <w:pStyle w:val="TabletextLeft"/>
              <w:spacing w:line="216" w:lineRule="auto"/>
              <w:rPr>
                <w:sz w:val="18"/>
                <w:szCs w:val="18"/>
              </w:rPr>
            </w:pPr>
            <w:r w:rsidRPr="005A12E7">
              <w:rPr>
                <w:sz w:val="18"/>
                <w:szCs w:val="18"/>
              </w:rPr>
              <w:t>Technology enabled referrals to proven secondary prevention services (Formerly Digital Doctor)</w:t>
            </w:r>
          </w:p>
        </w:tc>
        <w:tc>
          <w:tcPr>
            <w:tcW w:w="706" w:type="pct"/>
            <w:tcBorders>
              <w:top w:val="single" w:sz="8" w:space="0" w:color="D9D9D9"/>
              <w:left w:val="nil"/>
              <w:bottom w:val="single" w:sz="8" w:space="0" w:color="D9D9D9"/>
              <w:right w:val="nil"/>
            </w:tcBorders>
          </w:tcPr>
          <w:p w14:paraId="11B5E909" w14:textId="66EF6C71" w:rsidR="00932A57" w:rsidRPr="00705F2C" w:rsidRDefault="00B552E3" w:rsidP="005A12E7">
            <w:pPr>
              <w:pStyle w:val="TabletextLeft"/>
              <w:spacing w:line="216" w:lineRule="auto"/>
              <w:rPr>
                <w:sz w:val="18"/>
                <w:szCs w:val="18"/>
              </w:rPr>
            </w:pPr>
            <w:r w:rsidRPr="00B552E3">
              <w:rPr>
                <w:sz w:val="18"/>
                <w:szCs w:val="18"/>
              </w:rPr>
              <w:t>New South Wales</w:t>
            </w:r>
            <w:r w:rsidR="00223202" w:rsidRPr="002C5C89">
              <w:rPr>
                <w:sz w:val="18"/>
                <w:szCs w:val="18"/>
              </w:rPr>
              <w:br/>
              <w:t>$4.</w:t>
            </w:r>
            <w:r w:rsidR="00751D36" w:rsidRPr="002C5C89">
              <w:rPr>
                <w:sz w:val="18"/>
                <w:szCs w:val="18"/>
              </w:rPr>
              <w:t>8m</w:t>
            </w:r>
            <w:r w:rsidR="00751D36" w:rsidRPr="002C5C89">
              <w:rPr>
                <w:sz w:val="18"/>
                <w:szCs w:val="18"/>
              </w:rPr>
              <w:br/>
              <w:t>Complete</w:t>
            </w:r>
          </w:p>
        </w:tc>
        <w:tc>
          <w:tcPr>
            <w:tcW w:w="989" w:type="pct"/>
            <w:tcBorders>
              <w:top w:val="single" w:sz="8" w:space="0" w:color="D9D9D9"/>
              <w:left w:val="nil"/>
              <w:bottom w:val="single" w:sz="8" w:space="0" w:color="D9D9D9"/>
              <w:right w:val="nil"/>
            </w:tcBorders>
            <w:shd w:val="clear" w:color="auto" w:fill="auto"/>
          </w:tcPr>
          <w:p w14:paraId="0AB9B98B" w14:textId="1977D6B9" w:rsidR="00932A57" w:rsidRPr="00705F2C" w:rsidRDefault="002C5C89" w:rsidP="005A12E7">
            <w:pPr>
              <w:pStyle w:val="TabletextLeft"/>
              <w:spacing w:line="216" w:lineRule="auto"/>
              <w:rPr>
                <w:sz w:val="18"/>
                <w:szCs w:val="18"/>
              </w:rPr>
            </w:pPr>
            <w:r w:rsidRPr="002C5C89">
              <w:rPr>
                <w:sz w:val="18"/>
                <w:szCs w:val="18"/>
              </w:rPr>
              <w:t xml:space="preserve">Patients admitted to </w:t>
            </w:r>
            <w:r w:rsidR="00B552E3" w:rsidRPr="00B552E3">
              <w:rPr>
                <w:sz w:val="18"/>
                <w:szCs w:val="18"/>
              </w:rPr>
              <w:t>New South Wales</w:t>
            </w:r>
            <w:r w:rsidRPr="002C5C89">
              <w:rPr>
                <w:sz w:val="18"/>
                <w:szCs w:val="18"/>
              </w:rPr>
              <w:t xml:space="preserve"> hospitals with cardiovascular disease, diabetes and obesity.</w:t>
            </w:r>
          </w:p>
        </w:tc>
        <w:tc>
          <w:tcPr>
            <w:tcW w:w="1835" w:type="pct"/>
            <w:tcBorders>
              <w:top w:val="single" w:sz="8" w:space="0" w:color="D9D9D9"/>
              <w:left w:val="nil"/>
              <w:bottom w:val="single" w:sz="8" w:space="0" w:color="D9D9D9"/>
              <w:right w:val="nil"/>
            </w:tcBorders>
          </w:tcPr>
          <w:p w14:paraId="120FBC1D" w14:textId="54EEC5D7" w:rsidR="00932A57" w:rsidRPr="00705F2C" w:rsidRDefault="00D93967" w:rsidP="00CD2FA9">
            <w:pPr>
              <w:pStyle w:val="TabletextLeft"/>
              <w:spacing w:line="216" w:lineRule="auto"/>
              <w:rPr>
                <w:sz w:val="18"/>
                <w:szCs w:val="18"/>
              </w:rPr>
            </w:pPr>
            <w:r>
              <w:rPr>
                <w:sz w:val="18"/>
                <w:szCs w:val="18"/>
              </w:rPr>
              <w:t>E</w:t>
            </w:r>
            <w:r w:rsidR="00A84891" w:rsidRPr="00A84891">
              <w:rPr>
                <w:sz w:val="18"/>
                <w:szCs w:val="18"/>
              </w:rPr>
              <w:t xml:space="preserve">stablished a streamlined clinical referral system to connect patients to </w:t>
            </w:r>
            <w:r w:rsidRPr="00A84891">
              <w:rPr>
                <w:sz w:val="18"/>
                <w:szCs w:val="18"/>
              </w:rPr>
              <w:t>self-management</w:t>
            </w:r>
            <w:r w:rsidR="00A84891" w:rsidRPr="00A84891">
              <w:rPr>
                <w:sz w:val="18"/>
                <w:szCs w:val="18"/>
              </w:rPr>
              <w:t xml:space="preserve"> and clinical support services, using existing electronic medical record systems.</w:t>
            </w:r>
            <w:r w:rsidR="00CD2FA9">
              <w:rPr>
                <w:sz w:val="18"/>
                <w:szCs w:val="18"/>
              </w:rPr>
              <w:t xml:space="preserve"> Focus </w:t>
            </w:r>
            <w:r w:rsidR="00813411">
              <w:rPr>
                <w:sz w:val="18"/>
                <w:szCs w:val="18"/>
              </w:rPr>
              <w:t>was</w:t>
            </w:r>
            <w:r w:rsidR="00F44C35">
              <w:rPr>
                <w:sz w:val="18"/>
                <w:szCs w:val="18"/>
              </w:rPr>
              <w:t xml:space="preserve"> r</w:t>
            </w:r>
            <w:r w:rsidR="00E364B3" w:rsidRPr="00E364B3">
              <w:rPr>
                <w:sz w:val="18"/>
                <w:szCs w:val="18"/>
              </w:rPr>
              <w:t>ural and regional patients to improve access to cardiac rehabilitation and diabetes management programs.</w:t>
            </w:r>
          </w:p>
        </w:tc>
        <w:tc>
          <w:tcPr>
            <w:tcW w:w="623" w:type="pct"/>
            <w:tcBorders>
              <w:top w:val="single" w:sz="8" w:space="0" w:color="D9D9D9"/>
              <w:left w:val="nil"/>
              <w:bottom w:val="single" w:sz="8" w:space="0" w:color="D9D9D9"/>
              <w:right w:val="nil"/>
            </w:tcBorders>
          </w:tcPr>
          <w:p w14:paraId="00B05F9F" w14:textId="40A50925" w:rsidR="00932A57" w:rsidRPr="00705F2C" w:rsidRDefault="000F77E8" w:rsidP="005A12E7">
            <w:pPr>
              <w:pStyle w:val="TabletextLeft"/>
              <w:spacing w:line="216" w:lineRule="auto"/>
              <w:rPr>
                <w:sz w:val="18"/>
                <w:szCs w:val="18"/>
              </w:rPr>
            </w:pPr>
            <w:r w:rsidRPr="5923BF07">
              <w:rPr>
                <w:sz w:val="18"/>
                <w:szCs w:val="18"/>
              </w:rPr>
              <w:t>Prevention and wellbeing and Enhanced health data</w:t>
            </w:r>
          </w:p>
        </w:tc>
      </w:tr>
      <w:tr w:rsidR="00932A57" w:rsidRPr="005A12E7" w14:paraId="2B0F7FB3" w14:textId="77777777" w:rsidTr="00B05216">
        <w:tc>
          <w:tcPr>
            <w:tcW w:w="847" w:type="pct"/>
            <w:tcBorders>
              <w:top w:val="single" w:sz="8" w:space="0" w:color="D9D9D9"/>
              <w:left w:val="nil"/>
              <w:bottom w:val="single" w:sz="8" w:space="0" w:color="D9D9D9"/>
              <w:right w:val="nil"/>
            </w:tcBorders>
            <w:shd w:val="clear" w:color="auto" w:fill="auto"/>
          </w:tcPr>
          <w:p w14:paraId="126AAD6E" w14:textId="7CD9EA93" w:rsidR="00932A57" w:rsidRPr="00705F2C" w:rsidRDefault="00932A57" w:rsidP="005A12E7">
            <w:pPr>
              <w:pStyle w:val="TabletextLeft"/>
              <w:spacing w:line="216" w:lineRule="auto"/>
              <w:rPr>
                <w:sz w:val="18"/>
                <w:szCs w:val="18"/>
              </w:rPr>
            </w:pPr>
            <w:r w:rsidRPr="005A12E7">
              <w:rPr>
                <w:sz w:val="18"/>
                <w:szCs w:val="18"/>
              </w:rPr>
              <w:t>Acute and Emergency</w:t>
            </w:r>
            <w:r w:rsidR="006C762E">
              <w:rPr>
                <w:sz w:val="18"/>
                <w:szCs w:val="18"/>
              </w:rPr>
              <w:t xml:space="preserve"> </w:t>
            </w:r>
            <w:r w:rsidR="006C762E">
              <w:rPr>
                <w:sz w:val="18"/>
                <w:szCs w:val="18"/>
              </w:rPr>
              <w:br/>
            </w:r>
            <w:r w:rsidR="006C762E" w:rsidRPr="006C762E">
              <w:rPr>
                <w:sz w:val="18"/>
                <w:szCs w:val="18"/>
              </w:rPr>
              <w:t>Tele-Psychiatry and Tele-Mental Health</w:t>
            </w:r>
            <w:r w:rsidRPr="005A12E7">
              <w:rPr>
                <w:sz w:val="18"/>
                <w:szCs w:val="18"/>
              </w:rPr>
              <w:t xml:space="preserve"> </w:t>
            </w:r>
          </w:p>
        </w:tc>
        <w:tc>
          <w:tcPr>
            <w:tcW w:w="706" w:type="pct"/>
            <w:tcBorders>
              <w:top w:val="single" w:sz="8" w:space="0" w:color="D9D9D9"/>
              <w:left w:val="nil"/>
              <w:bottom w:val="single" w:sz="8" w:space="0" w:color="D9D9D9"/>
              <w:right w:val="nil"/>
            </w:tcBorders>
          </w:tcPr>
          <w:p w14:paraId="218C1421" w14:textId="6AA4E69E" w:rsidR="00932A57" w:rsidRPr="00705F2C" w:rsidRDefault="00B552E3" w:rsidP="005A12E7">
            <w:pPr>
              <w:pStyle w:val="TabletextLeft"/>
              <w:spacing w:line="216" w:lineRule="auto"/>
              <w:rPr>
                <w:sz w:val="18"/>
                <w:szCs w:val="18"/>
              </w:rPr>
            </w:pPr>
            <w:r w:rsidRPr="00B552E3">
              <w:rPr>
                <w:sz w:val="18"/>
                <w:szCs w:val="18"/>
              </w:rPr>
              <w:t>Western Australia</w:t>
            </w:r>
            <w:r w:rsidR="00D1551B" w:rsidRPr="002C5C89">
              <w:rPr>
                <w:sz w:val="18"/>
                <w:szCs w:val="18"/>
              </w:rPr>
              <w:t xml:space="preserve"> </w:t>
            </w:r>
            <w:r w:rsidR="00751D36" w:rsidRPr="002C5C89">
              <w:rPr>
                <w:sz w:val="18"/>
                <w:szCs w:val="18"/>
              </w:rPr>
              <w:br/>
              <w:t>$</w:t>
            </w:r>
            <w:r w:rsidR="00DF32AE" w:rsidRPr="002C5C89">
              <w:rPr>
                <w:sz w:val="18"/>
                <w:szCs w:val="18"/>
              </w:rPr>
              <w:t>11.7</w:t>
            </w:r>
            <w:r w:rsidR="002E130F" w:rsidRPr="002C5C89">
              <w:rPr>
                <w:sz w:val="18"/>
                <w:szCs w:val="18"/>
              </w:rPr>
              <w:t>m</w:t>
            </w:r>
            <w:r w:rsidR="002E130F" w:rsidRPr="002C5C89">
              <w:rPr>
                <w:sz w:val="18"/>
                <w:szCs w:val="18"/>
              </w:rPr>
              <w:br/>
              <w:t>Complete</w:t>
            </w:r>
          </w:p>
        </w:tc>
        <w:tc>
          <w:tcPr>
            <w:tcW w:w="989" w:type="pct"/>
            <w:tcBorders>
              <w:top w:val="single" w:sz="8" w:space="0" w:color="D9D9D9"/>
              <w:left w:val="nil"/>
              <w:bottom w:val="single" w:sz="8" w:space="0" w:color="D9D9D9"/>
              <w:right w:val="nil"/>
            </w:tcBorders>
            <w:shd w:val="clear" w:color="auto" w:fill="auto"/>
          </w:tcPr>
          <w:p w14:paraId="15ECEE30" w14:textId="3457CA56" w:rsidR="00932A57" w:rsidRPr="00705F2C" w:rsidRDefault="002C5C89" w:rsidP="005A12E7">
            <w:pPr>
              <w:pStyle w:val="TabletextLeft"/>
              <w:spacing w:line="216" w:lineRule="auto"/>
              <w:rPr>
                <w:sz w:val="18"/>
                <w:szCs w:val="18"/>
              </w:rPr>
            </w:pPr>
            <w:r w:rsidRPr="002C5C89">
              <w:rPr>
                <w:sz w:val="18"/>
                <w:szCs w:val="18"/>
              </w:rPr>
              <w:t xml:space="preserve">Country mental health patients, </w:t>
            </w:r>
            <w:r w:rsidR="00B552E3" w:rsidRPr="00B552E3">
              <w:rPr>
                <w:sz w:val="18"/>
                <w:szCs w:val="18"/>
              </w:rPr>
              <w:t>Western Australia</w:t>
            </w:r>
            <w:r w:rsidR="00BA1FC8" w:rsidRPr="00BA1FC8">
              <w:rPr>
                <w:sz w:val="18"/>
                <w:szCs w:val="18"/>
              </w:rPr>
              <w:t xml:space="preserve"> Country Health Service </w:t>
            </w:r>
            <w:r w:rsidRPr="002C5C89">
              <w:rPr>
                <w:sz w:val="18"/>
                <w:szCs w:val="18"/>
              </w:rPr>
              <w:t xml:space="preserve">Clinicians and </w:t>
            </w:r>
            <w:r w:rsidR="00A84891" w:rsidRPr="002C5C89">
              <w:rPr>
                <w:sz w:val="18"/>
                <w:szCs w:val="18"/>
              </w:rPr>
              <w:t>G</w:t>
            </w:r>
            <w:r w:rsidR="00517E75">
              <w:rPr>
                <w:sz w:val="18"/>
                <w:szCs w:val="18"/>
              </w:rPr>
              <w:t>P</w:t>
            </w:r>
            <w:r w:rsidR="00A84891" w:rsidRPr="002C5C89">
              <w:rPr>
                <w:sz w:val="18"/>
                <w:szCs w:val="18"/>
              </w:rPr>
              <w:t>s</w:t>
            </w:r>
            <w:r w:rsidRPr="002C5C89">
              <w:rPr>
                <w:sz w:val="18"/>
                <w:szCs w:val="18"/>
              </w:rPr>
              <w:t xml:space="preserve">. </w:t>
            </w:r>
          </w:p>
        </w:tc>
        <w:tc>
          <w:tcPr>
            <w:tcW w:w="1835" w:type="pct"/>
            <w:tcBorders>
              <w:top w:val="single" w:sz="8" w:space="0" w:color="D9D9D9"/>
              <w:left w:val="nil"/>
              <w:bottom w:val="single" w:sz="8" w:space="0" w:color="D9D9D9"/>
              <w:right w:val="nil"/>
            </w:tcBorders>
          </w:tcPr>
          <w:p w14:paraId="3D7A63C1" w14:textId="29DAAC7B" w:rsidR="007960AD" w:rsidRPr="00705F2C" w:rsidRDefault="003539BF" w:rsidP="00F73F07">
            <w:pPr>
              <w:pStyle w:val="TabletextLeft"/>
              <w:spacing w:line="216" w:lineRule="auto"/>
              <w:rPr>
                <w:sz w:val="18"/>
                <w:szCs w:val="18"/>
              </w:rPr>
            </w:pPr>
            <w:r>
              <w:rPr>
                <w:sz w:val="18"/>
                <w:szCs w:val="18"/>
              </w:rPr>
              <w:t>U</w:t>
            </w:r>
            <w:r w:rsidR="00F37B73" w:rsidRPr="00F37B73">
              <w:rPr>
                <w:sz w:val="18"/>
                <w:szCs w:val="18"/>
              </w:rPr>
              <w:t xml:space="preserve">sed the Emergency Telehealth Service platform to deliver new tele-psychiatry and tele-mental health services in country </w:t>
            </w:r>
            <w:r w:rsidR="00B552E3" w:rsidRPr="00B552E3">
              <w:rPr>
                <w:sz w:val="18"/>
                <w:szCs w:val="18"/>
              </w:rPr>
              <w:t>Western Australia</w:t>
            </w:r>
            <w:r w:rsidR="00F37B73" w:rsidRPr="00F37B73">
              <w:rPr>
                <w:sz w:val="18"/>
                <w:szCs w:val="18"/>
              </w:rPr>
              <w:t>.</w:t>
            </w:r>
            <w:r w:rsidR="00F73F07">
              <w:rPr>
                <w:sz w:val="18"/>
                <w:szCs w:val="18"/>
              </w:rPr>
              <w:t xml:space="preserve"> </w:t>
            </w:r>
            <w:r w:rsidR="007960AD" w:rsidRPr="007960AD">
              <w:rPr>
                <w:sz w:val="18"/>
                <w:szCs w:val="18"/>
              </w:rPr>
              <w:t xml:space="preserve">The service enabled patients who presented to any regional </w:t>
            </w:r>
            <w:r w:rsidR="00B552E3" w:rsidRPr="00B552E3">
              <w:rPr>
                <w:sz w:val="18"/>
                <w:szCs w:val="18"/>
              </w:rPr>
              <w:t>Western Australia</w:t>
            </w:r>
            <w:r w:rsidR="007960AD" w:rsidRPr="007960AD">
              <w:rPr>
                <w:sz w:val="18"/>
                <w:szCs w:val="18"/>
              </w:rPr>
              <w:t xml:space="preserve"> hospital with acute mental health problems to have access to a specialist mental health nurse and/or psychiatrist on a 24/7 basis.</w:t>
            </w:r>
          </w:p>
        </w:tc>
        <w:tc>
          <w:tcPr>
            <w:tcW w:w="623" w:type="pct"/>
            <w:tcBorders>
              <w:top w:val="single" w:sz="8" w:space="0" w:color="D9D9D9"/>
              <w:left w:val="nil"/>
              <w:bottom w:val="single" w:sz="8" w:space="0" w:color="D9D9D9"/>
              <w:right w:val="nil"/>
            </w:tcBorders>
          </w:tcPr>
          <w:p w14:paraId="1B51C56C" w14:textId="707AA5E4" w:rsidR="00932A57" w:rsidRPr="00705F2C" w:rsidRDefault="00B77251" w:rsidP="00B77251">
            <w:pPr>
              <w:pStyle w:val="TabletextLeft"/>
              <w:rPr>
                <w:sz w:val="18"/>
                <w:szCs w:val="18"/>
              </w:rPr>
            </w:pPr>
            <w:r w:rsidRPr="00B77251">
              <w:rPr>
                <w:sz w:val="18"/>
                <w:szCs w:val="18"/>
              </w:rPr>
              <w:t>Paying for value and outcomes</w:t>
            </w:r>
            <w:r>
              <w:rPr>
                <w:sz w:val="18"/>
                <w:szCs w:val="18"/>
              </w:rPr>
              <w:t xml:space="preserve"> and </w:t>
            </w:r>
            <w:r w:rsidRPr="00B77251">
              <w:rPr>
                <w:sz w:val="18"/>
                <w:szCs w:val="18"/>
              </w:rPr>
              <w:t>Prevention and wellbeing</w:t>
            </w:r>
          </w:p>
        </w:tc>
      </w:tr>
      <w:tr w:rsidR="00932A57" w:rsidRPr="005A12E7" w14:paraId="43BE230C" w14:textId="77777777" w:rsidTr="00B05216">
        <w:tc>
          <w:tcPr>
            <w:tcW w:w="847" w:type="pct"/>
            <w:tcBorders>
              <w:top w:val="single" w:sz="8" w:space="0" w:color="D9D9D9"/>
              <w:left w:val="nil"/>
              <w:bottom w:val="single" w:sz="8" w:space="0" w:color="D9D9D9"/>
              <w:right w:val="nil"/>
            </w:tcBorders>
            <w:shd w:val="clear" w:color="auto" w:fill="auto"/>
          </w:tcPr>
          <w:p w14:paraId="4D55F378" w14:textId="0F84F108" w:rsidR="00932A57" w:rsidRPr="00705F2C" w:rsidRDefault="00932A57" w:rsidP="005A12E7">
            <w:pPr>
              <w:pStyle w:val="TabletextLeft"/>
              <w:spacing w:line="216" w:lineRule="auto"/>
              <w:rPr>
                <w:sz w:val="18"/>
                <w:szCs w:val="18"/>
              </w:rPr>
            </w:pPr>
            <w:r w:rsidRPr="005A12E7">
              <w:rPr>
                <w:sz w:val="18"/>
                <w:szCs w:val="18"/>
              </w:rPr>
              <w:t>Health Information Exchange Feasibility study</w:t>
            </w:r>
          </w:p>
        </w:tc>
        <w:tc>
          <w:tcPr>
            <w:tcW w:w="706" w:type="pct"/>
            <w:tcBorders>
              <w:top w:val="single" w:sz="8" w:space="0" w:color="D9D9D9"/>
              <w:left w:val="nil"/>
              <w:bottom w:val="single" w:sz="8" w:space="0" w:color="D9D9D9"/>
              <w:right w:val="nil"/>
            </w:tcBorders>
          </w:tcPr>
          <w:p w14:paraId="756A2964" w14:textId="4F9CE4E2" w:rsidR="00932A57" w:rsidRPr="00705F2C" w:rsidRDefault="00B552E3" w:rsidP="005A12E7">
            <w:pPr>
              <w:pStyle w:val="TabletextLeft"/>
              <w:spacing w:line="216" w:lineRule="auto"/>
              <w:rPr>
                <w:sz w:val="18"/>
                <w:szCs w:val="18"/>
              </w:rPr>
            </w:pPr>
            <w:r w:rsidRPr="00B552E3">
              <w:rPr>
                <w:sz w:val="18"/>
                <w:szCs w:val="18"/>
              </w:rPr>
              <w:t>Northern Territory</w:t>
            </w:r>
            <w:r w:rsidR="002E130F" w:rsidRPr="002C5C89">
              <w:rPr>
                <w:sz w:val="18"/>
                <w:szCs w:val="18"/>
              </w:rPr>
              <w:br/>
              <w:t>$0.</w:t>
            </w:r>
            <w:r w:rsidR="00D83B3E">
              <w:rPr>
                <w:sz w:val="18"/>
                <w:szCs w:val="18"/>
              </w:rPr>
              <w:t>5</w:t>
            </w:r>
            <w:r w:rsidR="00D83B3E" w:rsidRPr="002C5C89">
              <w:rPr>
                <w:sz w:val="18"/>
                <w:szCs w:val="18"/>
              </w:rPr>
              <w:t>m</w:t>
            </w:r>
            <w:r w:rsidR="007C0DD4" w:rsidRPr="002C5C89">
              <w:rPr>
                <w:sz w:val="18"/>
                <w:szCs w:val="18"/>
              </w:rPr>
              <w:br/>
            </w:r>
            <w:r w:rsidR="00EF0195">
              <w:rPr>
                <w:sz w:val="18"/>
                <w:szCs w:val="18"/>
              </w:rPr>
              <w:t>t</w:t>
            </w:r>
            <w:r w:rsidR="00657A8C" w:rsidRPr="002C5C89">
              <w:rPr>
                <w:sz w:val="18"/>
                <w:szCs w:val="18"/>
              </w:rPr>
              <w:t>o 3</w:t>
            </w:r>
            <w:r w:rsidR="008E3A21">
              <w:rPr>
                <w:sz w:val="18"/>
                <w:szCs w:val="18"/>
              </w:rPr>
              <w:t>1</w:t>
            </w:r>
            <w:r w:rsidR="008901D1" w:rsidRPr="002C5C89">
              <w:rPr>
                <w:sz w:val="18"/>
                <w:szCs w:val="18"/>
              </w:rPr>
              <w:t>/</w:t>
            </w:r>
            <w:r w:rsidR="008E3A21">
              <w:rPr>
                <w:sz w:val="18"/>
                <w:szCs w:val="18"/>
              </w:rPr>
              <w:t>10</w:t>
            </w:r>
            <w:r w:rsidR="008901D1" w:rsidRPr="002C5C89">
              <w:rPr>
                <w:sz w:val="18"/>
                <w:szCs w:val="18"/>
              </w:rPr>
              <w:t>/23</w:t>
            </w:r>
          </w:p>
        </w:tc>
        <w:tc>
          <w:tcPr>
            <w:tcW w:w="989" w:type="pct"/>
            <w:tcBorders>
              <w:top w:val="single" w:sz="8" w:space="0" w:color="D9D9D9"/>
              <w:left w:val="nil"/>
              <w:bottom w:val="single" w:sz="8" w:space="0" w:color="D9D9D9"/>
              <w:right w:val="nil"/>
            </w:tcBorders>
            <w:shd w:val="clear" w:color="auto" w:fill="auto"/>
          </w:tcPr>
          <w:p w14:paraId="04C2E9A0" w14:textId="2B310C9A" w:rsidR="00932A57" w:rsidRPr="00705F2C" w:rsidRDefault="00B552E3" w:rsidP="005A12E7">
            <w:pPr>
              <w:pStyle w:val="TabletextLeft"/>
              <w:spacing w:line="216" w:lineRule="auto"/>
              <w:rPr>
                <w:sz w:val="18"/>
                <w:szCs w:val="18"/>
              </w:rPr>
            </w:pPr>
            <w:r w:rsidRPr="00B552E3">
              <w:rPr>
                <w:sz w:val="18"/>
                <w:szCs w:val="18"/>
              </w:rPr>
              <w:t>Northern Territory</w:t>
            </w:r>
            <w:r w:rsidR="002C5C89" w:rsidRPr="002C5C89">
              <w:rPr>
                <w:sz w:val="18"/>
                <w:szCs w:val="18"/>
              </w:rPr>
              <w:t xml:space="preserve"> Population</w:t>
            </w:r>
            <w:r w:rsidR="00BA1FC8">
              <w:rPr>
                <w:sz w:val="18"/>
                <w:szCs w:val="18"/>
              </w:rPr>
              <w:t>.</w:t>
            </w:r>
          </w:p>
        </w:tc>
        <w:tc>
          <w:tcPr>
            <w:tcW w:w="1835" w:type="pct"/>
            <w:tcBorders>
              <w:top w:val="single" w:sz="8" w:space="0" w:color="D9D9D9"/>
              <w:left w:val="nil"/>
              <w:bottom w:val="single" w:sz="8" w:space="0" w:color="D9D9D9"/>
              <w:right w:val="nil"/>
            </w:tcBorders>
          </w:tcPr>
          <w:p w14:paraId="44896230" w14:textId="1E16F12D" w:rsidR="00932A57" w:rsidRPr="00705F2C" w:rsidRDefault="00B552E3" w:rsidP="005A12E7">
            <w:pPr>
              <w:pStyle w:val="TabletextLeft"/>
              <w:spacing w:line="216" w:lineRule="auto"/>
              <w:rPr>
                <w:sz w:val="18"/>
                <w:szCs w:val="18"/>
              </w:rPr>
            </w:pPr>
            <w:r w:rsidRPr="00B552E3">
              <w:rPr>
                <w:sz w:val="18"/>
                <w:szCs w:val="18"/>
              </w:rPr>
              <w:t>Northern Territory</w:t>
            </w:r>
            <w:r w:rsidR="008102E0" w:rsidRPr="008102E0">
              <w:rPr>
                <w:sz w:val="18"/>
                <w:szCs w:val="18"/>
              </w:rPr>
              <w:t xml:space="preserve"> Health is developing, to proof-of-concept stage, a prototype Health Information Exchange (HIE) focused on chronic kidney disease. The project will investigate how to link, integrate and share health data and information between clinicians and across sectors in the </w:t>
            </w:r>
            <w:r w:rsidRPr="00B552E3">
              <w:rPr>
                <w:sz w:val="18"/>
                <w:szCs w:val="18"/>
              </w:rPr>
              <w:t>Northern Territory</w:t>
            </w:r>
            <w:r w:rsidR="008102E0" w:rsidRPr="008102E0">
              <w:rPr>
                <w:sz w:val="18"/>
                <w:szCs w:val="18"/>
              </w:rPr>
              <w:t xml:space="preserve"> to deliver patient-centred integrated care.</w:t>
            </w:r>
          </w:p>
        </w:tc>
        <w:tc>
          <w:tcPr>
            <w:tcW w:w="623" w:type="pct"/>
            <w:tcBorders>
              <w:top w:val="single" w:sz="8" w:space="0" w:color="D9D9D9"/>
              <w:left w:val="nil"/>
              <w:bottom w:val="single" w:sz="8" w:space="0" w:color="D9D9D9"/>
              <w:right w:val="nil"/>
            </w:tcBorders>
          </w:tcPr>
          <w:p w14:paraId="658894B7" w14:textId="08BDC397" w:rsidR="00932A57" w:rsidRPr="00705F2C" w:rsidRDefault="000F01D5" w:rsidP="005A12E7">
            <w:pPr>
              <w:pStyle w:val="TabletextLeft"/>
              <w:spacing w:line="216" w:lineRule="auto"/>
              <w:rPr>
                <w:sz w:val="18"/>
                <w:szCs w:val="18"/>
              </w:rPr>
            </w:pPr>
            <w:r w:rsidRPr="5923BF07">
              <w:rPr>
                <w:sz w:val="18"/>
                <w:szCs w:val="18"/>
              </w:rPr>
              <w:t xml:space="preserve">Enhanced </w:t>
            </w:r>
            <w:r>
              <w:rPr>
                <w:sz w:val="18"/>
                <w:szCs w:val="18"/>
              </w:rPr>
              <w:t>h</w:t>
            </w:r>
            <w:r w:rsidRPr="5923BF07">
              <w:rPr>
                <w:sz w:val="18"/>
                <w:szCs w:val="18"/>
              </w:rPr>
              <w:t xml:space="preserve">ealth </w:t>
            </w:r>
            <w:r>
              <w:rPr>
                <w:sz w:val="18"/>
                <w:szCs w:val="18"/>
              </w:rPr>
              <w:t>d</w:t>
            </w:r>
            <w:r w:rsidRPr="5923BF07">
              <w:rPr>
                <w:sz w:val="18"/>
                <w:szCs w:val="18"/>
              </w:rPr>
              <w:t>ata</w:t>
            </w:r>
          </w:p>
        </w:tc>
      </w:tr>
      <w:tr w:rsidR="00932A57" w:rsidRPr="005A12E7" w14:paraId="1854C2ED" w14:textId="77777777" w:rsidTr="00B05216">
        <w:tc>
          <w:tcPr>
            <w:tcW w:w="847" w:type="pct"/>
            <w:tcBorders>
              <w:top w:val="single" w:sz="8" w:space="0" w:color="D9D9D9"/>
              <w:left w:val="nil"/>
              <w:bottom w:val="single" w:sz="8" w:space="0" w:color="D9D9D9"/>
              <w:right w:val="nil"/>
            </w:tcBorders>
            <w:shd w:val="clear" w:color="auto" w:fill="auto"/>
          </w:tcPr>
          <w:p w14:paraId="108EAF4D" w14:textId="7A1F7EC5" w:rsidR="00932A57" w:rsidRPr="00705F2C" w:rsidRDefault="00932A57" w:rsidP="005A12E7">
            <w:pPr>
              <w:pStyle w:val="TabletextLeft"/>
              <w:spacing w:line="216" w:lineRule="auto"/>
              <w:rPr>
                <w:sz w:val="18"/>
                <w:szCs w:val="18"/>
              </w:rPr>
            </w:pPr>
            <w:r w:rsidRPr="005A12E7">
              <w:rPr>
                <w:sz w:val="18"/>
                <w:szCs w:val="18"/>
              </w:rPr>
              <w:t>Torres and Cape Health Care Commissioning Fund (TORCH)</w:t>
            </w:r>
          </w:p>
        </w:tc>
        <w:tc>
          <w:tcPr>
            <w:tcW w:w="706" w:type="pct"/>
            <w:tcBorders>
              <w:top w:val="single" w:sz="8" w:space="0" w:color="D9D9D9"/>
              <w:left w:val="nil"/>
              <w:bottom w:val="single" w:sz="8" w:space="0" w:color="D9D9D9"/>
              <w:right w:val="nil"/>
            </w:tcBorders>
          </w:tcPr>
          <w:p w14:paraId="4CE7E162" w14:textId="50CCB8B1" w:rsidR="00932A57" w:rsidRPr="00705F2C" w:rsidRDefault="00D1551B" w:rsidP="005A12E7">
            <w:pPr>
              <w:pStyle w:val="TabletextLeft"/>
              <w:spacing w:line="216" w:lineRule="auto"/>
              <w:rPr>
                <w:sz w:val="18"/>
                <w:szCs w:val="18"/>
              </w:rPr>
            </w:pPr>
            <w:r w:rsidRPr="002C5C89">
              <w:rPr>
                <w:sz w:val="18"/>
                <w:szCs w:val="18"/>
              </w:rPr>
              <w:t>Q</w:t>
            </w:r>
            <w:r w:rsidR="00B552E3">
              <w:rPr>
                <w:sz w:val="18"/>
                <w:szCs w:val="18"/>
              </w:rPr>
              <w:t>ueensland</w:t>
            </w:r>
            <w:r w:rsidR="007C75AF" w:rsidRPr="002C5C89">
              <w:rPr>
                <w:sz w:val="18"/>
                <w:szCs w:val="18"/>
              </w:rPr>
              <w:br/>
            </w:r>
            <w:r w:rsidR="00452000" w:rsidRPr="002C5C89">
              <w:rPr>
                <w:sz w:val="18"/>
                <w:szCs w:val="18"/>
              </w:rPr>
              <w:t>$</w:t>
            </w:r>
            <w:r w:rsidR="007D2B4C" w:rsidRPr="002C5C89">
              <w:rPr>
                <w:sz w:val="18"/>
                <w:szCs w:val="18"/>
              </w:rPr>
              <w:t>4.</w:t>
            </w:r>
            <w:r w:rsidR="00452000" w:rsidRPr="002C5C89">
              <w:rPr>
                <w:sz w:val="18"/>
                <w:szCs w:val="18"/>
              </w:rPr>
              <w:t>6m</w:t>
            </w:r>
            <w:r w:rsidR="00452000" w:rsidRPr="002C5C89">
              <w:rPr>
                <w:sz w:val="18"/>
                <w:szCs w:val="18"/>
              </w:rPr>
              <w:br/>
            </w:r>
            <w:r w:rsidR="00EF0195">
              <w:rPr>
                <w:sz w:val="18"/>
                <w:szCs w:val="18"/>
              </w:rPr>
              <w:t>t</w:t>
            </w:r>
            <w:r w:rsidR="00452000" w:rsidRPr="002C5C89">
              <w:rPr>
                <w:sz w:val="18"/>
                <w:szCs w:val="18"/>
              </w:rPr>
              <w:t>o 30/11/24</w:t>
            </w:r>
          </w:p>
        </w:tc>
        <w:tc>
          <w:tcPr>
            <w:tcW w:w="989" w:type="pct"/>
            <w:tcBorders>
              <w:top w:val="single" w:sz="8" w:space="0" w:color="D9D9D9"/>
              <w:left w:val="nil"/>
              <w:bottom w:val="single" w:sz="8" w:space="0" w:color="D9D9D9"/>
              <w:right w:val="nil"/>
            </w:tcBorders>
            <w:shd w:val="clear" w:color="auto" w:fill="auto"/>
          </w:tcPr>
          <w:p w14:paraId="76BE4038" w14:textId="747B26CE" w:rsidR="00932A57" w:rsidRPr="00705F2C" w:rsidRDefault="002C5C89" w:rsidP="005A12E7">
            <w:pPr>
              <w:pStyle w:val="TabletextLeft"/>
              <w:spacing w:line="216" w:lineRule="auto"/>
              <w:rPr>
                <w:sz w:val="18"/>
                <w:szCs w:val="18"/>
              </w:rPr>
            </w:pPr>
            <w:r w:rsidRPr="002C5C89">
              <w:rPr>
                <w:sz w:val="18"/>
                <w:szCs w:val="18"/>
              </w:rPr>
              <w:t>Torres and Cape population</w:t>
            </w:r>
          </w:p>
        </w:tc>
        <w:tc>
          <w:tcPr>
            <w:tcW w:w="1835" w:type="pct"/>
            <w:tcBorders>
              <w:top w:val="single" w:sz="8" w:space="0" w:color="D9D9D9"/>
              <w:left w:val="nil"/>
              <w:bottom w:val="single" w:sz="8" w:space="0" w:color="D9D9D9"/>
              <w:right w:val="nil"/>
            </w:tcBorders>
          </w:tcPr>
          <w:p w14:paraId="7BB29974" w14:textId="7D1DB4D4" w:rsidR="00932A57" w:rsidRPr="00705F2C" w:rsidRDefault="00536C53" w:rsidP="005A12E7">
            <w:pPr>
              <w:pStyle w:val="TabletextLeft"/>
              <w:spacing w:line="216" w:lineRule="auto"/>
              <w:rPr>
                <w:sz w:val="18"/>
                <w:szCs w:val="18"/>
              </w:rPr>
            </w:pPr>
            <w:r w:rsidRPr="00536C53">
              <w:rPr>
                <w:sz w:val="18"/>
                <w:szCs w:val="18"/>
              </w:rPr>
              <w:t>TORCH aims to improve health outcomes in the region by better coordinating care pathways, funding, governance and decision making across health services.</w:t>
            </w:r>
          </w:p>
        </w:tc>
        <w:tc>
          <w:tcPr>
            <w:tcW w:w="623" w:type="pct"/>
            <w:tcBorders>
              <w:top w:val="single" w:sz="8" w:space="0" w:color="D9D9D9"/>
              <w:left w:val="nil"/>
              <w:bottom w:val="single" w:sz="8" w:space="0" w:color="D9D9D9"/>
              <w:right w:val="nil"/>
            </w:tcBorders>
          </w:tcPr>
          <w:p w14:paraId="324A5221" w14:textId="70516B27" w:rsidR="00E60320" w:rsidRPr="00E60320" w:rsidRDefault="00E60320" w:rsidP="00E60320">
            <w:pPr>
              <w:pStyle w:val="TabletextLeft"/>
              <w:rPr>
                <w:sz w:val="18"/>
                <w:szCs w:val="18"/>
              </w:rPr>
            </w:pPr>
            <w:r w:rsidRPr="00E60320">
              <w:rPr>
                <w:sz w:val="18"/>
                <w:szCs w:val="18"/>
              </w:rPr>
              <w:t xml:space="preserve">Paying </w:t>
            </w:r>
          </w:p>
          <w:p w14:paraId="0DB5F3C0" w14:textId="57CECD23" w:rsidR="00932A57" w:rsidRPr="00705F2C" w:rsidRDefault="00E60320" w:rsidP="005A12E7">
            <w:pPr>
              <w:pStyle w:val="TabletextLeft"/>
              <w:spacing w:line="216" w:lineRule="auto"/>
              <w:rPr>
                <w:sz w:val="18"/>
                <w:szCs w:val="18"/>
              </w:rPr>
            </w:pPr>
            <w:r w:rsidRPr="00E60320">
              <w:rPr>
                <w:sz w:val="18"/>
                <w:szCs w:val="18"/>
              </w:rPr>
              <w:t xml:space="preserve">for Value and Outcomes and Joint Planning and Funding at the local level </w:t>
            </w:r>
          </w:p>
        </w:tc>
      </w:tr>
    </w:tbl>
    <w:p w14:paraId="2B688236" w14:textId="77777777" w:rsidR="00DD32C7" w:rsidRDefault="00DD32C7" w:rsidP="008F5C6A"/>
    <w:p w14:paraId="7751836F" w14:textId="77777777" w:rsidR="008F5C6A" w:rsidRDefault="008F5C6A" w:rsidP="008F5C6A">
      <w:r>
        <w:t>Clause C5 specifies that reform activities will be delivered within existing resources, however competing priorities particularly in relation to the COVID-19 pandemic has meant this has been difficult to achieve.</w:t>
      </w:r>
      <w:r w:rsidRPr="004F1B56">
        <w:t xml:space="preserve"> </w:t>
      </w:r>
      <w:r>
        <w:t xml:space="preserve">Most work on LTRs relies on intergovernmental teams in all jurisdictions, who are already stretched in responding to multiple other demands. </w:t>
      </w:r>
    </w:p>
    <w:p w14:paraId="72DBD67B" w14:textId="493D4833" w:rsidR="008F5C6A" w:rsidRDefault="008F5C6A" w:rsidP="008F5C6A">
      <w:r>
        <w:t>In summary</w:t>
      </w:r>
      <w:r w:rsidR="00D36D9B">
        <w:t>,</w:t>
      </w:r>
      <w:r>
        <w:t xml:space="preserve"> the </w:t>
      </w:r>
      <w:r w:rsidRPr="0002682E">
        <w:t>leadership and resourcing required to implement</w:t>
      </w:r>
      <w:r>
        <w:t xml:space="preserve"> LTR, </w:t>
      </w:r>
      <w:r w:rsidR="00CF5C6D">
        <w:t>to</w:t>
      </w:r>
      <w:r w:rsidRPr="0002682E">
        <w:t xml:space="preserve"> create a burning platform for change and provide incentives to sustain</w:t>
      </w:r>
      <w:r>
        <w:t xml:space="preserve"> reform, has been s</w:t>
      </w:r>
      <w:r w:rsidRPr="0002682E">
        <w:t>ignificantly underestimated.</w:t>
      </w:r>
      <w:r w:rsidRPr="00035E72">
        <w:t xml:space="preserve"> </w:t>
      </w:r>
      <w:r>
        <w:t xml:space="preserve">The lack of funding attached to the reforms has made it difficult for all parties to fund the necessary work to address the six LTR priorities. </w:t>
      </w:r>
      <w:r w:rsidR="00CF5C6D">
        <w:t xml:space="preserve">While </w:t>
      </w:r>
      <w:r>
        <w:t>there is some useful work underway the reform approach is lengthy and bureaucratic, with other urgent matters often overtaking the concentrated effort required to navigate and untangle reform obstacles.</w:t>
      </w:r>
    </w:p>
    <w:p w14:paraId="14F93E86" w14:textId="2BC06BC8" w:rsidR="00D03EF9" w:rsidRDefault="002E10D4" w:rsidP="00757B29">
      <w:r>
        <w:t xml:space="preserve">A renewed commitment to the </w:t>
      </w:r>
      <w:r w:rsidR="00147B6B">
        <w:t>LTR</w:t>
      </w:r>
      <w:r>
        <w:t xml:space="preserve"> Roadmap is needed</w:t>
      </w:r>
      <w:r w:rsidR="000C4B05">
        <w:t xml:space="preserve"> to </w:t>
      </w:r>
      <w:r w:rsidR="00F12B75">
        <w:t xml:space="preserve">re-invigorate, </w:t>
      </w:r>
      <w:r w:rsidR="000C4B05">
        <w:t>a</w:t>
      </w:r>
      <w:r w:rsidR="00730E96" w:rsidRPr="00730E96">
        <w:t>ccelerate</w:t>
      </w:r>
      <w:r w:rsidR="00222B74">
        <w:t xml:space="preserve"> </w:t>
      </w:r>
      <w:r w:rsidR="00730E96" w:rsidRPr="00730E96">
        <w:t xml:space="preserve">and disseminate </w:t>
      </w:r>
      <w:r w:rsidR="00222B74">
        <w:t>LTR</w:t>
      </w:r>
      <w:r w:rsidR="00BD716B">
        <w:t xml:space="preserve"> action and</w:t>
      </w:r>
      <w:r w:rsidR="00222B74">
        <w:t xml:space="preserve"> </w:t>
      </w:r>
      <w:r w:rsidR="00730E96" w:rsidRPr="00730E96">
        <w:t>innovation at scale through updated structures, processes and governance</w:t>
      </w:r>
      <w:r w:rsidR="00C64AFB">
        <w:t xml:space="preserve">, </w:t>
      </w:r>
      <w:r w:rsidR="00D10BF2">
        <w:t>via</w:t>
      </w:r>
      <w:r w:rsidR="00C64AFB">
        <w:t xml:space="preserve"> a </w:t>
      </w:r>
      <w:r w:rsidR="00406373">
        <w:t>shared</w:t>
      </w:r>
      <w:r w:rsidR="00D10BF2">
        <w:t xml:space="preserve"> national commitment</w:t>
      </w:r>
      <w:r w:rsidR="00730E96" w:rsidRPr="00730E96">
        <w:t xml:space="preserve">. </w:t>
      </w:r>
      <w:r w:rsidR="008F5C6A">
        <w:t>This will require</w:t>
      </w:r>
      <w:r w:rsidR="009536FC">
        <w:t xml:space="preserve"> dedicated resourcing that prioritises this work in every jurisdiction and national</w:t>
      </w:r>
      <w:r w:rsidR="009C33B8">
        <w:t>ly</w:t>
      </w:r>
      <w:r w:rsidR="00B04384">
        <w:t xml:space="preserve">. </w:t>
      </w:r>
    </w:p>
    <w:p w14:paraId="16707D3F" w14:textId="0E23F84C" w:rsidR="00757B29" w:rsidRPr="00757B29" w:rsidRDefault="00D10BF2" w:rsidP="0034214F">
      <w:pPr>
        <w:keepNext/>
      </w:pPr>
      <w:r>
        <w:t xml:space="preserve">This commitment </w:t>
      </w:r>
      <w:r w:rsidR="0015051D">
        <w:t>must</w:t>
      </w:r>
      <w:r w:rsidR="00757B29" w:rsidRPr="00757B29">
        <w:t xml:space="preserve"> allow for</w:t>
      </w:r>
      <w:r w:rsidR="00F73A3F">
        <w:t>, and focus on</w:t>
      </w:r>
      <w:r w:rsidR="00757B29" w:rsidRPr="00757B29">
        <w:t>:</w:t>
      </w:r>
    </w:p>
    <w:p w14:paraId="4781D587" w14:textId="7A52EF17" w:rsidR="0074197B" w:rsidRDefault="0074197B" w:rsidP="007A6A94">
      <w:pPr>
        <w:pStyle w:val="ListBullet"/>
        <w:spacing w:after="120"/>
        <w:ind w:left="567"/>
        <w:contextualSpacing w:val="0"/>
      </w:pPr>
      <w:r>
        <w:t xml:space="preserve">The reform areas where system reform is urgently needed within five years, and where national collaboration is required for success. </w:t>
      </w:r>
      <w:r w:rsidR="008F5C6A">
        <w:t>While stakeholders generally supported the LTRs set out in the current Addendum, they should be reviewed through a collaborative process as to their relevance into the future.</w:t>
      </w:r>
    </w:p>
    <w:p w14:paraId="403B3FB0" w14:textId="77777777" w:rsidR="008F5C6A" w:rsidRDefault="008F5C6A" w:rsidP="007A6A94">
      <w:pPr>
        <w:pStyle w:val="ListBullet"/>
        <w:spacing w:after="120"/>
        <w:ind w:left="567"/>
        <w:contextualSpacing w:val="0"/>
      </w:pPr>
      <w:r>
        <w:t>Each reform area should be clearly defined with agreed actions, linked to funding and accountability. The reform directions should be sufficiently compelling to engage clinicians, patients and the community.</w:t>
      </w:r>
    </w:p>
    <w:p w14:paraId="75BFE8CB" w14:textId="0AB15F7E" w:rsidR="008F5C6A" w:rsidRPr="00A4047F" w:rsidRDefault="008F5C6A" w:rsidP="007A6A94">
      <w:pPr>
        <w:pStyle w:val="ListBullet"/>
        <w:spacing w:after="120"/>
        <w:ind w:left="567"/>
        <w:contextualSpacing w:val="0"/>
      </w:pPr>
      <w:r>
        <w:t>There needs to be transparency and coordination of the reforms that are underway, the actions that are being undertaken and an agreed pathway at the start as to how</w:t>
      </w:r>
      <w:r w:rsidR="00CF5C6D">
        <w:t xml:space="preserve"> </w:t>
      </w:r>
      <w:r>
        <w:t>these will be incorporated into long term funding</w:t>
      </w:r>
      <w:r w:rsidR="00CF5C6D">
        <w:t>, if successful,</w:t>
      </w:r>
      <w:r>
        <w:t xml:space="preserve"> whether through the NHRA or other funding streams.</w:t>
      </w:r>
      <w:r w:rsidR="00A4047F" w:rsidRPr="00A4047F">
        <w:t xml:space="preserve"> T</w:t>
      </w:r>
      <w:r w:rsidRPr="00A4047F">
        <w:t>here has been significant reluctance for States and Territories to take on pilot projects where long-term funding remains unclear.</w:t>
      </w:r>
    </w:p>
    <w:p w14:paraId="5E52A51C" w14:textId="77777777" w:rsidR="008F5C6A" w:rsidRDefault="008F5C6A" w:rsidP="007A6A94">
      <w:pPr>
        <w:pStyle w:val="ListBullet"/>
        <w:spacing w:after="120"/>
        <w:ind w:left="567"/>
        <w:contextualSpacing w:val="0"/>
      </w:pPr>
      <w:r>
        <w:t xml:space="preserve">Re-focusing on long-term reforms will require stronger and more explicit partnerships with primary care providers, mental health and community sectors and aged and disability services. The next iteration of the NHRA should include mechanisms to drive commitment and collaboration across the system through these partnerships. </w:t>
      </w:r>
    </w:p>
    <w:p w14:paraId="23951CA2" w14:textId="77777777" w:rsidR="008F5C6A" w:rsidRDefault="008F5C6A" w:rsidP="007A6A94">
      <w:pPr>
        <w:pStyle w:val="ListBullet"/>
        <w:spacing w:after="120"/>
        <w:ind w:left="567"/>
        <w:contextualSpacing w:val="0"/>
      </w:pPr>
      <w:r>
        <w:t>A deliberate process of sharing lessons learned across jurisdictions.</w:t>
      </w:r>
    </w:p>
    <w:p w14:paraId="2A783730" w14:textId="77777777" w:rsidR="008F5C6A" w:rsidRDefault="008F5C6A" w:rsidP="008F5C6A">
      <w:r>
        <w:t>The national response to COVID-19 showed that, when appropriately authorised and resourced, the system can respond innovatively and adapt policy and practice. Retaining this mindset is challenging, however, as Governments return to program budget management and cost containment and away from a common purpose and goal for population health outcomes.</w:t>
      </w:r>
    </w:p>
    <w:p w14:paraId="60E9F916" w14:textId="52549510" w:rsidR="008F5C6A" w:rsidRDefault="008F5C6A" w:rsidP="008F5C6A">
      <w:r w:rsidRPr="00536472">
        <w:t>Recognising that many issues concerned with financing and organisation of health and care in the NHRA are long-term</w:t>
      </w:r>
      <w:r w:rsidR="00030F4D">
        <w:t xml:space="preserve">, </w:t>
      </w:r>
      <w:r w:rsidRPr="00536472">
        <w:t>investment</w:t>
      </w:r>
      <w:r>
        <w:t xml:space="preserve"> and commitment to funding arrangements (longer than five years) and</w:t>
      </w:r>
      <w:r w:rsidRPr="00536472">
        <w:t xml:space="preserve"> research funding in health economics</w:t>
      </w:r>
      <w:r>
        <w:t xml:space="preserve">, evidence-based policy design and </w:t>
      </w:r>
      <w:r w:rsidRPr="00873C3D">
        <w:t>rigorous evaluation</w:t>
      </w:r>
      <w:r>
        <w:t xml:space="preserve"> is required</w:t>
      </w:r>
      <w:r w:rsidRPr="00873C3D">
        <w:t xml:space="preserve"> </w:t>
      </w:r>
      <w:r>
        <w:t xml:space="preserve">to provide </w:t>
      </w:r>
      <w:r w:rsidRPr="00E7500B">
        <w:t>stability and predictability</w:t>
      </w:r>
      <w:r>
        <w:t xml:space="preserve"> of high value health, aged and disability care</w:t>
      </w:r>
      <w:r w:rsidRPr="00536472">
        <w:t>.</w:t>
      </w:r>
      <w:r>
        <w:t xml:space="preserve"> </w:t>
      </w:r>
    </w:p>
    <w:p w14:paraId="0B05BA3B" w14:textId="603C40C8" w:rsidR="008F5C6A" w:rsidRDefault="008F5C6A" w:rsidP="008F5C6A">
      <w:r>
        <w:t xml:space="preserve">Funding agreements such as the </w:t>
      </w:r>
      <w:r w:rsidRPr="00E02AE4">
        <w:t>Health Innovation Fund Federation Funding Agreement</w:t>
      </w:r>
      <w:r w:rsidR="003F5D51">
        <w:rPr>
          <w:rFonts w:ascii="ZWAdobeF" w:hAnsi="ZWAdobeF" w:cs="ZWAdobeF"/>
          <w:sz w:val="2"/>
          <w:szCs w:val="2"/>
        </w:rPr>
        <w:t>144F</w:t>
      </w:r>
      <w:r>
        <w:rPr>
          <w:rStyle w:val="FootnoteReference"/>
        </w:rPr>
        <w:footnoteReference w:id="146"/>
      </w:r>
      <w:r>
        <w:t xml:space="preserve"> (a national $100m fund provided when jurisdictions signed up to the 2020-2025 Addendum</w:t>
      </w:r>
      <w:r w:rsidR="00CF5C6D">
        <w:t xml:space="preserve"> referenced above</w:t>
      </w:r>
      <w:r>
        <w:t>) enabled innovative initiatives to be established</w:t>
      </w:r>
      <w:r w:rsidR="00851D0B">
        <w:t>.</w:t>
      </w:r>
      <w:r>
        <w:t xml:space="preserve"> </w:t>
      </w:r>
      <w:r w:rsidR="00851D0B">
        <w:t>H</w:t>
      </w:r>
      <w:r>
        <w:t>owever</w:t>
      </w:r>
      <w:r w:rsidR="00851D0B">
        <w:t>,</w:t>
      </w:r>
      <w:r>
        <w:t xml:space="preserve"> as it was one off funding</w:t>
      </w:r>
      <w:r w:rsidR="00851D0B">
        <w:t xml:space="preserve">, it </w:t>
      </w:r>
      <w:r>
        <w:t xml:space="preserve">did not support the </w:t>
      </w:r>
      <w:r w:rsidRPr="00B0456A">
        <w:t>full implementation of programs</w:t>
      </w:r>
      <w:r w:rsidR="00F54DEF">
        <w:t xml:space="preserve"> (see </w:t>
      </w:r>
      <w:r w:rsidR="005C2602">
        <w:t>Case Study</w:t>
      </w:r>
      <w:r w:rsidR="00F54DEF">
        <w:t>: Lumos)</w:t>
      </w:r>
      <w:r>
        <w:t xml:space="preserve">. The NHRA must consider how joint funding could be better configured and applied to promote and achieve the LTRs. Ultimately, the current approach to implementing the NHRA and LTRs runs the risk of suffocating rather than encouraging innovation in service delivery due to the rigidity of underpinning funding arrangements. </w:t>
      </w:r>
    </w:p>
    <w:tbl>
      <w:tblPr>
        <w:tblStyle w:val="TableGrid"/>
        <w:tblW w:w="0" w:type="auto"/>
        <w:tblBorders>
          <w:top w:val="dotted" w:sz="4" w:space="0" w:color="0097A9" w:themeColor="accent5"/>
          <w:left w:val="dotted" w:sz="4" w:space="0" w:color="0097A9" w:themeColor="accent5"/>
          <w:bottom w:val="dotted" w:sz="4" w:space="0" w:color="0097A9" w:themeColor="accent5"/>
          <w:right w:val="dotted" w:sz="4" w:space="0" w:color="0097A9" w:themeColor="accent5"/>
        </w:tblBorders>
        <w:tblLook w:val="04A0" w:firstRow="1" w:lastRow="0" w:firstColumn="1" w:lastColumn="0" w:noHBand="0" w:noVBand="1"/>
      </w:tblPr>
      <w:tblGrid>
        <w:gridCol w:w="10456"/>
      </w:tblGrid>
      <w:tr w:rsidR="008F5C6A" w14:paraId="00663A26" w14:textId="77777777" w:rsidTr="00E3224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5C618DC" w14:textId="028E2202" w:rsidR="008F5C6A" w:rsidRPr="00BB2C81" w:rsidRDefault="008F5C6A" w:rsidP="009000C9">
            <w:pPr>
              <w:pStyle w:val="Summarytable"/>
              <w:keepNext/>
              <w:keepLines/>
              <w:rPr>
                <w:color w:val="00707E" w:themeColor="accent5" w:themeShade="BF"/>
              </w:rPr>
            </w:pPr>
            <w:r w:rsidRPr="005A17EB">
              <w:rPr>
                <w:noProof/>
                <w:color w:val="00707E" w:themeColor="accent5" w:themeShade="BF"/>
              </w:rPr>
              <w:drawing>
                <wp:inline distT="0" distB="0" distL="0" distR="0" wp14:anchorId="6144A038" wp14:editId="0805724A">
                  <wp:extent cx="270000" cy="270000"/>
                  <wp:effectExtent l="0" t="0" r="0" b="0"/>
                  <wp:docPr id="1489793609" name="Graphic 1489793609" descr="P1998C1T10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09" name="Graphic 1489793609" descr="P1998C1T102#yIS1">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270000" cy="270000"/>
                          </a:xfrm>
                          <a:prstGeom prst="rect">
                            <a:avLst/>
                          </a:prstGeom>
                        </pic:spPr>
                      </pic:pic>
                    </a:graphicData>
                  </a:graphic>
                </wp:inline>
              </w:drawing>
            </w:r>
            <w:r w:rsidRPr="005A17EB">
              <w:rPr>
                <w:color w:val="00707E" w:themeColor="accent5" w:themeShade="BF"/>
              </w:rPr>
              <w:t>Case study</w:t>
            </w:r>
            <w:r w:rsidRPr="00BB2C81">
              <w:rPr>
                <w:color w:val="00707E" w:themeColor="accent5" w:themeShade="BF"/>
              </w:rPr>
              <w:t xml:space="preserve">: </w:t>
            </w:r>
            <w:r>
              <w:rPr>
                <w:b w:val="0"/>
                <w:bCs w:val="0"/>
                <w:color w:val="00707E" w:themeColor="accent5" w:themeShade="BF"/>
              </w:rPr>
              <w:t xml:space="preserve">Lumos - </w:t>
            </w:r>
            <w:r w:rsidR="00B552E3" w:rsidRPr="00B552E3">
              <w:rPr>
                <w:b w:val="0"/>
                <w:bCs w:val="0"/>
                <w:color w:val="00707E" w:themeColor="accent5" w:themeShade="BF"/>
              </w:rPr>
              <w:t>New South Wales</w:t>
            </w:r>
            <w:r w:rsidR="00B552E3" w:rsidRPr="00B552E3">
              <w:rPr>
                <w:rStyle w:val="FootnoteReference"/>
                <w:b w:val="0"/>
                <w:bCs w:val="0"/>
                <w:color w:val="00707E" w:themeColor="accent5" w:themeShade="BF"/>
                <w:vertAlign w:val="baseline"/>
              </w:rPr>
              <w:t xml:space="preserve"> </w:t>
            </w:r>
            <w:r w:rsidR="003F5D51">
              <w:rPr>
                <w:rFonts w:ascii="ZWAdobeF" w:hAnsi="ZWAdobeF" w:cs="ZWAdobeF"/>
                <w:sz w:val="2"/>
                <w:szCs w:val="2"/>
              </w:rPr>
              <w:t>145F</w:t>
            </w:r>
            <w:r>
              <w:rPr>
                <w:rStyle w:val="FootnoteReference"/>
                <w:b w:val="0"/>
                <w:bCs w:val="0"/>
                <w:color w:val="00707E" w:themeColor="accent5" w:themeShade="BF"/>
              </w:rPr>
              <w:footnoteReference w:id="147"/>
            </w:r>
          </w:p>
          <w:p w14:paraId="4BB4AF4D" w14:textId="7365C96A" w:rsidR="008F5C6A" w:rsidRPr="00E02AE4" w:rsidRDefault="008F5C6A" w:rsidP="009000C9">
            <w:pPr>
              <w:pStyle w:val="Summarytable"/>
              <w:keepNext/>
              <w:keepLines/>
              <w:rPr>
                <w:b w:val="0"/>
                <w:bCs w:val="0"/>
              </w:rPr>
            </w:pPr>
            <w:r w:rsidRPr="00E02AE4">
              <w:rPr>
                <w:b w:val="0"/>
                <w:bCs w:val="0"/>
              </w:rPr>
              <w:t xml:space="preserve">The stronger environment for data sharing and linkage, with supporting infrastructure, has been advanced by the clearly stated objectives provided within the LTR Enhanced Health Data stream, including through initiatives such as Lumos in </w:t>
            </w:r>
            <w:r w:rsidR="00B552E3" w:rsidRPr="00B552E3">
              <w:rPr>
                <w:b w:val="0"/>
                <w:bCs w:val="0"/>
              </w:rPr>
              <w:t>New South Wales</w:t>
            </w:r>
            <w:r w:rsidRPr="00E02AE4">
              <w:rPr>
                <w:b w:val="0"/>
                <w:bCs w:val="0"/>
              </w:rPr>
              <w:t xml:space="preserve">, which was part-funded under the Health Innovation Fund attached to the Addendum. </w:t>
            </w:r>
          </w:p>
          <w:p w14:paraId="6DB5EEB8" w14:textId="3881D9FE" w:rsidR="008F5C6A" w:rsidRDefault="008F5C6A" w:rsidP="009000C9">
            <w:pPr>
              <w:pStyle w:val="Summarytable"/>
              <w:keepNext/>
              <w:keepLines/>
              <w:rPr>
                <w:b w:val="0"/>
                <w:bCs w:val="0"/>
              </w:rPr>
            </w:pPr>
            <w:r w:rsidRPr="00E02AE4">
              <w:rPr>
                <w:b w:val="0"/>
                <w:bCs w:val="0"/>
              </w:rPr>
              <w:t xml:space="preserve">Lumos provides new insights on the patient journey through the </w:t>
            </w:r>
            <w:r w:rsidR="00B552E3" w:rsidRPr="00B552E3">
              <w:rPr>
                <w:b w:val="0"/>
                <w:bCs w:val="0"/>
              </w:rPr>
              <w:t>New South Wales</w:t>
            </w:r>
            <w:r w:rsidRPr="00E02AE4">
              <w:rPr>
                <w:b w:val="0"/>
                <w:bCs w:val="0"/>
              </w:rPr>
              <w:t xml:space="preserve"> health system. </w:t>
            </w:r>
            <w:r>
              <w:rPr>
                <w:b w:val="0"/>
                <w:bCs w:val="0"/>
              </w:rPr>
              <w:t>D</w:t>
            </w:r>
            <w:r w:rsidRPr="00E02AE4">
              <w:rPr>
                <w:b w:val="0"/>
                <w:bCs w:val="0"/>
              </w:rPr>
              <w:t xml:space="preserve">e-identified data from </w:t>
            </w:r>
            <w:r w:rsidR="00537EA2">
              <w:rPr>
                <w:b w:val="0"/>
                <w:bCs w:val="0"/>
              </w:rPr>
              <w:t>GPs</w:t>
            </w:r>
            <w:r w:rsidRPr="00E02AE4">
              <w:rPr>
                <w:b w:val="0"/>
                <w:bCs w:val="0"/>
              </w:rPr>
              <w:t xml:space="preserve"> is linked with other health service data to provide a more comprehensive view of patient pathways. This can help identify opportunities for improving patient outcomes and experiences. The data asset is continually growing and spans regional, remote and metropolitan areas across </w:t>
            </w:r>
            <w:r w:rsidR="00B552E3" w:rsidRPr="00B552E3">
              <w:rPr>
                <w:b w:val="0"/>
                <w:bCs w:val="0"/>
              </w:rPr>
              <w:t>New South Wales</w:t>
            </w:r>
            <w:r w:rsidRPr="00E02AE4">
              <w:rPr>
                <w:b w:val="0"/>
                <w:bCs w:val="0"/>
              </w:rPr>
              <w:t>.</w:t>
            </w:r>
          </w:p>
          <w:p w14:paraId="7793E933" w14:textId="77777777" w:rsidR="008F5C6A" w:rsidRPr="003578B9" w:rsidRDefault="008F5C6A" w:rsidP="009000C9">
            <w:pPr>
              <w:pStyle w:val="Summarytable"/>
              <w:keepNext/>
              <w:keepLines/>
              <w:rPr>
                <w:b w:val="0"/>
                <w:bCs w:val="0"/>
              </w:rPr>
            </w:pPr>
            <w:r>
              <w:rPr>
                <w:b w:val="0"/>
                <w:bCs w:val="0"/>
              </w:rPr>
              <w:t>S</w:t>
            </w:r>
            <w:r w:rsidRPr="00253AFF">
              <w:rPr>
                <w:b w:val="0"/>
                <w:bCs w:val="0"/>
              </w:rPr>
              <w:t xml:space="preserve">table funding </w:t>
            </w:r>
            <w:r>
              <w:rPr>
                <w:b w:val="0"/>
                <w:bCs w:val="0"/>
              </w:rPr>
              <w:t>has enabled</w:t>
            </w:r>
            <w:r w:rsidRPr="00253AFF">
              <w:rPr>
                <w:b w:val="0"/>
                <w:bCs w:val="0"/>
              </w:rPr>
              <w:t xml:space="preserve"> data collections that link care episodes across primary and acute services</w:t>
            </w:r>
            <w:r>
              <w:rPr>
                <w:b w:val="0"/>
                <w:bCs w:val="0"/>
              </w:rPr>
              <w:t xml:space="preserve"> and is reported a</w:t>
            </w:r>
            <w:r w:rsidRPr="00C575E7">
              <w:rPr>
                <w:b w:val="0"/>
                <w:bCs w:val="0"/>
              </w:rPr>
              <w:t>t the practice level so that a patient’s care needs are understood at all parts of their care journey.</w:t>
            </w:r>
          </w:p>
        </w:tc>
      </w:tr>
    </w:tbl>
    <w:p w14:paraId="6244407A" w14:textId="77777777" w:rsidR="009157DF" w:rsidRDefault="009157DF" w:rsidP="00303E7C"/>
    <w:tbl>
      <w:tblPr>
        <w:tblStyle w:val="TableGrid"/>
        <w:tblW w:w="0" w:type="auto"/>
        <w:shd w:val="clear" w:color="auto" w:fill="F2F2F2" w:themeFill="background1" w:themeFillShade="F2"/>
        <w:tblLook w:val="04A0" w:firstRow="1" w:lastRow="0" w:firstColumn="1" w:lastColumn="0" w:noHBand="0" w:noVBand="1"/>
      </w:tblPr>
      <w:tblGrid>
        <w:gridCol w:w="10466"/>
      </w:tblGrid>
      <w:tr w:rsidR="008F5C6A" w14:paraId="0B2D125C" w14:textId="77777777" w:rsidTr="00B81203">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tcPr>
          <w:p w14:paraId="3AE55650" w14:textId="14AE569C" w:rsidR="008F5C6A" w:rsidRDefault="005A17EB" w:rsidP="00B81203">
            <w:pPr>
              <w:pStyle w:val="Summarytable"/>
            </w:pPr>
            <w:r>
              <w:rPr>
                <w:noProof/>
                <w:color w:val="0097A9" w:themeColor="accent5"/>
              </w:rPr>
              <w:drawing>
                <wp:inline distT="0" distB="0" distL="0" distR="0" wp14:anchorId="7F3D5E95" wp14:editId="70627801">
                  <wp:extent cx="270000" cy="270000"/>
                  <wp:effectExtent l="0" t="0" r="0" b="0"/>
                  <wp:docPr id="1489793660" name="Graphic 1489793660" descr="P2004C1T10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60" name="Graphic 1489793660" descr="P2004C1T103#yIS1">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70000" cy="270000"/>
                          </a:xfrm>
                          <a:prstGeom prst="rect">
                            <a:avLst/>
                          </a:prstGeom>
                        </pic:spPr>
                      </pic:pic>
                    </a:graphicData>
                  </a:graphic>
                </wp:inline>
              </w:drawing>
            </w:r>
            <w:r w:rsidR="008F5C6A" w:rsidRPr="00222940">
              <w:rPr>
                <w:color w:val="00707E" w:themeColor="accent5" w:themeShade="BF"/>
              </w:rPr>
              <w:t xml:space="preserve">Recommendation </w:t>
            </w:r>
            <w:r w:rsidR="00377E4E">
              <w:rPr>
                <w:color w:val="00707E" w:themeColor="accent5" w:themeShade="BF"/>
              </w:rPr>
              <w:t>3</w:t>
            </w:r>
            <w:r w:rsidR="0022774F">
              <w:rPr>
                <w:color w:val="00707E" w:themeColor="accent5" w:themeShade="BF"/>
              </w:rPr>
              <w:t>2</w:t>
            </w:r>
            <w:r w:rsidR="008F5C6A" w:rsidRPr="00BB2C81">
              <w:rPr>
                <w:color w:val="00707E" w:themeColor="accent5" w:themeShade="BF"/>
              </w:rPr>
              <w:t xml:space="preserve">: </w:t>
            </w:r>
            <w:r w:rsidR="008F5C6A">
              <w:rPr>
                <w:b w:val="0"/>
                <w:bCs w:val="0"/>
                <w:color w:val="000000" w:themeColor="text1"/>
              </w:rPr>
              <w:t xml:space="preserve">A </w:t>
            </w:r>
            <w:r w:rsidR="008F5C6A" w:rsidRPr="00B81203">
              <w:rPr>
                <w:b w:val="0"/>
                <w:bCs w:val="0"/>
                <w:color w:val="000000" w:themeColor="text1"/>
              </w:rPr>
              <w:t>new Agreement should</w:t>
            </w:r>
            <w:r w:rsidR="008F5C6A">
              <w:rPr>
                <w:color w:val="000000" w:themeColor="text1"/>
              </w:rPr>
              <w:t xml:space="preserve"> reinforce a shared national commitment and program of action on long-term health reform areas, </w:t>
            </w:r>
            <w:r w:rsidR="008F5C6A" w:rsidRPr="00B81203">
              <w:rPr>
                <w:b w:val="0"/>
                <w:bCs w:val="0"/>
                <w:color w:val="000000" w:themeColor="text1"/>
              </w:rPr>
              <w:t xml:space="preserve">with a collaborative process to confirm or vary the current long term reform areas and with </w:t>
            </w:r>
            <w:r w:rsidR="008F5C6A" w:rsidRPr="00F164DF">
              <w:rPr>
                <w:b w:val="0"/>
                <w:bCs w:val="0"/>
              </w:rPr>
              <w:t>governance structures, incentiv</w:t>
            </w:r>
            <w:r w:rsidR="008F5C6A" w:rsidRPr="00E84B54">
              <w:rPr>
                <w:b w:val="0"/>
                <w:bCs w:val="0"/>
              </w:rPr>
              <w:t>es, resources, and success measures to drive the implementation of the reforms.</w:t>
            </w:r>
          </w:p>
        </w:tc>
      </w:tr>
    </w:tbl>
    <w:p w14:paraId="3E3AC3C6" w14:textId="77777777" w:rsidR="00643611" w:rsidRDefault="00643611" w:rsidP="00650E28"/>
    <w:p w14:paraId="0D33DFB1" w14:textId="57D91656" w:rsidR="00643611" w:rsidRDefault="00643611" w:rsidP="00643611">
      <w:pPr>
        <w:pStyle w:val="Heading3"/>
      </w:pPr>
      <w:bookmarkStart w:id="300" w:name="_Ref148442414"/>
      <w:r>
        <w:t>Prevention</w:t>
      </w:r>
      <w:bookmarkEnd w:id="300"/>
      <w:r>
        <w:t xml:space="preserve"> </w:t>
      </w:r>
    </w:p>
    <w:p w14:paraId="1A193391" w14:textId="77777777" w:rsidR="00643611" w:rsidRDefault="00643611" w:rsidP="00643611">
      <w:r>
        <w:t>The objectives of the NHRA Addendum 2020-25 recognise that ‘…responsibility is shared between the Commonwealth and the States and that all governments have a responsibility to ensure that systems work together efficiently and effectively to produce the best outcomes…’ (Clause 1e). A key enabler is to ensure sufficient priority is accorded to prevention and holistic health and wellbeing, an area where the efforts of all levels of government need to come together.</w:t>
      </w:r>
    </w:p>
    <w:p w14:paraId="53DBF6DD" w14:textId="132999F6" w:rsidR="00643611" w:rsidRDefault="00643611" w:rsidP="00643611">
      <w:r>
        <w:t>Prioritising prevention and helping people manage their health across their lifetime</w:t>
      </w:r>
      <w:r w:rsidR="00E74CC6">
        <w:t>,</w:t>
      </w:r>
      <w:r>
        <w:t xml:space="preserve"> including by empowering people through health literacy and prevention and wellbeing</w:t>
      </w:r>
      <w:r w:rsidR="00E74CC6">
        <w:t>,</w:t>
      </w:r>
      <w:r>
        <w:t xml:space="preserve"> is one of the four strategic priorities of the Addendum</w:t>
      </w:r>
      <w:r w:rsidR="001F5117">
        <w:t>, comprising</w:t>
      </w:r>
      <w:r>
        <w:t xml:space="preserve"> two of the six long term reform areas. While there are a range of aspirations and objectives set out in the Agreement, little evidence was presented to the Review that progress had been made. </w:t>
      </w:r>
    </w:p>
    <w:p w14:paraId="6C89BCFD" w14:textId="21BB690A" w:rsidR="00643611" w:rsidRDefault="00643611" w:rsidP="00643611">
      <w:r>
        <w:t xml:space="preserve">The recent </w:t>
      </w:r>
      <w:r w:rsidRPr="00650E28">
        <w:rPr>
          <w:i/>
          <w:iCs/>
        </w:rPr>
        <w:t>National Preventive Health Strategy</w:t>
      </w:r>
      <w:r>
        <w:t xml:space="preserve"> set a target of increasing national health expenditure for public and preventive health activities to five per cent by 2030</w:t>
      </w:r>
      <w:r w:rsidR="003F5D51">
        <w:rPr>
          <w:rFonts w:ascii="ZWAdobeF" w:hAnsi="ZWAdobeF" w:cs="ZWAdobeF"/>
          <w:sz w:val="2"/>
          <w:szCs w:val="2"/>
        </w:rPr>
        <w:t>146F</w:t>
      </w:r>
      <w:r>
        <w:rPr>
          <w:rStyle w:val="FootnoteReference"/>
        </w:rPr>
        <w:footnoteReference w:id="148"/>
      </w:r>
      <w:r>
        <w:t xml:space="preserve">. The NHRA is one of the platforms to achieve this goal, noting its existing allocation for public health, and its capacity to develop sustainable innovative ways to finance preventive health activities, including through data sharing, and coordinated cross-sector investment using a cohort-specific and risk-based approach. </w:t>
      </w:r>
      <w:r w:rsidR="00484A70">
        <w:t>Further, the establishment of the Australian Centre for Disease Control is intended to provide national leadership in preventive health across both communicable and non-communicable diseases.</w:t>
      </w:r>
    </w:p>
    <w:p w14:paraId="389A6BE4" w14:textId="7DB150B2" w:rsidR="00643611" w:rsidRDefault="00643611" w:rsidP="00643611">
      <w:r>
        <w:t xml:space="preserve">Pivoting the Agreement to have a greater focus on early intervention and diversion programs that seek to respond to the rising burden of chronic disease (as set out in </w:t>
      </w:r>
      <w:r w:rsidR="00625311">
        <w:t xml:space="preserve">Section </w:t>
      </w:r>
      <w:r w:rsidR="00625311">
        <w:fldChar w:fldCharType="begin" w:fldLock="1"/>
      </w:r>
      <w:r w:rsidR="00625311">
        <w:instrText xml:space="preserve"> REF _Ref146701823 \w \h </w:instrText>
      </w:r>
      <w:r w:rsidR="00625311">
        <w:fldChar w:fldCharType="separate"/>
      </w:r>
      <w:r w:rsidR="00FA10A4">
        <w:t>5.3</w:t>
      </w:r>
      <w:r w:rsidR="00625311">
        <w:fldChar w:fldCharType="end"/>
      </w:r>
      <w:r>
        <w:t xml:space="preserve">) will assist in this regard, but more needs to be done earlier to reduce that burden and to address the related social determinants of health. A prevention action plan should be included in the Agreement which clearly sets out the actions that the parties agree they will take over the course of the Agreement to deliver the prevention reform objectives, </w:t>
      </w:r>
      <w:r w:rsidR="001F5117">
        <w:t xml:space="preserve">the resources that will be made available and the </w:t>
      </w:r>
      <w:r>
        <w:t>accountabilities and milestones to assess progress.</w:t>
      </w:r>
    </w:p>
    <w:tbl>
      <w:tblPr>
        <w:tblStyle w:val="TableGrid"/>
        <w:tblW w:w="0" w:type="auto"/>
        <w:shd w:val="clear" w:color="auto" w:fill="F2F2F2" w:themeFill="background1" w:themeFillShade="F2"/>
        <w:tblLook w:val="04A0" w:firstRow="1" w:lastRow="0" w:firstColumn="1" w:lastColumn="0" w:noHBand="0" w:noVBand="1"/>
      </w:tblPr>
      <w:tblGrid>
        <w:gridCol w:w="10466"/>
      </w:tblGrid>
      <w:tr w:rsidR="00304F09" w14:paraId="2DF167F2" w14:textId="77777777" w:rsidTr="00F26329">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tcPr>
          <w:p w14:paraId="1C4F6C10" w14:textId="635B98EE" w:rsidR="00304F09" w:rsidRDefault="005A17EB" w:rsidP="00F26329">
            <w:pPr>
              <w:pStyle w:val="Summarytable"/>
            </w:pPr>
            <w:r>
              <w:rPr>
                <w:noProof/>
                <w:color w:val="0097A9" w:themeColor="accent5"/>
              </w:rPr>
              <w:drawing>
                <wp:inline distT="0" distB="0" distL="0" distR="0" wp14:anchorId="15FDBA9E" wp14:editId="41ED08E7">
                  <wp:extent cx="270000" cy="270000"/>
                  <wp:effectExtent l="0" t="0" r="0" b="0"/>
                  <wp:docPr id="481345111" name="Graphic 481345111" descr="P2012C1T10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45111" name="Graphic 481345111" descr="P2012C1T104#yIS1">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70000" cy="270000"/>
                          </a:xfrm>
                          <a:prstGeom prst="rect">
                            <a:avLst/>
                          </a:prstGeom>
                        </pic:spPr>
                      </pic:pic>
                    </a:graphicData>
                  </a:graphic>
                </wp:inline>
              </w:drawing>
            </w:r>
            <w:r w:rsidR="00304F09" w:rsidRPr="00222940">
              <w:rPr>
                <w:color w:val="00707E" w:themeColor="accent5" w:themeShade="BF"/>
              </w:rPr>
              <w:t xml:space="preserve">Recommendation </w:t>
            </w:r>
            <w:r w:rsidR="00304F09">
              <w:rPr>
                <w:color w:val="00707E" w:themeColor="accent5" w:themeShade="BF"/>
              </w:rPr>
              <w:t>33</w:t>
            </w:r>
            <w:r w:rsidR="00304F09" w:rsidRPr="00BB2C81">
              <w:rPr>
                <w:color w:val="00707E" w:themeColor="accent5" w:themeShade="BF"/>
              </w:rPr>
              <w:t xml:space="preserve">: </w:t>
            </w:r>
            <w:r w:rsidR="00304F09" w:rsidRPr="00304F09">
              <w:rPr>
                <w:b w:val="0"/>
                <w:bCs w:val="0"/>
                <w:color w:val="000000" w:themeColor="text1"/>
              </w:rPr>
              <w:t xml:space="preserve">A </w:t>
            </w:r>
            <w:r w:rsidR="00304F09" w:rsidRPr="00650E28">
              <w:rPr>
                <w:color w:val="000000" w:themeColor="text1"/>
              </w:rPr>
              <w:t>renewed focus on prevention activities</w:t>
            </w:r>
            <w:r w:rsidR="00304F09" w:rsidRPr="00304F09">
              <w:rPr>
                <w:b w:val="0"/>
                <w:bCs w:val="0"/>
                <w:color w:val="000000" w:themeColor="text1"/>
              </w:rPr>
              <w:t xml:space="preserve"> should be set out in the Agreement which directly addresses the rising burden of chronic disease in the community, complements the </w:t>
            </w:r>
            <w:r w:rsidR="00304F09" w:rsidRPr="00650E28">
              <w:rPr>
                <w:b w:val="0"/>
                <w:bCs w:val="0"/>
                <w:i/>
                <w:iCs/>
                <w:color w:val="000000" w:themeColor="text1"/>
              </w:rPr>
              <w:t xml:space="preserve">National Preventive Health Strategy </w:t>
            </w:r>
            <w:r w:rsidR="0064743A">
              <w:rPr>
                <w:b w:val="0"/>
                <w:bCs w:val="0"/>
                <w:i/>
                <w:iCs/>
                <w:color w:val="000000" w:themeColor="text1"/>
              </w:rPr>
              <w:br/>
              <w:t>2021-2030</w:t>
            </w:r>
            <w:r w:rsidR="00304F09" w:rsidRPr="00304F09">
              <w:rPr>
                <w:b w:val="0"/>
                <w:bCs w:val="0"/>
                <w:color w:val="000000" w:themeColor="text1"/>
              </w:rPr>
              <w:t xml:space="preserve"> and work of the Australian Centre for Disease Control and provides a shared program of action, with clear accountabilities, funding and milestones</w:t>
            </w:r>
            <w:r w:rsidR="00304F09" w:rsidRPr="00E84B54">
              <w:rPr>
                <w:b w:val="0"/>
                <w:bCs w:val="0"/>
              </w:rPr>
              <w:t>.</w:t>
            </w:r>
          </w:p>
        </w:tc>
      </w:tr>
    </w:tbl>
    <w:p w14:paraId="0CEBF844" w14:textId="77777777" w:rsidR="00304F09" w:rsidRDefault="00304F09" w:rsidP="00643611"/>
    <w:p w14:paraId="1333EE45" w14:textId="59F28B72" w:rsidR="0099566D" w:rsidRDefault="0099566D" w:rsidP="0099566D">
      <w:pPr>
        <w:pStyle w:val="Heading3"/>
      </w:pPr>
      <w:bookmarkStart w:id="301" w:name="_Ref144756641"/>
      <w:r>
        <w:t>Governance</w:t>
      </w:r>
      <w:bookmarkEnd w:id="301"/>
    </w:p>
    <w:p w14:paraId="64A57537" w14:textId="72577D5A" w:rsidR="008F5C6A" w:rsidRDefault="008F5C6A" w:rsidP="008F5C6A">
      <w:pPr>
        <w:rPr>
          <w:color w:val="000000" w:themeColor="text1"/>
        </w:rPr>
      </w:pPr>
      <w:r>
        <w:t xml:space="preserve">To advance a </w:t>
      </w:r>
      <w:r w:rsidR="00CF5C6D">
        <w:t>long-term</w:t>
      </w:r>
      <w:r>
        <w:t xml:space="preserve"> reform agenda as part of a new Agreement will require dedicated resourcing (both workforce and funding). E</w:t>
      </w:r>
      <w:r w:rsidRPr="00F75744">
        <w:t xml:space="preserve">stablishing a stand-alone innovation </w:t>
      </w:r>
      <w:r w:rsidR="00846C4A">
        <w:t>entity</w:t>
      </w:r>
      <w:r w:rsidR="00E76DC7">
        <w:t xml:space="preserve"> </w:t>
      </w:r>
      <w:r w:rsidRPr="00F75744">
        <w:t>to</w:t>
      </w:r>
      <w:r w:rsidR="00E76DC7">
        <w:t xml:space="preserve"> </w:t>
      </w:r>
      <w:r w:rsidRPr="00F75744">
        <w:t>drive reform and innovation</w:t>
      </w:r>
      <w:r>
        <w:t xml:space="preserve"> would ensure a dedicated focus</w:t>
      </w:r>
      <w:r w:rsidRPr="00F75744">
        <w:t>.</w:t>
      </w:r>
      <w:r w:rsidRPr="00F75744">
        <w:rPr>
          <w:color w:val="000000" w:themeColor="text1"/>
        </w:rPr>
        <w:t xml:space="preserve"> </w:t>
      </w:r>
      <w:r>
        <w:rPr>
          <w:color w:val="000000" w:themeColor="text1"/>
        </w:rPr>
        <w:t>This is envisaged as a</w:t>
      </w:r>
      <w:r w:rsidRPr="008749A3">
        <w:rPr>
          <w:color w:val="000000" w:themeColor="text1"/>
        </w:rPr>
        <w:t xml:space="preserve"> small</w:t>
      </w:r>
      <w:r>
        <w:rPr>
          <w:color w:val="000000" w:themeColor="text1"/>
        </w:rPr>
        <w:t xml:space="preserve"> </w:t>
      </w:r>
      <w:r w:rsidRPr="008749A3">
        <w:rPr>
          <w:color w:val="000000" w:themeColor="text1"/>
        </w:rPr>
        <w:t>group of experts</w:t>
      </w:r>
      <w:r>
        <w:rPr>
          <w:color w:val="000000" w:themeColor="text1"/>
        </w:rPr>
        <w:t>, rather than</w:t>
      </w:r>
      <w:r w:rsidRPr="008749A3">
        <w:rPr>
          <w:color w:val="000000" w:themeColor="text1"/>
        </w:rPr>
        <w:t xml:space="preserve"> a large </w:t>
      </w:r>
      <w:r>
        <w:rPr>
          <w:color w:val="000000" w:themeColor="text1"/>
        </w:rPr>
        <w:t xml:space="preserve">government </w:t>
      </w:r>
      <w:r w:rsidRPr="008749A3">
        <w:rPr>
          <w:color w:val="000000" w:themeColor="text1"/>
        </w:rPr>
        <w:t>‘agency’</w:t>
      </w:r>
      <w:r>
        <w:rPr>
          <w:color w:val="000000" w:themeColor="text1"/>
        </w:rPr>
        <w:t xml:space="preserve"> working with all jurisdictions and the national bodies, with </w:t>
      </w:r>
      <w:r w:rsidRPr="00B76A3A">
        <w:rPr>
          <w:color w:val="000000" w:themeColor="text1"/>
        </w:rPr>
        <w:t xml:space="preserve">an authorising power </w:t>
      </w:r>
      <w:r>
        <w:rPr>
          <w:color w:val="000000" w:themeColor="text1"/>
        </w:rPr>
        <w:t>to develop and drive uptake of innovative models</w:t>
      </w:r>
      <w:r w:rsidR="00720418">
        <w:rPr>
          <w:color w:val="000000" w:themeColor="text1"/>
        </w:rPr>
        <w:t xml:space="preserve">, to engage closely </w:t>
      </w:r>
      <w:r w:rsidR="006E62A1">
        <w:rPr>
          <w:color w:val="000000" w:themeColor="text1"/>
        </w:rPr>
        <w:t xml:space="preserve">and work collaboratively </w:t>
      </w:r>
      <w:r w:rsidR="00720418">
        <w:rPr>
          <w:color w:val="000000" w:themeColor="text1"/>
        </w:rPr>
        <w:t>with Health Chief Executives and Health Ministers,</w:t>
      </w:r>
      <w:r>
        <w:rPr>
          <w:color w:val="000000" w:themeColor="text1"/>
        </w:rPr>
        <w:t xml:space="preserve"> and review system performance data to </w:t>
      </w:r>
      <w:r w:rsidR="00F10D08">
        <w:rPr>
          <w:color w:val="000000" w:themeColor="text1"/>
        </w:rPr>
        <w:t>advise</w:t>
      </w:r>
      <w:r>
        <w:rPr>
          <w:color w:val="000000" w:themeColor="text1"/>
        </w:rPr>
        <w:t xml:space="preserve"> where innovation opportunities sit. </w:t>
      </w:r>
      <w:r w:rsidRPr="00B76A3A">
        <w:rPr>
          <w:color w:val="000000" w:themeColor="text1"/>
        </w:rPr>
        <w:t xml:space="preserve"> </w:t>
      </w:r>
    </w:p>
    <w:p w14:paraId="6EBF2874" w14:textId="5E3AC3EB" w:rsidR="00B13E05" w:rsidRDefault="008F5C6A" w:rsidP="00343FB7">
      <w:pPr>
        <w:keepNext/>
        <w:rPr>
          <w:color w:val="000000" w:themeColor="text1"/>
        </w:rPr>
      </w:pPr>
      <w:r w:rsidRPr="00F75744">
        <w:rPr>
          <w:color w:val="000000" w:themeColor="text1"/>
        </w:rPr>
        <w:t>Th</w:t>
      </w:r>
      <w:r w:rsidR="005D26A5">
        <w:rPr>
          <w:color w:val="000000" w:themeColor="text1"/>
        </w:rPr>
        <w:t>is</w:t>
      </w:r>
      <w:r w:rsidRPr="00F75744">
        <w:rPr>
          <w:color w:val="000000" w:themeColor="text1"/>
        </w:rPr>
        <w:t xml:space="preserve"> </w:t>
      </w:r>
      <w:r w:rsidR="005D26A5" w:rsidRPr="00C47984">
        <w:rPr>
          <w:b/>
          <w:bCs/>
          <w:color w:val="000000" w:themeColor="text1"/>
        </w:rPr>
        <w:t>I</w:t>
      </w:r>
      <w:r w:rsidRPr="00C47984">
        <w:rPr>
          <w:b/>
          <w:bCs/>
          <w:color w:val="000000" w:themeColor="text1"/>
        </w:rPr>
        <w:t xml:space="preserve">nnovation </w:t>
      </w:r>
      <w:r w:rsidR="005D26A5" w:rsidRPr="00C47984">
        <w:rPr>
          <w:b/>
          <w:bCs/>
          <w:color w:val="000000" w:themeColor="text1"/>
        </w:rPr>
        <w:t xml:space="preserve">and Reform </w:t>
      </w:r>
      <w:r w:rsidR="00846C4A">
        <w:rPr>
          <w:b/>
          <w:bCs/>
          <w:color w:val="000000" w:themeColor="text1"/>
        </w:rPr>
        <w:t>entity</w:t>
      </w:r>
      <w:r w:rsidR="00846C4A" w:rsidRPr="00F75744">
        <w:rPr>
          <w:color w:val="000000" w:themeColor="text1"/>
        </w:rPr>
        <w:t xml:space="preserve"> </w:t>
      </w:r>
      <w:r w:rsidRPr="00F75744">
        <w:rPr>
          <w:color w:val="000000" w:themeColor="text1"/>
        </w:rPr>
        <w:t>would</w:t>
      </w:r>
      <w:r>
        <w:rPr>
          <w:color w:val="000000" w:themeColor="text1"/>
        </w:rPr>
        <w:t>:</w:t>
      </w:r>
    </w:p>
    <w:p w14:paraId="58F8E621" w14:textId="529F2668" w:rsidR="00984755" w:rsidRDefault="00465E29" w:rsidP="007A6A94">
      <w:pPr>
        <w:pStyle w:val="ListBullet"/>
        <w:ind w:left="567"/>
      </w:pPr>
      <w:r>
        <w:t>Comprise s</w:t>
      </w:r>
      <w:r w:rsidR="00984755" w:rsidRPr="009F140A">
        <w:t xml:space="preserve">kills </w:t>
      </w:r>
      <w:r>
        <w:t>and experience in</w:t>
      </w:r>
      <w:r w:rsidR="00984755" w:rsidRPr="009F140A">
        <w:t xml:space="preserve"> system policy, financing, clinical and non-clinical expertise in developing models of care, evaluation, change management, and research and data analysis. </w:t>
      </w:r>
    </w:p>
    <w:p w14:paraId="678530F2" w14:textId="73767C80" w:rsidR="004F547B" w:rsidRPr="00F75744" w:rsidRDefault="004F547B" w:rsidP="007A6A94">
      <w:pPr>
        <w:pStyle w:val="ListBullet"/>
        <w:ind w:left="567"/>
      </w:pPr>
      <w:r>
        <w:t>Work closely with all jurisdictions and the national bodies</w:t>
      </w:r>
      <w:r w:rsidR="00D94E8E">
        <w:t xml:space="preserve"> to ensure national buy-in and priority setting, drawing on the skills and expertise held by Agreement participants</w:t>
      </w:r>
      <w:r w:rsidR="004D2E40">
        <w:t xml:space="preserve"> and evaluation-based learnings</w:t>
      </w:r>
      <w:r w:rsidR="00DE3E9F">
        <w:t>, with strong reporting lines through HCEF to Health Ministers.</w:t>
      </w:r>
    </w:p>
    <w:p w14:paraId="5B68A0C6" w14:textId="1FD2982A" w:rsidR="00E761CC" w:rsidRDefault="00B13E05" w:rsidP="007A6A94">
      <w:pPr>
        <w:pStyle w:val="ListBullet"/>
        <w:ind w:left="567"/>
      </w:pPr>
      <w:r>
        <w:t xml:space="preserve">Have </w:t>
      </w:r>
      <w:r w:rsidRPr="00730E96">
        <w:t>clear performance measures, milestones</w:t>
      </w:r>
      <w:r w:rsidR="00E761CC">
        <w:t xml:space="preserve"> and</w:t>
      </w:r>
      <w:r w:rsidRPr="00730E96">
        <w:t xml:space="preserve"> </w:t>
      </w:r>
      <w:r w:rsidR="00471E96">
        <w:t xml:space="preserve">outcome-based </w:t>
      </w:r>
      <w:r w:rsidRPr="00730E96">
        <w:t>accountability</w:t>
      </w:r>
      <w:r w:rsidR="00833203">
        <w:t>.</w:t>
      </w:r>
      <w:r w:rsidRPr="00730E96">
        <w:t xml:space="preserve"> </w:t>
      </w:r>
    </w:p>
    <w:p w14:paraId="63D04577" w14:textId="1F73CE45" w:rsidR="007214D0" w:rsidRDefault="00753460" w:rsidP="007A6A94">
      <w:pPr>
        <w:pStyle w:val="ListBullet"/>
        <w:ind w:left="567"/>
      </w:pPr>
      <w:r>
        <w:t>Advise on</w:t>
      </w:r>
      <w:r w:rsidR="007214D0">
        <w:t xml:space="preserve"> </w:t>
      </w:r>
      <w:r w:rsidR="0063045C">
        <w:t>whole of system</w:t>
      </w:r>
      <w:r w:rsidR="00177EF5">
        <w:t>, clear</w:t>
      </w:r>
      <w:r w:rsidR="00235448">
        <w:t xml:space="preserve"> and </w:t>
      </w:r>
      <w:r w:rsidR="00653E34">
        <w:t xml:space="preserve">ambitious </w:t>
      </w:r>
      <w:r w:rsidR="0063045C">
        <w:t>outcomes</w:t>
      </w:r>
      <w:r w:rsidR="00653E34">
        <w:t xml:space="preserve"> and benchmarks</w:t>
      </w:r>
      <w:r w:rsidR="004D2E40">
        <w:t xml:space="preserve"> to advance national reform objectives</w:t>
      </w:r>
      <w:r w:rsidR="00642D7D">
        <w:t>.</w:t>
      </w:r>
    </w:p>
    <w:p w14:paraId="0892D420" w14:textId="3F4F4BE0" w:rsidR="004944D0" w:rsidRPr="004944D0" w:rsidRDefault="00E761CC" w:rsidP="007A6A94">
      <w:pPr>
        <w:pStyle w:val="ListBullet"/>
        <w:ind w:left="567"/>
      </w:pPr>
      <w:r>
        <w:t>D</w:t>
      </w:r>
      <w:r w:rsidRPr="00F75744">
        <w:t xml:space="preserve">evelop a range of innovative models </w:t>
      </w:r>
      <w:r w:rsidR="00560575">
        <w:t xml:space="preserve">at the point of care </w:t>
      </w:r>
      <w:r w:rsidRPr="00F75744">
        <w:t>that could be trialled and rolled out by States</w:t>
      </w:r>
      <w:r w:rsidR="00B8643A">
        <w:t xml:space="preserve"> and </w:t>
      </w:r>
      <w:r w:rsidRPr="00F75744">
        <w:t>Territories on an opt</w:t>
      </w:r>
      <w:r w:rsidR="00F35976">
        <w:t>-</w:t>
      </w:r>
      <w:r w:rsidRPr="00F75744">
        <w:t>in basis</w:t>
      </w:r>
      <w:r w:rsidR="008330BB">
        <w:t xml:space="preserve">, </w:t>
      </w:r>
      <w:r w:rsidR="008330BB" w:rsidRPr="008330BB">
        <w:t>acknowledg</w:t>
      </w:r>
      <w:r w:rsidR="008330BB">
        <w:t>ing</w:t>
      </w:r>
      <w:r w:rsidR="008330BB" w:rsidRPr="008330BB">
        <w:t xml:space="preserve"> </w:t>
      </w:r>
      <w:r w:rsidR="00FA39EA">
        <w:t xml:space="preserve">there would be a need for </w:t>
      </w:r>
      <w:r w:rsidR="008330BB" w:rsidRPr="008330BB">
        <w:t xml:space="preserve">different models for different </w:t>
      </w:r>
      <w:r w:rsidR="00FA39EA">
        <w:t>S</w:t>
      </w:r>
      <w:r w:rsidR="008330BB" w:rsidRPr="008330BB">
        <w:t xml:space="preserve">tates and </w:t>
      </w:r>
      <w:r w:rsidR="00FA39EA">
        <w:t>T</w:t>
      </w:r>
      <w:r w:rsidR="008330BB" w:rsidRPr="008330BB">
        <w:t xml:space="preserve">erritories and for different regions based on local priorities and needs. </w:t>
      </w:r>
      <w:r w:rsidR="00FA39EA">
        <w:t>This would be h</w:t>
      </w:r>
      <w:r w:rsidR="008330BB" w:rsidRPr="008330BB">
        <w:t xml:space="preserve">eavily dependent on the effectiveness and collaboration of individual </w:t>
      </w:r>
      <w:r w:rsidR="004944D0" w:rsidRPr="008330BB">
        <w:t>PHNs,</w:t>
      </w:r>
      <w:r w:rsidR="004944D0">
        <w:t xml:space="preserve"> and l</w:t>
      </w:r>
      <w:r w:rsidR="004944D0" w:rsidRPr="004944D0">
        <w:t>ocal priorities identified through co-commissioning and planning activities</w:t>
      </w:r>
      <w:r w:rsidR="004944D0">
        <w:t>.</w:t>
      </w:r>
    </w:p>
    <w:p w14:paraId="58C7E7A1" w14:textId="38685CC6" w:rsidR="0055217A" w:rsidRDefault="00316458" w:rsidP="007A6A94">
      <w:pPr>
        <w:pStyle w:val="ListBullet"/>
        <w:ind w:left="567"/>
      </w:pPr>
      <w:r>
        <w:t>Operate as a national knowledge exchange hub</w:t>
      </w:r>
      <w:r w:rsidR="00AA3CC3">
        <w:t xml:space="preserve"> to support </w:t>
      </w:r>
      <w:r w:rsidR="0055217A">
        <w:t>rapid uptake of proven ideas.</w:t>
      </w:r>
    </w:p>
    <w:p w14:paraId="6F907C21" w14:textId="09A6A300" w:rsidR="001C0518" w:rsidRDefault="001C0518" w:rsidP="007A6A94">
      <w:pPr>
        <w:pStyle w:val="ListBullet"/>
        <w:ind w:left="567"/>
      </w:pPr>
      <w:r>
        <w:t xml:space="preserve">Focus </w:t>
      </w:r>
      <w:r w:rsidR="00856034">
        <w:t xml:space="preserve">on ensuring </w:t>
      </w:r>
      <w:r w:rsidR="00A23CB5" w:rsidRPr="00856034">
        <w:t>impact</w:t>
      </w:r>
      <w:r w:rsidR="00A23CB5">
        <w:t>s can be</w:t>
      </w:r>
      <w:r w:rsidR="00A23CB5" w:rsidRPr="00856034">
        <w:t xml:space="preserve"> </w:t>
      </w:r>
      <w:r w:rsidR="00856034" w:rsidRPr="00856034">
        <w:t>translat</w:t>
      </w:r>
      <w:r w:rsidR="00A23CB5">
        <w:t>ed</w:t>
      </w:r>
      <w:r w:rsidR="00856034" w:rsidRPr="00856034">
        <w:t xml:space="preserve"> to</w:t>
      </w:r>
      <w:r w:rsidR="00A23CB5">
        <w:t xml:space="preserve"> a</w:t>
      </w:r>
      <w:r w:rsidR="00856034" w:rsidRPr="00856034">
        <w:t xml:space="preserve"> local level</w:t>
      </w:r>
      <w:r w:rsidR="00A23CB5">
        <w:t>.</w:t>
      </w:r>
    </w:p>
    <w:p w14:paraId="6EDB2427" w14:textId="77777777" w:rsidR="008F5C6A" w:rsidRDefault="008F5C6A" w:rsidP="007A6A94">
      <w:pPr>
        <w:pStyle w:val="ListBullet"/>
        <w:ind w:left="567"/>
      </w:pPr>
      <w:r>
        <w:t xml:space="preserve">Identify how </w:t>
      </w:r>
      <w:r w:rsidRPr="00F75744">
        <w:t>innovative</w:t>
      </w:r>
      <w:r>
        <w:t xml:space="preserve"> models interact with existing pricing and funding models to support adoption at scale.</w:t>
      </w:r>
    </w:p>
    <w:p w14:paraId="6D112565" w14:textId="45B9E2F6" w:rsidR="008F5C6A" w:rsidRDefault="00E761CC" w:rsidP="007A6A94">
      <w:pPr>
        <w:pStyle w:val="ListBullet"/>
        <w:spacing w:after="120"/>
        <w:ind w:left="567"/>
      </w:pPr>
      <w:r>
        <w:t>C</w:t>
      </w:r>
      <w:r w:rsidR="00E94176" w:rsidRPr="00A4047F">
        <w:t xml:space="preserve">onduct routine evaluations based on </w:t>
      </w:r>
      <w:r w:rsidR="001D33E6" w:rsidRPr="00A4047F">
        <w:t xml:space="preserve">agreed LTR and innovation </w:t>
      </w:r>
      <w:r w:rsidR="00E94176" w:rsidRPr="00A4047F">
        <w:t xml:space="preserve">parameters. </w:t>
      </w:r>
    </w:p>
    <w:p w14:paraId="16C27931" w14:textId="5C3BE26C" w:rsidR="005F3840" w:rsidRDefault="00846C4A" w:rsidP="005F3840">
      <w:pPr>
        <w:rPr>
          <w:color w:val="000000" w:themeColor="text1"/>
        </w:rPr>
      </w:pPr>
      <w:r>
        <w:rPr>
          <w:color w:val="000000" w:themeColor="text1"/>
        </w:rPr>
        <w:t xml:space="preserve">There are a number of </w:t>
      </w:r>
      <w:r w:rsidR="008333DD">
        <w:rPr>
          <w:color w:val="000000" w:themeColor="text1"/>
        </w:rPr>
        <w:t>options through which</w:t>
      </w:r>
      <w:r>
        <w:rPr>
          <w:color w:val="000000" w:themeColor="text1"/>
        </w:rPr>
        <w:t xml:space="preserve"> </w:t>
      </w:r>
      <w:r w:rsidR="007F5255">
        <w:rPr>
          <w:color w:val="000000" w:themeColor="text1"/>
        </w:rPr>
        <w:t xml:space="preserve">to establish </w:t>
      </w:r>
      <w:r w:rsidR="007367FF">
        <w:rPr>
          <w:color w:val="000000" w:themeColor="text1"/>
        </w:rPr>
        <w:t>a new entity</w:t>
      </w:r>
      <w:r w:rsidR="008B07D3">
        <w:rPr>
          <w:color w:val="000000" w:themeColor="text1"/>
        </w:rPr>
        <w:t xml:space="preserve"> as follow</w:t>
      </w:r>
      <w:r w:rsidR="005F3840">
        <w:rPr>
          <w:color w:val="000000" w:themeColor="text1"/>
        </w:rPr>
        <w:t>:</w:t>
      </w:r>
    </w:p>
    <w:p w14:paraId="5AA08309" w14:textId="522E0FAF" w:rsidR="0059647A" w:rsidRDefault="008B07D3" w:rsidP="005F3840">
      <w:pPr>
        <w:pStyle w:val="ListParagraph"/>
        <w:numPr>
          <w:ilvl w:val="0"/>
          <w:numId w:val="155"/>
        </w:numPr>
        <w:rPr>
          <w:color w:val="000000" w:themeColor="text1"/>
        </w:rPr>
      </w:pPr>
      <w:r>
        <w:rPr>
          <w:color w:val="000000" w:themeColor="text1"/>
        </w:rPr>
        <w:t>Adding</w:t>
      </w:r>
      <w:r w:rsidR="007367FF">
        <w:rPr>
          <w:color w:val="000000" w:themeColor="text1"/>
        </w:rPr>
        <w:t xml:space="preserve"> a new national body</w:t>
      </w:r>
      <w:r w:rsidR="0059647A">
        <w:rPr>
          <w:color w:val="000000" w:themeColor="text1"/>
        </w:rPr>
        <w:t xml:space="preserve"> to the Agreement, </w:t>
      </w:r>
      <w:r w:rsidR="008333DD">
        <w:rPr>
          <w:color w:val="000000" w:themeColor="text1"/>
        </w:rPr>
        <w:t>the</w:t>
      </w:r>
      <w:r w:rsidR="0059647A">
        <w:rPr>
          <w:color w:val="000000" w:themeColor="text1"/>
        </w:rPr>
        <w:t xml:space="preserve"> national Innovation and Reform Agency, established under </w:t>
      </w:r>
      <w:r w:rsidR="00436E51">
        <w:rPr>
          <w:color w:val="000000" w:themeColor="text1"/>
        </w:rPr>
        <w:t>Commonwealth</w:t>
      </w:r>
      <w:r w:rsidR="0059647A">
        <w:rPr>
          <w:color w:val="000000" w:themeColor="text1"/>
        </w:rPr>
        <w:t xml:space="preserve"> legislation with the agreement of all States and </w:t>
      </w:r>
      <w:r w:rsidR="00436E51">
        <w:rPr>
          <w:color w:val="000000" w:themeColor="text1"/>
        </w:rPr>
        <w:t>Territories</w:t>
      </w:r>
      <w:r w:rsidR="00F92BE9">
        <w:rPr>
          <w:color w:val="000000" w:themeColor="text1"/>
        </w:rPr>
        <w:t>,</w:t>
      </w:r>
      <w:r w:rsidR="0059647A">
        <w:rPr>
          <w:color w:val="000000" w:themeColor="text1"/>
        </w:rPr>
        <w:t xml:space="preserve"> and with the specific functions outlined above</w:t>
      </w:r>
      <w:r w:rsidR="008333DD">
        <w:rPr>
          <w:color w:val="000000" w:themeColor="text1"/>
        </w:rPr>
        <w:t xml:space="preserve">. This is the recommended option as it would </w:t>
      </w:r>
      <w:r w:rsidR="00554E60">
        <w:rPr>
          <w:color w:val="000000" w:themeColor="text1"/>
        </w:rPr>
        <w:t>provide a discrete and dedicated focus on reform activities</w:t>
      </w:r>
      <w:r w:rsidR="00436E51">
        <w:rPr>
          <w:color w:val="000000" w:themeColor="text1"/>
        </w:rPr>
        <w:t>.</w:t>
      </w:r>
    </w:p>
    <w:p w14:paraId="3DB00FDD" w14:textId="33C3A276" w:rsidR="005F3840" w:rsidRDefault="008B07D3" w:rsidP="005F3840">
      <w:pPr>
        <w:pStyle w:val="ListParagraph"/>
        <w:numPr>
          <w:ilvl w:val="0"/>
          <w:numId w:val="155"/>
        </w:numPr>
        <w:rPr>
          <w:color w:val="000000" w:themeColor="text1"/>
        </w:rPr>
      </w:pPr>
      <w:r>
        <w:rPr>
          <w:color w:val="000000" w:themeColor="text1"/>
        </w:rPr>
        <w:t>Adding</w:t>
      </w:r>
      <w:r w:rsidR="005F3840">
        <w:rPr>
          <w:color w:val="000000" w:themeColor="text1"/>
        </w:rPr>
        <w:t xml:space="preserve"> </w:t>
      </w:r>
      <w:r w:rsidR="005F3840" w:rsidRPr="00791EF2">
        <w:rPr>
          <w:color w:val="000000" w:themeColor="text1"/>
        </w:rPr>
        <w:t>responsibility for innovation and reform to the remit of one of the existing national bodies, such as the Australian Commission on Safety and Quality in Health Care</w:t>
      </w:r>
      <w:r w:rsidR="005F3840">
        <w:rPr>
          <w:color w:val="000000" w:themeColor="text1"/>
        </w:rPr>
        <w:t xml:space="preserve">, as </w:t>
      </w:r>
      <w:r w:rsidR="005F3840" w:rsidRPr="00791EF2">
        <w:rPr>
          <w:color w:val="000000" w:themeColor="text1"/>
        </w:rPr>
        <w:t xml:space="preserve">a separate and </w:t>
      </w:r>
      <w:r w:rsidR="005F3840">
        <w:rPr>
          <w:color w:val="000000" w:themeColor="text1"/>
        </w:rPr>
        <w:t xml:space="preserve">clearly </w:t>
      </w:r>
      <w:r w:rsidR="005F3840" w:rsidRPr="00791EF2">
        <w:rPr>
          <w:color w:val="000000" w:themeColor="text1"/>
        </w:rPr>
        <w:t>defined role with dedicated resources</w:t>
      </w:r>
      <w:r w:rsidR="005F3840">
        <w:rPr>
          <w:color w:val="000000" w:themeColor="text1"/>
        </w:rPr>
        <w:t>; or</w:t>
      </w:r>
    </w:p>
    <w:p w14:paraId="265D5A91" w14:textId="6B178878" w:rsidR="005F3840" w:rsidRPr="00791EF2" w:rsidRDefault="008B07D3" w:rsidP="005F3840">
      <w:pPr>
        <w:pStyle w:val="ListParagraph"/>
        <w:numPr>
          <w:ilvl w:val="0"/>
          <w:numId w:val="155"/>
        </w:numPr>
        <w:rPr>
          <w:color w:val="000000" w:themeColor="text1"/>
        </w:rPr>
      </w:pPr>
      <w:r>
        <w:rPr>
          <w:color w:val="000000" w:themeColor="text1"/>
        </w:rPr>
        <w:t>Establishing</w:t>
      </w:r>
      <w:r w:rsidR="005F3840">
        <w:rPr>
          <w:color w:val="000000" w:themeColor="text1"/>
        </w:rPr>
        <w:t xml:space="preserve"> a Commonwealth-State Taskforce, as a separately managed and resourced unit, working to HCEF and with a dedicated workforce, management structure and budget.</w:t>
      </w:r>
    </w:p>
    <w:p w14:paraId="45D4946B" w14:textId="77777777" w:rsidR="008F5C6A" w:rsidRDefault="008F5C6A" w:rsidP="008F5C6A">
      <w:pPr>
        <w:pStyle w:val="Heading3"/>
      </w:pPr>
      <w:bookmarkStart w:id="302" w:name="_Ref146626157"/>
      <w:r>
        <w:t>Funding</w:t>
      </w:r>
      <w:bookmarkEnd w:id="302"/>
    </w:p>
    <w:p w14:paraId="0C851827" w14:textId="77777777" w:rsidR="00496729" w:rsidRDefault="008F5C6A" w:rsidP="008F5C6A">
      <w:r>
        <w:t xml:space="preserve">A key constraint on implementing the current LTR agenda has been the absence of dedicated reform funding. There is a need to identify a potential funding stream that can be ear-marked for ongoing innovation and reform activity. This would drive much stronger and sustainable action. One option is to identify a slice of any additional funding that may flow in a new funding agreement and earmark it for reform, whether this be through a component of a reformed growth cap or through funds freed up in jurisdictions </w:t>
      </w:r>
      <w:r w:rsidR="009C1DD2">
        <w:t>as a result of</w:t>
      </w:r>
      <w:r>
        <w:t xml:space="preserve"> </w:t>
      </w:r>
      <w:r w:rsidR="009C1DD2">
        <w:t xml:space="preserve">an </w:t>
      </w:r>
      <w:r>
        <w:t xml:space="preserve">increased Commonwealth </w:t>
      </w:r>
      <w:r w:rsidR="009C1DD2">
        <w:t>funding share</w:t>
      </w:r>
      <w:r>
        <w:t xml:space="preserve">. </w:t>
      </w:r>
    </w:p>
    <w:p w14:paraId="074EA91D" w14:textId="6EFA1F06" w:rsidR="008F5C6A" w:rsidRDefault="0094242E" w:rsidP="008F5C6A">
      <w:r>
        <w:t>The process of taking an idea from initial testing</w:t>
      </w:r>
      <w:r w:rsidR="0022386B">
        <w:t>, through evaluation</w:t>
      </w:r>
      <w:r>
        <w:t xml:space="preserve"> to implementation at scale </w:t>
      </w:r>
      <w:r w:rsidR="0022386B">
        <w:t xml:space="preserve">should be mapped out in advance using the </w:t>
      </w:r>
      <w:r w:rsidR="009C1DD2">
        <w:t>F</w:t>
      </w:r>
      <w:r w:rsidR="0022386B">
        <w:t xml:space="preserve">unding </w:t>
      </w:r>
      <w:r w:rsidR="009C1DD2">
        <w:t>I</w:t>
      </w:r>
      <w:r w:rsidR="0022386B">
        <w:t xml:space="preserve">nnovation </w:t>
      </w:r>
      <w:r w:rsidR="009C1DD2">
        <w:t>P</w:t>
      </w:r>
      <w:r w:rsidR="0022386B">
        <w:t xml:space="preserve">athway at Recommendation 11. </w:t>
      </w:r>
      <w:r w:rsidR="008F5C6A">
        <w:t xml:space="preserve">For this to be effective will require a national fund equitably drawn from all jurisdictions and with the governance that gives confidence that all jurisdictions will benefit. </w:t>
      </w:r>
    </w:p>
    <w:tbl>
      <w:tblPr>
        <w:tblStyle w:val="TableGrid"/>
        <w:tblW w:w="10490" w:type="dxa"/>
        <w:shd w:val="clear" w:color="auto" w:fill="F2F2F2" w:themeFill="background1" w:themeFillShade="F2"/>
        <w:tblLook w:val="04A0" w:firstRow="1" w:lastRow="0" w:firstColumn="1" w:lastColumn="0" w:noHBand="0" w:noVBand="1"/>
      </w:tblPr>
      <w:tblGrid>
        <w:gridCol w:w="10490"/>
      </w:tblGrid>
      <w:tr w:rsidR="008F5C6A" w14:paraId="21621AEA" w14:textId="77777777" w:rsidTr="00F95F8D">
        <w:trPr>
          <w:cnfStyle w:val="100000000000" w:firstRow="1" w:lastRow="0" w:firstColumn="0" w:lastColumn="0" w:oddVBand="0" w:evenVBand="0" w:oddHBand="0" w:evenHBand="0" w:firstRowFirstColumn="0" w:firstRowLastColumn="0" w:lastRowFirstColumn="0" w:lastRowLastColumn="0"/>
        </w:trPr>
        <w:tc>
          <w:tcPr>
            <w:tcW w:w="0" w:type="dxa"/>
            <w:shd w:val="clear" w:color="auto" w:fill="F2F2F2" w:themeFill="background1" w:themeFillShade="F2"/>
          </w:tcPr>
          <w:p w14:paraId="5467852A" w14:textId="3B2A3E2F" w:rsidR="008F5C6A" w:rsidRPr="008F5C6A" w:rsidRDefault="00185DDE" w:rsidP="00F95F8D">
            <w:pPr>
              <w:pStyle w:val="Summarytable"/>
              <w:shd w:val="clear" w:color="auto" w:fill="F2F2F2" w:themeFill="background1" w:themeFillShade="F2"/>
              <w:rPr>
                <w:b w:val="0"/>
                <w:bCs w:val="0"/>
                <w:color w:val="000000" w:themeColor="text1"/>
              </w:rPr>
            </w:pPr>
            <w:r>
              <w:rPr>
                <w:noProof/>
                <w:color w:val="0097A9" w:themeColor="accent5"/>
              </w:rPr>
              <w:drawing>
                <wp:inline distT="0" distB="0" distL="0" distR="0" wp14:anchorId="5EA05329" wp14:editId="47A32DAD">
                  <wp:extent cx="270000" cy="270000"/>
                  <wp:effectExtent l="0" t="0" r="0" b="0"/>
                  <wp:docPr id="1489793661" name="Graphic 1489793661" descr="P2034C1T105#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61" name="Graphic 1489793661" descr="P2034C1T105#yIS1">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70000" cy="270000"/>
                          </a:xfrm>
                          <a:prstGeom prst="rect">
                            <a:avLst/>
                          </a:prstGeom>
                        </pic:spPr>
                      </pic:pic>
                    </a:graphicData>
                  </a:graphic>
                </wp:inline>
              </w:drawing>
            </w:r>
            <w:r w:rsidR="008F5C6A" w:rsidRPr="00222940">
              <w:rPr>
                <w:color w:val="00707E" w:themeColor="accent5" w:themeShade="BF"/>
              </w:rPr>
              <w:t xml:space="preserve">Recommendation </w:t>
            </w:r>
            <w:r w:rsidR="00377E4E">
              <w:rPr>
                <w:color w:val="00707E" w:themeColor="accent5" w:themeShade="BF"/>
              </w:rPr>
              <w:t>3</w:t>
            </w:r>
            <w:r w:rsidR="00625311">
              <w:rPr>
                <w:color w:val="00707E" w:themeColor="accent5" w:themeShade="BF"/>
              </w:rPr>
              <w:t>4</w:t>
            </w:r>
            <w:r w:rsidR="008F5C6A" w:rsidRPr="00BB2C81">
              <w:rPr>
                <w:color w:val="00707E" w:themeColor="accent5" w:themeShade="BF"/>
              </w:rPr>
              <w:t xml:space="preserve">: </w:t>
            </w:r>
            <w:r w:rsidR="008F5C6A" w:rsidRPr="008F5C6A">
              <w:rPr>
                <w:b w:val="0"/>
                <w:bCs w:val="0"/>
                <w:color w:val="000000" w:themeColor="text1"/>
              </w:rPr>
              <w:t xml:space="preserve">A </w:t>
            </w:r>
            <w:r w:rsidR="008F5C6A" w:rsidRPr="003F5261">
              <w:rPr>
                <w:color w:val="000000" w:themeColor="text1"/>
              </w:rPr>
              <w:t>focus on innovation and reform in the Agreement</w:t>
            </w:r>
            <w:r w:rsidR="008F5C6A" w:rsidRPr="008F5C6A">
              <w:rPr>
                <w:b w:val="0"/>
                <w:bCs w:val="0"/>
                <w:color w:val="000000" w:themeColor="text1"/>
              </w:rPr>
              <w:t xml:space="preserve"> should be supported by:</w:t>
            </w:r>
          </w:p>
          <w:p w14:paraId="226C793F" w14:textId="5E4CBB8D" w:rsidR="008F5C6A" w:rsidRPr="008F5C6A" w:rsidRDefault="008F5C6A" w:rsidP="00F95F8D">
            <w:pPr>
              <w:pStyle w:val="Summarytable"/>
              <w:numPr>
                <w:ilvl w:val="0"/>
                <w:numId w:val="46"/>
              </w:numPr>
              <w:shd w:val="clear" w:color="auto" w:fill="F2F2F2" w:themeFill="background1" w:themeFillShade="F2"/>
              <w:ind w:left="1134"/>
              <w:rPr>
                <w:b w:val="0"/>
                <w:bCs w:val="0"/>
                <w:color w:val="000000" w:themeColor="text1"/>
              </w:rPr>
            </w:pPr>
            <w:r w:rsidRPr="008F5C6A">
              <w:rPr>
                <w:b w:val="0"/>
                <w:bCs w:val="0"/>
                <w:color w:val="000000" w:themeColor="text1"/>
              </w:rPr>
              <w:t xml:space="preserve">A </w:t>
            </w:r>
            <w:r w:rsidR="00CF5C6D">
              <w:rPr>
                <w:color w:val="000000" w:themeColor="text1"/>
              </w:rPr>
              <w:t>N</w:t>
            </w:r>
            <w:r w:rsidR="00CF5C6D" w:rsidRPr="00C47984">
              <w:rPr>
                <w:color w:val="000000" w:themeColor="text1"/>
              </w:rPr>
              <w:t xml:space="preserve">ational </w:t>
            </w:r>
            <w:r w:rsidR="00CF5C6D">
              <w:rPr>
                <w:color w:val="000000" w:themeColor="text1"/>
              </w:rPr>
              <w:t>I</w:t>
            </w:r>
            <w:r w:rsidRPr="00C47984">
              <w:rPr>
                <w:color w:val="000000" w:themeColor="text1"/>
              </w:rPr>
              <w:t xml:space="preserve">nnovation and </w:t>
            </w:r>
            <w:r w:rsidR="00CF5C6D">
              <w:rPr>
                <w:color w:val="000000" w:themeColor="text1"/>
              </w:rPr>
              <w:t>R</w:t>
            </w:r>
            <w:r w:rsidRPr="00C47984">
              <w:rPr>
                <w:color w:val="000000" w:themeColor="text1"/>
              </w:rPr>
              <w:t xml:space="preserve">eform </w:t>
            </w:r>
            <w:r w:rsidR="00077D76">
              <w:rPr>
                <w:color w:val="000000" w:themeColor="text1"/>
              </w:rPr>
              <w:t>Agency</w:t>
            </w:r>
            <w:r w:rsidR="00A14011">
              <w:rPr>
                <w:color w:val="000000" w:themeColor="text1"/>
              </w:rPr>
              <w:t>,</w:t>
            </w:r>
            <w:r w:rsidR="00A14011" w:rsidRPr="008F5C6A">
              <w:rPr>
                <w:b w:val="0"/>
                <w:bCs w:val="0"/>
                <w:color w:val="000000" w:themeColor="text1"/>
              </w:rPr>
              <w:t xml:space="preserve"> </w:t>
            </w:r>
            <w:r w:rsidRPr="008F5C6A">
              <w:rPr>
                <w:b w:val="0"/>
                <w:bCs w:val="0"/>
                <w:color w:val="000000" w:themeColor="text1"/>
              </w:rPr>
              <w:t xml:space="preserve">authorised to develop and </w:t>
            </w:r>
            <w:r w:rsidR="00175133">
              <w:rPr>
                <w:b w:val="0"/>
                <w:bCs w:val="0"/>
                <w:color w:val="000000" w:themeColor="text1"/>
              </w:rPr>
              <w:t>advise on</w:t>
            </w:r>
            <w:r w:rsidR="00175133" w:rsidRPr="008F5C6A">
              <w:rPr>
                <w:b w:val="0"/>
                <w:bCs w:val="0"/>
                <w:color w:val="000000" w:themeColor="text1"/>
              </w:rPr>
              <w:t xml:space="preserve"> </w:t>
            </w:r>
            <w:r w:rsidRPr="008F5C6A">
              <w:rPr>
                <w:b w:val="0"/>
                <w:bCs w:val="0"/>
                <w:color w:val="000000" w:themeColor="text1"/>
              </w:rPr>
              <w:t>long term system reforms and innovation, working with all jurisdictions and the national bodies</w:t>
            </w:r>
            <w:r w:rsidR="00D41F38">
              <w:rPr>
                <w:b w:val="0"/>
                <w:bCs w:val="0"/>
                <w:color w:val="000000" w:themeColor="text1"/>
              </w:rPr>
              <w:t xml:space="preserve">, with strong reporting lines </w:t>
            </w:r>
            <w:r w:rsidR="00D21466">
              <w:rPr>
                <w:b w:val="0"/>
                <w:bCs w:val="0"/>
                <w:color w:val="000000" w:themeColor="text1"/>
              </w:rPr>
              <w:t>through</w:t>
            </w:r>
            <w:r w:rsidR="00D41F38">
              <w:rPr>
                <w:b w:val="0"/>
                <w:bCs w:val="0"/>
                <w:color w:val="000000" w:themeColor="text1"/>
              </w:rPr>
              <w:t xml:space="preserve"> HCEF </w:t>
            </w:r>
            <w:r w:rsidR="00D21466">
              <w:rPr>
                <w:b w:val="0"/>
                <w:bCs w:val="0"/>
                <w:color w:val="000000" w:themeColor="text1"/>
              </w:rPr>
              <w:t>to</w:t>
            </w:r>
            <w:r w:rsidR="00D41F38">
              <w:rPr>
                <w:b w:val="0"/>
                <w:bCs w:val="0"/>
                <w:color w:val="000000" w:themeColor="text1"/>
              </w:rPr>
              <w:t xml:space="preserve"> Health Ministers,</w:t>
            </w:r>
            <w:r w:rsidRPr="008F5C6A">
              <w:rPr>
                <w:b w:val="0"/>
                <w:bCs w:val="0"/>
                <w:color w:val="000000" w:themeColor="text1"/>
              </w:rPr>
              <w:t xml:space="preserve"> and informed by performance data flowing from the Agreement</w:t>
            </w:r>
            <w:r w:rsidR="00632F41">
              <w:rPr>
                <w:b w:val="0"/>
                <w:bCs w:val="0"/>
                <w:color w:val="000000" w:themeColor="text1"/>
              </w:rPr>
              <w:t xml:space="preserve"> (</w:t>
            </w:r>
            <w:r w:rsidR="00D25EEB">
              <w:rPr>
                <w:b w:val="0"/>
                <w:bCs w:val="0"/>
                <w:color w:val="000000" w:themeColor="text1"/>
              </w:rPr>
              <w:t>linked</w:t>
            </w:r>
            <w:r w:rsidR="00632F41">
              <w:rPr>
                <w:b w:val="0"/>
                <w:bCs w:val="0"/>
                <w:color w:val="000000" w:themeColor="text1"/>
              </w:rPr>
              <w:t xml:space="preserve"> to Recommendation </w:t>
            </w:r>
            <w:r w:rsidR="00B13D36">
              <w:rPr>
                <w:b w:val="0"/>
                <w:bCs w:val="0"/>
                <w:color w:val="000000" w:themeColor="text1"/>
              </w:rPr>
              <w:t>6</w:t>
            </w:r>
            <w:r w:rsidR="00792297">
              <w:rPr>
                <w:b w:val="0"/>
                <w:bCs w:val="0"/>
                <w:color w:val="000000" w:themeColor="text1"/>
              </w:rPr>
              <w:t>)</w:t>
            </w:r>
            <w:r w:rsidRPr="008F5C6A">
              <w:rPr>
                <w:b w:val="0"/>
                <w:bCs w:val="0"/>
                <w:color w:val="000000" w:themeColor="text1"/>
              </w:rPr>
              <w:t xml:space="preserve">. </w:t>
            </w:r>
          </w:p>
          <w:p w14:paraId="36742953" w14:textId="0C7D2892" w:rsidR="008F5C6A" w:rsidRPr="003913D4" w:rsidRDefault="003913D4" w:rsidP="00F95F8D">
            <w:pPr>
              <w:pStyle w:val="Summarytable"/>
              <w:numPr>
                <w:ilvl w:val="0"/>
                <w:numId w:val="46"/>
              </w:numPr>
              <w:shd w:val="clear" w:color="auto" w:fill="F2F2F2" w:themeFill="background1" w:themeFillShade="F2"/>
              <w:ind w:left="1134"/>
            </w:pPr>
            <w:r w:rsidRPr="001B7EF4">
              <w:rPr>
                <w:b w:val="0"/>
                <w:bCs w:val="0"/>
                <w:color w:val="000000" w:themeColor="text1"/>
              </w:rPr>
              <w:t xml:space="preserve">An </w:t>
            </w:r>
            <w:r w:rsidRPr="001B7EF4">
              <w:rPr>
                <w:color w:val="000000" w:themeColor="text1"/>
              </w:rPr>
              <w:t>Innovation Fund,</w:t>
            </w:r>
            <w:r w:rsidRPr="001B7EF4">
              <w:rPr>
                <w:b w:val="0"/>
                <w:bCs w:val="0"/>
                <w:color w:val="000000" w:themeColor="text1"/>
              </w:rPr>
              <w:t xml:space="preserve"> drawn from new and freed up monies delivered through the NHRA</w:t>
            </w:r>
            <w:r w:rsidRPr="001B7EF4">
              <w:rPr>
                <w:color w:val="000000" w:themeColor="text1"/>
              </w:rPr>
              <w:t xml:space="preserve"> that can support short term activities</w:t>
            </w:r>
            <w:r w:rsidRPr="001B7EF4">
              <w:rPr>
                <w:b w:val="0"/>
                <w:bCs w:val="0"/>
                <w:color w:val="000000" w:themeColor="text1"/>
              </w:rPr>
              <w:t>, while working with jurisdictions and the national bodies on options to implement successful innovation and reform at scale using the ‘</w:t>
            </w:r>
            <w:r w:rsidR="002277F0">
              <w:rPr>
                <w:b w:val="0"/>
                <w:bCs w:val="0"/>
                <w:color w:val="000000" w:themeColor="text1"/>
              </w:rPr>
              <w:t>F</w:t>
            </w:r>
            <w:r w:rsidRPr="001B7EF4">
              <w:rPr>
                <w:b w:val="0"/>
                <w:bCs w:val="0"/>
                <w:color w:val="000000" w:themeColor="text1"/>
              </w:rPr>
              <w:t xml:space="preserve">unding </w:t>
            </w:r>
            <w:r w:rsidR="002277F0">
              <w:rPr>
                <w:b w:val="0"/>
                <w:bCs w:val="0"/>
                <w:color w:val="000000" w:themeColor="text1"/>
              </w:rPr>
              <w:t>I</w:t>
            </w:r>
            <w:r w:rsidRPr="001B7EF4">
              <w:rPr>
                <w:b w:val="0"/>
                <w:bCs w:val="0"/>
                <w:color w:val="000000" w:themeColor="text1"/>
              </w:rPr>
              <w:t xml:space="preserve">nnovation </w:t>
            </w:r>
            <w:r w:rsidR="002277F0">
              <w:rPr>
                <w:b w:val="0"/>
                <w:bCs w:val="0"/>
                <w:color w:val="000000" w:themeColor="text1"/>
              </w:rPr>
              <w:t>P</w:t>
            </w:r>
            <w:r w:rsidRPr="001B7EF4">
              <w:rPr>
                <w:b w:val="0"/>
                <w:bCs w:val="0"/>
                <w:color w:val="000000" w:themeColor="text1"/>
              </w:rPr>
              <w:t>athway’ at Recommendation 11</w:t>
            </w:r>
            <w:r w:rsidRPr="001B7EF4">
              <w:rPr>
                <w:color w:val="000000" w:themeColor="text1"/>
              </w:rPr>
              <w:t xml:space="preserve">.  </w:t>
            </w:r>
          </w:p>
        </w:tc>
      </w:tr>
    </w:tbl>
    <w:p w14:paraId="58CB0EAC" w14:textId="00FEB1E8" w:rsidR="00286B0D" w:rsidRDefault="00286B0D">
      <w:pPr>
        <w:spacing w:after="0" w:line="240" w:lineRule="atLeast"/>
      </w:pPr>
      <w:r>
        <w:br w:type="page"/>
      </w:r>
    </w:p>
    <w:p w14:paraId="6EBD9164" w14:textId="2BBD007A" w:rsidR="00DE0A92" w:rsidRPr="005C5C15" w:rsidRDefault="00D510D4" w:rsidP="005C2F99">
      <w:pPr>
        <w:pStyle w:val="Heading2"/>
      </w:pPr>
      <w:bookmarkStart w:id="303" w:name="_Toc143291697"/>
      <w:r>
        <w:rPr>
          <w:noProof/>
        </w:rPr>
        <w:drawing>
          <wp:anchor distT="0" distB="0" distL="114300" distR="114300" simplePos="0" relativeHeight="251643904" behindDoc="0" locked="0" layoutInCell="1" allowOverlap="1" wp14:anchorId="469A0CA0" wp14:editId="36FC9C03">
            <wp:simplePos x="0" y="0"/>
            <wp:positionH relativeFrom="column">
              <wp:posOffset>6009005</wp:posOffset>
            </wp:positionH>
            <wp:positionV relativeFrom="paragraph">
              <wp:posOffset>107</wp:posOffset>
            </wp:positionV>
            <wp:extent cx="633342" cy="795129"/>
            <wp:effectExtent l="0" t="0" r="0" b="5080"/>
            <wp:wrapSquare wrapText="bothSides"/>
            <wp:docPr id="52379487" name="Picture 52379487" descr="P203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9487" name="Picture 52379487" descr="P2039#y1">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633342" cy="795129"/>
                    </a:xfrm>
                    <a:prstGeom prst="rect">
                      <a:avLst/>
                    </a:prstGeom>
                  </pic:spPr>
                </pic:pic>
              </a:graphicData>
            </a:graphic>
            <wp14:sizeRelH relativeFrom="page">
              <wp14:pctWidth>0</wp14:pctWidth>
            </wp14:sizeRelH>
            <wp14:sizeRelV relativeFrom="page">
              <wp14:pctHeight>0</wp14:pctHeight>
            </wp14:sizeRelV>
          </wp:anchor>
        </w:drawing>
      </w:r>
      <w:r w:rsidR="00D2750D">
        <w:t>Rural and remote service delivery that is fit for purpose</w:t>
      </w:r>
      <w:bookmarkEnd w:id="303"/>
      <w:r w:rsidR="005C2F99">
        <w:t xml:space="preserve"> </w:t>
      </w:r>
    </w:p>
    <w:p w14:paraId="3881CC67" w14:textId="65F27A31" w:rsidR="003B5519" w:rsidRPr="00CD74C0" w:rsidRDefault="00E76709" w:rsidP="00227C63">
      <w:pPr>
        <w:pStyle w:val="Heading3"/>
      </w:pPr>
      <w:r>
        <w:t xml:space="preserve">Establish </w:t>
      </w:r>
      <w:r w:rsidRPr="00CD74C0">
        <w:t xml:space="preserve">a </w:t>
      </w:r>
      <w:r w:rsidR="00E95017" w:rsidRPr="00CD74C0">
        <w:t xml:space="preserve">dedicated </w:t>
      </w:r>
      <w:r w:rsidR="009E261B" w:rsidRPr="00CD74C0">
        <w:t>Schedule in the NHRA</w:t>
      </w:r>
      <w:r w:rsidR="003B3278" w:rsidRPr="00CD74C0">
        <w:t xml:space="preserve"> </w:t>
      </w:r>
      <w:r w:rsidR="00A761C8" w:rsidRPr="00CD74C0">
        <w:t>for improving equitable access to health care services in rural and remote areas</w:t>
      </w:r>
    </w:p>
    <w:p w14:paraId="038DA60B" w14:textId="5B03AB05" w:rsidR="005C2F99" w:rsidRDefault="005C2F99" w:rsidP="007745A8">
      <w:pPr>
        <w:pStyle w:val="Heading4"/>
      </w:pPr>
      <w:bookmarkStart w:id="304" w:name="_Ref148445130"/>
      <w:r w:rsidRPr="00A95945">
        <w:t>Strengthen t</w:t>
      </w:r>
      <w:r>
        <w:t>he governance model for rural and remote service provision</w:t>
      </w:r>
      <w:bookmarkEnd w:id="304"/>
    </w:p>
    <w:p w14:paraId="15577A5D" w14:textId="5AA3CA3A" w:rsidR="00615DBF" w:rsidRDefault="001E6BFE" w:rsidP="00E15DB8">
      <w:r>
        <w:t>In rural and remote areas, primary, aged and disability care services often struggle to be viable due to thin markets and workforce availability. The numbers of aged care beds in rural and remote areas can prevent older patients from being safely discharged</w:t>
      </w:r>
      <w:r w:rsidR="00D5746A">
        <w:t>,</w:t>
      </w:r>
      <w:r>
        <w:t xml:space="preserve"> and a lack of NDIS and aged care services in these areas add to hospital bed block pressures. </w:t>
      </w:r>
      <w:r w:rsidR="00BF379A">
        <w:t xml:space="preserve">Limited access to health services partially contribute to the higher rate of potentially avoidable deaths </w:t>
      </w:r>
      <w:r w:rsidR="00FD06FB">
        <w:t>(see</w:t>
      </w:r>
      <w:r w:rsidR="00E15DB8">
        <w:t xml:space="preserve"> </w:t>
      </w:r>
      <w:r w:rsidR="00E15DB8">
        <w:fldChar w:fldCharType="begin" w:fldLock="1"/>
      </w:r>
      <w:r w:rsidR="00E15DB8">
        <w:instrText xml:space="preserve"> REF _Ref148607249 \h </w:instrText>
      </w:r>
      <w:r w:rsidR="00E15DB8">
        <w:fldChar w:fldCharType="separate"/>
      </w:r>
      <w:r w:rsidR="00FA10A4">
        <w:t xml:space="preserve">Figure </w:t>
      </w:r>
      <w:r w:rsidR="00FA10A4">
        <w:rPr>
          <w:noProof/>
        </w:rPr>
        <w:t>35</w:t>
      </w:r>
      <w:r w:rsidR="00E15DB8">
        <w:fldChar w:fldCharType="end"/>
      </w:r>
      <w:r w:rsidR="00FD06FB">
        <w:t>)</w:t>
      </w:r>
      <w:r w:rsidR="003F5D51">
        <w:rPr>
          <w:rFonts w:ascii="ZWAdobeF" w:hAnsi="ZWAdobeF" w:cs="ZWAdobeF"/>
          <w:sz w:val="2"/>
          <w:szCs w:val="2"/>
        </w:rPr>
        <w:t>147F</w:t>
      </w:r>
      <w:r w:rsidR="005C0482">
        <w:rPr>
          <w:rStyle w:val="FootnoteReference"/>
        </w:rPr>
        <w:footnoteReference w:id="149"/>
      </w:r>
      <w:r w:rsidR="00FD06FB">
        <w:t xml:space="preserve"> and potentially preventable hospital admissions (see</w:t>
      </w:r>
      <w:r w:rsidR="00865664">
        <w:t xml:space="preserve"> </w:t>
      </w:r>
      <w:r w:rsidR="00865664">
        <w:fldChar w:fldCharType="begin" w:fldLock="1"/>
      </w:r>
      <w:r w:rsidR="00865664">
        <w:instrText xml:space="preserve"> REF _Ref146711536 \h </w:instrText>
      </w:r>
      <w:r w:rsidR="00865664">
        <w:fldChar w:fldCharType="separate"/>
      </w:r>
      <w:r w:rsidR="00FA10A4">
        <w:t xml:space="preserve">Figure </w:t>
      </w:r>
      <w:r w:rsidR="00FA10A4">
        <w:rPr>
          <w:noProof/>
        </w:rPr>
        <w:t>36</w:t>
      </w:r>
      <w:r w:rsidR="00865664">
        <w:fldChar w:fldCharType="end"/>
      </w:r>
      <w:r w:rsidR="00FD06FB">
        <w:t>)</w:t>
      </w:r>
      <w:r w:rsidR="003F5D51">
        <w:rPr>
          <w:rFonts w:ascii="ZWAdobeF" w:hAnsi="ZWAdobeF" w:cs="ZWAdobeF"/>
          <w:sz w:val="2"/>
          <w:szCs w:val="2"/>
        </w:rPr>
        <w:t>148F</w:t>
      </w:r>
      <w:r w:rsidR="00F7577D">
        <w:rPr>
          <w:rStyle w:val="FootnoteReference"/>
        </w:rPr>
        <w:footnoteReference w:id="150"/>
      </w:r>
      <w:r w:rsidR="00BF379A">
        <w:t xml:space="preserve"> in remote and very remote areas </w:t>
      </w:r>
      <w:r w:rsidR="008D6F09">
        <w:t>compared to</w:t>
      </w:r>
      <w:r w:rsidR="00BF379A">
        <w:t xml:space="preserve"> major cities. </w:t>
      </w:r>
      <w:r>
        <w:t xml:space="preserve">Additionally, limited access to primary care in rural and remote areas means that elderly patients and individuals living with a disability turn to rural and remote hospitals for multidisciplinary care, resulting in extended hospital stays. </w:t>
      </w:r>
    </w:p>
    <w:tbl>
      <w:tblPr>
        <w:tblStyle w:val="TableGrid"/>
        <w:tblW w:w="0" w:type="auto"/>
        <w:tblLayout w:type="fixed"/>
        <w:tblLook w:val="04A0" w:firstRow="1" w:lastRow="0" w:firstColumn="1" w:lastColumn="0" w:noHBand="0" w:noVBand="1"/>
      </w:tblPr>
      <w:tblGrid>
        <w:gridCol w:w="3969"/>
        <w:gridCol w:w="3411"/>
        <w:gridCol w:w="3086"/>
      </w:tblGrid>
      <w:tr w:rsidR="00681D8A" w14:paraId="6B4DBB6D" w14:textId="77777777" w:rsidTr="003F690F">
        <w:trPr>
          <w:cnfStyle w:val="100000000000" w:firstRow="1" w:lastRow="0" w:firstColumn="0" w:lastColumn="0" w:oddVBand="0" w:evenVBand="0" w:oddHBand="0" w:evenHBand="0" w:firstRowFirstColumn="0" w:firstRowLastColumn="0" w:lastRowFirstColumn="0" w:lastRowLastColumn="0"/>
        </w:trPr>
        <w:tc>
          <w:tcPr>
            <w:tcW w:w="3969" w:type="dxa"/>
            <w:tcMar>
              <w:top w:w="0" w:type="dxa"/>
            </w:tcMar>
          </w:tcPr>
          <w:p w14:paraId="2FF370A3" w14:textId="150BDFEB" w:rsidR="00681D8A" w:rsidRPr="008F5FBD" w:rsidRDefault="00681D8A" w:rsidP="00DE239E">
            <w:pPr>
              <w:keepNext/>
            </w:pPr>
            <w:r>
              <w:t xml:space="preserve">While the NHRA designates the Commonwealth as system managers for primary and aged care, it falls short in defining their market development role to ensure aged, disability and primary care services in rural and remote areas are accessible and sustainable. There have not been readily available mechanisms for the </w:t>
            </w:r>
            <w:r w:rsidR="00B07BC8">
              <w:t>S</w:t>
            </w:r>
            <w:r>
              <w:t xml:space="preserve">tates, </w:t>
            </w:r>
            <w:r w:rsidR="00B07BC8">
              <w:t>T</w:t>
            </w:r>
            <w:r>
              <w:t xml:space="preserve">erritories and </w:t>
            </w:r>
            <w:r w:rsidR="00B07BC8">
              <w:t>C</w:t>
            </w:r>
            <w:r>
              <w:t xml:space="preserve">ommonwealth to work together and to develop flexible models to improve access to services in these areas. To relieve the additional pressure on acute health services, State and Territories report that they need to step in as default providers of primary and aged care services. </w:t>
            </w:r>
          </w:p>
        </w:tc>
        <w:tc>
          <w:tcPr>
            <w:tcW w:w="6497" w:type="dxa"/>
            <w:gridSpan w:val="2"/>
            <w:tcMar>
              <w:top w:w="0" w:type="dxa"/>
            </w:tcMar>
          </w:tcPr>
          <w:p w14:paraId="2B8806F9" w14:textId="020F6C94" w:rsidR="00EB4004" w:rsidRPr="004F6CFA" w:rsidRDefault="003F53A2" w:rsidP="004F6CFA">
            <w:pPr>
              <w:jc w:val="center"/>
              <w:rPr>
                <w:i/>
                <w:color w:val="808080" w:themeColor="background1" w:themeShade="80"/>
              </w:rPr>
            </w:pPr>
            <w:bookmarkStart w:id="305" w:name="_Ref146711516"/>
            <w:r w:rsidRPr="00B25012">
              <w:rPr>
                <w:i/>
                <w:iCs/>
                <w:color w:val="53565A"/>
              </w:rPr>
              <w:t>Potentially avoidable deaths (aged under 75)</w:t>
            </w:r>
          </w:p>
          <w:p w14:paraId="2B0FE82D" w14:textId="5029ED46" w:rsidR="00EB4004" w:rsidRPr="00EB4004" w:rsidRDefault="00EB4004" w:rsidP="004F6CFA">
            <w:pPr>
              <w:jc w:val="right"/>
            </w:pPr>
            <w:r>
              <w:rPr>
                <w:noProof/>
              </w:rPr>
              <w:drawing>
                <wp:inline distT="0" distB="0" distL="0" distR="0" wp14:anchorId="73806E51" wp14:editId="29326320">
                  <wp:extent cx="3533321" cy="2376805"/>
                  <wp:effectExtent l="0" t="0" r="0" b="4445"/>
                  <wp:docPr id="1115524936" name="Picture 1115524936" descr="P2045C2T10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24936" name="Picture 1115524936" descr="P2045C2T106#yIS1"/>
                          <pic:cNvPicPr/>
                        </pic:nvPicPr>
                        <pic:blipFill rotWithShape="1">
                          <a:blip r:embed="rId104"/>
                          <a:srcRect t="9436"/>
                          <a:stretch/>
                        </pic:blipFill>
                        <pic:spPr bwMode="auto">
                          <a:xfrm>
                            <a:off x="0" y="0"/>
                            <a:ext cx="3537021" cy="2379294"/>
                          </a:xfrm>
                          <a:prstGeom prst="rect">
                            <a:avLst/>
                          </a:prstGeom>
                          <a:ln>
                            <a:noFill/>
                          </a:ln>
                          <a:extLst>
                            <a:ext uri="{53640926-AAD7-44D8-BBD7-CCE9431645EC}">
                              <a14:shadowObscured xmlns:a14="http://schemas.microsoft.com/office/drawing/2010/main"/>
                            </a:ext>
                          </a:extLst>
                        </pic:spPr>
                      </pic:pic>
                    </a:graphicData>
                  </a:graphic>
                </wp:inline>
              </w:drawing>
            </w:r>
          </w:p>
          <w:p w14:paraId="2934D7F6" w14:textId="448110A6" w:rsidR="00681D8A" w:rsidRPr="00681D8A" w:rsidRDefault="00681D8A" w:rsidP="00C2024B">
            <w:pPr>
              <w:pStyle w:val="Caption"/>
              <w:rPr>
                <w:noProof/>
                <w:sz w:val="20"/>
                <w:szCs w:val="20"/>
              </w:rPr>
            </w:pPr>
            <w:bookmarkStart w:id="306" w:name="_Ref148607249"/>
            <w:bookmarkStart w:id="307" w:name="_Toc148968413"/>
            <w:r>
              <w:t xml:space="preserve">Figure </w:t>
            </w:r>
            <w:r>
              <w:fldChar w:fldCharType="begin"/>
            </w:r>
            <w:r>
              <w:instrText xml:space="preserve"> SEQ Figure \* ARABIC </w:instrText>
            </w:r>
            <w:r>
              <w:fldChar w:fldCharType="separate"/>
            </w:r>
            <w:r w:rsidR="003F5D51">
              <w:rPr>
                <w:noProof/>
              </w:rPr>
              <w:t>35</w:t>
            </w:r>
            <w:r>
              <w:fldChar w:fldCharType="end"/>
            </w:r>
            <w:bookmarkEnd w:id="305"/>
            <w:bookmarkEnd w:id="306"/>
            <w:r>
              <w:t xml:space="preserve">: Potentially avoidable </w:t>
            </w:r>
            <w:r>
              <w:rPr>
                <w:noProof/>
              </w:rPr>
              <w:t>deaths (aged under 75) by remoteness area, 2017-2021</w:t>
            </w:r>
            <w:bookmarkEnd w:id="307"/>
          </w:p>
        </w:tc>
      </w:tr>
      <w:tr w:rsidR="007455E4" w14:paraId="3AC36CA8" w14:textId="77777777" w:rsidTr="00E94771">
        <w:tc>
          <w:tcPr>
            <w:tcW w:w="7380" w:type="dxa"/>
            <w:gridSpan w:val="2"/>
          </w:tcPr>
          <w:p w14:paraId="3E30A5BF" w14:textId="10A370BF" w:rsidR="007455E4" w:rsidRPr="004F6CFA" w:rsidRDefault="007C41FD" w:rsidP="007C41FD">
            <w:pPr>
              <w:rPr>
                <w:i/>
                <w:iCs/>
                <w:color w:val="808080" w:themeColor="background1" w:themeShade="80"/>
              </w:rPr>
            </w:pPr>
            <w:r w:rsidRPr="00B25012">
              <w:rPr>
                <w:i/>
                <w:iCs/>
                <w:color w:val="53565A"/>
              </w:rPr>
              <w:t xml:space="preserve">Age-standardised rates of </w:t>
            </w:r>
            <w:r w:rsidR="003F690F" w:rsidRPr="00B25012">
              <w:rPr>
                <w:i/>
                <w:iCs/>
                <w:color w:val="53565A"/>
              </w:rPr>
              <w:t xml:space="preserve">total </w:t>
            </w:r>
            <w:r w:rsidRPr="00B25012">
              <w:rPr>
                <w:i/>
                <w:iCs/>
                <w:color w:val="53565A"/>
              </w:rPr>
              <w:t>potentially preventable hospitalisations, by remoteness area, 2012–13 to 2017–18</w:t>
            </w:r>
          </w:p>
          <w:p w14:paraId="27A45EF7" w14:textId="29E10211" w:rsidR="00F81CD3" w:rsidRDefault="007C41FD" w:rsidP="007455E4">
            <w:r>
              <w:rPr>
                <w:noProof/>
              </w:rPr>
              <w:drawing>
                <wp:inline distT="0" distB="0" distL="0" distR="0" wp14:anchorId="381912C1" wp14:editId="5EFD3CCC">
                  <wp:extent cx="4286250" cy="2266253"/>
                  <wp:effectExtent l="0" t="0" r="0" b="1270"/>
                  <wp:docPr id="1115524939" name="Picture 1115524939" descr="P2049C3T10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24939" name="Picture 1115524939" descr="P2049C3T106#yIS1"/>
                          <pic:cNvPicPr/>
                        </pic:nvPicPr>
                        <pic:blipFill>
                          <a:blip r:embed="rId105"/>
                          <a:stretch>
                            <a:fillRect/>
                          </a:stretch>
                        </pic:blipFill>
                        <pic:spPr>
                          <a:xfrm>
                            <a:off x="0" y="0"/>
                            <a:ext cx="4290974" cy="2268751"/>
                          </a:xfrm>
                          <a:prstGeom prst="rect">
                            <a:avLst/>
                          </a:prstGeom>
                        </pic:spPr>
                      </pic:pic>
                    </a:graphicData>
                  </a:graphic>
                </wp:inline>
              </w:drawing>
            </w:r>
          </w:p>
          <w:p w14:paraId="0A31B547" w14:textId="0689267C" w:rsidR="007455E4" w:rsidRPr="008F5FBD" w:rsidRDefault="007455E4" w:rsidP="00C2024B">
            <w:pPr>
              <w:pStyle w:val="Caption"/>
            </w:pPr>
            <w:bookmarkStart w:id="308" w:name="_Ref146711536"/>
            <w:bookmarkStart w:id="309" w:name="_Toc148968414"/>
            <w:r>
              <w:t xml:space="preserve">Figure </w:t>
            </w:r>
            <w:r>
              <w:fldChar w:fldCharType="begin"/>
            </w:r>
            <w:r>
              <w:instrText xml:space="preserve"> SEQ Figure \* ARABIC </w:instrText>
            </w:r>
            <w:r>
              <w:fldChar w:fldCharType="separate"/>
            </w:r>
            <w:r w:rsidR="003F5D51">
              <w:rPr>
                <w:noProof/>
              </w:rPr>
              <w:t>36</w:t>
            </w:r>
            <w:r>
              <w:fldChar w:fldCharType="end"/>
            </w:r>
            <w:bookmarkEnd w:id="308"/>
            <w:r>
              <w:t xml:space="preserve">: </w:t>
            </w:r>
            <w:r w:rsidR="007C41FD" w:rsidRPr="007C41FD">
              <w:t xml:space="preserve">Age-standardised rates of </w:t>
            </w:r>
            <w:r w:rsidR="009E70AE">
              <w:t>t</w:t>
            </w:r>
            <w:r w:rsidR="009E70AE" w:rsidRPr="007C41FD">
              <w:t xml:space="preserve">otal </w:t>
            </w:r>
            <w:r w:rsidR="007C41FD" w:rsidRPr="007C41FD">
              <w:t xml:space="preserve">potentially preventable hospitalisations, by remoteness area </w:t>
            </w:r>
            <w:r w:rsidR="00085A2A">
              <w:t>(</w:t>
            </w:r>
            <w:r w:rsidR="007C41FD" w:rsidRPr="007C41FD">
              <w:t>2012–13 to 2017–18</w:t>
            </w:r>
            <w:r w:rsidRPr="003E44FB">
              <w:t>)</w:t>
            </w:r>
            <w:bookmarkEnd w:id="309"/>
          </w:p>
        </w:tc>
        <w:tc>
          <w:tcPr>
            <w:tcW w:w="3086" w:type="dxa"/>
          </w:tcPr>
          <w:p w14:paraId="270D0D49" w14:textId="0F263F78" w:rsidR="007455E4" w:rsidRPr="00681D8A" w:rsidRDefault="00E94771" w:rsidP="00E94771">
            <w:pPr>
              <w:rPr>
                <w:noProof/>
                <w:color w:val="75787B" w:themeColor="accent6"/>
              </w:rPr>
            </w:pPr>
            <w:r>
              <w:t>Clause 14 of the NHRA specifies the Commonwealth’s commitment to affordable aged care regardless of geographic location. The future NHRA should affirm the same commitment to ensure equitable access to primary care in rural and remote areas. The future NHRA should include accountability and escalation mechanisms to address market failure in the primary care and disability sectors in rural and regional areas.</w:t>
            </w:r>
          </w:p>
        </w:tc>
      </w:tr>
      <w:tr w:rsidR="005C2F99" w14:paraId="2A61CAC1" w14:textId="77777777">
        <w:tblPrEx>
          <w:shd w:val="clear" w:color="auto" w:fill="F2F2F2" w:themeFill="background1" w:themeFillShade="F2"/>
        </w:tblPrEx>
        <w:tc>
          <w:tcPr>
            <w:tcW w:w="10466" w:type="dxa"/>
            <w:gridSpan w:val="3"/>
            <w:shd w:val="clear" w:color="auto" w:fill="F2F2F2" w:themeFill="background1" w:themeFillShade="F2"/>
          </w:tcPr>
          <w:p w14:paraId="5F466A8E" w14:textId="65478021" w:rsidR="00B22381" w:rsidRDefault="001B1304" w:rsidP="004F6CFA">
            <w:pPr>
              <w:pStyle w:val="Summarytable"/>
              <w:keepNext/>
              <w:spacing w:after="60"/>
              <w:rPr>
                <w:b w:val="0"/>
                <w:bCs w:val="0"/>
              </w:rPr>
            </w:pPr>
            <w:r w:rsidRPr="001B1304">
              <w:rPr>
                <w:noProof/>
                <w:color w:val="0097A9" w:themeColor="accent5"/>
              </w:rPr>
              <w:drawing>
                <wp:inline distT="0" distB="0" distL="0" distR="0" wp14:anchorId="030B66CE" wp14:editId="6773A721">
                  <wp:extent cx="270000" cy="270000"/>
                  <wp:effectExtent l="0" t="0" r="0" b="0"/>
                  <wp:docPr id="199" name="Graphic 199" descr="P2053C5T10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phic 199" descr="P2053C5T106#yIS1">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70000" cy="270000"/>
                          </a:xfrm>
                          <a:prstGeom prst="rect">
                            <a:avLst/>
                          </a:prstGeom>
                        </pic:spPr>
                      </pic:pic>
                    </a:graphicData>
                  </a:graphic>
                </wp:inline>
              </w:drawing>
            </w:r>
            <w:r w:rsidR="005C2F99" w:rsidRPr="00222940">
              <w:rPr>
                <w:color w:val="00707E" w:themeColor="accent5" w:themeShade="BF"/>
              </w:rPr>
              <w:t xml:space="preserve">Recommendation </w:t>
            </w:r>
            <w:r w:rsidR="00377E4E">
              <w:rPr>
                <w:color w:val="00707E" w:themeColor="accent5" w:themeShade="BF"/>
              </w:rPr>
              <w:t>3</w:t>
            </w:r>
            <w:r w:rsidR="00D87A81">
              <w:rPr>
                <w:color w:val="00707E" w:themeColor="accent5" w:themeShade="BF"/>
              </w:rPr>
              <w:t>5</w:t>
            </w:r>
            <w:r w:rsidR="005C2F99" w:rsidRPr="00BB2C81">
              <w:rPr>
                <w:color w:val="00707E" w:themeColor="accent5" w:themeShade="BF"/>
              </w:rPr>
              <w:t xml:space="preserve">: </w:t>
            </w:r>
            <w:r w:rsidR="00B22381">
              <w:rPr>
                <w:b w:val="0"/>
                <w:bCs w:val="0"/>
              </w:rPr>
              <w:t xml:space="preserve">The NHRA should set out </w:t>
            </w:r>
            <w:r w:rsidR="00B22381">
              <w:t>roles and responsibilities in the governance of rural and remote health care provision</w:t>
            </w:r>
            <w:r w:rsidR="00B22381">
              <w:rPr>
                <w:b w:val="0"/>
                <w:bCs w:val="0"/>
              </w:rPr>
              <w:t xml:space="preserve"> and include provisions that:</w:t>
            </w:r>
          </w:p>
          <w:p w14:paraId="2B72BE07" w14:textId="77777777" w:rsidR="00B22381" w:rsidRDefault="00B22381" w:rsidP="004F6CFA">
            <w:pPr>
              <w:pStyle w:val="ListParagraph"/>
              <w:keepNext/>
              <w:numPr>
                <w:ilvl w:val="1"/>
                <w:numId w:val="65"/>
              </w:numPr>
              <w:ind w:left="709" w:hanging="284"/>
              <w:contextualSpacing w:val="0"/>
            </w:pPr>
            <w:r>
              <w:t xml:space="preserve">Outline the </w:t>
            </w:r>
            <w:r w:rsidRPr="00F95F8D">
              <w:rPr>
                <w:b/>
                <w:bCs/>
              </w:rPr>
              <w:t>Commonwealth’s stewardship role</w:t>
            </w:r>
            <w:r>
              <w:t xml:space="preserve"> in ensuring the accessibility and sustainability of primary, aged and disability care in thin rural and remote markets.</w:t>
            </w:r>
          </w:p>
          <w:p w14:paraId="6BF0D05B" w14:textId="799A9BA9" w:rsidR="00B22381" w:rsidRDefault="00B22381" w:rsidP="004F6CFA">
            <w:pPr>
              <w:pStyle w:val="ListParagraph"/>
              <w:keepNext/>
              <w:numPr>
                <w:ilvl w:val="1"/>
                <w:numId w:val="65"/>
              </w:numPr>
              <w:ind w:left="709" w:hanging="284"/>
              <w:contextualSpacing w:val="0"/>
            </w:pPr>
            <w:r>
              <w:t xml:space="preserve">Establish </w:t>
            </w:r>
            <w:r w:rsidRPr="00F95F8D">
              <w:rPr>
                <w:b/>
                <w:bCs/>
              </w:rPr>
              <w:t>clear accountability and escalation</w:t>
            </w:r>
            <w:r>
              <w:t xml:space="preserve"> mechanisms to address market failures in rural and remote primary, aged and disability care.</w:t>
            </w:r>
          </w:p>
          <w:p w14:paraId="0F5E2944" w14:textId="10762DA5" w:rsidR="005C2F99" w:rsidRPr="00EE66F3" w:rsidRDefault="00B22381" w:rsidP="004F6CFA">
            <w:pPr>
              <w:pStyle w:val="ListParagraph"/>
              <w:keepNext/>
              <w:numPr>
                <w:ilvl w:val="1"/>
                <w:numId w:val="54"/>
              </w:numPr>
              <w:ind w:left="709" w:hanging="284"/>
              <w:contextualSpacing w:val="0"/>
            </w:pPr>
            <w:r>
              <w:t xml:space="preserve">Establish governance and pathways to support the development of </w:t>
            </w:r>
            <w:r w:rsidRPr="00F95F8D">
              <w:rPr>
                <w:b/>
                <w:bCs/>
              </w:rPr>
              <w:t>flexible models</w:t>
            </w:r>
            <w:r>
              <w:t xml:space="preserve"> to improve access to primary care, aged care and disability care in rural and remote areas.</w:t>
            </w:r>
          </w:p>
        </w:tc>
      </w:tr>
    </w:tbl>
    <w:p w14:paraId="794504C0" w14:textId="77777777" w:rsidR="005C2F99" w:rsidRDefault="005C2F99" w:rsidP="00025B1E"/>
    <w:p w14:paraId="06E6F5EA" w14:textId="19B39E83" w:rsidR="00531135" w:rsidRDefault="00531135" w:rsidP="004F6CFA">
      <w:pPr>
        <w:keepNext/>
      </w:pPr>
      <w:r>
        <w:t xml:space="preserve">Rural and remote communities face unique challenges including in maintaining an enduring healthcare workforce, access and affordability, and </w:t>
      </w:r>
      <w:r w:rsidR="00BA5395">
        <w:t xml:space="preserve">dealing with </w:t>
      </w:r>
      <w:r>
        <w:t xml:space="preserve">the immediate impact of climate change. However, the Review could not identify a comprehensive and integrated strategy to drive the necessary policy change and reform to address these unique challenges in the context of the NHRA. </w:t>
      </w:r>
    </w:p>
    <w:p w14:paraId="6574CC7D" w14:textId="58920842" w:rsidR="00531135" w:rsidRDefault="00531135" w:rsidP="00531135">
      <w:r>
        <w:t xml:space="preserve">The first </w:t>
      </w:r>
      <w:r w:rsidRPr="00D16C69">
        <w:rPr>
          <w:i/>
          <w:iCs/>
        </w:rPr>
        <w:t>National Rural Health Strategy</w:t>
      </w:r>
      <w:r>
        <w:t xml:space="preserve"> was released in 1994. Since then, there have been several updates and revisions to this strategy, with the most recent being the </w:t>
      </w:r>
      <w:r w:rsidRPr="00CB0FB8">
        <w:rPr>
          <w:i/>
          <w:iCs/>
        </w:rPr>
        <w:t>National Strategic Framework for Rural and Remote Health (NSFRRH)</w:t>
      </w:r>
      <w:r w:rsidR="003F5D51">
        <w:rPr>
          <w:rFonts w:ascii="ZWAdobeF" w:hAnsi="ZWAdobeF" w:cs="ZWAdobeF"/>
          <w:iCs/>
          <w:sz w:val="2"/>
          <w:szCs w:val="2"/>
        </w:rPr>
        <w:t>149F</w:t>
      </w:r>
      <w:r>
        <w:rPr>
          <w:rStyle w:val="FootnoteReference"/>
        </w:rPr>
        <w:footnoteReference w:id="151"/>
      </w:r>
      <w:r>
        <w:t xml:space="preserve">, endorsed by Health Ministers in November 2011. Stakeholders considered that the NSFRRH has not been used to actively guide health policy decisions, there has been limited reporting on progress toward the NSFRRH’s goals, and its effectiveness has not been evaluated. Consequently, the NSFRRH was not seen as having been consistently or comprehensively implemented. </w:t>
      </w:r>
    </w:p>
    <w:p w14:paraId="4CD5BBA0" w14:textId="7553A91C" w:rsidR="00531135" w:rsidRDefault="00531135" w:rsidP="00531135">
      <w:r>
        <w:t xml:space="preserve">Presently, there are various programs and incentives falling under the </w:t>
      </w:r>
      <w:r w:rsidRPr="00D16C69">
        <w:rPr>
          <w:i/>
          <w:iCs/>
        </w:rPr>
        <w:t>Stronger Rural Health Strategy (SRHS)</w:t>
      </w:r>
      <w:r w:rsidR="003F5D51">
        <w:rPr>
          <w:rFonts w:ascii="ZWAdobeF" w:hAnsi="ZWAdobeF" w:cs="ZWAdobeF"/>
          <w:iCs/>
          <w:sz w:val="2"/>
          <w:szCs w:val="2"/>
        </w:rPr>
        <w:t>150F</w:t>
      </w:r>
      <w:r>
        <w:rPr>
          <w:rStyle w:val="FootnoteReference"/>
        </w:rPr>
        <w:footnoteReference w:id="152"/>
      </w:r>
      <w:r>
        <w:t xml:space="preserve"> - a 10-year strategy from 2018–19 to improve the health of people through the supply of a quality health workforce that is distributed across the country according to community need. While the SRHS reveals gaps and inconsistencies in addressing rural and remote health workforce needs, it does not constitute a comprehensive or integrated policy approach. An ongoing evaluation of the SRHS is being conducted.</w:t>
      </w:r>
    </w:p>
    <w:p w14:paraId="3E8BD3F9" w14:textId="0C912819" w:rsidR="00531135" w:rsidRDefault="00531135" w:rsidP="00531135">
      <w:r>
        <w:t xml:space="preserve">There is a need for the NHRA to adopt a coordinated national approach to address the health disparities in rural and remote communities, recognising the significant differences in health outcomes between rural and remote communities and metropolitan areas. This should be reflected as an additional Schedule in a future Agreement, covering the following components, described </w:t>
      </w:r>
      <w:r w:rsidR="00BA5395">
        <w:t>further below</w:t>
      </w:r>
      <w:r>
        <w:t>:</w:t>
      </w:r>
    </w:p>
    <w:p w14:paraId="154FD20C" w14:textId="77777777" w:rsidR="00531135" w:rsidRDefault="00531135" w:rsidP="00A850C3">
      <w:pPr>
        <w:pStyle w:val="ListBullet"/>
        <w:numPr>
          <w:ilvl w:val="0"/>
          <w:numId w:val="61"/>
        </w:numPr>
        <w:ind w:left="567"/>
      </w:pPr>
      <w:r>
        <w:t xml:space="preserve">Consistent national datasets and minimum standards of access to primary, disability, aged, and hospital services </w:t>
      </w:r>
    </w:p>
    <w:p w14:paraId="3239E0FD" w14:textId="70520C4C" w:rsidR="00531135" w:rsidRDefault="00531135" w:rsidP="00A850C3">
      <w:pPr>
        <w:pStyle w:val="ListBullet"/>
        <w:numPr>
          <w:ilvl w:val="0"/>
          <w:numId w:val="61"/>
        </w:numPr>
        <w:ind w:left="567"/>
      </w:pPr>
      <w:r>
        <w:t>Models of care that can be delivered within rural and remote areas and that are cognisant of infrastructure and workforce limitations</w:t>
      </w:r>
    </w:p>
    <w:p w14:paraId="71792073" w14:textId="16AEBC25" w:rsidR="00531135" w:rsidRDefault="00531135" w:rsidP="00A850C3">
      <w:pPr>
        <w:pStyle w:val="ListBullet"/>
        <w:numPr>
          <w:ilvl w:val="0"/>
          <w:numId w:val="61"/>
        </w:numPr>
        <w:ind w:left="567"/>
      </w:pPr>
      <w:r>
        <w:t xml:space="preserve">A sustainable health workforce </w:t>
      </w:r>
    </w:p>
    <w:p w14:paraId="4EDED41D" w14:textId="2C1C6D0D" w:rsidR="00531135" w:rsidRDefault="00531135" w:rsidP="00A850C3">
      <w:pPr>
        <w:pStyle w:val="ListBullet"/>
        <w:numPr>
          <w:ilvl w:val="0"/>
          <w:numId w:val="61"/>
        </w:numPr>
        <w:ind w:left="567"/>
      </w:pPr>
      <w:r>
        <w:t>Reviewing regionality weighting</w:t>
      </w:r>
      <w:r w:rsidR="00B438A4">
        <w:t>s</w:t>
      </w:r>
      <w:r>
        <w:t xml:space="preserve"> to ensure rural and remote hospitals are funded fairly</w:t>
      </w:r>
    </w:p>
    <w:p w14:paraId="3B614AD2" w14:textId="621A4666" w:rsidR="0029516D" w:rsidRDefault="00531135" w:rsidP="00A850C3">
      <w:pPr>
        <w:pStyle w:val="ListBullet"/>
        <w:numPr>
          <w:ilvl w:val="0"/>
          <w:numId w:val="61"/>
        </w:numPr>
        <w:spacing w:after="120"/>
        <w:ind w:left="567"/>
        <w:contextualSpacing w:val="0"/>
      </w:pPr>
      <w:r>
        <w:t>Accountable and equitable distribution of TTR funding to regional and rural hospitals.</w:t>
      </w:r>
    </w:p>
    <w:p w14:paraId="77DEB9AA" w14:textId="39613249" w:rsidR="00C33398" w:rsidRDefault="009B4511" w:rsidP="007745A8">
      <w:pPr>
        <w:pStyle w:val="Heading4"/>
      </w:pPr>
      <w:r w:rsidRPr="008B0FD7">
        <w:t>Develop</w:t>
      </w:r>
      <w:r w:rsidR="00C33398" w:rsidRPr="00685231">
        <w:t xml:space="preserve"> consistent national datasets and minimum standards of access to primary, disability, aged and hospital services</w:t>
      </w:r>
    </w:p>
    <w:p w14:paraId="3685AAFD" w14:textId="1B208BA3" w:rsidR="00227C63" w:rsidRDefault="00227C63" w:rsidP="00FF2950">
      <w:r>
        <w:t xml:space="preserve">A solid evidence base is required to develop </w:t>
      </w:r>
      <w:r w:rsidR="00F91E7D">
        <w:t>effective</w:t>
      </w:r>
      <w:r>
        <w:t xml:space="preserve"> policies tailored to rural communities. </w:t>
      </w:r>
      <w:r w:rsidR="00F91E7D">
        <w:t>Currently</w:t>
      </w:r>
      <w:r>
        <w:t xml:space="preserve">, workforce models and approaches </w:t>
      </w:r>
      <w:r w:rsidR="00F91E7D">
        <w:t xml:space="preserve">that are </w:t>
      </w:r>
      <w:r>
        <w:t xml:space="preserve">effective in urban areas are often used as </w:t>
      </w:r>
      <w:r w:rsidR="005623ED">
        <w:t>the reference</w:t>
      </w:r>
      <w:r>
        <w:t xml:space="preserve"> for rural programs, </w:t>
      </w:r>
      <w:r w:rsidR="005623ED">
        <w:t>which can result</w:t>
      </w:r>
      <w:r>
        <w:t xml:space="preserve"> in unfavourable outcomes. </w:t>
      </w:r>
      <w:r w:rsidR="00D93954">
        <w:t>A</w:t>
      </w:r>
      <w:r>
        <w:t xml:space="preserve"> lack of reliable data to demonstrate program effectiveness in rural and remote regions</w:t>
      </w:r>
      <w:r w:rsidR="00D93954">
        <w:t xml:space="preserve"> compounds this</w:t>
      </w:r>
      <w:r>
        <w:t>.</w:t>
      </w:r>
    </w:p>
    <w:p w14:paraId="40FD8C0B" w14:textId="4E4AA013" w:rsidR="00227C63" w:rsidRDefault="00227C63" w:rsidP="00FF2950">
      <w:r>
        <w:t>Nationally consistent health service data for primary care in rural and remote Australia is needed. The three main sources of national data on rural medical workforces</w:t>
      </w:r>
      <w:r w:rsidR="00CA76BD">
        <w:t>:</w:t>
      </w:r>
      <w:r>
        <w:t xml:space="preserve"> Bettering the Evaluation and Care or Hea</w:t>
      </w:r>
      <w:r w:rsidR="00D93954">
        <w:t>l</w:t>
      </w:r>
      <w:r>
        <w:t xml:space="preserve">th (BEACH), Medicine in Australia – Balancing Employment and Life (MABEL), and the Rural Workforce Agencies (RWAs) National Minimum Datasets have been discontinued. </w:t>
      </w:r>
    </w:p>
    <w:p w14:paraId="59F25D8F" w14:textId="188963FA" w:rsidR="00227C63" w:rsidRDefault="00227C63" w:rsidP="00FF2950">
      <w:r>
        <w:t>A framework defining minimum standards and consistent datasets for primary, disability, aged and hospital services could serve as a tool for maintaining services in rural and remote areas</w:t>
      </w:r>
      <w:r w:rsidR="00481BA4">
        <w:t xml:space="preserve"> and </w:t>
      </w:r>
      <w:r w:rsidR="00A258BD">
        <w:t xml:space="preserve">for </w:t>
      </w:r>
      <w:r w:rsidR="007902B3">
        <w:t xml:space="preserve">proactive </w:t>
      </w:r>
      <w:r w:rsidR="00481BA4">
        <w:t>benchmarking purposes</w:t>
      </w:r>
      <w:r>
        <w:t>. This should include workforce KPIs to monitor workforce distribution among States and Territories, allowing active monitoring of service delivery and identifying at-risk communities for necessary action and higher-level monitoring. This needs to be supported by clear accountability and escalation pathways to ensure the provision of an acceptable minimum level of service to all Australians living in rural and remote areas.</w:t>
      </w:r>
      <w:r w:rsidR="00FB50D6">
        <w:t xml:space="preserve"> </w:t>
      </w:r>
      <w:r w:rsidR="00D426CF">
        <w:t xml:space="preserve">To be effective, a place-based approach is needed that links to the needs of specific communities and supports multiple approaches to address </w:t>
      </w:r>
      <w:r w:rsidR="003A3DC5">
        <w:t>their</w:t>
      </w:r>
      <w:r w:rsidR="00D426CF">
        <w:t xml:space="preserve"> needs.</w:t>
      </w:r>
    </w:p>
    <w:p w14:paraId="41FC0F71" w14:textId="77777777" w:rsidR="00227C63" w:rsidRPr="00685231" w:rsidRDefault="00227C63" w:rsidP="007745A8">
      <w:pPr>
        <w:pStyle w:val="Heading4"/>
      </w:pPr>
      <w:r w:rsidRPr="008B0FD7">
        <w:t xml:space="preserve">Implement models of care within the </w:t>
      </w:r>
      <w:r w:rsidRPr="00685231">
        <w:t>infrastructure and workforce limitations in rural and remote areas</w:t>
      </w:r>
    </w:p>
    <w:p w14:paraId="7DE92961" w14:textId="26D1D387" w:rsidR="00227C63" w:rsidRDefault="00227C63" w:rsidP="00FF2950">
      <w:r>
        <w:t xml:space="preserve">Effective urban healthcare models may not work in rural and remote areas due to infrastructure and workforce limitations. Rural and remote areas have fewer hospitals, clinics, and primary care </w:t>
      </w:r>
      <w:r w:rsidR="00C85948">
        <w:t xml:space="preserve">services </w:t>
      </w:r>
      <w:r w:rsidR="001D08E2">
        <w:t>than urban areas</w:t>
      </w:r>
      <w:r>
        <w:t xml:space="preserve">, which means that patients may have to travel long distances to access basic health services. In many remote areas, the lack of well-maintained roads and public </w:t>
      </w:r>
      <w:r w:rsidRPr="00BA4BB8">
        <w:t>transport can make it difficult for patients to reach healthcare facilities.</w:t>
      </w:r>
      <w:r>
        <w:t xml:space="preserve"> Healthcare workforce distribution across Australia is uneven, especially in rural and remote areas. While Australia has a high doctor-to-population ratio</w:t>
      </w:r>
      <w:r w:rsidR="003F5D51">
        <w:rPr>
          <w:rFonts w:ascii="ZWAdobeF" w:hAnsi="ZWAdobeF" w:cs="ZWAdobeF"/>
          <w:sz w:val="2"/>
          <w:szCs w:val="2"/>
        </w:rPr>
        <w:t>151F</w:t>
      </w:r>
      <w:r>
        <w:rPr>
          <w:rStyle w:val="FootnoteReference"/>
          <w:rFonts w:cstheme="minorHAnsi"/>
        </w:rPr>
        <w:footnoteReference w:id="153"/>
      </w:r>
      <w:r>
        <w:t xml:space="preserve">, the distribution remains imbalanced </w:t>
      </w:r>
      <w:r w:rsidR="00BA5395">
        <w:t>across</w:t>
      </w:r>
      <w:r>
        <w:t xml:space="preserve"> geographic location</w:t>
      </w:r>
      <w:r w:rsidR="00BA5395">
        <w:t>s</w:t>
      </w:r>
      <w:r>
        <w:t xml:space="preserve"> and specialisation</w:t>
      </w:r>
      <w:r w:rsidR="00BA5395">
        <w:t>s</w:t>
      </w:r>
      <w:r>
        <w:t xml:space="preserve">, leading to workforce shortages, especially in specialist and </w:t>
      </w:r>
      <w:r w:rsidR="00BA5395">
        <w:t>GP</w:t>
      </w:r>
      <w:r>
        <w:t xml:space="preserve"> roles</w:t>
      </w:r>
      <w:r w:rsidR="003F5D51">
        <w:rPr>
          <w:rFonts w:ascii="ZWAdobeF" w:hAnsi="ZWAdobeF" w:cs="ZWAdobeF"/>
          <w:sz w:val="2"/>
          <w:szCs w:val="2"/>
        </w:rPr>
        <w:t>152F</w:t>
      </w:r>
      <w:r w:rsidRPr="00F446BD">
        <w:rPr>
          <w:rStyle w:val="FootnoteReference"/>
          <w:rFonts w:cstheme="minorHAnsi"/>
        </w:rPr>
        <w:footnoteReference w:id="154"/>
      </w:r>
      <w:r w:rsidRPr="00F446BD">
        <w:rPr>
          <w:vertAlign w:val="superscript"/>
        </w:rPr>
        <w:t>,</w:t>
      </w:r>
      <w:r w:rsidR="003F5D51">
        <w:rPr>
          <w:rFonts w:ascii="ZWAdobeF" w:hAnsi="ZWAdobeF" w:cs="ZWAdobeF"/>
          <w:sz w:val="2"/>
          <w:szCs w:val="2"/>
        </w:rPr>
        <w:t>153F</w:t>
      </w:r>
      <w:r>
        <w:rPr>
          <w:rStyle w:val="FootnoteReference"/>
          <w:rFonts w:cstheme="minorHAnsi"/>
        </w:rPr>
        <w:footnoteReference w:id="155"/>
      </w:r>
      <w:r>
        <w:t>.</w:t>
      </w:r>
      <w:r w:rsidR="005759AA">
        <w:t xml:space="preserve"> </w:t>
      </w:r>
      <w:r>
        <w:t>There are also shortages of nurses, midwives, and allied health professionals</w:t>
      </w:r>
      <w:r w:rsidR="00BA5395">
        <w:t xml:space="preserve"> </w:t>
      </w:r>
      <w:r>
        <w:t>in remote and rural areas</w:t>
      </w:r>
      <w:r w:rsidR="003F5D51">
        <w:rPr>
          <w:rFonts w:ascii="ZWAdobeF" w:hAnsi="ZWAdobeF" w:cs="ZWAdobeF"/>
          <w:sz w:val="2"/>
          <w:szCs w:val="2"/>
        </w:rPr>
        <w:t>154F</w:t>
      </w:r>
      <w:r>
        <w:rPr>
          <w:rStyle w:val="FootnoteReference"/>
          <w:rFonts w:cstheme="minorHAnsi"/>
        </w:rPr>
        <w:footnoteReference w:id="156"/>
      </w:r>
      <w:r w:rsidRPr="00EE7F70">
        <w:rPr>
          <w:rFonts w:cstheme="minorHAnsi"/>
          <w:vertAlign w:val="superscript"/>
        </w:rPr>
        <w:t>,</w:t>
      </w:r>
      <w:r w:rsidR="003F5D51">
        <w:rPr>
          <w:rFonts w:ascii="ZWAdobeF" w:hAnsi="ZWAdobeF" w:cs="ZWAdobeF"/>
          <w:sz w:val="2"/>
          <w:szCs w:val="2"/>
        </w:rPr>
        <w:t>155F</w:t>
      </w:r>
      <w:r>
        <w:rPr>
          <w:rStyle w:val="FootnoteReference"/>
          <w:rFonts w:cstheme="minorHAnsi"/>
        </w:rPr>
        <w:footnoteReference w:id="157"/>
      </w:r>
      <w:r>
        <w:t>.</w:t>
      </w:r>
    </w:p>
    <w:p w14:paraId="74E56B71" w14:textId="73A0808B" w:rsidR="00227C63" w:rsidRDefault="00227C63" w:rsidP="00FF2950">
      <w:r>
        <w:t>To tackle these challenges, models of care should leverage the full capacity of the rural health workforce, not just doctors, to deliver safe, high-quality services. Infrastructure and workforce limitations require a shift from relying solely on consultant specialists to focusing on rural generalists, nurses, and allied health professionals who can provide integrated primary, secondary and emergency care in both primary care and hospital settings. The Review identified several initiatives to support the delivery of models of care within rural and remote settings, including:</w:t>
      </w:r>
    </w:p>
    <w:p w14:paraId="276F96DF" w14:textId="40ED258A" w:rsidR="00B60D4F" w:rsidRDefault="00B60D4F" w:rsidP="008A6FFE">
      <w:pPr>
        <w:pStyle w:val="ListBullet"/>
        <w:ind w:left="567"/>
      </w:pPr>
      <w:r>
        <w:t>Joint planning, development, and implementation of health services between PHNs, LHNs, ACCHOs, and local health service providers, together with enhanced community engagement in influencing what services are needed and where health resources need to be focused (</w:t>
      </w:r>
      <w:r w:rsidR="00B46CDA">
        <w:t xml:space="preserve">see </w:t>
      </w:r>
      <w:r w:rsidR="00ED2281">
        <w:t>C</w:t>
      </w:r>
      <w:r w:rsidR="00B46CDA">
        <w:t xml:space="preserve">ase </w:t>
      </w:r>
      <w:r w:rsidR="00ED2281">
        <w:t>S</w:t>
      </w:r>
      <w:r w:rsidR="00B46CDA">
        <w:t>tudy:</w:t>
      </w:r>
      <w:r>
        <w:t xml:space="preserve"> Primary care Rural Integrated Multidisciplinary Health Services).</w:t>
      </w:r>
    </w:p>
    <w:p w14:paraId="2057BBF9" w14:textId="44E51A8F" w:rsidR="00227C63" w:rsidRDefault="00227C63" w:rsidP="008A6FFE">
      <w:pPr>
        <w:pStyle w:val="ListBullet"/>
        <w:ind w:left="567"/>
      </w:pPr>
      <w:r>
        <w:t>Flexible work arrangements and clearer blended funding models in rural and regional areas to support shared workforces and purchasing between sectors to reduce duplication and competition for scarce resources</w:t>
      </w:r>
      <w:r w:rsidR="00097CD4">
        <w:t>.</w:t>
      </w:r>
      <w:r>
        <w:t xml:space="preserve"> </w:t>
      </w:r>
    </w:p>
    <w:p w14:paraId="72946FEF" w14:textId="77777777" w:rsidR="001857B2" w:rsidRDefault="001857B2" w:rsidP="008A6FFE">
      <w:pPr>
        <w:pStyle w:val="ListBullet"/>
        <w:ind w:left="567"/>
      </w:pPr>
      <w:r>
        <w:t>Supporting collaboration between PHNs, LHNs, ACCHOs, and health providers to integrate specialist and hospital services with primary care, and integrate primary care with mental health, aged care, community and disability services.</w:t>
      </w:r>
    </w:p>
    <w:p w14:paraId="1A706D76" w14:textId="74559EF1" w:rsidR="00097CD4" w:rsidRDefault="00E80078" w:rsidP="008A6FFE">
      <w:pPr>
        <w:pStyle w:val="ListBullet"/>
        <w:ind w:left="567"/>
      </w:pPr>
      <w:r>
        <w:t>Expanding</w:t>
      </w:r>
      <w:r w:rsidR="00097CD4" w:rsidRPr="00E352C9">
        <w:t xml:space="preserve"> </w:t>
      </w:r>
      <w:r w:rsidR="003575B1">
        <w:t xml:space="preserve">the </w:t>
      </w:r>
      <w:r w:rsidR="00097CD4" w:rsidRPr="00E352C9">
        <w:t xml:space="preserve">existing role of </w:t>
      </w:r>
      <w:r w:rsidR="00221D3E" w:rsidRPr="00221D3E">
        <w:t>Rural Generalist</w:t>
      </w:r>
      <w:r w:rsidR="00221D3E">
        <w:t>s</w:t>
      </w:r>
      <w:r w:rsidR="00221D3E" w:rsidRPr="00221D3E">
        <w:t xml:space="preserve"> </w:t>
      </w:r>
      <w:r w:rsidR="00221D3E">
        <w:t>(</w:t>
      </w:r>
      <w:r w:rsidR="00097CD4" w:rsidRPr="00E352C9">
        <w:t>RGs</w:t>
      </w:r>
      <w:r w:rsidR="00221D3E">
        <w:t>)</w:t>
      </w:r>
      <w:r w:rsidR="00097CD4" w:rsidRPr="00E352C9">
        <w:t xml:space="preserve"> in rural and remote communities to facilitate better access to locally based primary mental health care. </w:t>
      </w:r>
    </w:p>
    <w:p w14:paraId="0E9EE2EF" w14:textId="279F8407" w:rsidR="008F6817" w:rsidRDefault="00097CD4" w:rsidP="008A6FFE">
      <w:pPr>
        <w:pStyle w:val="ListBullet"/>
        <w:ind w:left="567"/>
      </w:pPr>
      <w:r>
        <w:t>Broadening</w:t>
      </w:r>
      <w:r w:rsidR="001F5B8A">
        <w:t xml:space="preserve"> the scope of practice and</w:t>
      </w:r>
      <w:r>
        <w:t xml:space="preserve"> care responsibilities for </w:t>
      </w:r>
      <w:r w:rsidR="00577131">
        <w:t>the broader health workforce</w:t>
      </w:r>
      <w:r>
        <w:t xml:space="preserve"> such as nurse practitioners, paramedics,</w:t>
      </w:r>
      <w:r w:rsidR="00DE5302">
        <w:t xml:space="preserve"> pharmacists</w:t>
      </w:r>
      <w:r>
        <w:t xml:space="preserve"> and allied health </w:t>
      </w:r>
      <w:r w:rsidR="00DE5302">
        <w:t>practitioners.</w:t>
      </w:r>
    </w:p>
    <w:p w14:paraId="508066AC" w14:textId="233C5A02" w:rsidR="0065090F" w:rsidRDefault="0065090F" w:rsidP="008A6FFE">
      <w:pPr>
        <w:pStyle w:val="ListBullet"/>
        <w:spacing w:after="120"/>
        <w:ind w:left="567"/>
      </w:pPr>
      <w:r>
        <w:t>Connecting health data across</w:t>
      </w:r>
      <w:r w:rsidR="00E11D89">
        <w:t xml:space="preserve"> the health system and enhancing the use of </w:t>
      </w:r>
      <w:r w:rsidR="0047628E">
        <w:t>telehealth and digital technologies.</w:t>
      </w:r>
    </w:p>
    <w:p w14:paraId="0074B562" w14:textId="0F7B3791" w:rsidR="00227C63" w:rsidRDefault="00227C63" w:rsidP="00E12975">
      <w:r>
        <w:t xml:space="preserve">Support mechanisms for rural and remote care models should be coordinated at </w:t>
      </w:r>
      <w:r w:rsidR="00171E80">
        <w:t>national</w:t>
      </w:r>
      <w:r w:rsidR="005477FB">
        <w:t>,</w:t>
      </w:r>
      <w:r>
        <w:t xml:space="preserve"> </w:t>
      </w:r>
      <w:r w:rsidR="005477FB">
        <w:t>S</w:t>
      </w:r>
      <w:r>
        <w:t>tate</w:t>
      </w:r>
      <w:r w:rsidR="005477FB">
        <w:t xml:space="preserve"> and T</w:t>
      </w:r>
      <w:r>
        <w:t xml:space="preserve">erritory levels through collaborative efforts. </w:t>
      </w:r>
    </w:p>
    <w:tbl>
      <w:tblPr>
        <w:tblStyle w:val="TableGrid"/>
        <w:tblW w:w="0" w:type="auto"/>
        <w:tblBorders>
          <w:top w:val="dotted" w:sz="4" w:space="0" w:color="0097A9" w:themeColor="accent5"/>
          <w:left w:val="dotted" w:sz="4" w:space="0" w:color="0097A9" w:themeColor="accent5"/>
          <w:bottom w:val="dotted" w:sz="4" w:space="0" w:color="0097A9" w:themeColor="accent5"/>
          <w:right w:val="dotted" w:sz="4" w:space="0" w:color="0097A9" w:themeColor="accent5"/>
        </w:tblBorders>
        <w:tblLook w:val="04A0" w:firstRow="1" w:lastRow="0" w:firstColumn="1" w:lastColumn="0" w:noHBand="0" w:noVBand="1"/>
      </w:tblPr>
      <w:tblGrid>
        <w:gridCol w:w="10456"/>
      </w:tblGrid>
      <w:tr w:rsidR="00227C63" w14:paraId="7AC85971" w14:textId="77777777" w:rsidTr="000F12B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85F19D1" w14:textId="5703863A" w:rsidR="00227C63" w:rsidRPr="00BB2C81" w:rsidRDefault="00227C63" w:rsidP="007B1238">
            <w:pPr>
              <w:pStyle w:val="Summarytable"/>
              <w:rPr>
                <w:color w:val="00707E" w:themeColor="accent5" w:themeShade="BF"/>
              </w:rPr>
            </w:pPr>
            <w:r w:rsidRPr="001B1304">
              <w:rPr>
                <w:noProof/>
                <w:color w:val="00707E" w:themeColor="accent5" w:themeShade="BF"/>
              </w:rPr>
              <w:drawing>
                <wp:inline distT="0" distB="0" distL="0" distR="0" wp14:anchorId="4A1880FB" wp14:editId="72F54371">
                  <wp:extent cx="270000" cy="270000"/>
                  <wp:effectExtent l="0" t="0" r="0" b="0"/>
                  <wp:docPr id="241" name="Graphic 241" descr="P2082C1T10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P2082C1T107#yIS1">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270000" cy="270000"/>
                          </a:xfrm>
                          <a:prstGeom prst="rect">
                            <a:avLst/>
                          </a:prstGeom>
                        </pic:spPr>
                      </pic:pic>
                    </a:graphicData>
                  </a:graphic>
                </wp:inline>
              </w:drawing>
            </w:r>
            <w:r w:rsidRPr="001B1304">
              <w:rPr>
                <w:color w:val="00707E" w:themeColor="accent5" w:themeShade="BF"/>
              </w:rPr>
              <w:t>Case study:</w:t>
            </w:r>
            <w:r w:rsidRPr="00BB2C81">
              <w:rPr>
                <w:color w:val="00707E" w:themeColor="accent5" w:themeShade="BF"/>
              </w:rPr>
              <w:t xml:space="preserve"> </w:t>
            </w:r>
            <w:r>
              <w:rPr>
                <w:b w:val="0"/>
                <w:bCs w:val="0"/>
                <w:color w:val="00707E" w:themeColor="accent5" w:themeShade="BF"/>
              </w:rPr>
              <w:t>Primary care Rural Integrated Multidisciplinary Health Services (PRIM-HS)</w:t>
            </w:r>
          </w:p>
          <w:p w14:paraId="136E16A9" w14:textId="77777777" w:rsidR="00227C63" w:rsidRDefault="00227C63" w:rsidP="00AD6567">
            <w:pPr>
              <w:ind w:left="142" w:right="108"/>
            </w:pPr>
            <w:r>
              <w:t>PRIM-HS is a model of care and funding for providing primary healthcare in rural areas. PRIM-HS involves non-profit, community-based organisations offering a wide range of affordable primary healthcare services to meet the primary health care needs of local communities in flexible and responsive ways.</w:t>
            </w:r>
          </w:p>
          <w:p w14:paraId="01680510" w14:textId="77777777" w:rsidR="00227C63" w:rsidRDefault="00227C63" w:rsidP="00AD6567">
            <w:pPr>
              <w:ind w:left="142" w:right="108"/>
            </w:pPr>
            <w:r>
              <w:t>PRIM-HS has the following unique features that make it a viable and scalable solution for primary health care in rural Australia:</w:t>
            </w:r>
          </w:p>
          <w:p w14:paraId="0E96E05D" w14:textId="5324CCA0" w:rsidR="00227C63" w:rsidRDefault="00227C63" w:rsidP="00A850C3">
            <w:pPr>
              <w:pStyle w:val="ListParagraph"/>
              <w:numPr>
                <w:ilvl w:val="0"/>
                <w:numId w:val="53"/>
              </w:numPr>
              <w:ind w:right="108"/>
            </w:pPr>
            <w:r>
              <w:t xml:space="preserve">Employs various primary healthcare providers, including </w:t>
            </w:r>
            <w:r w:rsidR="00CA0487">
              <w:t>RGs</w:t>
            </w:r>
            <w:r>
              <w:t>, nurses, nurse practitioners, midwives, dentists and allied health professionals, depending on each community's specific needs</w:t>
            </w:r>
            <w:r w:rsidR="00F43ED2">
              <w:t xml:space="preserve"> and where appropriate working collaboratively with ACCHOs</w:t>
            </w:r>
            <w:r>
              <w:t>.</w:t>
            </w:r>
          </w:p>
          <w:p w14:paraId="610F5FF6" w14:textId="46323061" w:rsidR="00227C63" w:rsidRDefault="00227C63" w:rsidP="00A850C3">
            <w:pPr>
              <w:pStyle w:val="ListParagraph"/>
              <w:numPr>
                <w:ilvl w:val="0"/>
                <w:numId w:val="53"/>
              </w:numPr>
              <w:ind w:right="108"/>
            </w:pPr>
            <w:r>
              <w:t xml:space="preserve">Addresses the challenges of attracting and retaining rural healthcare workers by offering stable employment, attractive conditions, and job security. </w:t>
            </w:r>
            <w:r w:rsidR="00D47B1B">
              <w:t>It d</w:t>
            </w:r>
            <w:r>
              <w:t xml:space="preserve">oes not rely on health practitioners committing to establish their own practice in what are generally thin markets. </w:t>
            </w:r>
          </w:p>
          <w:p w14:paraId="25E15854" w14:textId="2B8F4A29" w:rsidR="00227C63" w:rsidRDefault="00227C63" w:rsidP="00A850C3">
            <w:pPr>
              <w:pStyle w:val="ListParagraph"/>
              <w:numPr>
                <w:ilvl w:val="0"/>
                <w:numId w:val="53"/>
              </w:numPr>
              <w:ind w:right="108"/>
            </w:pPr>
            <w:r>
              <w:t>Supports work–life balance through peer support from a multidisciplinary team</w:t>
            </w:r>
            <w:r w:rsidR="000950DE">
              <w:t>,</w:t>
            </w:r>
            <w:r>
              <w:t xml:space="preserve"> overcoming negative perceptions of rural practice</w:t>
            </w:r>
            <w:r w:rsidR="000950DE">
              <w:t>,</w:t>
            </w:r>
            <w:r>
              <w:t xml:space="preserve"> continuous professional development and specific accreditation requirements</w:t>
            </w:r>
            <w:r w:rsidR="008251A2">
              <w:t xml:space="preserve"> and ready connection to the local community.</w:t>
            </w:r>
            <w:r>
              <w:t xml:space="preserve"> </w:t>
            </w:r>
          </w:p>
          <w:p w14:paraId="7CC1A988" w14:textId="5FAA285D" w:rsidR="00227C63" w:rsidRDefault="00C40EB3" w:rsidP="00A850C3">
            <w:pPr>
              <w:pStyle w:val="ListParagraph"/>
              <w:numPr>
                <w:ilvl w:val="0"/>
                <w:numId w:val="53"/>
              </w:numPr>
              <w:ind w:right="108"/>
            </w:pPr>
            <w:r>
              <w:t>P</w:t>
            </w:r>
            <w:r w:rsidR="00227C63">
              <w:t xml:space="preserve">otential to provide in-reach services across care settings for RACF, NDIS and DVA recipients, as well as for rural people with chronic disease </w:t>
            </w:r>
            <w:r>
              <w:t>(</w:t>
            </w:r>
            <w:r w:rsidR="00227C63">
              <w:t>management</w:t>
            </w:r>
            <w:r>
              <w:t>)</w:t>
            </w:r>
            <w:r w:rsidR="00227C63">
              <w:t xml:space="preserve">. </w:t>
            </w:r>
          </w:p>
          <w:p w14:paraId="0B3E9435" w14:textId="0967F83C" w:rsidR="00227C63" w:rsidRPr="003578B9" w:rsidRDefault="007A7CA4" w:rsidP="00AD6567">
            <w:pPr>
              <w:ind w:left="142" w:right="108"/>
            </w:pPr>
            <w:r>
              <w:t xml:space="preserve">The </w:t>
            </w:r>
            <w:r w:rsidR="00227C63">
              <w:t>PRIM-HS</w:t>
            </w:r>
            <w:r>
              <w:t xml:space="preserve"> is an example of a</w:t>
            </w:r>
            <w:r w:rsidR="00AD7569">
              <w:t>n evidence-based model of care</w:t>
            </w:r>
            <w:r w:rsidR="00101178">
              <w:t xml:space="preserve"> that </w:t>
            </w:r>
            <w:r w:rsidR="000B7C29">
              <w:t>c</w:t>
            </w:r>
            <w:r w:rsidR="00101178">
              <w:t>ould be supported and enabled by the future NHRA. It</w:t>
            </w:r>
            <w:r w:rsidR="0017392B">
              <w:t xml:space="preserve"> was co-developed </w:t>
            </w:r>
            <w:r w:rsidR="00EF6779">
              <w:t>with Rural Health Alliance members, as well as rural primary care organisations and individuals who work on the ground in rural communities.</w:t>
            </w:r>
            <w:r w:rsidR="0017392B">
              <w:t xml:space="preserve"> </w:t>
            </w:r>
            <w:r w:rsidR="00686820">
              <w:t>Critically, it can be tailored to fit the specific health needs of rural and remote communities, using and augmenting the services and infrastructure already in existence.</w:t>
            </w:r>
          </w:p>
        </w:tc>
      </w:tr>
    </w:tbl>
    <w:p w14:paraId="164A21C8" w14:textId="77777777" w:rsidR="005232CD" w:rsidRDefault="005232CD" w:rsidP="005232CD"/>
    <w:p w14:paraId="731C39FC" w14:textId="2351DAF8" w:rsidR="00227C63" w:rsidRPr="00EB14C3" w:rsidRDefault="00227C63" w:rsidP="007745A8">
      <w:pPr>
        <w:pStyle w:val="Heading4"/>
      </w:pPr>
      <w:bookmarkStart w:id="310" w:name="_Ref146101134"/>
      <w:r w:rsidRPr="008B0FD7">
        <w:t>Develop a sustainable</w:t>
      </w:r>
      <w:r w:rsidRPr="00EB14C3">
        <w:t xml:space="preserve"> rural health workforce</w:t>
      </w:r>
      <w:bookmarkEnd w:id="310"/>
    </w:p>
    <w:p w14:paraId="1CE97528" w14:textId="7E5D33A8" w:rsidR="00227C63" w:rsidRDefault="00227C63" w:rsidP="00E12975">
      <w:r>
        <w:t xml:space="preserve">In addition to the development of health workforce KPIs across rural and remote areas, all levels of government should be accountable for ensuring that the future rural health workforce has sufficient capacity and capability. The NHRA should detail the funding streams and governance mechanisms to </w:t>
      </w:r>
      <w:r w:rsidR="0029516D">
        <w:t>build</w:t>
      </w:r>
      <w:r>
        <w:t xml:space="preserve"> a future rural workforce that is fit-for-purpose. The Review identified several initiatives </w:t>
      </w:r>
      <w:r w:rsidR="0029516D">
        <w:t>in this regard</w:t>
      </w:r>
      <w:r>
        <w:t>:</w:t>
      </w:r>
    </w:p>
    <w:p w14:paraId="434035B4" w14:textId="77777777" w:rsidR="00227C63" w:rsidRDefault="00227C63" w:rsidP="0075614F">
      <w:pPr>
        <w:pStyle w:val="ListBullet"/>
        <w:ind w:left="567"/>
      </w:pPr>
      <w:r>
        <w:t>Reviewing the current funding arrangement with the Australian College of Rural and Remote Medicine (ACRRM) to expand the training capacity of GP positions in the Australian General Practice Training Program (AGPT)</w:t>
      </w:r>
    </w:p>
    <w:p w14:paraId="115920BF" w14:textId="77777777" w:rsidR="00227C63" w:rsidRDefault="00227C63" w:rsidP="0075614F">
      <w:pPr>
        <w:pStyle w:val="ListBullet"/>
        <w:ind w:left="567"/>
      </w:pPr>
      <w:r>
        <w:t>Planning for and funding early career health care jobs in rural and remote settings that reflect local community needs.</w:t>
      </w:r>
    </w:p>
    <w:p w14:paraId="2349F783" w14:textId="77777777" w:rsidR="00227C63" w:rsidRDefault="00227C63" w:rsidP="0075614F">
      <w:pPr>
        <w:pStyle w:val="ListBullet"/>
        <w:ind w:left="567"/>
      </w:pPr>
      <w:r>
        <w:t>Continuing to invest in innovative models of primary health care for rural and remote locations, such as the Primary Care Rural Innovative Multidisciplinary Models (PRIMM) and the Innovative Models of Care (IMOC) grant opportunities.</w:t>
      </w:r>
    </w:p>
    <w:p w14:paraId="127ACCD5" w14:textId="6BF5952D" w:rsidR="00CF7A11" w:rsidRDefault="00CF7A11" w:rsidP="0075614F">
      <w:pPr>
        <w:pStyle w:val="ListBullet"/>
        <w:ind w:left="567"/>
      </w:pPr>
      <w:r>
        <w:t xml:space="preserve">Implementing rural health workforce training programs, such as the </w:t>
      </w:r>
      <w:r w:rsidR="003529C9">
        <w:t>single employer model</w:t>
      </w:r>
      <w:r>
        <w:t xml:space="preserve">, </w:t>
      </w:r>
      <w:r w:rsidR="00472E21">
        <w:t xml:space="preserve">with a focus on GP Registrars, </w:t>
      </w:r>
      <w:r>
        <w:t>that address disincentives and provide</w:t>
      </w:r>
      <w:r w:rsidR="00472E21">
        <w:t xml:space="preserve"> </w:t>
      </w:r>
      <w:r>
        <w:t>access to fair pay and healthy working conditions</w:t>
      </w:r>
      <w:r w:rsidR="00B369E7">
        <w:t xml:space="preserve">, </w:t>
      </w:r>
      <w:r w:rsidR="00B369E7">
        <w:rPr>
          <w:rStyle w:val="cf01"/>
        </w:rPr>
        <w:t>and expand</w:t>
      </w:r>
      <w:r w:rsidR="005759AA">
        <w:rPr>
          <w:rStyle w:val="cf01"/>
        </w:rPr>
        <w:t>s</w:t>
      </w:r>
      <w:r w:rsidR="00B369E7">
        <w:rPr>
          <w:rStyle w:val="cf01"/>
        </w:rPr>
        <w:t xml:space="preserve"> the use of workplace-based assessments where appropriate, including exploring collaborative models to support international medical graduates with </w:t>
      </w:r>
      <w:r w:rsidR="00537EA2">
        <w:rPr>
          <w:rStyle w:val="cf01"/>
        </w:rPr>
        <w:t>GP</w:t>
      </w:r>
      <w:r w:rsidR="00B369E7">
        <w:rPr>
          <w:rStyle w:val="cf01"/>
        </w:rPr>
        <w:t xml:space="preserve"> and public health services</w:t>
      </w:r>
      <w:r>
        <w:t>.</w:t>
      </w:r>
    </w:p>
    <w:p w14:paraId="4FAB30AA" w14:textId="77777777" w:rsidR="00CF7A11" w:rsidRDefault="00CF7A11" w:rsidP="0075614F">
      <w:pPr>
        <w:pStyle w:val="ListBullet"/>
        <w:ind w:left="567"/>
      </w:pPr>
      <w:r>
        <w:t>Developing a range of employment options available to RG registrars that are suitable for the different contexts in which RG training occurs and the various training paths they may pursue.</w:t>
      </w:r>
    </w:p>
    <w:p w14:paraId="67A911F0" w14:textId="77777777" w:rsidR="00227C63" w:rsidRDefault="00227C63" w:rsidP="0075614F">
      <w:pPr>
        <w:pStyle w:val="ListBullet"/>
        <w:ind w:left="567"/>
      </w:pPr>
      <w:r>
        <w:t>Ensuring that employment conditions and pay rates are equitable across the health system, avoiding competition between different parts of the system, especially in rural communities with limited healthcare workforce resources.</w:t>
      </w:r>
    </w:p>
    <w:p w14:paraId="2F2DC85E" w14:textId="77777777" w:rsidR="00CF7A11" w:rsidRDefault="00CF7A11" w:rsidP="0075614F">
      <w:pPr>
        <w:pStyle w:val="ListBullet"/>
        <w:ind w:left="567"/>
      </w:pPr>
      <w:r>
        <w:t>Supporting non-health system enablers such as staff accommodation and provision of childcare.</w:t>
      </w:r>
    </w:p>
    <w:p w14:paraId="0F264BCE" w14:textId="4BB95F7D" w:rsidR="00227C63" w:rsidRDefault="00227C63" w:rsidP="0075614F">
      <w:pPr>
        <w:pStyle w:val="ListBullet"/>
        <w:spacing w:after="120"/>
        <w:ind w:left="567"/>
      </w:pPr>
      <w:r>
        <w:t xml:space="preserve">Establishing a central repository of documentation for identification, assessment, and credentialling information which is accessible to health districts. This streamlines administrative processes and reduces bureaucratic burdens, making it easier for senior medical staff to provide services in rural and remote areas. </w:t>
      </w:r>
    </w:p>
    <w:p w14:paraId="4B36D967" w14:textId="6AE04B4A" w:rsidR="00227C63" w:rsidRDefault="00227C63" w:rsidP="00E12975">
      <w:pPr>
        <w:rPr>
          <w:b/>
          <w:bCs/>
        </w:rPr>
      </w:pPr>
      <w:r>
        <w:t>It is crucial for all levels of government to commit additional funding to ensure rural access to a wide range of healthcare professionals, including doctors, nurses, midwives, allied health, dental, paramedics, and pharmacists.</w:t>
      </w:r>
    </w:p>
    <w:p w14:paraId="123F2DC5" w14:textId="77777777" w:rsidR="00DD2D45" w:rsidRPr="00E94016" w:rsidRDefault="00DD2D45" w:rsidP="007745A8">
      <w:pPr>
        <w:pStyle w:val="Heading4"/>
      </w:pPr>
      <w:r w:rsidRPr="008B0FD7">
        <w:t>Review regional</w:t>
      </w:r>
      <w:r w:rsidRPr="008129C3">
        <w:t>ity weighting to ensure rural and remote hospitals are funded fairly</w:t>
      </w:r>
    </w:p>
    <w:p w14:paraId="4AE7A810" w14:textId="2949CCF3" w:rsidR="00DD2D45" w:rsidRDefault="0029516D" w:rsidP="0029516D">
      <w:r>
        <w:t xml:space="preserve">Concerns were raised with the Review that the </w:t>
      </w:r>
      <w:r w:rsidR="00DD2D45">
        <w:t xml:space="preserve">national funding model, despite accounting for rural and remote patient needs, fails to adequately consider regional differences. </w:t>
      </w:r>
      <w:r w:rsidR="002C052E">
        <w:t xml:space="preserve">As </w:t>
      </w:r>
      <w:r w:rsidR="002C052E" w:rsidRPr="001D4F46">
        <w:t xml:space="preserve">noted </w:t>
      </w:r>
      <w:r>
        <w:t>earlier</w:t>
      </w:r>
      <w:r w:rsidR="002C052E" w:rsidRPr="001D4F46">
        <w:t>, d</w:t>
      </w:r>
      <w:r w:rsidR="00DD2D45" w:rsidRPr="001D4F46">
        <w:t>ata</w:t>
      </w:r>
      <w:r w:rsidR="00DD2D45">
        <w:t xml:space="preserve"> from the NHFB shows that the average cost per NWAU is significantly higher in smaller jurisdictions (South Australia, Western Australia, Tasmania, the Northern Territory, and the Australian Capital Territory) than in larger </w:t>
      </w:r>
      <w:r w:rsidR="00B74398">
        <w:t>S</w:t>
      </w:r>
      <w:r w:rsidR="00DD2D45">
        <w:t>tates (New South Wales, Victoria, and Queensland)</w:t>
      </w:r>
      <w:r>
        <w:t xml:space="preserve">. The wide distribution of essential hospital services in rural areas inherently leads to cost inefficiencies compared to more concentrated service models. with the potential that </w:t>
      </w:r>
      <w:r w:rsidR="00DD2D45">
        <w:t>rural and remote areas</w:t>
      </w:r>
      <w:r>
        <w:t xml:space="preserve"> are underfunded</w:t>
      </w:r>
      <w:r w:rsidR="00DD2D45">
        <w:t xml:space="preserve">. </w:t>
      </w:r>
    </w:p>
    <w:p w14:paraId="798F89BC" w14:textId="7D6FDAC8" w:rsidR="00C5698B" w:rsidRPr="005F05D0" w:rsidRDefault="0029516D" w:rsidP="005F05D0">
      <w:r>
        <w:t xml:space="preserve">As </w:t>
      </w:r>
      <w:r w:rsidRPr="006F5EF7">
        <w:t>noted at Recommendation 1</w:t>
      </w:r>
      <w:r w:rsidR="006F717E">
        <w:t>8</w:t>
      </w:r>
      <w:r>
        <w:t>, the</w:t>
      </w:r>
      <w:r w:rsidR="00DD2D45">
        <w:t xml:space="preserve"> effectiveness of rural and remote adjustments to the NWAU </w:t>
      </w:r>
      <w:r>
        <w:t xml:space="preserve">should be reviewed with a view to more </w:t>
      </w:r>
      <w:r w:rsidR="00DD2D45">
        <w:t>accurately reflecting the true cost of providing services in these locations.</w:t>
      </w:r>
      <w:r w:rsidR="005F05D0">
        <w:rPr>
          <w:highlight w:val="yellow"/>
        </w:rPr>
        <w:t xml:space="preserve"> </w:t>
      </w:r>
    </w:p>
    <w:p w14:paraId="4D017990" w14:textId="77777777" w:rsidR="00227C63" w:rsidRPr="0098723A" w:rsidRDefault="00227C63" w:rsidP="007745A8">
      <w:pPr>
        <w:pStyle w:val="Heading4"/>
      </w:pPr>
      <w:bookmarkStart w:id="311" w:name="_Ref148445186"/>
      <w:r w:rsidRPr="0098723A">
        <w:t>Ensure accountable and equitable TTR funding to rural hospitals</w:t>
      </w:r>
      <w:bookmarkEnd w:id="311"/>
    </w:p>
    <w:p w14:paraId="4794A8D0" w14:textId="70FC8F2E" w:rsidR="005F05D0" w:rsidRDefault="005F05D0" w:rsidP="005F05D0">
      <w:r>
        <w:t xml:space="preserve">The block funding model for small rural hospitals does not include </w:t>
      </w:r>
      <w:r w:rsidRPr="0054669B">
        <w:t>teaching and</w:t>
      </w:r>
      <w:r>
        <w:t xml:space="preserve"> training funding, which is currently only available for tertiary and larger regional hospitals. This model does not acknowledge the important role that small rural hospitals play in providing </w:t>
      </w:r>
      <w:r w:rsidRPr="0054669B">
        <w:t>teaching and training</w:t>
      </w:r>
      <w:r>
        <w:t xml:space="preserve"> for various healthcare professions, including medical students and registrars, especially in the field of RG medicine and other medical specialties. In rural hospitals where </w:t>
      </w:r>
      <w:r w:rsidRPr="0054669B">
        <w:t>teaching</w:t>
      </w:r>
      <w:r>
        <w:t xml:space="preserve"> occurs, there are additional challenges related to GP Visiting Medical Officer (GP VMO) arrangements. For instance, in New South Wales and Victoria, where hospital inpatient services are contracted to GP VMOs, the current system pays one fee for services when a registrar is on-call. Under these arrangements, there is no compensation provided for supervisors providing training or assistance to the on-call registrar. This reduces the incentive to maximise teaching opportunities and may discourage supervisors from providing help when needed.</w:t>
      </w:r>
    </w:p>
    <w:p w14:paraId="2D1D078F" w14:textId="77777777" w:rsidR="005F05D0" w:rsidRDefault="005F05D0" w:rsidP="005F05D0">
      <w:r>
        <w:t xml:space="preserve">To enhance </w:t>
      </w:r>
      <w:r w:rsidRPr="0054669B">
        <w:t>teaching</w:t>
      </w:r>
      <w:r>
        <w:t xml:space="preserve"> opportunities and create a supportive environment in rural hospitals, supervision of registrars should have a separate budget allocation, distinct from fee-for-service arrangements. Investing in supervision has a substantial positive impact on retaining these doctors in rural and remote areas beyond their training period.</w:t>
      </w:r>
    </w:p>
    <w:p w14:paraId="69092272" w14:textId="66A4D02E" w:rsidR="009D6400" w:rsidRDefault="009D6400" w:rsidP="0065442C">
      <w:r>
        <w:t xml:space="preserve">Commonwealth-funded </w:t>
      </w:r>
      <w:r w:rsidR="00D86405">
        <w:t xml:space="preserve">training </w:t>
      </w:r>
      <w:r>
        <w:t>programs</w:t>
      </w:r>
      <w:r w:rsidR="00DC2031">
        <w:t>,</w:t>
      </w:r>
      <w:r w:rsidR="00D86405">
        <w:t xml:space="preserve"> </w:t>
      </w:r>
      <w:r w:rsidR="002A28D6">
        <w:t xml:space="preserve">like the Specialist Training Program and </w:t>
      </w:r>
      <w:r w:rsidR="00B74398">
        <w:t>S</w:t>
      </w:r>
      <w:r w:rsidR="002A28D6">
        <w:t>tate-administered John Flynn Prevocational Doctor Program</w:t>
      </w:r>
      <w:r w:rsidR="00DC2031">
        <w:t xml:space="preserve">, </w:t>
      </w:r>
      <w:r w:rsidR="00305731">
        <w:t xml:space="preserve">support </w:t>
      </w:r>
      <w:r w:rsidR="00C4573A">
        <w:t xml:space="preserve">medical training in rural </w:t>
      </w:r>
      <w:r w:rsidR="00D70117">
        <w:t xml:space="preserve">and remote settings to </w:t>
      </w:r>
      <w:r w:rsidR="000E6D48">
        <w:t>build the rural</w:t>
      </w:r>
      <w:r w:rsidR="005310B9">
        <w:t xml:space="preserve"> </w:t>
      </w:r>
      <w:r w:rsidR="000E6D48">
        <w:t>training pipeline.</w:t>
      </w:r>
      <w:r w:rsidR="00D70117">
        <w:t xml:space="preserve"> </w:t>
      </w:r>
      <w:r w:rsidR="002E712E">
        <w:t xml:space="preserve">Funding for these training programs </w:t>
      </w:r>
      <w:r w:rsidR="0065442C">
        <w:t>is</w:t>
      </w:r>
      <w:r w:rsidR="002E712E">
        <w:t xml:space="preserve"> allocated to the supplying hospital (typically metropolitan or regional)</w:t>
      </w:r>
      <w:r w:rsidR="0065442C">
        <w:t xml:space="preserve"> rather than to the rural hospital where the trainee doctor is placed. </w:t>
      </w:r>
      <w:r w:rsidR="003626A7">
        <w:t>While th</w:t>
      </w:r>
      <w:r w:rsidR="002C1986">
        <w:t>is funding approach may be efficient, rural hospitals have limited contro</w:t>
      </w:r>
      <w:r w:rsidR="00A44E21">
        <w:t>l over rural placements.</w:t>
      </w:r>
      <w:r>
        <w:t xml:space="preserve"> </w:t>
      </w:r>
      <w:r w:rsidR="00992D13">
        <w:t>I</w:t>
      </w:r>
      <w:r>
        <w:t>f the supplying hospital recalls or fails to provide the doctor for their rotation/term, the rural hospital has no means to secure a replacement in the future</w:t>
      </w:r>
      <w:r w:rsidR="00B62005">
        <w:t>.</w:t>
      </w:r>
    </w:p>
    <w:p w14:paraId="7EFD4302" w14:textId="4BE1049F" w:rsidR="009D6400" w:rsidRDefault="00D96CEC" w:rsidP="00806614">
      <w:r>
        <w:t>Additionally, t</w:t>
      </w:r>
      <w:r w:rsidR="00227C63">
        <w:t>he</w:t>
      </w:r>
      <w:r w:rsidR="009D6400">
        <w:t xml:space="preserve"> allocation of funding and hospital placements for RG trainees presents various issues. Block funding arrangements often do not prioriti</w:t>
      </w:r>
      <w:r w:rsidR="00952BAB">
        <w:t>s</w:t>
      </w:r>
      <w:r w:rsidR="009D6400">
        <w:t>e training placements, and the funding is not always used appropriately for this purpose. RG trainees seeking hospital placements for their Advanced Skills Training (AST) may find themselves in competition with trainees from other non-GP specialties who are funded through the Specialist Training Program or other initiatives. This results in RG trainees being unfairly disadvantaged, as the current system disproportionately benefits non-RG trainees.</w:t>
      </w:r>
    </w:p>
    <w:p w14:paraId="14F6CF47" w14:textId="677D80B3" w:rsidR="00210AF3" w:rsidRDefault="00FB42BC" w:rsidP="00806614">
      <w:r w:rsidRPr="00C10C9C">
        <w:t>The future NHRA should</w:t>
      </w:r>
      <w:r w:rsidR="00F11E04" w:rsidRPr="00C10C9C">
        <w:t xml:space="preserve"> ensure an accountable, equitable distribution of the </w:t>
      </w:r>
      <w:r w:rsidR="00C10C9C">
        <w:t>TTR</w:t>
      </w:r>
      <w:r w:rsidR="00F11E04" w:rsidRPr="00C10C9C">
        <w:t xml:space="preserve"> funding pool to regional and rural hospitals </w:t>
      </w:r>
      <w:r w:rsidR="00517474">
        <w:t>to support</w:t>
      </w:r>
      <w:r w:rsidR="00F11E04" w:rsidRPr="00C10C9C">
        <w:t xml:space="preserve"> sustainable </w:t>
      </w:r>
      <w:r w:rsidR="00227C63">
        <w:t>health workforce</w:t>
      </w:r>
      <w:r w:rsidR="00227C63" w:rsidRPr="00C10C9C">
        <w:t xml:space="preserve"> training.</w:t>
      </w:r>
      <w:r w:rsidR="00227C63">
        <w:t xml:space="preserve"> </w:t>
      </w:r>
      <w:r w:rsidR="00227C63" w:rsidRPr="00783D9D">
        <w:t>For Commonwealth funded positions that are allocated based on rotation to a rural hospital, the rural hospital should have a budget line item for that position</w:t>
      </w:r>
      <w:r w:rsidR="006F1DCD">
        <w:t>’s</w:t>
      </w:r>
      <w:r w:rsidR="00227C63" w:rsidRPr="00783D9D">
        <w:t xml:space="preserve"> salary, as well as </w:t>
      </w:r>
      <w:r w:rsidR="00227C63">
        <w:t>human resource</w:t>
      </w:r>
      <w:r w:rsidR="00227C63" w:rsidRPr="00783D9D">
        <w:t xml:space="preserve"> records to align with the staff providing services in that hospital.</w:t>
      </w:r>
    </w:p>
    <w:tbl>
      <w:tblPr>
        <w:tblStyle w:val="TableGrid"/>
        <w:tblW w:w="0" w:type="auto"/>
        <w:shd w:val="clear" w:color="auto" w:fill="F2F2F2" w:themeFill="background1" w:themeFillShade="F2"/>
        <w:tblLook w:val="04A0" w:firstRow="1" w:lastRow="0" w:firstColumn="1" w:lastColumn="0" w:noHBand="0" w:noVBand="1"/>
      </w:tblPr>
      <w:tblGrid>
        <w:gridCol w:w="10466"/>
      </w:tblGrid>
      <w:tr w:rsidR="00227C63" w14:paraId="4E525334" w14:textId="77777777" w:rsidTr="007B1238">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tcPr>
          <w:p w14:paraId="490A3517" w14:textId="1CC1EF89" w:rsidR="00227C63" w:rsidRDefault="001B1304" w:rsidP="00312C8B">
            <w:pPr>
              <w:pStyle w:val="Summarytable"/>
              <w:spacing w:after="60"/>
              <w:rPr>
                <w:b w:val="0"/>
                <w:bCs w:val="0"/>
              </w:rPr>
            </w:pPr>
            <w:r>
              <w:rPr>
                <w:noProof/>
                <w:color w:val="0097A9" w:themeColor="accent5"/>
              </w:rPr>
              <w:drawing>
                <wp:inline distT="0" distB="0" distL="0" distR="0" wp14:anchorId="570F100B" wp14:editId="77E75574">
                  <wp:extent cx="270000" cy="270000"/>
                  <wp:effectExtent l="0" t="0" r="0" b="0"/>
                  <wp:docPr id="235" name="Graphic 235" descr="P2112C1T108#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P2112C1T108#yIS1">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70000" cy="270000"/>
                          </a:xfrm>
                          <a:prstGeom prst="rect">
                            <a:avLst/>
                          </a:prstGeom>
                        </pic:spPr>
                      </pic:pic>
                    </a:graphicData>
                  </a:graphic>
                </wp:inline>
              </w:drawing>
            </w:r>
            <w:r w:rsidR="00227C63" w:rsidRPr="00222940">
              <w:rPr>
                <w:color w:val="00707E" w:themeColor="accent5" w:themeShade="BF"/>
              </w:rPr>
              <w:t xml:space="preserve">Recommendation </w:t>
            </w:r>
            <w:r w:rsidR="00227C63">
              <w:rPr>
                <w:color w:val="00707E" w:themeColor="accent5" w:themeShade="BF"/>
              </w:rPr>
              <w:t>3</w:t>
            </w:r>
            <w:r w:rsidR="004974FB">
              <w:rPr>
                <w:color w:val="00707E" w:themeColor="accent5" w:themeShade="BF"/>
              </w:rPr>
              <w:t>6</w:t>
            </w:r>
            <w:r w:rsidR="00227C63" w:rsidRPr="00BB2C81">
              <w:rPr>
                <w:color w:val="00707E" w:themeColor="accent5" w:themeShade="BF"/>
              </w:rPr>
              <w:t xml:space="preserve">: </w:t>
            </w:r>
            <w:r w:rsidR="00312C8B">
              <w:rPr>
                <w:b w:val="0"/>
                <w:bCs w:val="0"/>
              </w:rPr>
              <w:t xml:space="preserve">The importance of improving equitable access to health care services in </w:t>
            </w:r>
            <w:r w:rsidR="00312C8B">
              <w:t xml:space="preserve">rural and remote areas should be reflected in a new and dedicated </w:t>
            </w:r>
            <w:r w:rsidR="00A54CB3">
              <w:t>S</w:t>
            </w:r>
            <w:r w:rsidR="00312C8B">
              <w:t>chedule in a future Agreement</w:t>
            </w:r>
            <w:r w:rsidR="00312C8B">
              <w:rPr>
                <w:b w:val="0"/>
                <w:bCs w:val="0"/>
              </w:rPr>
              <w:t>, with priority actions and milestones incorporated. The Schedule should include</w:t>
            </w:r>
            <w:r w:rsidR="00227C63">
              <w:rPr>
                <w:b w:val="0"/>
                <w:bCs w:val="0"/>
              </w:rPr>
              <w:t>:</w:t>
            </w:r>
          </w:p>
          <w:p w14:paraId="27A382DB" w14:textId="77777777" w:rsidR="00227C63" w:rsidRDefault="00227C63" w:rsidP="00A850C3">
            <w:pPr>
              <w:pStyle w:val="ListParagraph"/>
              <w:numPr>
                <w:ilvl w:val="1"/>
                <w:numId w:val="55"/>
              </w:numPr>
              <w:ind w:left="709" w:hanging="425"/>
              <w:contextualSpacing w:val="0"/>
            </w:pPr>
            <w:r>
              <w:t xml:space="preserve">Establishing </w:t>
            </w:r>
            <w:r w:rsidRPr="00650E28">
              <w:rPr>
                <w:b/>
                <w:bCs/>
              </w:rPr>
              <w:t>consistent national datasets and minimum standards of access</w:t>
            </w:r>
            <w:r>
              <w:t xml:space="preserve"> to primary, disability, aged, and hospital services to ensure maintenance of services across rural and remote areas.</w:t>
            </w:r>
          </w:p>
          <w:p w14:paraId="46DFDAAF" w14:textId="7CD3376B" w:rsidR="00227C63" w:rsidRPr="00CF1FC2" w:rsidRDefault="00227C63" w:rsidP="00A850C3">
            <w:pPr>
              <w:pStyle w:val="ListParagraph"/>
              <w:numPr>
                <w:ilvl w:val="1"/>
                <w:numId w:val="55"/>
              </w:numPr>
              <w:ind w:left="709" w:hanging="425"/>
              <w:contextualSpacing w:val="0"/>
            </w:pPr>
            <w:r w:rsidRPr="00CF1FC2">
              <w:t>Implement</w:t>
            </w:r>
            <w:r>
              <w:t>ing</w:t>
            </w:r>
            <w:r w:rsidRPr="00CF1FC2">
              <w:t xml:space="preserve"> </w:t>
            </w:r>
            <w:r w:rsidRPr="00650E28">
              <w:rPr>
                <w:b/>
                <w:bCs/>
              </w:rPr>
              <w:t>models of care</w:t>
            </w:r>
            <w:r w:rsidRPr="00CF1FC2">
              <w:t xml:space="preserve"> within the infrastructure and workforce limitations in rural and remote areas</w:t>
            </w:r>
            <w:r w:rsidR="00887E24">
              <w:t>.</w:t>
            </w:r>
          </w:p>
          <w:p w14:paraId="17C1A415" w14:textId="77777777" w:rsidR="0042789B" w:rsidRDefault="00227C63" w:rsidP="00A850C3">
            <w:pPr>
              <w:pStyle w:val="ListParagraph"/>
              <w:numPr>
                <w:ilvl w:val="1"/>
                <w:numId w:val="55"/>
              </w:numPr>
              <w:ind w:left="709" w:hanging="425"/>
              <w:contextualSpacing w:val="0"/>
            </w:pPr>
            <w:r>
              <w:t xml:space="preserve">Developing </w:t>
            </w:r>
            <w:r w:rsidRPr="00A35C67">
              <w:t xml:space="preserve">a </w:t>
            </w:r>
            <w:r w:rsidRPr="00650E28">
              <w:rPr>
                <w:b/>
                <w:bCs/>
              </w:rPr>
              <w:t>sustainable health workforce</w:t>
            </w:r>
            <w:r>
              <w:t xml:space="preserve"> in rural and remote areas</w:t>
            </w:r>
            <w:r w:rsidR="00887E24">
              <w:t>.</w:t>
            </w:r>
            <w:r>
              <w:t xml:space="preserve"> </w:t>
            </w:r>
          </w:p>
          <w:p w14:paraId="0C24BD32" w14:textId="24FD5339" w:rsidR="00455151" w:rsidRPr="00455151" w:rsidRDefault="00455151" w:rsidP="00A850C3">
            <w:pPr>
              <w:pStyle w:val="ListParagraph"/>
              <w:numPr>
                <w:ilvl w:val="1"/>
                <w:numId w:val="55"/>
              </w:numPr>
              <w:ind w:left="709" w:hanging="425"/>
              <w:contextualSpacing w:val="0"/>
            </w:pPr>
            <w:r w:rsidRPr="00455151">
              <w:t>Review</w:t>
            </w:r>
            <w:r w:rsidR="0042789B">
              <w:t>ing</w:t>
            </w:r>
            <w:r w:rsidRPr="00455151">
              <w:t xml:space="preserve"> </w:t>
            </w:r>
            <w:r w:rsidRPr="00650E28">
              <w:rPr>
                <w:b/>
                <w:bCs/>
              </w:rPr>
              <w:t>regionality weighting</w:t>
            </w:r>
            <w:r w:rsidRPr="00455151">
              <w:t xml:space="preserve"> to ensure rural and remote hospitals are funded fairly</w:t>
            </w:r>
            <w:r w:rsidR="0042789B">
              <w:t>.</w:t>
            </w:r>
          </w:p>
          <w:p w14:paraId="27359999" w14:textId="77777777" w:rsidR="00227C63" w:rsidRPr="00D85F05" w:rsidRDefault="00227C63" w:rsidP="00A850C3">
            <w:pPr>
              <w:pStyle w:val="ListParagraph"/>
              <w:numPr>
                <w:ilvl w:val="1"/>
                <w:numId w:val="55"/>
              </w:numPr>
              <w:ind w:left="709" w:hanging="425"/>
              <w:contextualSpacing w:val="0"/>
            </w:pPr>
            <w:r>
              <w:t xml:space="preserve">Ensuring an </w:t>
            </w:r>
            <w:r w:rsidRPr="00650E28">
              <w:rPr>
                <w:b/>
                <w:bCs/>
              </w:rPr>
              <w:t>accountable and equitable distribution of the TTR funding pool</w:t>
            </w:r>
            <w:r>
              <w:t xml:space="preserve"> to regional and rural hospitals to underpin sustainable health workforce training. </w:t>
            </w:r>
          </w:p>
        </w:tc>
      </w:tr>
    </w:tbl>
    <w:p w14:paraId="474EDCD0" w14:textId="77777777" w:rsidR="00162598" w:rsidRDefault="00162598" w:rsidP="00B63FD3">
      <w:pPr>
        <w:rPr>
          <w:b/>
          <w:bCs/>
        </w:rPr>
      </w:pPr>
    </w:p>
    <w:p w14:paraId="268E2A7A" w14:textId="0D116B91" w:rsidR="007E3ECE" w:rsidRPr="006116D5" w:rsidRDefault="000D00CC" w:rsidP="00DB08BE">
      <w:pPr>
        <w:pStyle w:val="Heading3"/>
      </w:pPr>
      <w:bookmarkStart w:id="312" w:name="_Ref146101350"/>
      <w:r w:rsidRPr="000D00CC">
        <w:t>E</w:t>
      </w:r>
      <w:r w:rsidRPr="00162356">
        <w:t>xpand 19(2) exemption arrangements to improve access to bulk-billed primary health care</w:t>
      </w:r>
      <w:bookmarkEnd w:id="312"/>
    </w:p>
    <w:tbl>
      <w:tblPr>
        <w:tblStyle w:val="TableGrid"/>
        <w:tblW w:w="0" w:type="auto"/>
        <w:tblBorders>
          <w:top w:val="dashSmallGap" w:sz="4" w:space="0" w:color="8496B0" w:themeColor="text2" w:themeTint="99"/>
          <w:left w:val="dashSmallGap" w:sz="4" w:space="0" w:color="8496B0" w:themeColor="text2" w:themeTint="99"/>
          <w:bottom w:val="dashSmallGap" w:sz="4" w:space="0" w:color="8496B0" w:themeColor="text2" w:themeTint="99"/>
          <w:right w:val="dashSmallGap" w:sz="4" w:space="0" w:color="8496B0" w:themeColor="text2" w:themeTint="99"/>
        </w:tblBorders>
        <w:tblLook w:val="04A0" w:firstRow="1" w:lastRow="0" w:firstColumn="1" w:lastColumn="0" w:noHBand="0" w:noVBand="1"/>
      </w:tblPr>
      <w:tblGrid>
        <w:gridCol w:w="10456"/>
      </w:tblGrid>
      <w:tr w:rsidR="002B4012" w14:paraId="4E9C2F55" w14:textId="77777777" w:rsidTr="00622DD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AF905E6" w14:textId="697C3FFB" w:rsidR="002B4012" w:rsidRPr="00AD6567" w:rsidRDefault="00AD6567">
            <w:pPr>
              <w:pStyle w:val="Summarytable"/>
              <w:rPr>
                <w:color w:val="8496B0" w:themeColor="text2" w:themeTint="99"/>
              </w:rPr>
            </w:pPr>
            <w:r w:rsidRPr="001B1304">
              <w:rPr>
                <w:noProof/>
                <w:color w:val="8496B0" w:themeColor="text2" w:themeTint="99"/>
              </w:rPr>
              <w:drawing>
                <wp:inline distT="0" distB="0" distL="0" distR="0" wp14:anchorId="4CF16C18" wp14:editId="0A312564">
                  <wp:extent cx="270000" cy="270000"/>
                  <wp:effectExtent l="0" t="0" r="0" b="0"/>
                  <wp:docPr id="211" name="Graphic 211" descr="P2121C1T10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 211" descr="P2121C1T109#yIS1">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70000" cy="270000"/>
                          </a:xfrm>
                          <a:prstGeom prst="rect">
                            <a:avLst/>
                          </a:prstGeom>
                        </pic:spPr>
                      </pic:pic>
                    </a:graphicData>
                  </a:graphic>
                </wp:inline>
              </w:drawing>
            </w:r>
            <w:r w:rsidR="00066131" w:rsidRPr="00D66B60">
              <w:rPr>
                <w:color w:val="5B708F"/>
              </w:rPr>
              <w:t>Observation</w:t>
            </w:r>
            <w:r w:rsidR="002B4012" w:rsidRPr="00D66B60">
              <w:rPr>
                <w:color w:val="5B708F"/>
              </w:rPr>
              <w:t xml:space="preserve">: </w:t>
            </w:r>
            <w:r w:rsidR="00105700" w:rsidRPr="00D66B60">
              <w:rPr>
                <w:b w:val="0"/>
                <w:color w:val="5B708F"/>
              </w:rPr>
              <w:t>What is the COAG Section 19(2) Exemptions Initiative?</w:t>
            </w:r>
          </w:p>
          <w:p w14:paraId="2AA567D5" w14:textId="1B679D36" w:rsidR="00F90616" w:rsidRDefault="00F90616" w:rsidP="00F90616">
            <w:pPr>
              <w:ind w:left="142"/>
            </w:pPr>
            <w:r>
              <w:t>The COAG Section 19(2) Exemptions Initiative (the Initiative) aims to improve access to bulk-billed primary health care by giving approval for States and Territories to bulk</w:t>
            </w:r>
            <w:r w:rsidR="00A76EDF">
              <w:t>-</w:t>
            </w:r>
            <w:r>
              <w:t xml:space="preserve">bill the </w:t>
            </w:r>
            <w:r w:rsidR="00430D17">
              <w:t>MBS</w:t>
            </w:r>
            <w:r>
              <w:t xml:space="preserve"> for primary health care at public hospitals and multipurpose services. The </w:t>
            </w:r>
            <w:r>
              <w:rPr>
                <w:i/>
                <w:iCs/>
              </w:rPr>
              <w:t xml:space="preserve">Health Insurance Act 1973 </w:t>
            </w:r>
            <w:r>
              <w:t xml:space="preserve">(subsection 19(2)) allows the Minister to make directions for this Initiative. </w:t>
            </w:r>
          </w:p>
          <w:p w14:paraId="5A1ABEB6" w14:textId="77777777" w:rsidR="00F90616" w:rsidRDefault="00F90616" w:rsidP="00F90616">
            <w:pPr>
              <w:ind w:left="142"/>
            </w:pPr>
            <w:r>
              <w:t>The Initiative recognises that in rural and remote communities, people have limited access to primary health care and many public hospitals and health services have employed medical officers to provide this care.</w:t>
            </w:r>
          </w:p>
          <w:p w14:paraId="4F132C40" w14:textId="77777777" w:rsidR="00F90616" w:rsidRDefault="00F90616" w:rsidP="00F90616">
            <w:pPr>
              <w:ind w:left="142"/>
              <w:rPr>
                <w:b/>
                <w:bCs/>
              </w:rPr>
            </w:pPr>
            <w:r>
              <w:rPr>
                <w:b/>
                <w:bCs/>
              </w:rPr>
              <w:t>How does the Initiative work?</w:t>
            </w:r>
          </w:p>
          <w:p w14:paraId="58C8FA0D" w14:textId="342EE819" w:rsidR="00F90616" w:rsidRDefault="00F90616" w:rsidP="00F90616">
            <w:pPr>
              <w:ind w:left="142"/>
            </w:pPr>
            <w:r>
              <w:t xml:space="preserve">The Commonwealth government provides access to MBS funding through memorandums of understanding (MoUs) with the States and the Northern Territory. The current MoUs are for the period 2022-2025. At least 70% of the Initiative funding must be used to improve access to primary care. This can include purchasing new equipment. </w:t>
            </w:r>
          </w:p>
          <w:p w14:paraId="312DB26B" w14:textId="5F24570E" w:rsidR="00F90616" w:rsidRDefault="00F90616" w:rsidP="00F90616">
            <w:pPr>
              <w:ind w:left="142"/>
            </w:pPr>
            <w:r>
              <w:t xml:space="preserve">As of 1 June 2023, there are over 120 approved sites under the Initiative. The States and the </w:t>
            </w:r>
            <w:r w:rsidR="00B552E3" w:rsidRPr="00B552E3">
              <w:t>Northern Territory</w:t>
            </w:r>
            <w:r>
              <w:t xml:space="preserve"> can propose sites for the Commonwealth government to consider. They must consult with and seek support from local primary health care providers and other relevant stakeholders and submit a site operational plan. This can create long lead times to have exemptions approved.</w:t>
            </w:r>
          </w:p>
          <w:p w14:paraId="2D346890" w14:textId="216F6BA2" w:rsidR="002B4012" w:rsidRPr="003578B9" w:rsidRDefault="00F90616" w:rsidP="00F90616">
            <w:pPr>
              <w:ind w:left="142"/>
            </w:pPr>
            <w:r>
              <w:t>Approved sites must review their operational plan annually, provide site annual reports, and provide summary statistics every financial year.</w:t>
            </w:r>
            <w:r>
              <w:rPr>
                <w:rFonts w:ascii="Times New Roman" w:hAnsi="Times New Roman" w:cs="Times New Roman"/>
                <w:sz w:val="24"/>
                <w:szCs w:val="24"/>
                <w:lang w:eastAsia="en-AU"/>
              </w:rPr>
              <w:t xml:space="preserve"> </w:t>
            </w:r>
          </w:p>
        </w:tc>
      </w:tr>
    </w:tbl>
    <w:p w14:paraId="61CAA447" w14:textId="77777777" w:rsidR="00AD6567" w:rsidRDefault="00AD6567" w:rsidP="00E8253C"/>
    <w:p w14:paraId="5D56E0C5" w14:textId="09C0C652" w:rsidR="0046415A" w:rsidRDefault="0046415A" w:rsidP="00E8253C">
      <w:r>
        <w:t>The</w:t>
      </w:r>
      <w:r w:rsidR="006F27AE">
        <w:t xml:space="preserve"> COAG Section 19(2) Exemptions Initiative </w:t>
      </w:r>
      <w:r w:rsidR="00F720CC">
        <w:t>supports</w:t>
      </w:r>
      <w:r w:rsidR="007D6223">
        <w:t xml:space="preserve"> the</w:t>
      </w:r>
      <w:r w:rsidR="00F720CC">
        <w:t xml:space="preserve"> provision of primary care in </w:t>
      </w:r>
      <w:r w:rsidR="00413018">
        <w:t>rural and remote</w:t>
      </w:r>
      <w:r w:rsidR="00F720CC">
        <w:t xml:space="preserve"> hospitals (including aged care and NDIS clients who regularly require primary care services</w:t>
      </w:r>
      <w:r w:rsidR="00A9153C">
        <w:t>) and</w:t>
      </w:r>
      <w:r w:rsidR="00F720CC">
        <w:t xml:space="preserve"> </w:t>
      </w:r>
      <w:r w:rsidR="00090D50">
        <w:t>serves</w:t>
      </w:r>
      <w:r w:rsidR="00F720CC">
        <w:t xml:space="preserve"> as a </w:t>
      </w:r>
      <w:r w:rsidR="00A277A6">
        <w:t xml:space="preserve">mechanism for </w:t>
      </w:r>
      <w:r w:rsidR="00BF14F5">
        <w:t>sharing the responsibility between</w:t>
      </w:r>
      <w:r w:rsidR="00F720CC">
        <w:t xml:space="preserve"> the Commonwealth</w:t>
      </w:r>
      <w:r w:rsidR="00BF14F5">
        <w:t>, State and Territory governments for primary health care provision in rural and remote communities.</w:t>
      </w:r>
      <w:r w:rsidR="00F720CC">
        <w:t xml:space="preserve"> </w:t>
      </w:r>
    </w:p>
    <w:p w14:paraId="0AD224A9" w14:textId="2F2BEB90" w:rsidR="00FD1497" w:rsidRDefault="00FD1497" w:rsidP="00FD1497">
      <w:r>
        <w:t xml:space="preserve">There is an opportunity to expand the COAG Section 19(2) Exemptions to include additional sites recognising that the only option available for many regions without access to primary health services within a reasonable distance, is to receive primary health care in an ED or outpatient clinic. Alternatively, 19(2) exemption arrangements may be tied to health practitioners (e.g., RG) in rural and remote locations, rather than assigned to a specific practice or facility, to increase the flexibility of providing health care services across different settings. In either case the process of approval needs to be streamlined and simplified so that communities can act more quickly to fill service gaps. </w:t>
      </w:r>
    </w:p>
    <w:p w14:paraId="4FC0AF7F" w14:textId="7C1642C6" w:rsidR="00021EE5" w:rsidRPr="00021EE5" w:rsidRDefault="00021EE5" w:rsidP="0098341C">
      <w:pPr>
        <w:rPr>
          <w:b/>
          <w:bCs/>
        </w:rPr>
      </w:pPr>
      <w:r w:rsidRPr="00021EE5">
        <w:rPr>
          <w:b/>
          <w:bCs/>
        </w:rPr>
        <w:t>Ensure patients who attend the ED in rural hospitals are not charged out-of-pocket fees</w:t>
      </w:r>
    </w:p>
    <w:p w14:paraId="2E197BCC" w14:textId="2F962830" w:rsidR="00513ED1" w:rsidRDefault="00002076" w:rsidP="00513ED1">
      <w:r>
        <w:t xml:space="preserve">Some </w:t>
      </w:r>
      <w:r w:rsidR="003D04DE">
        <w:t>Urgent Care Centre</w:t>
      </w:r>
      <w:r>
        <w:t>s</w:t>
      </w:r>
      <w:r w:rsidR="003D04DE">
        <w:t xml:space="preserve"> (UCCs)</w:t>
      </w:r>
      <w:r w:rsidR="00AF5824">
        <w:t xml:space="preserve"> have</w:t>
      </w:r>
      <w:r w:rsidR="00F72FD3">
        <w:t xml:space="preserve"> gained approval</w:t>
      </w:r>
      <w:r w:rsidR="00B024C3">
        <w:t xml:space="preserve"> under </w:t>
      </w:r>
      <w:r w:rsidR="003425B7">
        <w:t xml:space="preserve">the COAG Section 19(2) </w:t>
      </w:r>
      <w:r w:rsidR="00B024C3">
        <w:t>E</w:t>
      </w:r>
      <w:r w:rsidR="003425B7">
        <w:t>xemption</w:t>
      </w:r>
      <w:r w:rsidR="00B024C3">
        <w:t xml:space="preserve"> Initiative to provide</w:t>
      </w:r>
      <w:r w:rsidR="00247D76">
        <w:t xml:space="preserve"> </w:t>
      </w:r>
      <w:r w:rsidR="00360F3F">
        <w:t>urgent, but non-life threatening</w:t>
      </w:r>
      <w:r w:rsidR="00A90045">
        <w:t>,</w:t>
      </w:r>
      <w:r w:rsidR="00360F3F">
        <w:t xml:space="preserve"> care</w:t>
      </w:r>
      <w:r w:rsidR="00B37D02">
        <w:t xml:space="preserve"> to</w:t>
      </w:r>
      <w:r w:rsidR="00B649D6">
        <w:t xml:space="preserve"> patients in rural </w:t>
      </w:r>
      <w:r w:rsidR="00E23601">
        <w:t>hospital emergency departments</w:t>
      </w:r>
      <w:r w:rsidR="00982A9E">
        <w:t xml:space="preserve">. </w:t>
      </w:r>
      <w:r w:rsidR="00227C63">
        <w:t>However, this had led to some States</w:t>
      </w:r>
      <w:r w:rsidR="00B8643A">
        <w:t xml:space="preserve"> and </w:t>
      </w:r>
      <w:r w:rsidR="00CD5B1C">
        <w:t>Territories</w:t>
      </w:r>
      <w:r w:rsidR="009A32A5">
        <w:t xml:space="preserve"> </w:t>
      </w:r>
      <w:r w:rsidR="005C57E2">
        <w:t>billin</w:t>
      </w:r>
      <w:r w:rsidR="00513ED1">
        <w:t>g rural and remote emergency services on an MBS billing arrangement</w:t>
      </w:r>
      <w:r w:rsidR="00BF45F7">
        <w:t>.</w:t>
      </w:r>
    </w:p>
    <w:p w14:paraId="42D1EA3A" w14:textId="2C8D841C" w:rsidR="00881365" w:rsidRDefault="00881365" w:rsidP="00881365">
      <w:r>
        <w:t xml:space="preserve">UCCs are the equivalent of emergency departments in small rural hospitals and are regularly signed as </w:t>
      </w:r>
      <w:r w:rsidR="00ED2281">
        <w:t>’Emergency’</w:t>
      </w:r>
      <w:r>
        <w:t>. These facilities require the treating medical practitioner, usually an RG or specialist GP working under VMO arrangements to bill the presenting patients. The fixed MBS item fee often does not align with the level of care delivered at these facilities, and this care can span several hours, depending on the patient’s condition. Consequently, patients may</w:t>
      </w:r>
      <w:r w:rsidR="00ED2281">
        <w:t xml:space="preserve"> </w:t>
      </w:r>
      <w:r>
        <w:t>be charged gap fees or providers can be inadequately compensated through the MBS rebate. Stakeholders have informed the Review that these practices have been implemented by Victorian Rural Hospital Urgent Care Centres and South Australian rural hospital emergency departments.</w:t>
      </w:r>
    </w:p>
    <w:p w14:paraId="6E3E56EF" w14:textId="6096A1EE" w:rsidR="00021EE5" w:rsidRPr="00D149A2" w:rsidRDefault="00021EE5" w:rsidP="001D0DD5">
      <w:r>
        <w:t xml:space="preserve">These small rural hospital urgent care services are physically located within the hospital, use hospital nursing staff and clinical supplies, and require doctors staffing them to possess emergency skills and undergo medical education to maintain their proficiency. As such, there should be appropriate remuneration and supportive contractual employment arrangements for GP VMOs providing services to rural and remote hospitals and health care facilities. </w:t>
      </w:r>
      <w:r w:rsidR="006302E3">
        <w:t xml:space="preserve">Governance mechanisms for the application of </w:t>
      </w:r>
      <w:r w:rsidR="00680E27">
        <w:t>the COAG Section 19(2) Exemption Initiative should be reviewed to ensure that</w:t>
      </w:r>
      <w:r w:rsidR="00D25B7C">
        <w:t xml:space="preserve"> </w:t>
      </w:r>
      <w:r w:rsidR="00BF0A81">
        <w:t>doctors providing rural hospital emergency services</w:t>
      </w:r>
      <w:r w:rsidR="002B2B1B">
        <w:t xml:space="preserve"> are </w:t>
      </w:r>
      <w:r w:rsidR="00B520BF">
        <w:t xml:space="preserve">appropriately </w:t>
      </w:r>
      <w:r w:rsidR="001C12EE">
        <w:t>remunerated and patients who attend the ED are not charged out-of-pocket fees.</w:t>
      </w:r>
    </w:p>
    <w:tbl>
      <w:tblPr>
        <w:tblStyle w:val="TableGrid"/>
        <w:tblW w:w="0" w:type="auto"/>
        <w:shd w:val="clear" w:color="auto" w:fill="F2F2F2" w:themeFill="background1" w:themeFillShade="F2"/>
        <w:tblLook w:val="04A0" w:firstRow="1" w:lastRow="0" w:firstColumn="1" w:lastColumn="0" w:noHBand="0" w:noVBand="1"/>
      </w:tblPr>
      <w:tblGrid>
        <w:gridCol w:w="10466"/>
      </w:tblGrid>
      <w:tr w:rsidR="00227C63" w14:paraId="20335D28" w14:textId="77777777" w:rsidTr="007B1238">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tcPr>
          <w:p w14:paraId="0F3F37DA" w14:textId="5AE4E226" w:rsidR="00F4178F" w:rsidRPr="00045463" w:rsidRDefault="001B1304" w:rsidP="003F6B47">
            <w:pPr>
              <w:pStyle w:val="Summarytable"/>
              <w:spacing w:after="60"/>
              <w:rPr>
                <w:b w:val="0"/>
                <w:bCs w:val="0"/>
              </w:rPr>
            </w:pPr>
            <w:r>
              <w:rPr>
                <w:noProof/>
                <w:color w:val="0097A9" w:themeColor="accent5"/>
              </w:rPr>
              <w:drawing>
                <wp:inline distT="0" distB="0" distL="0" distR="0" wp14:anchorId="35AE65FB" wp14:editId="7E8B1091">
                  <wp:extent cx="270000" cy="270000"/>
                  <wp:effectExtent l="0" t="0" r="0" b="0"/>
                  <wp:docPr id="236" name="Graphic 236" descr="P2136C1T11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raphic 236" descr="P2136C1T110#yIS1">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70000" cy="270000"/>
                          </a:xfrm>
                          <a:prstGeom prst="rect">
                            <a:avLst/>
                          </a:prstGeom>
                        </pic:spPr>
                      </pic:pic>
                    </a:graphicData>
                  </a:graphic>
                </wp:inline>
              </w:drawing>
            </w:r>
            <w:r w:rsidR="00227C63" w:rsidRPr="00222940">
              <w:rPr>
                <w:color w:val="00707E" w:themeColor="accent5" w:themeShade="BF"/>
              </w:rPr>
              <w:t xml:space="preserve">Recommendation </w:t>
            </w:r>
            <w:r w:rsidR="00834528">
              <w:rPr>
                <w:color w:val="00707E" w:themeColor="accent5" w:themeShade="BF"/>
              </w:rPr>
              <w:t>3</w:t>
            </w:r>
            <w:r w:rsidR="004974FB">
              <w:rPr>
                <w:color w:val="00707E" w:themeColor="accent5" w:themeShade="BF"/>
              </w:rPr>
              <w:t>7</w:t>
            </w:r>
            <w:r w:rsidR="00227C63" w:rsidRPr="00BB2C81">
              <w:rPr>
                <w:color w:val="00707E" w:themeColor="accent5" w:themeShade="BF"/>
              </w:rPr>
              <w:t xml:space="preserve">: </w:t>
            </w:r>
            <w:r w:rsidR="00F4178F">
              <w:rPr>
                <w:b w:val="0"/>
                <w:bCs w:val="0"/>
              </w:rPr>
              <w:t xml:space="preserve">The process for the </w:t>
            </w:r>
            <w:r w:rsidR="00F4178F">
              <w:t xml:space="preserve">application and approval of exemptions from Section 19(2) </w:t>
            </w:r>
            <w:r w:rsidR="00F4178F" w:rsidRPr="00F95F8D">
              <w:rPr>
                <w:b w:val="0"/>
                <w:bCs w:val="0"/>
                <w:i/>
              </w:rPr>
              <w:t>Health Insurance Act 1973</w:t>
            </w:r>
            <w:r w:rsidR="00F4178F" w:rsidRPr="00F95F8D">
              <w:rPr>
                <w:b w:val="0"/>
                <w:bCs w:val="0"/>
              </w:rPr>
              <w:t xml:space="preserve"> should be </w:t>
            </w:r>
            <w:r w:rsidR="00F4178F" w:rsidRPr="007E6370">
              <w:t>reviewed, simplified and expanded</w:t>
            </w:r>
            <w:r w:rsidR="00F4178F">
              <w:rPr>
                <w:b w:val="0"/>
                <w:bCs w:val="0"/>
              </w:rPr>
              <w:t xml:space="preserve"> </w:t>
            </w:r>
            <w:r w:rsidR="00F4178F" w:rsidRPr="00F95F8D">
              <w:rPr>
                <w:b w:val="0"/>
                <w:bCs w:val="0"/>
              </w:rPr>
              <w:t>to</w:t>
            </w:r>
            <w:r w:rsidR="00F4178F" w:rsidRPr="007E6370">
              <w:rPr>
                <w:b w:val="0"/>
                <w:bCs w:val="0"/>
              </w:rPr>
              <w:t xml:space="preserve"> </w:t>
            </w:r>
            <w:r w:rsidR="00F4178F" w:rsidRPr="00F95F8D">
              <w:rPr>
                <w:b w:val="0"/>
                <w:bCs w:val="0"/>
              </w:rPr>
              <w:t>improve access to bulk-billed primary health care</w:t>
            </w:r>
            <w:r w:rsidR="004B41B7">
              <w:t xml:space="preserve"> </w:t>
            </w:r>
            <w:r w:rsidR="004B41B7" w:rsidRPr="00045463">
              <w:rPr>
                <w:b w:val="0"/>
                <w:bCs w:val="0"/>
              </w:rPr>
              <w:t>(</w:t>
            </w:r>
            <w:r w:rsidR="005C1A69" w:rsidRPr="00045463">
              <w:rPr>
                <w:b w:val="0"/>
                <w:bCs w:val="0"/>
              </w:rPr>
              <w:t xml:space="preserve">MBS-eligible </w:t>
            </w:r>
            <w:r w:rsidR="004B41B7" w:rsidRPr="00045463">
              <w:rPr>
                <w:b w:val="0"/>
                <w:bCs w:val="0"/>
              </w:rPr>
              <w:t xml:space="preserve">GP, nursing and allied health </w:t>
            </w:r>
            <w:r w:rsidR="005C1A69" w:rsidRPr="005C1A69">
              <w:rPr>
                <w:b w:val="0"/>
                <w:bCs w:val="0"/>
              </w:rPr>
              <w:t xml:space="preserve">services) </w:t>
            </w:r>
            <w:r w:rsidR="005C1A69" w:rsidRPr="007E6370">
              <w:rPr>
                <w:b w:val="0"/>
                <w:bCs w:val="0"/>
              </w:rPr>
              <w:t>in</w:t>
            </w:r>
            <w:r w:rsidR="00F4178F" w:rsidRPr="00F95F8D">
              <w:rPr>
                <w:b w:val="0"/>
                <w:bCs w:val="0"/>
              </w:rPr>
              <w:t xml:space="preserve"> rural and remote areas</w:t>
            </w:r>
            <w:r w:rsidR="003F6B47" w:rsidRPr="00F95F8D">
              <w:rPr>
                <w:b w:val="0"/>
                <w:bCs w:val="0"/>
              </w:rPr>
              <w:t xml:space="preserve"> and where there are thin and failing markets.</w:t>
            </w:r>
            <w:r w:rsidR="00F4178F">
              <w:t xml:space="preserve"> </w:t>
            </w:r>
            <w:r w:rsidR="00E85239">
              <w:rPr>
                <w:b w:val="0"/>
                <w:bCs w:val="0"/>
              </w:rPr>
              <w:t>This work</w:t>
            </w:r>
            <w:r w:rsidR="00F4178F" w:rsidRPr="00045463">
              <w:rPr>
                <w:b w:val="0"/>
                <w:bCs w:val="0"/>
              </w:rPr>
              <w:t xml:space="preserve"> should:</w:t>
            </w:r>
          </w:p>
          <w:p w14:paraId="74EF35E5" w14:textId="5A3B6D66" w:rsidR="00F4178F" w:rsidRDefault="00F4178F" w:rsidP="00A850C3">
            <w:pPr>
              <w:pStyle w:val="ListParagraph"/>
              <w:numPr>
                <w:ilvl w:val="1"/>
                <w:numId w:val="66"/>
              </w:numPr>
              <w:ind w:left="709" w:hanging="357"/>
              <w:contextualSpacing w:val="0"/>
            </w:pPr>
            <w:r>
              <w:t xml:space="preserve">Explore opportunities to </w:t>
            </w:r>
            <w:r w:rsidRPr="00F95F8D">
              <w:rPr>
                <w:b/>
                <w:bCs/>
              </w:rPr>
              <w:t>include further sites and increase the number of exemptions</w:t>
            </w:r>
            <w:r>
              <w:t xml:space="preserve"> for areas without access to primary health services</w:t>
            </w:r>
            <w:r w:rsidR="00133795">
              <w:t xml:space="preserve"> (</w:t>
            </w:r>
            <w:r w:rsidR="003F6B47">
              <w:t xml:space="preserve">including </w:t>
            </w:r>
            <w:r w:rsidR="00133795">
              <w:t>thin and failing markets)</w:t>
            </w:r>
            <w:r>
              <w:t xml:space="preserve"> within a reasonable distance.</w:t>
            </w:r>
          </w:p>
          <w:p w14:paraId="004E7760" w14:textId="3F5FCF6B" w:rsidR="00F4178F" w:rsidRDefault="00F4178F" w:rsidP="00A850C3">
            <w:pPr>
              <w:pStyle w:val="ListParagraph"/>
              <w:numPr>
                <w:ilvl w:val="1"/>
                <w:numId w:val="66"/>
              </w:numPr>
              <w:ind w:left="709" w:hanging="357"/>
              <w:contextualSpacing w:val="0"/>
            </w:pPr>
            <w:r w:rsidRPr="00F95F8D">
              <w:rPr>
                <w:b/>
                <w:bCs/>
              </w:rPr>
              <w:t>Simplify and streamline approval</w:t>
            </w:r>
            <w:r>
              <w:t xml:space="preserve"> processes to enable timely establishment of services in areas where there is limited access to primary care</w:t>
            </w:r>
            <w:r w:rsidR="0029516D">
              <w:t>.</w:t>
            </w:r>
          </w:p>
          <w:p w14:paraId="632F1487" w14:textId="748E00A1" w:rsidR="00227C63" w:rsidRPr="002F23E0" w:rsidRDefault="00F4178F" w:rsidP="00A850C3">
            <w:pPr>
              <w:pStyle w:val="ListParagraph"/>
              <w:numPr>
                <w:ilvl w:val="1"/>
                <w:numId w:val="56"/>
              </w:numPr>
              <w:ind w:left="709" w:hanging="357"/>
              <w:contextualSpacing w:val="0"/>
            </w:pPr>
            <w:r>
              <w:t xml:space="preserve">Ensure that doctors providing rural hospital emergency services are appropriately remunerated and patients who attend the ED are </w:t>
            </w:r>
            <w:r w:rsidRPr="00854EAE">
              <w:rPr>
                <w:b/>
                <w:bCs/>
              </w:rPr>
              <w:t>not charged out-of-pocket fees</w:t>
            </w:r>
            <w:r w:rsidR="001C12EE">
              <w:t>.</w:t>
            </w:r>
          </w:p>
        </w:tc>
      </w:tr>
    </w:tbl>
    <w:p w14:paraId="6D898066" w14:textId="77777777" w:rsidR="00286B0D" w:rsidRDefault="00286B0D" w:rsidP="000E3F69">
      <w:pPr>
        <w:spacing w:after="0" w:line="240" w:lineRule="atLeast"/>
      </w:pPr>
      <w:r>
        <w:br w:type="page"/>
      </w:r>
    </w:p>
    <w:p w14:paraId="562030DB" w14:textId="12968BE2" w:rsidR="009D6E74" w:rsidRDefault="00440226" w:rsidP="009D6E74">
      <w:pPr>
        <w:pStyle w:val="Heading2"/>
      </w:pPr>
      <w:bookmarkStart w:id="313" w:name="_Toc143291698"/>
      <w:bookmarkStart w:id="314" w:name="_Ref144218118"/>
      <w:r>
        <w:rPr>
          <w:noProof/>
        </w:rPr>
        <w:drawing>
          <wp:anchor distT="0" distB="0" distL="114300" distR="114300" simplePos="0" relativeHeight="251716608" behindDoc="0" locked="0" layoutInCell="1" allowOverlap="1" wp14:anchorId="34811526" wp14:editId="7183C5A2">
            <wp:simplePos x="0" y="0"/>
            <wp:positionH relativeFrom="column">
              <wp:posOffset>5767070</wp:posOffset>
            </wp:positionH>
            <wp:positionV relativeFrom="paragraph">
              <wp:posOffset>0</wp:posOffset>
            </wp:positionV>
            <wp:extent cx="876300" cy="786130"/>
            <wp:effectExtent l="0" t="0" r="0" b="0"/>
            <wp:wrapSquare wrapText="bothSides"/>
            <wp:docPr id="29" name="Picture 29" descr="P214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2142#y1">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76300" cy="786130"/>
                    </a:xfrm>
                    <a:prstGeom prst="rect">
                      <a:avLst/>
                    </a:prstGeom>
                  </pic:spPr>
                </pic:pic>
              </a:graphicData>
            </a:graphic>
            <wp14:sizeRelH relativeFrom="page">
              <wp14:pctWidth>0</wp14:pctWidth>
            </wp14:sizeRelH>
            <wp14:sizeRelV relativeFrom="page">
              <wp14:pctHeight>0</wp14:pctHeight>
            </wp14:sizeRelV>
          </wp:anchor>
        </w:drawing>
      </w:r>
      <w:r w:rsidR="00D2750D">
        <w:t xml:space="preserve">Clear commitment to closing the gap for </w:t>
      </w:r>
      <w:r w:rsidR="009D6E74">
        <w:t>First Nations</w:t>
      </w:r>
      <w:r w:rsidR="00D20143">
        <w:t>’</w:t>
      </w:r>
      <w:r w:rsidR="009D6E74">
        <w:t xml:space="preserve"> </w:t>
      </w:r>
      <w:bookmarkEnd w:id="313"/>
      <w:bookmarkEnd w:id="314"/>
      <w:r w:rsidR="006F7666">
        <w:t>p</w:t>
      </w:r>
      <w:r w:rsidR="009D6E74">
        <w:t>eople</w:t>
      </w:r>
    </w:p>
    <w:p w14:paraId="58AF58C2" w14:textId="3953E8B4" w:rsidR="00D20143" w:rsidRDefault="00D20143" w:rsidP="00D20143">
      <w:r>
        <w:t xml:space="preserve">While the Addendum recognises ongoing barriers to improving health equity for priority population groups, such as First Nations’ people, it falls short of fulfilling the obligations outlined in the </w:t>
      </w:r>
      <w:r w:rsidRPr="000F360C">
        <w:rPr>
          <w:i/>
        </w:rPr>
        <w:t>National Agreement for Closing the Gap</w:t>
      </w:r>
      <w:r w:rsidR="003F5D51">
        <w:rPr>
          <w:rFonts w:ascii="ZWAdobeF" w:hAnsi="ZWAdobeF" w:cs="ZWAdobeF"/>
          <w:sz w:val="2"/>
          <w:szCs w:val="2"/>
        </w:rPr>
        <w:t>156F</w:t>
      </w:r>
      <w:r>
        <w:rPr>
          <w:rStyle w:val="FootnoteReference"/>
        </w:rPr>
        <w:footnoteReference w:id="158"/>
      </w:r>
      <w:r>
        <w:t xml:space="preserve">. </w:t>
      </w:r>
      <w:r w:rsidR="00D8397C">
        <w:t xml:space="preserve"> </w:t>
      </w:r>
      <w:r>
        <w:t>As a result, there is opportunity to further strengthen the focus on First Nations</w:t>
      </w:r>
      <w:r w:rsidR="006F7666">
        <w:t xml:space="preserve">’ </w:t>
      </w:r>
      <w:r>
        <w:t>perspectives</w:t>
      </w:r>
      <w:r w:rsidR="00D8397C">
        <w:t xml:space="preserve"> in a future NHRA</w:t>
      </w:r>
      <w:r>
        <w:t>.</w:t>
      </w:r>
      <w:r>
        <w:rPr>
          <w:color w:val="000000" w:themeColor="text1"/>
        </w:rPr>
        <w:t xml:space="preserve"> </w:t>
      </w:r>
    </w:p>
    <w:p w14:paraId="59ED025C" w14:textId="77777777" w:rsidR="00D20143" w:rsidRDefault="00D20143" w:rsidP="00D20143">
      <w:r>
        <w:rPr>
          <w:color w:val="000000" w:themeColor="text1"/>
        </w:rPr>
        <w:t xml:space="preserve">Priority actions are not specifically identified or driven through the NHRA, with little evidence that </w:t>
      </w:r>
      <w:r>
        <w:t>current funding and governance mechanisms are addressing issues of access and equity for First Nations’ people.</w:t>
      </w:r>
    </w:p>
    <w:p w14:paraId="7480753C" w14:textId="439BEED0" w:rsidR="00D20143" w:rsidRDefault="00D20143" w:rsidP="00D20143">
      <w:r>
        <w:t xml:space="preserve">There is a significant gap in life expectancy, health care access and health outcomes between </w:t>
      </w:r>
      <w:r w:rsidR="00434480">
        <w:t xml:space="preserve">the </w:t>
      </w:r>
      <w:r w:rsidR="009A0D0B">
        <w:t>I</w:t>
      </w:r>
      <w:r>
        <w:t>ndigenous and non-</w:t>
      </w:r>
      <w:r w:rsidR="009A0D0B">
        <w:t>I</w:t>
      </w:r>
      <w:r>
        <w:t>ndigenous population. It is important that these differences are explicitly recognised in the Agreement with specific actions agreed, accountabilities assigned and milestones incorporated.</w:t>
      </w:r>
    </w:p>
    <w:tbl>
      <w:tblPr>
        <w:tblStyle w:val="TableGrid"/>
        <w:tblW w:w="0" w:type="auto"/>
        <w:tblBorders>
          <w:top w:val="dashSmallGap" w:sz="4" w:space="0" w:color="8496B0" w:themeColor="text2" w:themeTint="99"/>
          <w:left w:val="dashSmallGap" w:sz="4" w:space="0" w:color="8496B0" w:themeColor="text2" w:themeTint="99"/>
          <w:bottom w:val="dashSmallGap" w:sz="4" w:space="0" w:color="8496B0" w:themeColor="text2" w:themeTint="99"/>
          <w:right w:val="dashSmallGap" w:sz="4" w:space="0" w:color="8496B0" w:themeColor="text2" w:themeTint="99"/>
        </w:tblBorders>
        <w:tblLook w:val="04A0" w:firstRow="1" w:lastRow="0" w:firstColumn="1" w:lastColumn="0" w:noHBand="0" w:noVBand="1"/>
      </w:tblPr>
      <w:tblGrid>
        <w:gridCol w:w="10456"/>
      </w:tblGrid>
      <w:tr w:rsidR="00284DB2" w14:paraId="4A6AB429" w14:textId="77777777" w:rsidTr="00622DD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32A0673" w14:textId="63130892" w:rsidR="00284DB2" w:rsidRPr="00336441" w:rsidRDefault="00336441">
            <w:pPr>
              <w:pStyle w:val="Summarytable"/>
              <w:rPr>
                <w:color w:val="8496B0" w:themeColor="text2" w:themeTint="99"/>
              </w:rPr>
            </w:pPr>
            <w:r w:rsidRPr="00E67102">
              <w:rPr>
                <w:noProof/>
                <w:color w:val="8496B0" w:themeColor="text2" w:themeTint="99"/>
                <w:lang w:val="en-GB"/>
              </w:rPr>
              <w:drawing>
                <wp:inline distT="0" distB="0" distL="0" distR="0" wp14:anchorId="57CB9CB6" wp14:editId="2D0831A6">
                  <wp:extent cx="270000" cy="270000"/>
                  <wp:effectExtent l="0" t="0" r="0" b="0"/>
                  <wp:docPr id="157" name="Graphic 157" descr="P2146C1T11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raphic 157" descr="P2146C1T111#yIS1">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70000" cy="270000"/>
                          </a:xfrm>
                          <a:prstGeom prst="rect">
                            <a:avLst/>
                          </a:prstGeom>
                        </pic:spPr>
                      </pic:pic>
                    </a:graphicData>
                  </a:graphic>
                </wp:inline>
              </w:drawing>
            </w:r>
            <w:r w:rsidR="001A09FC" w:rsidRPr="00D66B60">
              <w:rPr>
                <w:color w:val="5B708F"/>
              </w:rPr>
              <w:t>Observation</w:t>
            </w:r>
            <w:r w:rsidR="00284DB2" w:rsidRPr="00D66B60">
              <w:rPr>
                <w:color w:val="5B708F"/>
              </w:rPr>
              <w:t xml:space="preserve">: </w:t>
            </w:r>
            <w:r w:rsidR="00E87ABF" w:rsidRPr="00D66B60">
              <w:rPr>
                <w:b w:val="0"/>
                <w:bCs w:val="0"/>
                <w:color w:val="5B708F"/>
              </w:rPr>
              <w:t>Closing the Health Gap</w:t>
            </w:r>
            <w:r w:rsidR="003661C3" w:rsidRPr="00D66B60">
              <w:rPr>
                <w:b w:val="0"/>
                <w:bCs w:val="0"/>
                <w:color w:val="5B708F"/>
              </w:rPr>
              <w:t xml:space="preserve"> – major health </w:t>
            </w:r>
            <w:r w:rsidR="009326DC" w:rsidRPr="00D66B60">
              <w:rPr>
                <w:b w:val="0"/>
                <w:bCs w:val="0"/>
                <w:color w:val="5B708F"/>
              </w:rPr>
              <w:t>outcome differences</w:t>
            </w:r>
            <w:r w:rsidR="003F5D51">
              <w:rPr>
                <w:rFonts w:ascii="ZWAdobeF" w:hAnsi="ZWAdobeF" w:cs="ZWAdobeF"/>
                <w:b w:val="0"/>
                <w:bCs w:val="0"/>
                <w:sz w:val="2"/>
                <w:szCs w:val="2"/>
              </w:rPr>
              <w:t>157F</w:t>
            </w:r>
            <w:r w:rsidR="008B47EA" w:rsidRPr="00D66B60">
              <w:rPr>
                <w:rStyle w:val="FootnoteReference"/>
                <w:b w:val="0"/>
                <w:bCs w:val="0"/>
                <w:color w:val="5B708F"/>
              </w:rPr>
              <w:footnoteReference w:id="159"/>
            </w:r>
          </w:p>
          <w:p w14:paraId="00C98DAC" w14:textId="34411E14" w:rsidR="002231C7" w:rsidRDefault="002231C7" w:rsidP="0034423F">
            <w:pPr>
              <w:ind w:left="142"/>
            </w:pPr>
            <w:r>
              <w:t xml:space="preserve">Major </w:t>
            </w:r>
            <w:r w:rsidR="00702558">
              <w:t xml:space="preserve">health </w:t>
            </w:r>
            <w:r>
              <w:t xml:space="preserve">outcome differences </w:t>
            </w:r>
            <w:r w:rsidR="00C83BB0">
              <w:t>for</w:t>
            </w:r>
            <w:r>
              <w:t xml:space="preserve"> </w:t>
            </w:r>
            <w:r w:rsidR="00AD01FE">
              <w:t>Indigenous</w:t>
            </w:r>
            <w:r w:rsidR="009C35A7">
              <w:t xml:space="preserve"> </w:t>
            </w:r>
            <w:r w:rsidR="00C83BB0">
              <w:t>people compared to</w:t>
            </w:r>
            <w:r>
              <w:t xml:space="preserve"> non-Indigenous people </w:t>
            </w:r>
            <w:r w:rsidR="00702558">
              <w:t>are:</w:t>
            </w:r>
          </w:p>
          <w:p w14:paraId="38433C36" w14:textId="14E9BB96" w:rsidR="00AB0C8C" w:rsidRPr="00E679FC" w:rsidRDefault="000F3811" w:rsidP="00E67102">
            <w:pPr>
              <w:pStyle w:val="ListBullet"/>
              <w:ind w:left="709"/>
            </w:pPr>
            <w:r>
              <w:t>A b</w:t>
            </w:r>
            <w:r w:rsidR="00AB0C8C" w:rsidRPr="00E679FC">
              <w:t xml:space="preserve">urden of disease more than twice the rate </w:t>
            </w:r>
            <w:r w:rsidR="00215294" w:rsidRPr="00E679FC">
              <w:t>of</w:t>
            </w:r>
            <w:r w:rsidR="00AB0C8C" w:rsidRPr="00E679FC">
              <w:t xml:space="preserve"> the non-Indigenous population.</w:t>
            </w:r>
          </w:p>
          <w:p w14:paraId="0EAE04D3" w14:textId="46B3DBF4" w:rsidR="004178A8" w:rsidRPr="00E679FC" w:rsidRDefault="004178A8" w:rsidP="00E67102">
            <w:pPr>
              <w:pStyle w:val="ListBullet"/>
              <w:ind w:left="709"/>
            </w:pPr>
            <w:r w:rsidRPr="00E679FC">
              <w:t>Chronic diseases are responsible for more than two-thirds of the total health gap, and 64</w:t>
            </w:r>
            <w:r w:rsidR="003661C3" w:rsidRPr="00E679FC">
              <w:t xml:space="preserve">% </w:t>
            </w:r>
            <w:r w:rsidRPr="00E679FC">
              <w:t>of the total disease burden among Aboriginal and Torres Strait Islander</w:t>
            </w:r>
            <w:r w:rsidR="00AB44A9">
              <w:t xml:space="preserve"> people</w:t>
            </w:r>
            <w:r w:rsidRPr="00E679FC">
              <w:t>.</w:t>
            </w:r>
          </w:p>
          <w:p w14:paraId="2FAA9366" w14:textId="2003E0C7" w:rsidR="004178A8" w:rsidRPr="00E679FC" w:rsidRDefault="004178A8" w:rsidP="00E67102">
            <w:pPr>
              <w:pStyle w:val="ListBullet"/>
              <w:ind w:left="709"/>
            </w:pPr>
            <w:r w:rsidRPr="00E679FC">
              <w:t xml:space="preserve">2.6 times more likely to have a preventable hospitalisation. </w:t>
            </w:r>
          </w:p>
          <w:p w14:paraId="3E58DC1D" w14:textId="44C18E23" w:rsidR="00741AF7" w:rsidRPr="00E679FC" w:rsidRDefault="00741AF7" w:rsidP="00E67102">
            <w:pPr>
              <w:pStyle w:val="ListBullet"/>
              <w:ind w:left="709"/>
            </w:pPr>
            <w:r w:rsidRPr="00E679FC">
              <w:t>1 in 25 Aboriginal and Torres Strait Islander people are ending care early</w:t>
            </w:r>
            <w:r w:rsidR="00DB5E29" w:rsidRPr="00E679FC">
              <w:t xml:space="preserve"> (</w:t>
            </w:r>
            <w:r w:rsidRPr="00E679FC">
              <w:t>higher in remote regions</w:t>
            </w:r>
            <w:r w:rsidR="00DB5E29" w:rsidRPr="00E679FC">
              <w:t>)</w:t>
            </w:r>
            <w:r w:rsidRPr="00E679FC">
              <w:t>.</w:t>
            </w:r>
          </w:p>
          <w:p w14:paraId="0AFD9F43" w14:textId="45DE9306" w:rsidR="007A6457" w:rsidRDefault="000F2D64" w:rsidP="00E67102">
            <w:pPr>
              <w:pStyle w:val="ListBullet"/>
              <w:spacing w:after="120"/>
              <w:ind w:left="709"/>
            </w:pPr>
            <w:r w:rsidRPr="00E679FC">
              <w:t>C</w:t>
            </w:r>
            <w:r w:rsidR="007A6457" w:rsidRPr="00E679FC">
              <w:t>an expect to live 8–9 years less.</w:t>
            </w:r>
          </w:p>
          <w:p w14:paraId="7C819358" w14:textId="68426018" w:rsidR="0056650F" w:rsidRPr="00E679FC" w:rsidRDefault="003A021C" w:rsidP="00E67102">
            <w:pPr>
              <w:pStyle w:val="ListBullet"/>
              <w:spacing w:after="120"/>
              <w:ind w:left="709"/>
            </w:pPr>
            <w:r w:rsidRPr="00E679FC">
              <w:t xml:space="preserve">Avoidable deaths </w:t>
            </w:r>
            <w:r w:rsidR="002122C9">
              <w:t>are</w:t>
            </w:r>
            <w:r w:rsidRPr="00E679FC">
              <w:t xml:space="preserve"> 4 times higher in remote areas and 2 times higher in urban and regional areas.</w:t>
            </w:r>
          </w:p>
          <w:p w14:paraId="786B60BA" w14:textId="6C3CB84E" w:rsidR="00702558" w:rsidRPr="00702558" w:rsidRDefault="00AE0F43" w:rsidP="00E67102">
            <w:pPr>
              <w:pStyle w:val="ListBullet"/>
              <w:spacing w:after="120"/>
              <w:ind w:left="709"/>
            </w:pPr>
            <w:r w:rsidRPr="00E679FC">
              <w:t>T</w:t>
            </w:r>
            <w:r w:rsidR="00702558" w:rsidRPr="00E679FC">
              <w:t xml:space="preserve">he additional expenditure required to achieve equitable health spending based on need for Aboriginal and Torres Strait Islander people </w:t>
            </w:r>
            <w:r w:rsidR="00747F65">
              <w:t>has been estimated at around</w:t>
            </w:r>
            <w:r w:rsidR="00702558" w:rsidRPr="00E679FC">
              <w:t xml:space="preserve"> $4.4 billion per year</w:t>
            </w:r>
            <w:r w:rsidR="003F5D51">
              <w:rPr>
                <w:rFonts w:ascii="ZWAdobeF" w:hAnsi="ZWAdobeF" w:cs="ZWAdobeF"/>
                <w:sz w:val="2"/>
                <w:szCs w:val="2"/>
              </w:rPr>
              <w:t>158F</w:t>
            </w:r>
            <w:r w:rsidR="00DD043A">
              <w:rPr>
                <w:rStyle w:val="FootnoteReference"/>
              </w:rPr>
              <w:footnoteReference w:id="160"/>
            </w:r>
            <w:r w:rsidR="00702558" w:rsidRPr="00E679FC">
              <w:t>.</w:t>
            </w:r>
          </w:p>
        </w:tc>
      </w:tr>
    </w:tbl>
    <w:p w14:paraId="46937CDD" w14:textId="77777777" w:rsidR="00284DB2" w:rsidRDefault="00284DB2" w:rsidP="00D20143"/>
    <w:p w14:paraId="2AC38013" w14:textId="31BCD70C" w:rsidR="00F60E7C" w:rsidRDefault="00F60E7C" w:rsidP="00D60D29">
      <w:pPr>
        <w:pStyle w:val="Heading3"/>
      </w:pPr>
      <w:r>
        <w:t>Governance</w:t>
      </w:r>
      <w:r w:rsidR="00A63527">
        <w:t xml:space="preserve"> </w:t>
      </w:r>
      <w:r w:rsidR="00AB0F51">
        <w:t xml:space="preserve">and funding </w:t>
      </w:r>
      <w:r w:rsidR="000F5833">
        <w:t>a</w:t>
      </w:r>
      <w:r w:rsidR="00A63527">
        <w:t>rrangements</w:t>
      </w:r>
    </w:p>
    <w:p w14:paraId="70DE8D47" w14:textId="65CE1360" w:rsidR="00F95DB0" w:rsidRDefault="00F95DB0" w:rsidP="00F95DB0">
      <w:r>
        <w:t xml:space="preserve">The NHRA lacks specific governance arrangements to drive First Nations’ health delivery and reform and identify and map the interventions required to meet </w:t>
      </w:r>
      <w:r w:rsidRPr="00650E28">
        <w:rPr>
          <w:i/>
          <w:iCs/>
        </w:rPr>
        <w:t>Closing the Gap</w:t>
      </w:r>
      <w:r>
        <w:t xml:space="preserve"> commitments to achieve sustainable health gains</w:t>
      </w:r>
      <w:r w:rsidR="00AB44A9">
        <w:t xml:space="preserve">. </w:t>
      </w:r>
      <w:r>
        <w:t>This includes a lack of clear role</w:t>
      </w:r>
      <w:r w:rsidR="00600840">
        <w:t>s</w:t>
      </w:r>
      <w:r>
        <w:t xml:space="preserve"> and responsibilities in the NHRA for ACCHOs, which detracts from the ability of community-controlled organisations to participate in local commissioning and service design. </w:t>
      </w:r>
      <w:r w:rsidR="00600840">
        <w:t xml:space="preserve">ACCHOs </w:t>
      </w:r>
      <w:r>
        <w:t>are critical to effectively engaging First Nations’ communities with health services where mainstream services are not adequately tailored</w:t>
      </w:r>
      <w:r w:rsidR="00AB44A9">
        <w:t>, as shown in the case study below</w:t>
      </w:r>
      <w:r>
        <w:t xml:space="preserve">. </w:t>
      </w:r>
    </w:p>
    <w:p w14:paraId="116FBB63" w14:textId="720B65C2" w:rsidR="00F95DB0" w:rsidRDefault="00F95DB0" w:rsidP="00F95DB0">
      <w:r>
        <w:t xml:space="preserve">A greater emphasis should be placed on PHNs and LHNs (identified in section </w:t>
      </w:r>
      <w:r w:rsidR="0061713F">
        <w:fldChar w:fldCharType="begin" w:fldLock="1"/>
      </w:r>
      <w:r w:rsidR="0061713F">
        <w:instrText xml:space="preserve"> REF _Ref144990938 \w \h </w:instrText>
      </w:r>
      <w:r w:rsidR="0061713F">
        <w:fldChar w:fldCharType="separate"/>
      </w:r>
      <w:r w:rsidR="00FA10A4">
        <w:t>5.2.1</w:t>
      </w:r>
      <w:r w:rsidR="0061713F">
        <w:fldChar w:fldCharType="end"/>
      </w:r>
      <w:r>
        <w:t xml:space="preserve">) being required to </w:t>
      </w:r>
      <w:r w:rsidR="00AB44A9">
        <w:t xml:space="preserve">work </w:t>
      </w:r>
      <w:r>
        <w:t>more closely with ACCHOs to implement programs and data sharing, moving beyond the current GP-centric</w:t>
      </w:r>
      <w:r w:rsidR="00BB5697">
        <w:t xml:space="preserve"> approach</w:t>
      </w:r>
      <w:r w:rsidR="00835FF3">
        <w:t>.</w:t>
      </w:r>
      <w:r>
        <w:t xml:space="preserve"> Co-design of health care services will be key to addressing the shortcomings in existing arrangements. </w:t>
      </w:r>
    </w:p>
    <w:tbl>
      <w:tblPr>
        <w:tblStyle w:val="TableGrid"/>
        <w:tblW w:w="0" w:type="auto"/>
        <w:tblBorders>
          <w:top w:val="dotted" w:sz="4" w:space="0" w:color="0097A9" w:themeColor="accent5"/>
          <w:left w:val="dotted" w:sz="4" w:space="0" w:color="0097A9" w:themeColor="accent5"/>
          <w:bottom w:val="dotted" w:sz="4" w:space="0" w:color="0097A9" w:themeColor="accent5"/>
          <w:right w:val="dotted" w:sz="4" w:space="0" w:color="0097A9" w:themeColor="accent5"/>
        </w:tblBorders>
        <w:tblLook w:val="04A0" w:firstRow="1" w:lastRow="0" w:firstColumn="1" w:lastColumn="0" w:noHBand="0" w:noVBand="1"/>
      </w:tblPr>
      <w:tblGrid>
        <w:gridCol w:w="10456"/>
      </w:tblGrid>
      <w:tr w:rsidR="00F0595A" w14:paraId="5953F8B5" w14:textId="77777777" w:rsidTr="00E3224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10C252B" w14:textId="0F4A0AE2" w:rsidR="00F0595A" w:rsidRPr="00BB2C81" w:rsidRDefault="00F0595A">
            <w:pPr>
              <w:pStyle w:val="Summarytable"/>
              <w:rPr>
                <w:color w:val="00707E" w:themeColor="accent5" w:themeShade="BF"/>
              </w:rPr>
            </w:pPr>
            <w:r w:rsidRPr="00E67102">
              <w:rPr>
                <w:noProof/>
                <w:color w:val="00707E" w:themeColor="accent5" w:themeShade="BF"/>
              </w:rPr>
              <w:drawing>
                <wp:inline distT="0" distB="0" distL="0" distR="0" wp14:anchorId="05790EF9" wp14:editId="6C9F1916">
                  <wp:extent cx="270000" cy="270000"/>
                  <wp:effectExtent l="0" t="0" r="0" b="0"/>
                  <wp:docPr id="234" name="Graphic 234" descr="P2160C1T11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P2160C1T112#yIS1">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270000" cy="270000"/>
                          </a:xfrm>
                          <a:prstGeom prst="rect">
                            <a:avLst/>
                          </a:prstGeom>
                        </pic:spPr>
                      </pic:pic>
                    </a:graphicData>
                  </a:graphic>
                </wp:inline>
              </w:drawing>
            </w:r>
            <w:r w:rsidRPr="00E67102">
              <w:rPr>
                <w:color w:val="00707E" w:themeColor="accent5" w:themeShade="BF"/>
              </w:rPr>
              <w:t>Case study:</w:t>
            </w:r>
            <w:r w:rsidRPr="00BB2C81">
              <w:rPr>
                <w:color w:val="00707E" w:themeColor="accent5" w:themeShade="BF"/>
              </w:rPr>
              <w:t xml:space="preserve"> </w:t>
            </w:r>
            <w:r w:rsidR="00CC333A">
              <w:rPr>
                <w:b w:val="0"/>
                <w:bCs w:val="0"/>
                <w:color w:val="00707E" w:themeColor="accent5" w:themeShade="BF"/>
              </w:rPr>
              <w:t>Aboriginal Medical Services deliv</w:t>
            </w:r>
            <w:r w:rsidR="00641A7B">
              <w:rPr>
                <w:b w:val="0"/>
                <w:bCs w:val="0"/>
                <w:color w:val="00707E" w:themeColor="accent5" w:themeShade="BF"/>
              </w:rPr>
              <w:t>ering aged care transition services</w:t>
            </w:r>
            <w:r>
              <w:rPr>
                <w:b w:val="0"/>
                <w:bCs w:val="0"/>
                <w:color w:val="00707E" w:themeColor="accent5" w:themeShade="BF"/>
              </w:rPr>
              <w:t xml:space="preserve"> - </w:t>
            </w:r>
            <w:r w:rsidR="00B552E3" w:rsidRPr="00B552E3">
              <w:rPr>
                <w:b w:val="0"/>
                <w:bCs w:val="0"/>
                <w:color w:val="00707E" w:themeColor="accent5" w:themeShade="BF"/>
              </w:rPr>
              <w:t>Western Australia</w:t>
            </w:r>
          </w:p>
          <w:p w14:paraId="60919AB6" w14:textId="1460C834" w:rsidR="00F0595A" w:rsidRDefault="003D1DCD">
            <w:pPr>
              <w:pStyle w:val="Summarytable"/>
              <w:rPr>
                <w:b w:val="0"/>
                <w:bCs w:val="0"/>
              </w:rPr>
            </w:pPr>
            <w:r>
              <w:rPr>
                <w:b w:val="0"/>
                <w:bCs w:val="0"/>
              </w:rPr>
              <w:t xml:space="preserve">The </w:t>
            </w:r>
            <w:r w:rsidR="00B552E3" w:rsidRPr="00B552E3">
              <w:rPr>
                <w:b w:val="0"/>
                <w:bCs w:val="0"/>
              </w:rPr>
              <w:t>Western Australia</w:t>
            </w:r>
            <w:r>
              <w:rPr>
                <w:b w:val="0"/>
                <w:bCs w:val="0"/>
              </w:rPr>
              <w:t xml:space="preserve"> Department of Health partnered with </w:t>
            </w:r>
            <w:r w:rsidR="00B552E3" w:rsidRPr="00B552E3">
              <w:rPr>
                <w:b w:val="0"/>
                <w:bCs w:val="0"/>
              </w:rPr>
              <w:t>Western Australia</w:t>
            </w:r>
            <w:r w:rsidR="004C7904">
              <w:rPr>
                <w:b w:val="0"/>
                <w:bCs w:val="0"/>
              </w:rPr>
              <w:t>-</w:t>
            </w:r>
            <w:r>
              <w:rPr>
                <w:b w:val="0"/>
                <w:bCs w:val="0"/>
              </w:rPr>
              <w:t xml:space="preserve">based </w:t>
            </w:r>
            <w:r w:rsidR="004C7904">
              <w:rPr>
                <w:b w:val="0"/>
                <w:bCs w:val="0"/>
              </w:rPr>
              <w:t>ACCHOs</w:t>
            </w:r>
            <w:r w:rsidR="00726939">
              <w:rPr>
                <w:b w:val="0"/>
                <w:bCs w:val="0"/>
              </w:rPr>
              <w:t xml:space="preserve"> to build capacity to deliver </w:t>
            </w:r>
            <w:r w:rsidR="00A12B40">
              <w:rPr>
                <w:b w:val="0"/>
                <w:bCs w:val="0"/>
              </w:rPr>
              <w:t>locally led</w:t>
            </w:r>
            <w:r w:rsidR="00726939">
              <w:rPr>
                <w:b w:val="0"/>
                <w:bCs w:val="0"/>
              </w:rPr>
              <w:t>, place-based, culturally appropriate aged care transition care</w:t>
            </w:r>
            <w:r w:rsidR="008515B8">
              <w:rPr>
                <w:b w:val="0"/>
                <w:bCs w:val="0"/>
              </w:rPr>
              <w:t xml:space="preserve"> services</w:t>
            </w:r>
            <w:r w:rsidR="00AD6D78">
              <w:rPr>
                <w:b w:val="0"/>
                <w:bCs w:val="0"/>
              </w:rPr>
              <w:t xml:space="preserve"> through the Transition Care Program</w:t>
            </w:r>
            <w:r w:rsidR="00A0456A">
              <w:rPr>
                <w:b w:val="0"/>
                <w:bCs w:val="0"/>
              </w:rPr>
              <w:t xml:space="preserve"> (TCP). </w:t>
            </w:r>
          </w:p>
          <w:p w14:paraId="4DDEEEAD" w14:textId="49541F10" w:rsidR="00F65CBA" w:rsidRDefault="00F65CBA">
            <w:pPr>
              <w:pStyle w:val="Summarytable"/>
              <w:rPr>
                <w:b w:val="0"/>
                <w:bCs w:val="0"/>
              </w:rPr>
            </w:pPr>
            <w:r>
              <w:rPr>
                <w:b w:val="0"/>
                <w:bCs w:val="0"/>
              </w:rPr>
              <w:t xml:space="preserve">The </w:t>
            </w:r>
            <w:r w:rsidR="00715DD3">
              <w:rPr>
                <w:b w:val="0"/>
                <w:bCs w:val="0"/>
              </w:rPr>
              <w:t>program</w:t>
            </w:r>
            <w:r>
              <w:rPr>
                <w:b w:val="0"/>
                <w:bCs w:val="0"/>
              </w:rPr>
              <w:t xml:space="preserve"> enabled Broome Regional Medical Service (BRAMS), </w:t>
            </w:r>
            <w:r w:rsidR="00A12B40">
              <w:rPr>
                <w:b w:val="0"/>
                <w:bCs w:val="0"/>
              </w:rPr>
              <w:t>Southwest</w:t>
            </w:r>
            <w:r>
              <w:rPr>
                <w:b w:val="0"/>
                <w:bCs w:val="0"/>
              </w:rPr>
              <w:t xml:space="preserve"> Aboriginal Medical Service and Geraldton Regional Aboriginal Medical Service to become the first ACCHOs to expand their services to deliver culturally appropriate transition care for Elders</w:t>
            </w:r>
            <w:r w:rsidR="00CD4BB0">
              <w:rPr>
                <w:b w:val="0"/>
                <w:bCs w:val="0"/>
              </w:rPr>
              <w:t xml:space="preserve">. The </w:t>
            </w:r>
            <w:r w:rsidR="00291A14">
              <w:rPr>
                <w:b w:val="0"/>
                <w:bCs w:val="0"/>
              </w:rPr>
              <w:t xml:space="preserve">initiative </w:t>
            </w:r>
            <w:r w:rsidR="00E443A0">
              <w:rPr>
                <w:b w:val="0"/>
                <w:bCs w:val="0"/>
              </w:rPr>
              <w:t>was</w:t>
            </w:r>
            <w:r w:rsidR="00291A14">
              <w:rPr>
                <w:b w:val="0"/>
                <w:bCs w:val="0"/>
              </w:rPr>
              <w:t xml:space="preserve"> embraced by local Aboriginal communities. </w:t>
            </w:r>
          </w:p>
          <w:p w14:paraId="2F6D27C6" w14:textId="01E55D06" w:rsidR="0026569B" w:rsidRDefault="0026569B">
            <w:pPr>
              <w:pStyle w:val="Summarytable"/>
              <w:rPr>
                <w:b w:val="0"/>
                <w:bCs w:val="0"/>
              </w:rPr>
            </w:pPr>
            <w:r>
              <w:rPr>
                <w:b w:val="0"/>
                <w:bCs w:val="0"/>
              </w:rPr>
              <w:t>The</w:t>
            </w:r>
            <w:r w:rsidR="00A30E80">
              <w:rPr>
                <w:b w:val="0"/>
                <w:bCs w:val="0"/>
              </w:rPr>
              <w:t xml:space="preserve"> program addresses</w:t>
            </w:r>
            <w:r>
              <w:rPr>
                <w:b w:val="0"/>
                <w:bCs w:val="0"/>
              </w:rPr>
              <w:t xml:space="preserve"> the low numbers of </w:t>
            </w:r>
            <w:r w:rsidR="00BE5F5E">
              <w:rPr>
                <w:b w:val="0"/>
                <w:bCs w:val="0"/>
              </w:rPr>
              <w:t>First Nations’</w:t>
            </w:r>
            <w:r>
              <w:rPr>
                <w:b w:val="0"/>
                <w:bCs w:val="0"/>
              </w:rPr>
              <w:t xml:space="preserve"> people accessing TCP and aged care </w:t>
            </w:r>
            <w:r w:rsidR="000B49E6">
              <w:rPr>
                <w:b w:val="0"/>
                <w:bCs w:val="0"/>
              </w:rPr>
              <w:t xml:space="preserve">nationally. </w:t>
            </w:r>
            <w:r w:rsidR="00A30E80">
              <w:rPr>
                <w:b w:val="0"/>
                <w:bCs w:val="0"/>
              </w:rPr>
              <w:t>It</w:t>
            </w:r>
            <w:r w:rsidR="000B49E6">
              <w:rPr>
                <w:b w:val="0"/>
                <w:bCs w:val="0"/>
              </w:rPr>
              <w:t xml:space="preserve"> has supported more older </w:t>
            </w:r>
            <w:r w:rsidR="00BE5F5E">
              <w:rPr>
                <w:b w:val="0"/>
                <w:bCs w:val="0"/>
              </w:rPr>
              <w:t>First Nations’</w:t>
            </w:r>
            <w:r w:rsidR="000B49E6">
              <w:rPr>
                <w:b w:val="0"/>
                <w:bCs w:val="0"/>
              </w:rPr>
              <w:t xml:space="preserve"> people to access TCP services and has achieved positive outcomes reflected through client </w:t>
            </w:r>
            <w:r w:rsidR="00AF5F11">
              <w:rPr>
                <w:b w:val="0"/>
                <w:bCs w:val="0"/>
              </w:rPr>
              <w:t>testimonials</w:t>
            </w:r>
            <w:r w:rsidR="000B49E6">
              <w:rPr>
                <w:b w:val="0"/>
                <w:bCs w:val="0"/>
              </w:rPr>
              <w:t xml:space="preserve"> and clinical measurements assessing a client’s level of independent living, with 90% of clients </w:t>
            </w:r>
            <w:r w:rsidR="00067C29">
              <w:rPr>
                <w:b w:val="0"/>
                <w:bCs w:val="0"/>
              </w:rPr>
              <w:t xml:space="preserve">maintaining or improving their independence. </w:t>
            </w:r>
          </w:p>
          <w:p w14:paraId="1DFE423B" w14:textId="217777C1" w:rsidR="00067C29" w:rsidRDefault="00067C29">
            <w:pPr>
              <w:pStyle w:val="Summarytable"/>
              <w:rPr>
                <w:b w:val="0"/>
                <w:bCs w:val="0"/>
              </w:rPr>
            </w:pPr>
            <w:r>
              <w:rPr>
                <w:b w:val="0"/>
                <w:bCs w:val="0"/>
              </w:rPr>
              <w:t xml:space="preserve">The </w:t>
            </w:r>
            <w:r w:rsidR="00A30E80">
              <w:rPr>
                <w:b w:val="0"/>
                <w:bCs w:val="0"/>
              </w:rPr>
              <w:t>program</w:t>
            </w:r>
            <w:r>
              <w:rPr>
                <w:b w:val="0"/>
                <w:bCs w:val="0"/>
              </w:rPr>
              <w:t xml:space="preserve"> has had a big impact, especially in the Kimberley</w:t>
            </w:r>
            <w:r w:rsidR="00806D57">
              <w:rPr>
                <w:b w:val="0"/>
                <w:bCs w:val="0"/>
              </w:rPr>
              <w:t xml:space="preserve"> </w:t>
            </w:r>
            <w:r w:rsidR="00121E10">
              <w:rPr>
                <w:b w:val="0"/>
                <w:bCs w:val="0"/>
              </w:rPr>
              <w:t xml:space="preserve">region </w:t>
            </w:r>
            <w:r w:rsidR="00806D57">
              <w:rPr>
                <w:b w:val="0"/>
                <w:bCs w:val="0"/>
              </w:rPr>
              <w:t xml:space="preserve">where BRAMS has become the first and only service provider of TCP in the region. </w:t>
            </w:r>
            <w:r w:rsidR="00673032">
              <w:rPr>
                <w:b w:val="0"/>
                <w:bCs w:val="0"/>
              </w:rPr>
              <w:t xml:space="preserve">During April 2022, BRAMS was the only discharge pathway for older people in Broome Hospital </w:t>
            </w:r>
            <w:r w:rsidR="00BB3578">
              <w:rPr>
                <w:b w:val="0"/>
                <w:bCs w:val="0"/>
              </w:rPr>
              <w:t>to aged care with all other aged care providers in Broome closed for admissions</w:t>
            </w:r>
            <w:r w:rsidR="0066172B">
              <w:rPr>
                <w:b w:val="0"/>
                <w:bCs w:val="0"/>
              </w:rPr>
              <w:t>, demonstrating the strength and resilience</w:t>
            </w:r>
            <w:r w:rsidR="00963FB8">
              <w:rPr>
                <w:b w:val="0"/>
                <w:bCs w:val="0"/>
              </w:rPr>
              <w:t xml:space="preserve"> of Aboriginal </w:t>
            </w:r>
            <w:r w:rsidR="00770536">
              <w:rPr>
                <w:b w:val="0"/>
                <w:bCs w:val="0"/>
              </w:rPr>
              <w:t xml:space="preserve">Medical </w:t>
            </w:r>
            <w:r w:rsidR="00963FB8">
              <w:rPr>
                <w:b w:val="0"/>
                <w:bCs w:val="0"/>
              </w:rPr>
              <w:t xml:space="preserve">Services in the region. </w:t>
            </w:r>
          </w:p>
          <w:p w14:paraId="44F3D58A" w14:textId="1FEF4F4C" w:rsidR="00770536" w:rsidRPr="003578B9" w:rsidRDefault="00770536">
            <w:pPr>
              <w:pStyle w:val="Summarytable"/>
              <w:rPr>
                <w:b w:val="0"/>
                <w:bCs w:val="0"/>
              </w:rPr>
            </w:pPr>
            <w:r>
              <w:rPr>
                <w:b w:val="0"/>
                <w:bCs w:val="0"/>
              </w:rPr>
              <w:t>The Pilo</w:t>
            </w:r>
            <w:r w:rsidR="00BF53EF">
              <w:rPr>
                <w:b w:val="0"/>
                <w:bCs w:val="0"/>
              </w:rPr>
              <w:t>t strategically aligns with the NHRA long-term reform agenda</w:t>
            </w:r>
            <w:r w:rsidR="00335540">
              <w:rPr>
                <w:b w:val="0"/>
                <w:bCs w:val="0"/>
              </w:rPr>
              <w:t xml:space="preserve"> and received one-off funding through the NHRA</w:t>
            </w:r>
            <w:r w:rsidR="005B4930">
              <w:rPr>
                <w:b w:val="0"/>
                <w:bCs w:val="0"/>
              </w:rPr>
              <w:t>’s Hea</w:t>
            </w:r>
            <w:r w:rsidR="00DC363A">
              <w:rPr>
                <w:b w:val="0"/>
                <w:bCs w:val="0"/>
              </w:rPr>
              <w:t>l</w:t>
            </w:r>
            <w:r w:rsidR="005B4930">
              <w:rPr>
                <w:b w:val="0"/>
                <w:bCs w:val="0"/>
              </w:rPr>
              <w:t>th Innovation Fund</w:t>
            </w:r>
            <w:r w:rsidR="000E03D3">
              <w:rPr>
                <w:b w:val="0"/>
                <w:bCs w:val="0"/>
              </w:rPr>
              <w:t xml:space="preserve">, </w:t>
            </w:r>
            <w:r w:rsidR="00543252">
              <w:rPr>
                <w:b w:val="0"/>
                <w:bCs w:val="0"/>
              </w:rPr>
              <w:t>with</w:t>
            </w:r>
            <w:r w:rsidR="00E63676">
              <w:rPr>
                <w:b w:val="0"/>
                <w:bCs w:val="0"/>
              </w:rPr>
              <w:t xml:space="preserve"> the capacity building and </w:t>
            </w:r>
            <w:r w:rsidR="00795006">
              <w:rPr>
                <w:b w:val="0"/>
                <w:bCs w:val="0"/>
              </w:rPr>
              <w:t>support work for these pilots</w:t>
            </w:r>
            <w:r w:rsidR="009E78BD">
              <w:rPr>
                <w:b w:val="0"/>
                <w:bCs w:val="0"/>
              </w:rPr>
              <w:t xml:space="preserve"> now fully funded by the State. </w:t>
            </w:r>
          </w:p>
        </w:tc>
      </w:tr>
    </w:tbl>
    <w:p w14:paraId="126E54D5" w14:textId="77777777" w:rsidR="00DE239E" w:rsidRDefault="00DE239E" w:rsidP="00552711"/>
    <w:tbl>
      <w:tblPr>
        <w:tblStyle w:val="TableGrid"/>
        <w:tblW w:w="0" w:type="auto"/>
        <w:tblLayout w:type="fixed"/>
        <w:tblLook w:val="04A0" w:firstRow="1" w:lastRow="0" w:firstColumn="1" w:lastColumn="0" w:noHBand="0" w:noVBand="1"/>
      </w:tblPr>
      <w:tblGrid>
        <w:gridCol w:w="6379"/>
        <w:gridCol w:w="4087"/>
      </w:tblGrid>
      <w:tr w:rsidR="00DE239E" w14:paraId="7076C838" w14:textId="77777777" w:rsidTr="0064743A">
        <w:trPr>
          <w:cnfStyle w:val="100000000000" w:firstRow="1" w:lastRow="0" w:firstColumn="0" w:lastColumn="0" w:oddVBand="0" w:evenVBand="0" w:oddHBand="0" w:evenHBand="0" w:firstRowFirstColumn="0" w:firstRowLastColumn="0" w:lastRowFirstColumn="0" w:lastRowLastColumn="0"/>
        </w:trPr>
        <w:tc>
          <w:tcPr>
            <w:tcW w:w="6379" w:type="dxa"/>
            <w:tcMar>
              <w:top w:w="0" w:type="dxa"/>
            </w:tcMar>
          </w:tcPr>
          <w:p w14:paraId="2D4EED33" w14:textId="70777E6C" w:rsidR="00DE239E" w:rsidRPr="008F5FBD" w:rsidRDefault="00DE239E" w:rsidP="00DE239E">
            <w:pPr>
              <w:ind w:right="288"/>
            </w:pPr>
            <w:r>
              <w:t xml:space="preserve">The NHRA funding model adjusts the NEP for </w:t>
            </w:r>
            <w:r w:rsidR="007452A4">
              <w:t>I</w:t>
            </w:r>
            <w:r>
              <w:t xml:space="preserve">ndigeneity, rurality and other markers of disadvantage/inequity, as per the IHACPA </w:t>
            </w:r>
            <w:r w:rsidRPr="001964FA">
              <w:t xml:space="preserve">National Pricing </w:t>
            </w:r>
            <w:r>
              <w:t>M</w:t>
            </w:r>
            <w:r w:rsidRPr="001964FA">
              <w:t>odel Technical Specifications</w:t>
            </w:r>
            <w:r w:rsidR="003F5D51">
              <w:rPr>
                <w:rFonts w:ascii="ZWAdobeF" w:hAnsi="ZWAdobeF" w:cs="ZWAdobeF"/>
                <w:sz w:val="2"/>
                <w:szCs w:val="2"/>
              </w:rPr>
              <w:t>159F</w:t>
            </w:r>
            <w:r>
              <w:rPr>
                <w:rStyle w:val="FootnoteReference"/>
              </w:rPr>
              <w:footnoteReference w:id="161"/>
            </w:r>
            <w:r w:rsidRPr="00A420C5">
              <w:t>.</w:t>
            </w:r>
            <w:r>
              <w:t xml:space="preserve"> A shortcoming in the operation of the adjustment mechanism relates to the way in which the NEP is set. </w:t>
            </w:r>
            <w:r w:rsidRPr="00C34251">
              <w:t xml:space="preserve">As the input data is drawn from services delivered to all First Nations’ people (generating a broadly based average), the actual cost of providing these services in rural and remote communities, where there are higher numbers of First Nations’ people and their health needs are more acute, are likely to be understated, even after the location of the service and resident is incorporated. These adjustments are determined separately, so there may not be an appropriate adjustment when </w:t>
            </w:r>
            <w:r>
              <w:t>services are delivered both</w:t>
            </w:r>
            <w:r w:rsidRPr="00C34251">
              <w:t xml:space="preserve"> in a remote area and to an Indigenous patient. As a result, activity adjustments for </w:t>
            </w:r>
            <w:r w:rsidR="000F2452">
              <w:t>I</w:t>
            </w:r>
            <w:r w:rsidRPr="00C34251">
              <w:t>ndigeneity (and remoteness) may not be sufficient or equitable to adequately reflect the cost of care for</w:t>
            </w:r>
            <w:r>
              <w:rPr>
                <w:rStyle w:val="cf01"/>
              </w:rPr>
              <w:t> </w:t>
            </w:r>
            <w:r w:rsidRPr="00C34251">
              <w:rPr>
                <w:rStyle w:val="cf01"/>
              </w:rPr>
              <w:t>these communities</w:t>
            </w:r>
            <w:r w:rsidRPr="00CD127E">
              <w:t>.</w:t>
            </w:r>
          </w:p>
        </w:tc>
        <w:tc>
          <w:tcPr>
            <w:tcW w:w="4087" w:type="dxa"/>
            <w:tcMar>
              <w:top w:w="0" w:type="dxa"/>
            </w:tcMar>
            <w:vAlign w:val="center"/>
          </w:tcPr>
          <w:p w14:paraId="25B37406" w14:textId="7C5FCFD6" w:rsidR="00DE239E" w:rsidRPr="00DE239E" w:rsidRDefault="00DE239E" w:rsidP="00DE239E">
            <w:pPr>
              <w:pStyle w:val="Pullout-QuoteGreen"/>
              <w:spacing w:after="120" w:line="216" w:lineRule="auto"/>
              <w:ind w:left="0"/>
              <w:rPr>
                <w:color w:val="007680"/>
              </w:rPr>
            </w:pPr>
            <w:r>
              <w:rPr>
                <w:color w:val="007680"/>
              </w:rPr>
              <w:t>“T</w:t>
            </w:r>
            <w:r w:rsidRPr="00847C5B">
              <w:rPr>
                <w:color w:val="007680"/>
              </w:rPr>
              <w:t xml:space="preserve">he </w:t>
            </w:r>
            <w:r w:rsidR="00600840">
              <w:rPr>
                <w:color w:val="007680"/>
              </w:rPr>
              <w:t>I</w:t>
            </w:r>
            <w:r w:rsidR="00600840" w:rsidRPr="00847C5B">
              <w:rPr>
                <w:color w:val="007680"/>
              </w:rPr>
              <w:t xml:space="preserve">ndigenous </w:t>
            </w:r>
            <w:r w:rsidRPr="00847C5B">
              <w:rPr>
                <w:color w:val="007680"/>
              </w:rPr>
              <w:t>and remoteness adjustments are determined as separate adjustments and applied in an additive way</w:t>
            </w:r>
            <w:r w:rsidR="000F2452">
              <w:rPr>
                <w:color w:val="007680"/>
              </w:rPr>
              <w:t>.</w:t>
            </w:r>
            <w:r w:rsidRPr="00847C5B">
              <w:rPr>
                <w:color w:val="007680"/>
              </w:rPr>
              <w:t xml:space="preserve"> </w:t>
            </w:r>
            <w:r w:rsidR="000F2452">
              <w:rPr>
                <w:color w:val="007680"/>
              </w:rPr>
              <w:t>W</w:t>
            </w:r>
            <w:r w:rsidRPr="00847C5B">
              <w:rPr>
                <w:color w:val="007680"/>
              </w:rPr>
              <w:t>hile the adjustments consider both remoteness and Indigenous status, there</w:t>
            </w:r>
            <w:r w:rsidR="000F2452">
              <w:rPr>
                <w:color w:val="007680"/>
              </w:rPr>
              <w:t xml:space="preserve"> is</w:t>
            </w:r>
            <w:r w:rsidRPr="00847C5B">
              <w:rPr>
                <w:color w:val="007680"/>
              </w:rPr>
              <w:t xml:space="preserve"> potential that the combined effect of these factors, when they interact, might not be fully captured and may result in understatement of costs</w:t>
            </w:r>
            <w:r>
              <w:rPr>
                <w:color w:val="007680"/>
              </w:rPr>
              <w:t>.”</w:t>
            </w:r>
          </w:p>
        </w:tc>
      </w:tr>
    </w:tbl>
    <w:p w14:paraId="09F7C798" w14:textId="4D50CC0F" w:rsidR="008C7A00" w:rsidRDefault="001C6C9F" w:rsidP="008C7A00">
      <w:pPr>
        <w:pStyle w:val="Longdotpoints"/>
        <w:numPr>
          <w:ilvl w:val="0"/>
          <w:numId w:val="0"/>
        </w:numPr>
      </w:pPr>
      <w:r>
        <w:t>Further, these</w:t>
      </w:r>
      <w:r w:rsidR="0085516A">
        <w:t xml:space="preserve"> </w:t>
      </w:r>
      <w:r w:rsidR="0085516A" w:rsidRPr="00CD088B">
        <w:t>legitimate and unavoidable costs</w:t>
      </w:r>
      <w:r w:rsidR="0085516A">
        <w:t xml:space="preserve"> are reflected in the data after the service </w:t>
      </w:r>
      <w:r>
        <w:t>has</w:t>
      </w:r>
      <w:r w:rsidR="0085516A">
        <w:t xml:space="preserve"> been delivered </w:t>
      </w:r>
      <w:r w:rsidR="007C7E2A" w:rsidRPr="00CD088B">
        <w:t>rather than</w:t>
      </w:r>
      <w:r w:rsidR="0064743A">
        <w:t xml:space="preserve"> </w:t>
      </w:r>
      <w:r w:rsidR="0064743A">
        <w:br/>
        <w:t>front-loading</w:t>
      </w:r>
      <w:r w:rsidR="007C7E2A" w:rsidRPr="00CD088B">
        <w:t xml:space="preserve"> appropriate investment in health, including prevention services</w:t>
      </w:r>
      <w:r w:rsidR="007C7E2A">
        <w:t xml:space="preserve">. This is particularly relevant for First </w:t>
      </w:r>
      <w:r>
        <w:t xml:space="preserve">Nations’ </w:t>
      </w:r>
      <w:r w:rsidR="00562123">
        <w:t>p</w:t>
      </w:r>
      <w:r w:rsidR="007C7E2A">
        <w:t xml:space="preserve">eople who </w:t>
      </w:r>
      <w:r w:rsidR="00C607BD">
        <w:t xml:space="preserve">have </w:t>
      </w:r>
      <w:r w:rsidR="00C607BD" w:rsidRPr="00B2531C">
        <w:t>high rates of chronic and preventable diseases</w:t>
      </w:r>
      <w:r w:rsidR="00377565">
        <w:t>, with the b</w:t>
      </w:r>
      <w:r w:rsidR="00377565" w:rsidRPr="00377565">
        <w:t>urden of disease more than twice the rate of the non-Indigenous population</w:t>
      </w:r>
      <w:r w:rsidR="00B2531C" w:rsidRPr="00B2531C">
        <w:t xml:space="preserve"> and 2.6 times more likely to have a preventable hospitalisation</w:t>
      </w:r>
      <w:r w:rsidR="003F5D51">
        <w:rPr>
          <w:rFonts w:ascii="ZWAdobeF" w:hAnsi="ZWAdobeF" w:cs="ZWAdobeF"/>
          <w:sz w:val="2"/>
          <w:szCs w:val="2"/>
        </w:rPr>
        <w:t>160F</w:t>
      </w:r>
      <w:r w:rsidR="00D7782B">
        <w:rPr>
          <w:rStyle w:val="FootnoteReference"/>
        </w:rPr>
        <w:footnoteReference w:id="162"/>
      </w:r>
      <w:r w:rsidRPr="00B2531C">
        <w:t>.</w:t>
      </w:r>
      <w:r w:rsidR="008C7A00">
        <w:t xml:space="preserve"> Further,</w:t>
      </w:r>
      <w:r w:rsidR="00C64635">
        <w:t xml:space="preserve"> </w:t>
      </w:r>
      <w:r w:rsidR="008C7A00">
        <w:t>a considerable gap in life expectancy remains, with mortality rates consistently higher among Indigenous Australians across most causes of death. Recent data spanning 2016 to 2020, reveal an age-standardised mortality rate for Indigenous Australians nearly twice that of their non-Indigenous counterparts (960 versus 522 deaths per 100,000 population respectively)</w:t>
      </w:r>
      <w:r w:rsidR="003F5D51">
        <w:rPr>
          <w:rFonts w:ascii="ZWAdobeF" w:hAnsi="ZWAdobeF" w:cs="ZWAdobeF"/>
          <w:sz w:val="2"/>
          <w:szCs w:val="2"/>
        </w:rPr>
        <w:t>161F</w:t>
      </w:r>
      <w:r w:rsidR="008C7A00">
        <w:rPr>
          <w:rStyle w:val="FootnoteReference"/>
        </w:rPr>
        <w:footnoteReference w:id="163"/>
      </w:r>
      <w:r w:rsidR="008C7A00">
        <w:t>.</w:t>
      </w:r>
    </w:p>
    <w:p w14:paraId="01B0C3C0" w14:textId="076068A4" w:rsidR="00DD4B7D" w:rsidRDefault="002E2B60" w:rsidP="004C1A38">
      <w:r>
        <w:t>T</w:t>
      </w:r>
      <w:r w:rsidR="000816DB">
        <w:t xml:space="preserve">here is a place for the national funding model to better resource the services required to </w:t>
      </w:r>
      <w:r w:rsidR="00837396">
        <w:t>ad</w:t>
      </w:r>
      <w:r w:rsidR="000816DB">
        <w:t xml:space="preserve">dress the gap between </w:t>
      </w:r>
      <w:r w:rsidR="004D41D7">
        <w:t>I</w:t>
      </w:r>
      <w:r w:rsidR="000816DB">
        <w:t>ndigenous and non-</w:t>
      </w:r>
      <w:r w:rsidR="004D41D7">
        <w:t>I</w:t>
      </w:r>
      <w:r w:rsidR="000816DB">
        <w:t xml:space="preserve">ndigenous health outcomes. </w:t>
      </w:r>
      <w:r w:rsidR="005C3180">
        <w:t xml:space="preserve">A </w:t>
      </w:r>
      <w:r w:rsidR="00ED55A2">
        <w:t xml:space="preserve">focus on </w:t>
      </w:r>
      <w:r w:rsidR="001C6C9F">
        <w:t xml:space="preserve">co-design of services with First Nations’ organisations, </w:t>
      </w:r>
      <w:r w:rsidR="00ED55A2">
        <w:t xml:space="preserve">outcome-based funding </w:t>
      </w:r>
      <w:r w:rsidR="001C6C9F">
        <w:t>that puts the onus on the health service to ensure completion of care, and a</w:t>
      </w:r>
      <w:r w:rsidR="00ED55A2">
        <w:t xml:space="preserve"> </w:t>
      </w:r>
      <w:r w:rsidR="00EF2DFB">
        <w:t xml:space="preserve">greater emphasis on </w:t>
      </w:r>
      <w:r w:rsidR="00ED55A2">
        <w:t xml:space="preserve">preventative health could better align with </w:t>
      </w:r>
      <w:r w:rsidR="00ED55A2" w:rsidRPr="00650E28">
        <w:rPr>
          <w:i/>
          <w:iCs/>
        </w:rPr>
        <w:t>Closing the Gap</w:t>
      </w:r>
      <w:r w:rsidR="00ED55A2">
        <w:t xml:space="preserve"> and improve access and equity for </w:t>
      </w:r>
      <w:r w:rsidR="00BE5F5E">
        <w:t>First Nations’</w:t>
      </w:r>
      <w:r w:rsidR="00ED55A2">
        <w:t xml:space="preserve"> people accessing care. </w:t>
      </w:r>
    </w:p>
    <w:p w14:paraId="29FC5A77" w14:textId="07459FE5" w:rsidR="00F64D3A" w:rsidRDefault="004C1A38" w:rsidP="00552711">
      <w:r>
        <w:t>S</w:t>
      </w:r>
      <w:r w:rsidRPr="004E5FF5">
        <w:t>ection</w:t>
      </w:r>
      <w:r w:rsidR="00AB44A9">
        <w:t>s</w:t>
      </w:r>
      <w:r w:rsidRPr="004E5FF5">
        <w:t xml:space="preserve"> </w:t>
      </w:r>
      <w:r w:rsidRPr="004E5FF5">
        <w:fldChar w:fldCharType="begin" w:fldLock="1"/>
      </w:r>
      <w:r w:rsidRPr="004E5FF5">
        <w:instrText xml:space="preserve"> REF _Ref145942286 \w \h  \* MERGEFORMAT </w:instrText>
      </w:r>
      <w:r w:rsidRPr="004E5FF5">
        <w:fldChar w:fldCharType="separate"/>
      </w:r>
      <w:r w:rsidR="00FA10A4">
        <w:t>5.3</w:t>
      </w:r>
      <w:r w:rsidRPr="004E5FF5">
        <w:fldChar w:fldCharType="end"/>
      </w:r>
      <w:r w:rsidRPr="004E5FF5">
        <w:t xml:space="preserve"> </w:t>
      </w:r>
      <w:r>
        <w:t xml:space="preserve">includes </w:t>
      </w:r>
      <w:r w:rsidRPr="004E5FF5">
        <w:t>further information on optimal models of care</w:t>
      </w:r>
      <w:r w:rsidR="00DD4B7D">
        <w:t xml:space="preserve"> </w:t>
      </w:r>
      <w:r w:rsidR="00DD4B7D" w:rsidRPr="00DD4B7D">
        <w:t>at the interface of acute and primary care settings</w:t>
      </w:r>
      <w:r w:rsidR="00DD4B7D">
        <w:t xml:space="preserve"> for chronic disease management and other priority areas. </w:t>
      </w:r>
    </w:p>
    <w:p w14:paraId="2ADAEDFE" w14:textId="093B80E0" w:rsidR="00A63527" w:rsidRDefault="00552711" w:rsidP="00A63527">
      <w:pPr>
        <w:pStyle w:val="Heading3"/>
      </w:pPr>
      <w:r>
        <w:t>P</w:t>
      </w:r>
      <w:r w:rsidR="000F5833">
        <w:t>erformance</w:t>
      </w:r>
      <w:r w:rsidR="00075F3F">
        <w:t xml:space="preserve"> indicators</w:t>
      </w:r>
    </w:p>
    <w:p w14:paraId="46E03D06" w14:textId="416F7280" w:rsidR="006257DB" w:rsidRDefault="006257DB" w:rsidP="006257DB">
      <w:r>
        <w:t>Health Ministers agreed the Australian Health Performance Framework (AHPF) as the single framework to support system-wide reporting on Australia’s health and health care performance</w:t>
      </w:r>
      <w:r w:rsidR="00B7606A">
        <w:t>.</w:t>
      </w:r>
      <w:r>
        <w:t xml:space="preserve"> </w:t>
      </w:r>
      <w:r w:rsidR="00B7606A">
        <w:t>H</w:t>
      </w:r>
      <w:r>
        <w:t>owever</w:t>
      </w:r>
      <w:r w:rsidR="00DC374F">
        <w:t>,</w:t>
      </w:r>
      <w:r>
        <w:t xml:space="preserve"> the AHPF does not include indicators that capture First Nations</w:t>
      </w:r>
      <w:r w:rsidR="00736998">
        <w:t>’</w:t>
      </w:r>
      <w:r>
        <w:t xml:space="preserve"> people</w:t>
      </w:r>
      <w:r w:rsidR="00526159">
        <w:t>’</w:t>
      </w:r>
      <w:r>
        <w:t xml:space="preserve">s experiences of the health system. </w:t>
      </w:r>
    </w:p>
    <w:p w14:paraId="2391F443" w14:textId="13E40756" w:rsidR="00ED215E" w:rsidRDefault="00550003" w:rsidP="00235D37">
      <w:r>
        <w:t>T</w:t>
      </w:r>
      <w:r w:rsidR="00363CD1">
        <w:t xml:space="preserve">o understand the differences in health outcomes for First </w:t>
      </w:r>
      <w:r w:rsidR="006257DB">
        <w:t>Nations’</w:t>
      </w:r>
      <w:r w:rsidR="00363CD1">
        <w:t xml:space="preserve"> people, culturally relevant data metrics </w:t>
      </w:r>
      <w:r w:rsidR="006257DB">
        <w:t>need to</w:t>
      </w:r>
      <w:r w:rsidR="00363CD1">
        <w:t xml:space="preserve"> be included</w:t>
      </w:r>
      <w:r w:rsidR="00DC374F">
        <w:t>,</w:t>
      </w:r>
      <w:r w:rsidR="00363CD1">
        <w:t xml:space="preserve"> as western and biomedical models of health tracking may be insufficient or inappropriate </w:t>
      </w:r>
      <w:r w:rsidR="00DC374F">
        <w:t>in</w:t>
      </w:r>
      <w:r w:rsidR="00363CD1">
        <w:t xml:space="preserve"> </w:t>
      </w:r>
      <w:r w:rsidR="00235D37">
        <w:t xml:space="preserve">First </w:t>
      </w:r>
      <w:r w:rsidR="006257DB">
        <w:t>Nations’</w:t>
      </w:r>
      <w:r w:rsidR="00363CD1">
        <w:t xml:space="preserve"> cultural contexts. </w:t>
      </w:r>
      <w:r w:rsidR="006257DB">
        <w:t xml:space="preserve">A lack of cultural safety in hospitals </w:t>
      </w:r>
      <w:r w:rsidR="00235D37" w:rsidRPr="00CD088B">
        <w:t xml:space="preserve">affects both treatment outcomes and the likelihood of accessing care when it is needed. </w:t>
      </w:r>
    </w:p>
    <w:p w14:paraId="31546317" w14:textId="34B447B7" w:rsidR="00FD243D" w:rsidRDefault="00B73625" w:rsidP="00235D37">
      <w:r>
        <w:t>A</w:t>
      </w:r>
      <w:r w:rsidR="00FD243D" w:rsidRPr="00FD243D">
        <w:t xml:space="preserve">n Interim </w:t>
      </w:r>
      <w:r w:rsidR="00547591">
        <w:t xml:space="preserve">Quantitative </w:t>
      </w:r>
      <w:r w:rsidR="00FD243D" w:rsidRPr="00FD243D">
        <w:t>NHRA Performance Framework was developed</w:t>
      </w:r>
      <w:r>
        <w:t xml:space="preserve"> as part of this Review</w:t>
      </w:r>
      <w:r w:rsidR="00690342">
        <w:t xml:space="preserve"> </w:t>
      </w:r>
      <w:r w:rsidR="00EB2C56">
        <w:t xml:space="preserve">(refer to section </w:t>
      </w:r>
      <w:r w:rsidR="00B34BD8">
        <w:fldChar w:fldCharType="begin" w:fldLock="1"/>
      </w:r>
      <w:r w:rsidR="00B34BD8">
        <w:instrText xml:space="preserve"> REF _Ref146629266 \w \h </w:instrText>
      </w:r>
      <w:r w:rsidR="00B34BD8">
        <w:fldChar w:fldCharType="separate"/>
      </w:r>
      <w:r w:rsidR="00FA10A4">
        <w:t>5.9</w:t>
      </w:r>
      <w:r w:rsidR="00B34BD8">
        <w:fldChar w:fldCharType="end"/>
      </w:r>
      <w:r w:rsidR="00EB2C56">
        <w:t xml:space="preserve">) </w:t>
      </w:r>
      <w:r w:rsidR="00690342">
        <w:t>and includes</w:t>
      </w:r>
      <w:r w:rsidR="00235D37" w:rsidRPr="00CD088B">
        <w:t xml:space="preserve"> proxy </w:t>
      </w:r>
      <w:r w:rsidR="00EB2C56">
        <w:t>indicators</w:t>
      </w:r>
      <w:r w:rsidR="00235D37" w:rsidRPr="00CD088B">
        <w:t xml:space="preserve"> for cultural safety in hospitals</w:t>
      </w:r>
      <w:r w:rsidR="00EF7990">
        <w:t>:</w:t>
      </w:r>
    </w:p>
    <w:p w14:paraId="0D6A3E67" w14:textId="706A7D51" w:rsidR="00EF7990" w:rsidRDefault="00EF7990" w:rsidP="00D4353D">
      <w:pPr>
        <w:pStyle w:val="ListBullet"/>
        <w:ind w:left="567"/>
      </w:pPr>
      <w:r>
        <w:t>T</w:t>
      </w:r>
      <w:r w:rsidR="00235D37" w:rsidRPr="00CD088B">
        <w:t>he proportion of First Nations</w:t>
      </w:r>
      <w:r w:rsidR="00593641">
        <w:t>’</w:t>
      </w:r>
      <w:r w:rsidR="00593641" w:rsidRPr="00CD088B">
        <w:t xml:space="preserve"> </w:t>
      </w:r>
      <w:r w:rsidR="00593641">
        <w:t>people</w:t>
      </w:r>
      <w:r w:rsidR="00235D37" w:rsidRPr="00CD088B">
        <w:t xml:space="preserve"> who left or were discharged from hospital against medical advice in 2020-21 was 4.4 times </w:t>
      </w:r>
      <w:r w:rsidR="00235D37">
        <w:t>higher</w:t>
      </w:r>
      <w:r w:rsidR="00235D37" w:rsidRPr="00CD088B">
        <w:t xml:space="preserve"> than for </w:t>
      </w:r>
      <w:r w:rsidR="009379C2">
        <w:t>non-Ind</w:t>
      </w:r>
      <w:r w:rsidR="00AF26CA">
        <w:t>igenous</w:t>
      </w:r>
      <w:r w:rsidR="009379C2" w:rsidRPr="00CD088B">
        <w:t xml:space="preserve"> </w:t>
      </w:r>
      <w:r w:rsidR="00235D37" w:rsidRPr="00CD088B">
        <w:t xml:space="preserve">Australians. </w:t>
      </w:r>
    </w:p>
    <w:p w14:paraId="3FE8AF1D" w14:textId="5010B442" w:rsidR="00235D37" w:rsidRDefault="00EF7990" w:rsidP="00D4353D">
      <w:pPr>
        <w:pStyle w:val="ListBullet"/>
        <w:spacing w:after="120"/>
        <w:ind w:left="567"/>
      </w:pPr>
      <w:r>
        <w:t>T</w:t>
      </w:r>
      <w:r w:rsidR="00235D37" w:rsidRPr="00CD088B">
        <w:t xml:space="preserve">he difference in median waiting time </w:t>
      </w:r>
      <w:r w:rsidR="00593641">
        <w:t>for</w:t>
      </w:r>
      <w:r w:rsidR="00593641" w:rsidRPr="00CD088B">
        <w:t xml:space="preserve"> </w:t>
      </w:r>
      <w:r w:rsidR="00235D37" w:rsidRPr="00CD088B">
        <w:t>elective surgery between First Nations</w:t>
      </w:r>
      <w:r w:rsidR="00A261C8">
        <w:t>’</w:t>
      </w:r>
      <w:r w:rsidR="00235D37" w:rsidRPr="00CD088B">
        <w:t xml:space="preserve"> people </w:t>
      </w:r>
      <w:r w:rsidR="00593641">
        <w:t>and non-Indigenous</w:t>
      </w:r>
      <w:r w:rsidR="00235D37" w:rsidRPr="00CD088B">
        <w:t xml:space="preserve"> Australians has increased from 4 days in 2012-13 to 11 days in 2021-22</w:t>
      </w:r>
      <w:r w:rsidR="00235D37">
        <w:t>.</w:t>
      </w:r>
      <w:r w:rsidR="00E113C9">
        <w:t xml:space="preserve"> </w:t>
      </w:r>
    </w:p>
    <w:p w14:paraId="5C92C021" w14:textId="496E1075" w:rsidR="006257DB" w:rsidRDefault="006257DB" w:rsidP="006257DB">
      <w:r>
        <w:t xml:space="preserve">Both the </w:t>
      </w:r>
      <w:r w:rsidRPr="000F360C">
        <w:rPr>
          <w:i/>
        </w:rPr>
        <w:t>National Agreement on Closing the Gap</w:t>
      </w:r>
      <w:r>
        <w:t xml:space="preserve"> and the </w:t>
      </w:r>
      <w:r w:rsidRPr="000F360C">
        <w:rPr>
          <w:i/>
        </w:rPr>
        <w:t xml:space="preserve">National Aboriginal and Torres Strait Islander Health </w:t>
      </w:r>
      <w:r w:rsidRPr="00593641">
        <w:rPr>
          <w:i/>
        </w:rPr>
        <w:t>Plan</w:t>
      </w:r>
      <w:r w:rsidRPr="003A5B28">
        <w:rPr>
          <w:i/>
        </w:rPr>
        <w:t xml:space="preserve"> </w:t>
      </w:r>
      <w:r w:rsidR="00593641" w:rsidRPr="003A5B28">
        <w:rPr>
          <w:i/>
        </w:rPr>
        <w:t>2021-2031</w:t>
      </w:r>
      <w:r w:rsidR="00593641">
        <w:t xml:space="preserve"> </w:t>
      </w:r>
      <w:r>
        <w:t>emphasise the importance of First Nations’ people having access to, and ownership of, the data that involves and impacts them. Indigenous Data Sovereignty principles should be appropriately embedded in the design, collection, use and dissemination of Aboriginal and Torres Strait Islander data</w:t>
      </w:r>
      <w:r w:rsidR="0072378B">
        <w:t xml:space="preserve"> in the NHRA</w:t>
      </w:r>
      <w:r>
        <w:t xml:space="preserve">. </w:t>
      </w:r>
    </w:p>
    <w:p w14:paraId="7F8A5001" w14:textId="536F1DB8" w:rsidR="00356453" w:rsidRDefault="00356453" w:rsidP="004706A4">
      <w:pPr>
        <w:pStyle w:val="Heading3"/>
        <w:pageBreakBefore/>
      </w:pPr>
      <w:bookmarkStart w:id="316" w:name="_Ref148445238"/>
      <w:r>
        <w:t>F</w:t>
      </w:r>
      <w:r w:rsidR="003C59A4">
        <w:t xml:space="preserve">ocus </w:t>
      </w:r>
      <w:r w:rsidR="00DE57F0">
        <w:t>of</w:t>
      </w:r>
      <w:r w:rsidR="003C59A4">
        <w:t xml:space="preserve"> a f</w:t>
      </w:r>
      <w:r>
        <w:t>uture Agreement</w:t>
      </w:r>
      <w:bookmarkEnd w:id="316"/>
    </w:p>
    <w:p w14:paraId="42BB316D" w14:textId="261205A3" w:rsidR="004419CA" w:rsidRDefault="00356453" w:rsidP="004419CA">
      <w:r w:rsidRPr="005751D0">
        <w:t xml:space="preserve">A future Agreement should </w:t>
      </w:r>
      <w:r w:rsidR="0072378B">
        <w:t>have</w:t>
      </w:r>
      <w:r w:rsidRPr="005751D0">
        <w:t xml:space="preserve"> a greater focus on </w:t>
      </w:r>
      <w:r>
        <w:t>First Nations</w:t>
      </w:r>
      <w:r w:rsidR="00AB44A9">
        <w:t>’</w:t>
      </w:r>
      <w:r w:rsidRPr="005751D0">
        <w:t xml:space="preserve"> </w:t>
      </w:r>
      <w:r w:rsidR="00A261C8">
        <w:t>people</w:t>
      </w:r>
      <w:r w:rsidR="00526159">
        <w:t>’</w:t>
      </w:r>
      <w:r w:rsidR="00AB44A9">
        <w:t>s</w:t>
      </w:r>
      <w:r w:rsidRPr="005751D0">
        <w:t xml:space="preserve"> health</w:t>
      </w:r>
      <w:r w:rsidR="009A5A65">
        <w:t>.</w:t>
      </w:r>
      <w:r w:rsidR="004419CA" w:rsidRPr="00E34838">
        <w:t xml:space="preserve"> A specific Schedule in a future Agreement would assist with consolidation and clear articulation of government commitments and provide an opportunity to jointly agree tangible milestones and improvements.</w:t>
      </w:r>
      <w:r w:rsidR="004419CA">
        <w:t xml:space="preserve"> </w:t>
      </w:r>
      <w:r w:rsidR="00582F2A">
        <w:t>This Schedule should include or reference the following:</w:t>
      </w:r>
    </w:p>
    <w:p w14:paraId="2264038F" w14:textId="39E69039" w:rsidR="00356453" w:rsidRDefault="003747C4" w:rsidP="00F3118C">
      <w:pPr>
        <w:pStyle w:val="ListBullet"/>
        <w:spacing w:after="120"/>
        <w:ind w:left="567"/>
      </w:pPr>
      <w:r>
        <w:t>S</w:t>
      </w:r>
      <w:r w:rsidR="00356453" w:rsidRPr="005751D0">
        <w:t xml:space="preserve">pecific indicators </w:t>
      </w:r>
      <w:r w:rsidR="007F479A">
        <w:t xml:space="preserve">within the NHRA, </w:t>
      </w:r>
      <w:r w:rsidR="00356453" w:rsidRPr="005751D0">
        <w:t xml:space="preserve">aimed at improving </w:t>
      </w:r>
      <w:r w:rsidR="00356453">
        <w:t>First Nations</w:t>
      </w:r>
      <w:r w:rsidR="00BA6765">
        <w:t>’ health</w:t>
      </w:r>
      <w:r w:rsidR="00356453" w:rsidRPr="005751D0">
        <w:t xml:space="preserve"> outcomes aligned to the four </w:t>
      </w:r>
      <w:r w:rsidR="00356453">
        <w:t xml:space="preserve">cross cutting </w:t>
      </w:r>
      <w:r w:rsidR="00356453" w:rsidRPr="005751D0">
        <w:t xml:space="preserve">priority </w:t>
      </w:r>
      <w:r w:rsidR="00356453">
        <w:t>reform</w:t>
      </w:r>
      <w:r w:rsidR="00356453" w:rsidRPr="005751D0">
        <w:t xml:space="preserve">s in the </w:t>
      </w:r>
      <w:r w:rsidR="00356453" w:rsidRPr="000F360C">
        <w:rPr>
          <w:i/>
        </w:rPr>
        <w:t>National Agreement for Closing the Gap</w:t>
      </w:r>
      <w:r w:rsidR="00356453">
        <w:t xml:space="preserve"> including</w:t>
      </w:r>
      <w:r w:rsidR="00BB5697">
        <w:t xml:space="preserve"> to</w:t>
      </w:r>
      <w:r w:rsidR="00356453">
        <w:t>:</w:t>
      </w:r>
    </w:p>
    <w:p w14:paraId="71E93A12" w14:textId="266160C2" w:rsidR="00356453" w:rsidRPr="00C346EC" w:rsidRDefault="00356453" w:rsidP="003823BE">
      <w:pPr>
        <w:pStyle w:val="Subdotpoint"/>
        <w:spacing w:after="0"/>
        <w:ind w:left="1134" w:hanging="357"/>
      </w:pPr>
      <w:r w:rsidRPr="00C346EC">
        <w:t>Strengthen</w:t>
      </w:r>
      <w:r>
        <w:t xml:space="preserve"> </w:t>
      </w:r>
      <w:r w:rsidRPr="00C346EC">
        <w:t>and establish</w:t>
      </w:r>
      <w:r>
        <w:t xml:space="preserve"> </w:t>
      </w:r>
      <w:r w:rsidRPr="00C346EC">
        <w:t>formal partnerships and shared decision-making</w:t>
      </w:r>
    </w:p>
    <w:p w14:paraId="1B65BC6D" w14:textId="5980F090" w:rsidR="00356453" w:rsidRPr="00C346EC" w:rsidRDefault="00356453" w:rsidP="003823BE">
      <w:pPr>
        <w:pStyle w:val="Subdotpoint"/>
        <w:spacing w:after="0"/>
        <w:ind w:left="1134" w:hanging="357"/>
      </w:pPr>
      <w:r w:rsidRPr="00C346EC">
        <w:t>Build</w:t>
      </w:r>
      <w:r>
        <w:t xml:space="preserve"> </w:t>
      </w:r>
      <w:r w:rsidRPr="00C346EC">
        <w:t>the Aboriginal and Torres Strait Islander community-controlled sector</w:t>
      </w:r>
      <w:r w:rsidR="003325E4">
        <w:t>, including transitioning services and the associated funding to community controlled organisations</w:t>
      </w:r>
    </w:p>
    <w:p w14:paraId="28FA6D0D" w14:textId="1D694B5B" w:rsidR="00356453" w:rsidRPr="00C346EC" w:rsidRDefault="00356453" w:rsidP="003823BE">
      <w:pPr>
        <w:pStyle w:val="Subdotpoint"/>
        <w:spacing w:after="0"/>
        <w:ind w:left="1134" w:hanging="357"/>
      </w:pPr>
      <w:r w:rsidRPr="00C346EC">
        <w:t>Transform</w:t>
      </w:r>
      <w:r>
        <w:t xml:space="preserve"> </w:t>
      </w:r>
      <w:r w:rsidRPr="00C346EC">
        <w:t xml:space="preserve">government organisations so they work better for </w:t>
      </w:r>
      <w:r w:rsidR="0022237E">
        <w:t>First Nations’</w:t>
      </w:r>
      <w:r w:rsidRPr="00C346EC">
        <w:t xml:space="preserve"> people</w:t>
      </w:r>
    </w:p>
    <w:p w14:paraId="2A366231" w14:textId="118E6CB2" w:rsidR="00356453" w:rsidRDefault="00356453" w:rsidP="003823BE">
      <w:pPr>
        <w:pStyle w:val="Subdotpoint"/>
        <w:ind w:left="1134"/>
      </w:pPr>
      <w:r w:rsidRPr="00C346EC">
        <w:t xml:space="preserve">Improve and share access to data and information to enable Aboriginal and Torres Strait Islander communities </w:t>
      </w:r>
      <w:r w:rsidR="00920DBC">
        <w:t xml:space="preserve">to </w:t>
      </w:r>
      <w:r w:rsidRPr="00C346EC">
        <w:t>make informed decisions.</w:t>
      </w:r>
    </w:p>
    <w:p w14:paraId="0361BCCF" w14:textId="6DCF6772" w:rsidR="00FC5BAB" w:rsidRDefault="00FC5BAB" w:rsidP="00F3118C">
      <w:pPr>
        <w:pStyle w:val="ListBullet"/>
        <w:spacing w:after="120"/>
        <w:ind w:left="567"/>
        <w:contextualSpacing w:val="0"/>
      </w:pPr>
      <w:r>
        <w:t>T</w:t>
      </w:r>
      <w:r w:rsidRPr="00FC5BAB">
        <w:t xml:space="preserve">he role of ACCHOs should be articulated with greater clarity and be brought more systematically into health system governance. Additionally, the NHRA should ensure that </w:t>
      </w:r>
      <w:r w:rsidR="00CC74DE">
        <w:t>First Nations’</w:t>
      </w:r>
      <w:r w:rsidRPr="00FC5BAB">
        <w:t xml:space="preserve"> people are in the leadership of all planning and commissioning and ensuring the market, including ACCHOs</w:t>
      </w:r>
      <w:r w:rsidR="007E3ADD">
        <w:t>,</w:t>
      </w:r>
      <w:r w:rsidRPr="00FC5BAB">
        <w:t xml:space="preserve"> is prepared in understanding what commissioning is and how they can rightfully bid for funding.</w:t>
      </w:r>
    </w:p>
    <w:p w14:paraId="5794FDDB" w14:textId="423BC36A" w:rsidR="00254BF2" w:rsidRDefault="00254BF2" w:rsidP="00F3118C">
      <w:pPr>
        <w:pStyle w:val="ListBullet"/>
        <w:spacing w:after="120"/>
        <w:ind w:left="567"/>
        <w:contextualSpacing w:val="0"/>
      </w:pPr>
      <w:r>
        <w:t>Review t</w:t>
      </w:r>
      <w:r w:rsidRPr="00254BF2">
        <w:t xml:space="preserve">he calculation of weightings for </w:t>
      </w:r>
      <w:r w:rsidR="00CD4F56">
        <w:t>I</w:t>
      </w:r>
      <w:r w:rsidRPr="00254BF2">
        <w:t>ndigenous status, residential location and treatment location</w:t>
      </w:r>
      <w:r w:rsidR="009A5A65">
        <w:t xml:space="preserve"> to ensure the purpose of these weightings</w:t>
      </w:r>
      <w:r w:rsidR="009212AD">
        <w:t>, and how they interact,</w:t>
      </w:r>
      <w:r w:rsidR="009A5A65">
        <w:t xml:space="preserve"> </w:t>
      </w:r>
      <w:r w:rsidR="009212AD">
        <w:t>are</w:t>
      </w:r>
      <w:r w:rsidR="009A5A65">
        <w:t xml:space="preserve"> being met</w:t>
      </w:r>
      <w:r w:rsidR="00AB44A9">
        <w:t>, particularly</w:t>
      </w:r>
      <w:r w:rsidR="009A5A65">
        <w:t xml:space="preserve"> in rural and remote </w:t>
      </w:r>
      <w:r w:rsidR="009212AD">
        <w:t>settings</w:t>
      </w:r>
      <w:r w:rsidR="00BB5697">
        <w:t>.</w:t>
      </w:r>
    </w:p>
    <w:p w14:paraId="09DB9E4B" w14:textId="6E33DAAF" w:rsidR="001C3693" w:rsidRDefault="001C3693" w:rsidP="00F3118C">
      <w:pPr>
        <w:pStyle w:val="ListBullet"/>
        <w:spacing w:after="120"/>
        <w:ind w:left="567"/>
        <w:contextualSpacing w:val="0"/>
      </w:pPr>
      <w:r>
        <w:t>I</w:t>
      </w:r>
      <w:r w:rsidRPr="001C3693">
        <w:t xml:space="preserve">nclude more targeted attention to Aboriginal </w:t>
      </w:r>
      <w:r w:rsidR="00593641">
        <w:t xml:space="preserve">and Torres Strait Islander </w:t>
      </w:r>
      <w:r w:rsidRPr="001C3693">
        <w:t xml:space="preserve">health matters </w:t>
      </w:r>
      <w:r w:rsidR="00652E51">
        <w:t>via</w:t>
      </w:r>
      <w:r w:rsidRPr="001C3693">
        <w:t xml:space="preserve"> an additional set of Aboriginal </w:t>
      </w:r>
      <w:r w:rsidR="00593641">
        <w:t xml:space="preserve">and Torres Strait Islander </w:t>
      </w:r>
      <w:r w:rsidRPr="001C3693">
        <w:t xml:space="preserve">health-specific indicators to cover gaps in health-related </w:t>
      </w:r>
      <w:r w:rsidRPr="00650E28">
        <w:rPr>
          <w:i/>
          <w:iCs/>
        </w:rPr>
        <w:t>Closing the Gap</w:t>
      </w:r>
      <w:r w:rsidRPr="001C3693">
        <w:t xml:space="preserve"> reporting and bring greater attention on improving Aboriginal </w:t>
      </w:r>
      <w:r w:rsidR="00CC4193">
        <w:t xml:space="preserve">and Torres Strait Islander </w:t>
      </w:r>
      <w:r w:rsidRPr="001C3693">
        <w:t>health outcomes (e.g. measuring cultural safety in the health system). It is important to have agreed indicators and consistent collection of data relating to these priority groups for monitoring improvements in the cultural safety and accessibility of healthcare</w:t>
      </w:r>
      <w:r w:rsidR="009A5A65">
        <w:t>, developed with First Nations’ representatives.</w:t>
      </w:r>
      <w:r w:rsidRPr="001C3693">
        <w:t xml:space="preserve">  </w:t>
      </w:r>
    </w:p>
    <w:p w14:paraId="49544DA8" w14:textId="64E14087" w:rsidR="005F68A1" w:rsidRDefault="00B01F89" w:rsidP="00F3118C">
      <w:pPr>
        <w:pStyle w:val="ListBullet"/>
        <w:spacing w:after="120"/>
        <w:ind w:left="567"/>
        <w:contextualSpacing w:val="0"/>
      </w:pPr>
      <w:r>
        <w:t xml:space="preserve">Work together </w:t>
      </w:r>
      <w:r w:rsidR="00B66F99">
        <w:t xml:space="preserve">and leverage </w:t>
      </w:r>
      <w:r>
        <w:t>State and Territor</w:t>
      </w:r>
      <w:r w:rsidR="00B66F99">
        <w:t xml:space="preserve">y First </w:t>
      </w:r>
      <w:r w:rsidR="009A5A65">
        <w:t xml:space="preserve">Nations’ frameworks and knowledge to develop a relevant national perspective for the NHRA. Many jurisdictions have implemented solutions, frameworks and initiatives to prioritise </w:t>
      </w:r>
      <w:r w:rsidR="009A5A65" w:rsidRPr="00650E28">
        <w:rPr>
          <w:i/>
          <w:iCs/>
        </w:rPr>
        <w:t>Closing the Gap</w:t>
      </w:r>
      <w:r w:rsidR="009A5A65">
        <w:t xml:space="preserve"> and promote equity.</w:t>
      </w:r>
      <w:r w:rsidR="003C5890">
        <w:t xml:space="preserve"> </w:t>
      </w:r>
      <w:r w:rsidR="00E30F9D">
        <w:t xml:space="preserve">These success factors should be </w:t>
      </w:r>
      <w:r w:rsidR="00771F2F" w:rsidRPr="00771F2F">
        <w:t>draw</w:t>
      </w:r>
      <w:r w:rsidR="009A7E9E">
        <w:t>n</w:t>
      </w:r>
      <w:r w:rsidR="00771F2F" w:rsidRPr="00771F2F">
        <w:t xml:space="preserve"> on to </w:t>
      </w:r>
      <w:r w:rsidR="00E30F9D">
        <w:t xml:space="preserve">develop a </w:t>
      </w:r>
      <w:r w:rsidR="00771F2F" w:rsidRPr="00771F2F">
        <w:t xml:space="preserve">nationwide </w:t>
      </w:r>
      <w:r w:rsidR="00E30F9D">
        <w:t>perspective</w:t>
      </w:r>
      <w:r w:rsidR="004F1DA2">
        <w:t>.</w:t>
      </w:r>
    </w:p>
    <w:tbl>
      <w:tblPr>
        <w:tblStyle w:val="TableGrid"/>
        <w:tblW w:w="0" w:type="auto"/>
        <w:shd w:val="clear" w:color="auto" w:fill="F2F2F2" w:themeFill="background1" w:themeFillShade="F2"/>
        <w:tblLook w:val="04A0" w:firstRow="1" w:lastRow="0" w:firstColumn="1" w:lastColumn="0" w:noHBand="0" w:noVBand="1"/>
      </w:tblPr>
      <w:tblGrid>
        <w:gridCol w:w="10466"/>
      </w:tblGrid>
      <w:tr w:rsidR="00356453" w14:paraId="52F19C04" w14:textId="77777777">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tcPr>
          <w:p w14:paraId="276D856D" w14:textId="59310C39" w:rsidR="00356453" w:rsidRPr="007963DB" w:rsidRDefault="00E67102">
            <w:pPr>
              <w:pStyle w:val="Summarytable"/>
              <w:rPr>
                <w:b w:val="0"/>
                <w:bCs w:val="0"/>
              </w:rPr>
            </w:pPr>
            <w:r>
              <w:rPr>
                <w:noProof/>
                <w:color w:val="0097A9" w:themeColor="accent5"/>
              </w:rPr>
              <w:drawing>
                <wp:inline distT="0" distB="0" distL="0" distR="0" wp14:anchorId="7F9B3012" wp14:editId="7F901780">
                  <wp:extent cx="270000" cy="270000"/>
                  <wp:effectExtent l="0" t="0" r="0" b="0"/>
                  <wp:docPr id="1489793648" name="Graphic 1489793648" descr="P2192C1T11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48" name="Graphic 1489793648" descr="P2192C1T114#yIS1">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70000" cy="270000"/>
                          </a:xfrm>
                          <a:prstGeom prst="rect">
                            <a:avLst/>
                          </a:prstGeom>
                        </pic:spPr>
                      </pic:pic>
                    </a:graphicData>
                  </a:graphic>
                </wp:inline>
              </w:drawing>
            </w:r>
            <w:r w:rsidR="00356453" w:rsidRPr="00222940">
              <w:rPr>
                <w:color w:val="00707E" w:themeColor="accent5" w:themeShade="BF"/>
              </w:rPr>
              <w:t xml:space="preserve">Recommendation </w:t>
            </w:r>
            <w:r w:rsidR="00834528">
              <w:rPr>
                <w:color w:val="00707E" w:themeColor="accent5" w:themeShade="BF"/>
              </w:rPr>
              <w:t>3</w:t>
            </w:r>
            <w:r w:rsidR="004974FB">
              <w:rPr>
                <w:color w:val="00707E" w:themeColor="accent5" w:themeShade="BF"/>
              </w:rPr>
              <w:t>8</w:t>
            </w:r>
            <w:r w:rsidR="00356453" w:rsidRPr="00BB2C81">
              <w:rPr>
                <w:color w:val="00707E" w:themeColor="accent5" w:themeShade="BF"/>
              </w:rPr>
              <w:t xml:space="preserve">: </w:t>
            </w:r>
            <w:r w:rsidR="00936F99">
              <w:rPr>
                <w:b w:val="0"/>
                <w:bCs w:val="0"/>
              </w:rPr>
              <w:t xml:space="preserve">The critical importance of improving the health of First Nations’ people through </w:t>
            </w:r>
            <w:r w:rsidR="00F17FE4">
              <w:rPr>
                <w:b w:val="0"/>
                <w:bCs w:val="0"/>
              </w:rPr>
              <w:t xml:space="preserve">the </w:t>
            </w:r>
            <w:r w:rsidR="00F17FE4" w:rsidRPr="00F17FE4">
              <w:rPr>
                <w:i/>
                <w:iCs/>
              </w:rPr>
              <w:t xml:space="preserve">National Agreement on </w:t>
            </w:r>
            <w:r w:rsidR="00936F99" w:rsidRPr="00F17FE4">
              <w:rPr>
                <w:i/>
                <w:iCs/>
              </w:rPr>
              <w:t>Closing the Gap</w:t>
            </w:r>
            <w:r w:rsidR="00936F99">
              <w:t xml:space="preserve"> should be reflected in</w:t>
            </w:r>
            <w:r w:rsidR="00AB44A9">
              <w:t xml:space="preserve"> a</w:t>
            </w:r>
            <w:r w:rsidR="00936F99">
              <w:t xml:space="preserve"> future Agreement as an additional </w:t>
            </w:r>
            <w:r w:rsidR="00B17643">
              <w:t>S</w:t>
            </w:r>
            <w:r w:rsidR="00936F99">
              <w:t>chedule</w:t>
            </w:r>
            <w:r w:rsidR="00936F99">
              <w:rPr>
                <w:b w:val="0"/>
                <w:bCs w:val="0"/>
              </w:rPr>
              <w:t>. The Schedule should reflect at least the following</w:t>
            </w:r>
            <w:r w:rsidR="00356453" w:rsidRPr="007963DB">
              <w:rPr>
                <w:b w:val="0"/>
                <w:bCs w:val="0"/>
              </w:rPr>
              <w:t>:</w:t>
            </w:r>
          </w:p>
          <w:p w14:paraId="2FA46145" w14:textId="72718717" w:rsidR="00936F99" w:rsidRPr="007D3818" w:rsidRDefault="00936F99" w:rsidP="0051753C">
            <w:pPr>
              <w:pStyle w:val="Summarytable"/>
              <w:numPr>
                <w:ilvl w:val="0"/>
                <w:numId w:val="57"/>
              </w:numPr>
              <w:spacing w:before="0"/>
              <w:ind w:hanging="357"/>
              <w:rPr>
                <w:b w:val="0"/>
                <w:bCs w:val="0"/>
              </w:rPr>
            </w:pPr>
            <w:r>
              <w:rPr>
                <w:b w:val="0"/>
                <w:bCs w:val="0"/>
              </w:rPr>
              <w:t xml:space="preserve">A </w:t>
            </w:r>
            <w:r w:rsidRPr="00F95F8D">
              <w:t xml:space="preserve">shared commitment to </w:t>
            </w:r>
            <w:r w:rsidRPr="00F95F8D">
              <w:rPr>
                <w:i/>
                <w:iCs/>
              </w:rPr>
              <w:t>Closing the Gap</w:t>
            </w:r>
            <w:r w:rsidR="007D3818">
              <w:rPr>
                <w:b w:val="0"/>
                <w:bCs w:val="0"/>
                <w:i/>
                <w:iCs/>
              </w:rPr>
              <w:t xml:space="preserve">, </w:t>
            </w:r>
            <w:r w:rsidR="007D3818" w:rsidRPr="00CC4193">
              <w:rPr>
                <w:b w:val="0"/>
                <w:bCs w:val="0"/>
              </w:rPr>
              <w:t>working in partnership with First Nations’ people</w:t>
            </w:r>
            <w:r w:rsidR="00C5261D" w:rsidRPr="00CC4193">
              <w:rPr>
                <w:b w:val="0"/>
                <w:bCs w:val="0"/>
              </w:rPr>
              <w:t>.</w:t>
            </w:r>
          </w:p>
          <w:p w14:paraId="50345029" w14:textId="7CBD2FF4" w:rsidR="00936F99" w:rsidRDefault="00936F99" w:rsidP="0051753C">
            <w:pPr>
              <w:pStyle w:val="Summarytable"/>
              <w:numPr>
                <w:ilvl w:val="0"/>
                <w:numId w:val="57"/>
              </w:numPr>
              <w:spacing w:before="0"/>
              <w:ind w:hanging="357"/>
              <w:rPr>
                <w:b w:val="0"/>
                <w:bCs w:val="0"/>
              </w:rPr>
            </w:pPr>
            <w:r w:rsidRPr="00F95F8D">
              <w:t xml:space="preserve">Specific actions to </w:t>
            </w:r>
            <w:r w:rsidR="0051753C" w:rsidRPr="00F95F8D">
              <w:t>c</w:t>
            </w:r>
            <w:r w:rsidRPr="00F95F8D">
              <w:t xml:space="preserve">lose the </w:t>
            </w:r>
            <w:r w:rsidR="00C60EFB" w:rsidRPr="00F95F8D">
              <w:t>health</w:t>
            </w:r>
            <w:r w:rsidRPr="00F95F8D">
              <w:t xml:space="preserve"> </w:t>
            </w:r>
            <w:r w:rsidR="0051753C" w:rsidRPr="00F95F8D">
              <w:t>g</w:t>
            </w:r>
            <w:r w:rsidRPr="00F95F8D">
              <w:t>ap</w:t>
            </w:r>
            <w:r>
              <w:rPr>
                <w:b w:val="0"/>
                <w:bCs w:val="0"/>
              </w:rPr>
              <w:t xml:space="preserve"> with accountabilities assigned and performance assessed against agreed milestones</w:t>
            </w:r>
            <w:r w:rsidR="00E14A34">
              <w:rPr>
                <w:b w:val="0"/>
                <w:bCs w:val="0"/>
              </w:rPr>
              <w:t xml:space="preserve">, including cross-cutting </w:t>
            </w:r>
            <w:r w:rsidR="00C5261D">
              <w:rPr>
                <w:b w:val="0"/>
                <w:bCs w:val="0"/>
              </w:rPr>
              <w:t>targets.</w:t>
            </w:r>
          </w:p>
          <w:p w14:paraId="01F4024D" w14:textId="496ECC02" w:rsidR="00936F99" w:rsidRDefault="00936F99" w:rsidP="0051753C">
            <w:pPr>
              <w:pStyle w:val="Summarytable"/>
              <w:numPr>
                <w:ilvl w:val="0"/>
                <w:numId w:val="57"/>
              </w:numPr>
              <w:spacing w:before="0"/>
              <w:ind w:hanging="357"/>
              <w:rPr>
                <w:b w:val="0"/>
                <w:bCs w:val="0"/>
              </w:rPr>
            </w:pPr>
            <w:r>
              <w:rPr>
                <w:b w:val="0"/>
                <w:bCs w:val="0"/>
              </w:rPr>
              <w:t xml:space="preserve">A shared commitment and requirement to </w:t>
            </w:r>
            <w:r w:rsidRPr="00F95F8D">
              <w:t>work with ACCHOs</w:t>
            </w:r>
            <w:r>
              <w:rPr>
                <w:b w:val="0"/>
                <w:bCs w:val="0"/>
              </w:rPr>
              <w:t xml:space="preserve"> and local communities in the design and commissioning of services</w:t>
            </w:r>
            <w:r w:rsidR="00C5261D">
              <w:rPr>
                <w:b w:val="0"/>
                <w:bCs w:val="0"/>
              </w:rPr>
              <w:t xml:space="preserve"> and transitioning of services to community-control.</w:t>
            </w:r>
          </w:p>
          <w:p w14:paraId="6BED92EB" w14:textId="77777777" w:rsidR="00356453" w:rsidRPr="005D1368" w:rsidRDefault="00936F99" w:rsidP="0051753C">
            <w:pPr>
              <w:pStyle w:val="Summarytable"/>
              <w:numPr>
                <w:ilvl w:val="0"/>
                <w:numId w:val="57"/>
              </w:numPr>
              <w:spacing w:before="0"/>
              <w:ind w:hanging="357"/>
              <w:rPr>
                <w:b w:val="0"/>
              </w:rPr>
            </w:pPr>
            <w:r>
              <w:rPr>
                <w:b w:val="0"/>
                <w:bCs w:val="0"/>
              </w:rPr>
              <w:t xml:space="preserve">A shared commitment to </w:t>
            </w:r>
            <w:r w:rsidRPr="00F95F8D">
              <w:t>Cultural Safety</w:t>
            </w:r>
            <w:r>
              <w:rPr>
                <w:b w:val="0"/>
                <w:bCs w:val="0"/>
              </w:rPr>
              <w:t xml:space="preserve"> in health service delivery with agreed measurement and reporting</w:t>
            </w:r>
            <w:r w:rsidR="007D3818">
              <w:rPr>
                <w:b w:val="0"/>
                <w:bCs w:val="0"/>
              </w:rPr>
              <w:t>, including patient experience indicators</w:t>
            </w:r>
            <w:r>
              <w:rPr>
                <w:b w:val="0"/>
                <w:bCs w:val="0"/>
              </w:rPr>
              <w:t>.</w:t>
            </w:r>
          </w:p>
          <w:p w14:paraId="1550AC60" w14:textId="5973DE24" w:rsidR="005D1368" w:rsidRPr="00B17643" w:rsidRDefault="005D1368" w:rsidP="0051753C">
            <w:pPr>
              <w:pStyle w:val="Summarytable"/>
              <w:numPr>
                <w:ilvl w:val="0"/>
                <w:numId w:val="57"/>
              </w:numPr>
              <w:spacing w:before="0"/>
              <w:ind w:hanging="357"/>
              <w:rPr>
                <w:b w:val="0"/>
              </w:rPr>
            </w:pPr>
            <w:r>
              <w:rPr>
                <w:b w:val="0"/>
              </w:rPr>
              <w:t xml:space="preserve">A shared commitment to embed appropriate </w:t>
            </w:r>
            <w:r w:rsidRPr="00F95F8D">
              <w:rPr>
                <w:bCs w:val="0"/>
              </w:rPr>
              <w:t>governance of Indigenous data holdings</w:t>
            </w:r>
            <w:r>
              <w:rPr>
                <w:b w:val="0"/>
              </w:rPr>
              <w:t xml:space="preserve"> held by all levels of government.</w:t>
            </w:r>
          </w:p>
        </w:tc>
      </w:tr>
    </w:tbl>
    <w:p w14:paraId="4A607203" w14:textId="299456AC" w:rsidR="00286B0D" w:rsidRDefault="00286B0D">
      <w:pPr>
        <w:spacing w:after="0" w:line="240" w:lineRule="atLeast"/>
      </w:pPr>
      <w:r>
        <w:br w:type="page"/>
      </w:r>
    </w:p>
    <w:p w14:paraId="46319B92" w14:textId="0C15AE61" w:rsidR="009D6E74" w:rsidRDefault="007833CB" w:rsidP="009D6E74">
      <w:pPr>
        <w:pStyle w:val="Heading2"/>
      </w:pPr>
      <w:bookmarkStart w:id="317" w:name="_Toc143291699"/>
      <w:bookmarkStart w:id="318" w:name="_Ref146699586"/>
      <w:bookmarkStart w:id="319" w:name="_Ref147667999"/>
      <w:r>
        <w:rPr>
          <w:noProof/>
        </w:rPr>
        <w:drawing>
          <wp:anchor distT="0" distB="0" distL="114300" distR="114300" simplePos="0" relativeHeight="251696128" behindDoc="0" locked="0" layoutInCell="1" allowOverlap="1" wp14:anchorId="4FD7E149" wp14:editId="2FC0E083">
            <wp:simplePos x="0" y="0"/>
            <wp:positionH relativeFrom="column">
              <wp:posOffset>5809615</wp:posOffset>
            </wp:positionH>
            <wp:positionV relativeFrom="paragraph">
              <wp:posOffset>0</wp:posOffset>
            </wp:positionV>
            <wp:extent cx="834118" cy="776092"/>
            <wp:effectExtent l="0" t="0" r="4445" b="5080"/>
            <wp:wrapSquare wrapText="bothSides"/>
            <wp:docPr id="481345112" name="Picture 481345112" descr="P220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45112" name="Picture 481345112" descr="P2200#y1">
                      <a:extLst>
                        <a:ext uri="{C183D7F6-B498-43B3-948B-1728B52AA6E4}">
                          <adec:decorative xmlns:adec="http://schemas.microsoft.com/office/drawing/2017/decorative" val="1"/>
                        </a:ext>
                      </a:extLst>
                    </pic:cNvPr>
                    <pic:cNvPicPr/>
                  </pic:nvPicPr>
                  <pic:blipFill>
                    <a:blip r:embed="rId62">
                      <a:extLst>
                        <a:ext uri="{28A0092B-C50C-407E-A947-70E740481C1C}">
                          <a14:useLocalDpi xmlns:a14="http://schemas.microsoft.com/office/drawing/2010/main" val="0"/>
                        </a:ext>
                      </a:extLst>
                    </a:blip>
                    <a:stretch>
                      <a:fillRect/>
                    </a:stretch>
                  </pic:blipFill>
                  <pic:spPr>
                    <a:xfrm>
                      <a:off x="0" y="0"/>
                      <a:ext cx="834118" cy="776092"/>
                    </a:xfrm>
                    <a:prstGeom prst="rect">
                      <a:avLst/>
                    </a:prstGeom>
                  </pic:spPr>
                </pic:pic>
              </a:graphicData>
            </a:graphic>
            <wp14:sizeRelH relativeFrom="page">
              <wp14:pctWidth>0</wp14:pctWidth>
            </wp14:sizeRelH>
            <wp14:sizeRelV relativeFrom="page">
              <wp14:pctHeight>0</wp14:pctHeight>
            </wp14:sizeRelV>
          </wp:anchor>
        </w:drawing>
      </w:r>
      <w:r w:rsidR="009D6E74">
        <w:t>Embedding workforce and digital health as key enablers of the health system</w:t>
      </w:r>
      <w:bookmarkEnd w:id="317"/>
      <w:bookmarkEnd w:id="318"/>
      <w:bookmarkEnd w:id="319"/>
    </w:p>
    <w:p w14:paraId="3FC542D5" w14:textId="77777777" w:rsidR="00667C2E" w:rsidRDefault="00667C2E" w:rsidP="00667C2E">
      <w:pPr>
        <w:rPr>
          <w:color w:val="000000" w:themeColor="text1"/>
        </w:rPr>
      </w:pPr>
      <w:bookmarkStart w:id="320" w:name="_Toc143291700"/>
      <w:bookmarkStart w:id="321" w:name="_Ref143369115"/>
      <w:bookmarkStart w:id="322" w:name="_Ref144302528"/>
      <w:bookmarkStart w:id="323" w:name="_Ref144799091"/>
      <w:bookmarkStart w:id="324" w:name="_Ref144799101"/>
      <w:bookmarkStart w:id="325" w:name="_Ref144994229"/>
      <w:bookmarkStart w:id="326" w:name="_Ref145939529"/>
      <w:bookmarkStart w:id="327" w:name="_Ref145963122"/>
      <w:r>
        <w:rPr>
          <w:color w:val="000000" w:themeColor="text1"/>
        </w:rPr>
        <w:t>Both digital health and workforce are key enablers of health system efficiency and effectiveness and are current gaps in the NHRA. As such, a future Agreement should include a</w:t>
      </w:r>
      <w:r>
        <w:t xml:space="preserve"> national focus on ensuring a sufficient health workforce as well as seamless, safe and secure digital health services and technologies. </w:t>
      </w:r>
    </w:p>
    <w:p w14:paraId="0DA1AC1D" w14:textId="29D70A1D" w:rsidR="00667C2E" w:rsidRPr="00667C2E" w:rsidRDefault="00667C2E">
      <w:pPr>
        <w:pStyle w:val="Heading3"/>
        <w:numPr>
          <w:ilvl w:val="2"/>
          <w:numId w:val="80"/>
        </w:numPr>
      </w:pPr>
      <w:r w:rsidRPr="00667C2E">
        <w:t>Workforce</w:t>
      </w:r>
    </w:p>
    <w:p w14:paraId="0E5499FF" w14:textId="63ED2D73" w:rsidR="00667C2E" w:rsidRDefault="00667C2E" w:rsidP="00667C2E">
      <w:r>
        <w:t xml:space="preserve">A future NHRA provides an opportunity to help address the identified challenges of Australia’s health workforce </w:t>
      </w:r>
      <w:r w:rsidR="00CB1574">
        <w:t>which</w:t>
      </w:r>
      <w:r>
        <w:t xml:space="preserve"> include:</w:t>
      </w:r>
    </w:p>
    <w:p w14:paraId="36B34AF1" w14:textId="2D9C869E" w:rsidR="00667C2E" w:rsidRDefault="00667C2E">
      <w:pPr>
        <w:pStyle w:val="ListParagraph"/>
        <w:numPr>
          <w:ilvl w:val="0"/>
          <w:numId w:val="85"/>
        </w:numPr>
      </w:pPr>
      <w:r>
        <w:t xml:space="preserve">Maldistribution in some professions and specialties (including </w:t>
      </w:r>
      <w:r w:rsidR="00E03F3E" w:rsidRPr="00E03F3E">
        <w:t>Aboriginal and Torres Strait Islander Health</w:t>
      </w:r>
      <w:r>
        <w:t xml:space="preserve">, Primary Care, Aged Care, Allied Health, Mental Health) and compounded in rural and remote areas. </w:t>
      </w:r>
    </w:p>
    <w:p w14:paraId="08B59D50" w14:textId="2FB14ACB" w:rsidR="00667C2E" w:rsidRDefault="0B93E566">
      <w:pPr>
        <w:pStyle w:val="ListParagraph"/>
        <w:numPr>
          <w:ilvl w:val="1"/>
          <w:numId w:val="85"/>
        </w:numPr>
      </w:pPr>
      <w:r w:rsidRPr="00756FE9">
        <w:t>The</w:t>
      </w:r>
      <w:r w:rsidR="00667C2E">
        <w:t xml:space="preserve"> </w:t>
      </w:r>
      <w:r w:rsidR="00756FE9" w:rsidRPr="00756FE9">
        <w:t>specialist-to-population ratio</w:t>
      </w:r>
      <w:r w:rsidR="00CB1574">
        <w:t xml:space="preserve"> </w:t>
      </w:r>
      <w:r w:rsidR="00667C2E">
        <w:t xml:space="preserve">in </w:t>
      </w:r>
      <w:r w:rsidR="00203260">
        <w:t>remote</w:t>
      </w:r>
      <w:r w:rsidR="00667C2E">
        <w:t xml:space="preserve"> areas </w:t>
      </w:r>
      <w:r w:rsidR="00756FE9" w:rsidRPr="00756FE9">
        <w:t xml:space="preserve">is seven times lower than that in </w:t>
      </w:r>
      <w:r w:rsidR="00203260">
        <w:t>major cities</w:t>
      </w:r>
      <w:r w:rsidR="003F5D51">
        <w:rPr>
          <w:rFonts w:ascii="ZWAdobeF" w:hAnsi="ZWAdobeF" w:cs="ZWAdobeF"/>
          <w:sz w:val="2"/>
          <w:szCs w:val="2"/>
        </w:rPr>
        <w:t>162F</w:t>
      </w:r>
      <w:r w:rsidR="00756FE9">
        <w:rPr>
          <w:rStyle w:val="FootnoteReference"/>
        </w:rPr>
        <w:footnoteReference w:id="164"/>
      </w:r>
      <w:r w:rsidR="00667C2E" w:rsidDel="00CB1574">
        <w:t>.</w:t>
      </w:r>
    </w:p>
    <w:p w14:paraId="7E1A6C52" w14:textId="63DC6CDC" w:rsidR="00667C2E" w:rsidRDefault="00667C2E">
      <w:pPr>
        <w:pStyle w:val="ListParagraph"/>
        <w:numPr>
          <w:ilvl w:val="0"/>
          <w:numId w:val="85"/>
        </w:numPr>
      </w:pPr>
      <w:r>
        <w:t xml:space="preserve">Ageing populations and increased rates of chronic disease generate increased demand for primary </w:t>
      </w:r>
      <w:r w:rsidR="00C60EFB">
        <w:t>care.</w:t>
      </w:r>
    </w:p>
    <w:p w14:paraId="2B37C0E8" w14:textId="7175BC98" w:rsidR="00667C2E" w:rsidRDefault="000F360C">
      <w:pPr>
        <w:pStyle w:val="ListParagraph"/>
        <w:numPr>
          <w:ilvl w:val="1"/>
          <w:numId w:val="85"/>
        </w:numPr>
      </w:pPr>
      <w:r>
        <w:t>A</w:t>
      </w:r>
      <w:r w:rsidR="00667C2E">
        <w:t>pproximately 25% of GPs intend to retire in the next five years</w:t>
      </w:r>
      <w:r w:rsidR="003F5D51">
        <w:rPr>
          <w:rFonts w:ascii="ZWAdobeF" w:hAnsi="ZWAdobeF" w:cs="ZWAdobeF"/>
          <w:sz w:val="2"/>
          <w:szCs w:val="2"/>
        </w:rPr>
        <w:t>163F</w:t>
      </w:r>
      <w:r w:rsidR="00667C2E">
        <w:rPr>
          <w:rStyle w:val="FootnoteReference"/>
        </w:rPr>
        <w:footnoteReference w:id="165"/>
      </w:r>
      <w:r w:rsidR="00667C2E">
        <w:t xml:space="preserve"> and, concurrently, there is a fall in the proportion of doctors training as GPs. </w:t>
      </w:r>
      <w:r w:rsidR="001776ED">
        <w:t xml:space="preserve">Nationally, the proportion of final-year medical students listing </w:t>
      </w:r>
      <w:r w:rsidR="00537EA2">
        <w:t>GP</w:t>
      </w:r>
      <w:r w:rsidR="001776ED">
        <w:t xml:space="preserve"> as their first preference speciality was only 13.1% in 2022</w:t>
      </w:r>
      <w:r w:rsidR="003F5D51">
        <w:rPr>
          <w:rFonts w:ascii="ZWAdobeF" w:hAnsi="ZWAdobeF" w:cs="ZWAdobeF"/>
          <w:sz w:val="2"/>
          <w:szCs w:val="2"/>
        </w:rPr>
        <w:t>164F</w:t>
      </w:r>
      <w:r w:rsidR="001776ED">
        <w:rPr>
          <w:rStyle w:val="FootnoteReference"/>
        </w:rPr>
        <w:footnoteReference w:id="166"/>
      </w:r>
      <w:r w:rsidR="00667C2E">
        <w:t>.</w:t>
      </w:r>
    </w:p>
    <w:p w14:paraId="6C2F50D0" w14:textId="0DC4BEF2" w:rsidR="00667C2E" w:rsidRDefault="00667C2E">
      <w:pPr>
        <w:pStyle w:val="ListParagraph"/>
        <w:numPr>
          <w:ilvl w:val="0"/>
          <w:numId w:val="85"/>
        </w:numPr>
      </w:pPr>
      <w:r>
        <w:t xml:space="preserve">Barriers to enabling clinicians working to the top of scope and across care systems include restrictive regulations, resistance to </w:t>
      </w:r>
      <w:r w:rsidR="000B7B39">
        <w:t xml:space="preserve">diverge </w:t>
      </w:r>
      <w:r>
        <w:t>from existing/current traditional roles, funding arrangements and training gaps.</w:t>
      </w:r>
    </w:p>
    <w:p w14:paraId="03EAD0F7" w14:textId="2B0FD294" w:rsidR="00667C2E" w:rsidRDefault="00667C2E" w:rsidP="00667C2E">
      <w:r>
        <w:t>In anticipation of a future Agreement, all jurisdictions should collaborate to address these workforce challenges through:</w:t>
      </w:r>
    </w:p>
    <w:p w14:paraId="165E5D4F" w14:textId="24880015" w:rsidR="00667C2E" w:rsidRDefault="00667C2E">
      <w:pPr>
        <w:pStyle w:val="ListBullet"/>
        <w:numPr>
          <w:ilvl w:val="0"/>
          <w:numId w:val="81"/>
        </w:numPr>
        <w:spacing w:after="120"/>
        <w:ind w:left="709"/>
      </w:pPr>
      <w:r>
        <w:t xml:space="preserve">Alignment to relevant national workforce strategies </w:t>
      </w:r>
    </w:p>
    <w:p w14:paraId="446595FE" w14:textId="77777777" w:rsidR="00667C2E" w:rsidRDefault="00667C2E">
      <w:pPr>
        <w:pStyle w:val="ListBullet"/>
        <w:numPr>
          <w:ilvl w:val="0"/>
          <w:numId w:val="81"/>
        </w:numPr>
        <w:spacing w:after="120"/>
        <w:ind w:left="709"/>
      </w:pPr>
      <w:r>
        <w:t>Ensuring a collaborative Commonwealth, State and Territory focus on an agreed set of strategic priorities and actions (including in regard to professional scope of practice)</w:t>
      </w:r>
    </w:p>
    <w:p w14:paraId="6670D1B0" w14:textId="0ACDDC3C" w:rsidR="00667C2E" w:rsidRDefault="00667C2E">
      <w:pPr>
        <w:pStyle w:val="ListBullet"/>
        <w:numPr>
          <w:ilvl w:val="0"/>
          <w:numId w:val="81"/>
        </w:numPr>
        <w:spacing w:after="120"/>
        <w:ind w:left="709"/>
      </w:pPr>
      <w:r>
        <w:t>Dedicated national medical workforce planning governance oversight</w:t>
      </w:r>
    </w:p>
    <w:p w14:paraId="50D4453C" w14:textId="17560460" w:rsidR="00667C2E" w:rsidRDefault="00667C2E">
      <w:pPr>
        <w:pStyle w:val="ListBullet"/>
        <w:numPr>
          <w:ilvl w:val="0"/>
          <w:numId w:val="81"/>
        </w:numPr>
        <w:spacing w:after="120"/>
        <w:ind w:left="709"/>
      </w:pPr>
      <w:r>
        <w:t>A commitment to the role of the Australian Health Practitioner Regulation Authority (AHPRA).</w:t>
      </w:r>
    </w:p>
    <w:p w14:paraId="753F9785" w14:textId="7E07344C" w:rsidR="00667C2E" w:rsidRPr="00667C2E" w:rsidRDefault="00667C2E" w:rsidP="007745A8">
      <w:pPr>
        <w:pStyle w:val="Heading4"/>
        <w:numPr>
          <w:ilvl w:val="3"/>
          <w:numId w:val="80"/>
        </w:numPr>
      </w:pPr>
      <w:r w:rsidRPr="00667C2E">
        <w:t xml:space="preserve">Alignment with national workforce strategies </w:t>
      </w:r>
    </w:p>
    <w:p w14:paraId="6EAC0639" w14:textId="190E4924" w:rsidR="00667C2E" w:rsidRDefault="00667C2E" w:rsidP="00667C2E">
      <w:r>
        <w:t xml:space="preserve">The NHRA's limited reference to workforce and its lack of alignment with national workforce strategies requires attention. </w:t>
      </w:r>
    </w:p>
    <w:p w14:paraId="1A608684" w14:textId="7DEA5D29" w:rsidR="00667C2E" w:rsidRDefault="00667C2E" w:rsidP="00667C2E">
      <w:r>
        <w:t xml:space="preserve">A future Agreement </w:t>
      </w:r>
      <w:r w:rsidR="00CB1574">
        <w:t>should</w:t>
      </w:r>
      <w:r>
        <w:t xml:space="preserve"> strengthen partnerships between the Commonwealth and States and Territories, and between health services and education providers to further develop, support and sustain those working in the overarching health system. </w:t>
      </w:r>
    </w:p>
    <w:p w14:paraId="0415393E" w14:textId="39682242" w:rsidR="00667C2E" w:rsidRDefault="00667C2E" w:rsidP="00667C2E">
      <w:r>
        <w:t xml:space="preserve">Alignment to relevant workforce strategies should explicitly </w:t>
      </w:r>
      <w:r w:rsidR="00CB1574">
        <w:t xml:space="preserve">drive </w:t>
      </w:r>
      <w:r>
        <w:t>a sense of national purpose, strategies and outcomes through shared effort in the NHRA. This may cover workforce planning (recruitment and retention), reforming career paths, prioritising Teaching, Training and Research (TTR), enabling TTR support within the primary and community-based health sectors, and monitoring and evaluation.</w:t>
      </w:r>
    </w:p>
    <w:p w14:paraId="3D41B758" w14:textId="2C104D3C" w:rsidR="00667C2E" w:rsidRDefault="00667C2E" w:rsidP="00667C2E">
      <w:r>
        <w:t xml:space="preserve">Some of the key national workforce strategies in place or planned that a future Agreement should incorporate or refer to include: </w:t>
      </w:r>
    </w:p>
    <w:p w14:paraId="34C69D68" w14:textId="4CD1003D" w:rsidR="00667C2E" w:rsidRDefault="00667C2E" w:rsidP="00A20593">
      <w:pPr>
        <w:pStyle w:val="Longdotpoints"/>
        <w:ind w:left="567"/>
      </w:pPr>
      <w:r>
        <w:rPr>
          <w:i/>
          <w:iCs/>
        </w:rPr>
        <w:t>National Medical Workforce Strategy 2021-2031</w:t>
      </w:r>
      <w:r w:rsidR="003F5D51">
        <w:rPr>
          <w:rFonts w:ascii="ZWAdobeF" w:hAnsi="ZWAdobeF" w:cs="ZWAdobeF"/>
          <w:iCs/>
          <w:sz w:val="2"/>
          <w:szCs w:val="2"/>
        </w:rPr>
        <w:t>165F</w:t>
      </w:r>
      <w:r>
        <w:rPr>
          <w:rStyle w:val="FootnoteReference"/>
          <w:i/>
          <w:iCs/>
        </w:rPr>
        <w:footnoteReference w:id="167"/>
      </w:r>
      <w:r>
        <w:t xml:space="preserve"> - With endorsement from Health Ministers in December 2021, the strategy aims to structure and support sustainable medical workforce planning</w:t>
      </w:r>
      <w:r w:rsidR="000B7B39">
        <w:t xml:space="preserve"> and reform</w:t>
      </w:r>
      <w:r>
        <w:t xml:space="preserve"> in Australia, improving access to health care by supporting the right people to have the right skills, where needed the most. </w:t>
      </w:r>
    </w:p>
    <w:p w14:paraId="706A9EAA" w14:textId="09030918" w:rsidR="00667C2E" w:rsidRDefault="00667C2E" w:rsidP="00A20593">
      <w:pPr>
        <w:pStyle w:val="Longdotpoints"/>
        <w:ind w:left="567"/>
      </w:pPr>
      <w:r>
        <w:rPr>
          <w:i/>
          <w:iCs/>
        </w:rPr>
        <w:t>National Nursing Workforce Strategy</w:t>
      </w:r>
      <w:r w:rsidR="003F5D51">
        <w:rPr>
          <w:rFonts w:ascii="ZWAdobeF" w:hAnsi="ZWAdobeF" w:cs="ZWAdobeF"/>
          <w:iCs/>
          <w:sz w:val="2"/>
          <w:szCs w:val="2"/>
        </w:rPr>
        <w:t>166F</w:t>
      </w:r>
      <w:r>
        <w:rPr>
          <w:rStyle w:val="FootnoteReference"/>
          <w:i/>
          <w:iCs/>
        </w:rPr>
        <w:footnoteReference w:id="168"/>
      </w:r>
      <w:r>
        <w:t xml:space="preserve"> (NNWS) - The Commonwealth together with Victoria and in collaboration with all States and Territories is developing this strategy. The NNWS will provide a national-level strategic approach to nursing policy, seeking to realise the value of nurses, with the need to ensure that this highly qualified and skilled workforce is supported in Australia. </w:t>
      </w:r>
    </w:p>
    <w:p w14:paraId="5992ACC9" w14:textId="70943F48" w:rsidR="00734BFE" w:rsidRPr="001871E9" w:rsidRDefault="00734BFE" w:rsidP="00A20593">
      <w:pPr>
        <w:pStyle w:val="Longdotpoints"/>
        <w:ind w:left="567"/>
      </w:pPr>
      <w:r w:rsidRPr="001871E9">
        <w:rPr>
          <w:i/>
          <w:iCs/>
        </w:rPr>
        <w:t xml:space="preserve">Nurse Practitioner Workforce Plan – </w:t>
      </w:r>
      <w:r w:rsidRPr="001871E9">
        <w:t>The Commonwealth released the Plan in May 2023 and highlights</w:t>
      </w:r>
      <w:r w:rsidRPr="001871E9">
        <w:rPr>
          <w:i/>
          <w:iCs/>
        </w:rPr>
        <w:t xml:space="preserve"> </w:t>
      </w:r>
      <w:r w:rsidR="00D40DE5" w:rsidRPr="001871E9">
        <w:rPr>
          <w:rFonts w:eastAsia="Calibri"/>
        </w:rPr>
        <w:t>the significant opportunity to increase utilisation of nurse practitioners to meet consumer needs. It details how to remove the barriers currently facing the workforce and build the nurse practitioner workforce, while increasing access to care for all Australian communities.</w:t>
      </w:r>
    </w:p>
    <w:p w14:paraId="30E2A079" w14:textId="54808488" w:rsidR="009F7EDF" w:rsidRDefault="009F7EDF" w:rsidP="009F7EDF">
      <w:pPr>
        <w:pStyle w:val="Longdotpoints"/>
        <w:ind w:left="567"/>
      </w:pPr>
      <w:r w:rsidRPr="15870A4F">
        <w:rPr>
          <w:i/>
          <w:iCs/>
        </w:rPr>
        <w:t>National Aboriginal and Torres Strait Islander Health Workforce Strategic Framework and Implementation Plan 2021-2031</w:t>
      </w:r>
      <w:r w:rsidR="003F5D51">
        <w:rPr>
          <w:rFonts w:ascii="ZWAdobeF" w:hAnsi="ZWAdobeF" w:cs="ZWAdobeF"/>
          <w:iCs/>
          <w:sz w:val="2"/>
          <w:szCs w:val="2"/>
        </w:rPr>
        <w:t>167F</w:t>
      </w:r>
      <w:r w:rsidRPr="15870A4F">
        <w:rPr>
          <w:rStyle w:val="FootnoteReference"/>
          <w:i/>
          <w:iCs/>
        </w:rPr>
        <w:footnoteReference w:id="169"/>
      </w:r>
      <w:r w:rsidRPr="15870A4F">
        <w:rPr>
          <w:i/>
          <w:iCs/>
        </w:rPr>
        <w:t xml:space="preserve"> - </w:t>
      </w:r>
      <w:r>
        <w:t xml:space="preserve">Developed in partnership with Aboriginal and Torres Strait Islander people, </w:t>
      </w:r>
      <w:r w:rsidRPr="15870A4F">
        <w:rPr>
          <w:rFonts w:eastAsia="Calibri"/>
        </w:rPr>
        <w:t xml:space="preserve">and endorsed by all Commonwealth, </w:t>
      </w:r>
      <w:r w:rsidR="00A00CCF">
        <w:rPr>
          <w:rFonts w:eastAsia="Calibri"/>
        </w:rPr>
        <w:t>S</w:t>
      </w:r>
      <w:r w:rsidRPr="15870A4F">
        <w:rPr>
          <w:rFonts w:eastAsia="Calibri"/>
        </w:rPr>
        <w:t xml:space="preserve">tate and </w:t>
      </w:r>
      <w:r w:rsidR="00A00CCF">
        <w:rPr>
          <w:rFonts w:eastAsia="Calibri"/>
        </w:rPr>
        <w:t>T</w:t>
      </w:r>
      <w:r w:rsidRPr="15870A4F">
        <w:rPr>
          <w:rFonts w:eastAsia="Calibri"/>
        </w:rPr>
        <w:t>erritory departments with a responsibility for health and education</w:t>
      </w:r>
      <w:r w:rsidR="004B3570">
        <w:rPr>
          <w:rFonts w:eastAsia="Calibri"/>
        </w:rPr>
        <w:t>,</w:t>
      </w:r>
      <w:r>
        <w:t xml:space="preserve"> this </w:t>
      </w:r>
      <w:r w:rsidRPr="15870A4F">
        <w:rPr>
          <w:rFonts w:eastAsia="Calibri"/>
        </w:rPr>
        <w:t xml:space="preserve"> strategic framework and implementation plan </w:t>
      </w:r>
      <w:r w:rsidRPr="15870A4F">
        <w:rPr>
          <w:rFonts w:eastAsia="Calibri"/>
          <w:color w:val="000000" w:themeColor="text1"/>
        </w:rPr>
        <w:t>aims to grow the Aboriginal and Torres Strait Islander health workforce across all roles, levels and locations, to reach population parity by 2031</w:t>
      </w:r>
      <w:r>
        <w:t xml:space="preserve">. </w:t>
      </w:r>
      <w:r w:rsidRPr="15870A4F">
        <w:rPr>
          <w:rFonts w:eastAsia="Calibri"/>
        </w:rPr>
        <w:t xml:space="preserve">It </w:t>
      </w:r>
      <w:r w:rsidRPr="15870A4F">
        <w:rPr>
          <w:rFonts w:eastAsia="Calibri"/>
          <w:color w:val="000000" w:themeColor="text1"/>
        </w:rPr>
        <w:t>is guided by six overarching strategic directions to attract, recruit and retain First Nations health workers across</w:t>
      </w:r>
      <w:r>
        <w:t xml:space="preserve"> the health sector.</w:t>
      </w:r>
    </w:p>
    <w:p w14:paraId="727ADA0A" w14:textId="526B69D0" w:rsidR="00667C2E" w:rsidRPr="00667C2E" w:rsidRDefault="00667C2E" w:rsidP="007745A8">
      <w:pPr>
        <w:pStyle w:val="Heading4"/>
        <w:numPr>
          <w:ilvl w:val="3"/>
          <w:numId w:val="80"/>
        </w:numPr>
      </w:pPr>
      <w:r w:rsidRPr="00667C2E">
        <w:t>Collaborative Commonwealth</w:t>
      </w:r>
      <w:r w:rsidR="005477FB">
        <w:t>,</w:t>
      </w:r>
      <w:r w:rsidRPr="00667C2E">
        <w:t xml:space="preserve"> State</w:t>
      </w:r>
      <w:r w:rsidR="005477FB">
        <w:t xml:space="preserve"> and </w:t>
      </w:r>
      <w:r w:rsidRPr="00667C2E">
        <w:t>Territory focus</w:t>
      </w:r>
    </w:p>
    <w:p w14:paraId="504800C9" w14:textId="179B82D1" w:rsidR="00667C2E" w:rsidRDefault="00667C2E" w:rsidP="00667C2E">
      <w:r>
        <w:t xml:space="preserve">Collaborative planning and implementation across the Commonwealth, State and Territories are key to developing a sustainable national health workforce. This involves the co-development of a clear vision for the health workforce, aligned to the national workforce strategies outlined above, </w:t>
      </w:r>
      <w:r w:rsidR="00CB1574">
        <w:t xml:space="preserve">with </w:t>
      </w:r>
      <w:r>
        <w:t>a concise set of strategic initiatives. Collaborative planning and implementation would synchronise efforts to ensure that scarce resources are allocated efficiently. Development of the health workforce vision and strategic initiatives should consider the following elements:</w:t>
      </w:r>
    </w:p>
    <w:p w14:paraId="67154928" w14:textId="6315CAFD" w:rsidR="00667C2E" w:rsidRDefault="00667C2E">
      <w:pPr>
        <w:pStyle w:val="ListParagraph"/>
        <w:numPr>
          <w:ilvl w:val="0"/>
          <w:numId w:val="86"/>
        </w:numPr>
        <w:ind w:left="568" w:hanging="284"/>
        <w:contextualSpacing w:val="0"/>
      </w:pPr>
      <w:r>
        <w:rPr>
          <w:b/>
          <w:bCs/>
        </w:rPr>
        <w:t>Using TTR funding as a key lever to drive change</w:t>
      </w:r>
      <w:r>
        <w:t xml:space="preserve">: TTR funding allocation should be aligned with strategic </w:t>
      </w:r>
      <w:r w:rsidR="009A7E9E">
        <w:t xml:space="preserve">workforce </w:t>
      </w:r>
      <w:r>
        <w:t xml:space="preserve">initiatives with sufficient accountability and transparency. Further information on the transparency of TTR funding is </w:t>
      </w:r>
      <w:r w:rsidR="00CB1574">
        <w:t>at</w:t>
      </w:r>
      <w:r>
        <w:t xml:space="preserve"> section </w:t>
      </w:r>
      <w:r w:rsidR="00E74F5D">
        <w:fldChar w:fldCharType="begin" w:fldLock="1"/>
      </w:r>
      <w:r w:rsidR="00E74F5D">
        <w:instrText xml:space="preserve"> REF _Ref146626526 \w \h </w:instrText>
      </w:r>
      <w:r w:rsidR="00E74F5D">
        <w:fldChar w:fldCharType="separate"/>
      </w:r>
      <w:r w:rsidR="00FA10A4">
        <w:t>5.4.4.1</w:t>
      </w:r>
      <w:r w:rsidR="00E74F5D">
        <w:fldChar w:fldCharType="end"/>
      </w:r>
      <w:r w:rsidR="00E74F5D">
        <w:t>.</w:t>
      </w:r>
    </w:p>
    <w:p w14:paraId="50B9F201" w14:textId="21A41311" w:rsidR="00667C2E" w:rsidRDefault="00667C2E">
      <w:pPr>
        <w:pStyle w:val="ListParagraph"/>
        <w:numPr>
          <w:ilvl w:val="0"/>
          <w:numId w:val="87"/>
        </w:numPr>
        <w:ind w:left="568" w:hanging="284"/>
        <w:contextualSpacing w:val="0"/>
      </w:pPr>
      <w:r>
        <w:rPr>
          <w:b/>
          <w:bCs/>
        </w:rPr>
        <w:t>Addressing rural and remote workforce challenges</w:t>
      </w:r>
      <w:r>
        <w:t>: Rural and remote areas experience a shortage of doctors, nurses, Aboriginal</w:t>
      </w:r>
      <w:r w:rsidR="00DA544E">
        <w:t xml:space="preserve"> and Torres Strait Islander</w:t>
      </w:r>
      <w:r>
        <w:t xml:space="preserve"> </w:t>
      </w:r>
      <w:r w:rsidR="00BD5EF4">
        <w:t>health professionals</w:t>
      </w:r>
      <w:r>
        <w:t>, and allied health providers. A joint commitment and funding of workforce capacity-building should cover health service commissioning, explor</w:t>
      </w:r>
      <w:r w:rsidR="009A7E9E">
        <w:t xml:space="preserve">e </w:t>
      </w:r>
      <w:r>
        <w:t xml:space="preserve">innovative workforce models (along the lines of the Single Employer Model </w:t>
      </w:r>
      <w:r w:rsidR="00B86F5C">
        <w:t xml:space="preserve">for GP Registrars </w:t>
      </w:r>
      <w:r>
        <w:t xml:space="preserve">referenced below) and potential new roles to support better care coordination. Additionally, health professions should be enabled to operate across the full scope of practice to support the local delivery of high-quality care. Further information on developing a sustainable rural workforce is </w:t>
      </w:r>
      <w:r w:rsidR="00AE7AB5">
        <w:t>at</w:t>
      </w:r>
      <w:r>
        <w:t xml:space="preserve"> section </w:t>
      </w:r>
      <w:r>
        <w:fldChar w:fldCharType="begin" w:fldLock="1"/>
      </w:r>
      <w:r>
        <w:instrText xml:space="preserve"> REF _Ref146101134 \w \h  \* MERGEFORMAT </w:instrText>
      </w:r>
      <w:r>
        <w:fldChar w:fldCharType="separate"/>
      </w:r>
      <w:r w:rsidR="00FA10A4">
        <w:t>5.6.1.4</w:t>
      </w:r>
      <w:r>
        <w:fldChar w:fldCharType="end"/>
      </w:r>
      <w:r>
        <w:t>.</w:t>
      </w:r>
    </w:p>
    <w:p w14:paraId="61C12DD5" w14:textId="3410B70D" w:rsidR="00667C2E" w:rsidRDefault="00667C2E">
      <w:pPr>
        <w:pStyle w:val="ListParagraph"/>
        <w:numPr>
          <w:ilvl w:val="0"/>
          <w:numId w:val="87"/>
        </w:numPr>
        <w:ind w:left="568" w:hanging="284"/>
        <w:contextualSpacing w:val="0"/>
      </w:pPr>
      <w:r>
        <w:rPr>
          <w:b/>
          <w:bCs/>
        </w:rPr>
        <w:t>Closing the Gap</w:t>
      </w:r>
      <w:r>
        <w:t xml:space="preserve">: The NHRA should address the relevant priorities outlined in the </w:t>
      </w:r>
      <w:r w:rsidRPr="00650E28">
        <w:rPr>
          <w:i/>
          <w:iCs/>
        </w:rPr>
        <w:t>National Agreement on Closing the Gap</w:t>
      </w:r>
      <w:r>
        <w:t xml:space="preserve">, the </w:t>
      </w:r>
      <w:r w:rsidR="003103D9" w:rsidRPr="003103D9">
        <w:rPr>
          <w:i/>
          <w:iCs/>
        </w:rPr>
        <w:t>National Medical Workforce Strategy</w:t>
      </w:r>
      <w:r>
        <w:t xml:space="preserve">, and the </w:t>
      </w:r>
      <w:r>
        <w:rPr>
          <w:i/>
          <w:iCs/>
        </w:rPr>
        <w:t>National Aboriginal and Torres Strait Islander Health Workforce Strategic Framework and Implementation Plan 2021-2031</w:t>
      </w:r>
      <w:r w:rsidR="003103D9">
        <w:rPr>
          <w:i/>
          <w:iCs/>
        </w:rPr>
        <w:t>,</w:t>
      </w:r>
      <w:r>
        <w:t xml:space="preserve"> which call for improving the capacity of the </w:t>
      </w:r>
      <w:r w:rsidR="00FF05D0">
        <w:t xml:space="preserve">health </w:t>
      </w:r>
      <w:r>
        <w:t>workforce to create and maintain culturally safe environments for the Aboriginal and Torres Strait Islander workforce and patients. This includes cultural awareness and competence through governance, equitable funding arrangements, service delivery</w:t>
      </w:r>
      <w:r w:rsidR="009A7E9E">
        <w:t xml:space="preserve"> and</w:t>
      </w:r>
      <w:r>
        <w:t xml:space="preserve"> workforce development, across all health care settings.</w:t>
      </w:r>
    </w:p>
    <w:p w14:paraId="432798A0" w14:textId="1B39288F" w:rsidR="00667C2E" w:rsidRDefault="00667C2E">
      <w:pPr>
        <w:pStyle w:val="ListParagraph"/>
        <w:numPr>
          <w:ilvl w:val="0"/>
          <w:numId w:val="87"/>
        </w:numPr>
        <w:ind w:left="568" w:hanging="284"/>
        <w:contextualSpacing w:val="0"/>
      </w:pPr>
      <w:r>
        <w:rPr>
          <w:b/>
          <w:bCs/>
        </w:rPr>
        <w:t>Improving workforce health and wellbeing:</w:t>
      </w:r>
      <w:r>
        <w:t xml:space="preserve"> The Agreement should outline a shared commitment to health workforce wellbeing, ensuring supportive workplace cultures and practices are in place that address psychosocial safety, bullying, harassment, discrimination, racism, ensure cultural safety, improve workplace flexibility, and implement career-sustaining reforms for health professionals. This may include investing in supporting multi-faceted careers and pathways and addressing issues of burnout to reduce the consequences of supply and retention. </w:t>
      </w:r>
    </w:p>
    <w:tbl>
      <w:tblPr>
        <w:tblStyle w:val="TableGrid"/>
        <w:tblW w:w="0" w:type="auto"/>
        <w:tblBorders>
          <w:top w:val="dotted" w:sz="4" w:space="0" w:color="0097A9" w:themeColor="accent5"/>
          <w:left w:val="dotted" w:sz="4" w:space="0" w:color="0097A9" w:themeColor="accent5"/>
          <w:bottom w:val="dotted" w:sz="4" w:space="0" w:color="0097A9" w:themeColor="accent5"/>
          <w:right w:val="dotted" w:sz="4" w:space="0" w:color="0097A9" w:themeColor="accent5"/>
        </w:tblBorders>
        <w:tblLook w:val="04A0" w:firstRow="1" w:lastRow="0" w:firstColumn="1" w:lastColumn="0" w:noHBand="0" w:noVBand="1"/>
      </w:tblPr>
      <w:tblGrid>
        <w:gridCol w:w="10456"/>
      </w:tblGrid>
      <w:tr w:rsidR="00667C2E" w14:paraId="159E5A43" w14:textId="77777777" w:rsidTr="00667C2E">
        <w:trPr>
          <w:cnfStyle w:val="100000000000" w:firstRow="1" w:lastRow="0" w:firstColumn="0" w:lastColumn="0" w:oddVBand="0" w:evenVBand="0" w:oddHBand="0" w:evenHBand="0" w:firstRowFirstColumn="0" w:firstRowLastColumn="0" w:lastRowFirstColumn="0" w:lastRowLastColumn="0"/>
        </w:trPr>
        <w:tc>
          <w:tcPr>
            <w:tcW w:w="10456" w:type="dxa"/>
            <w:tcBorders>
              <w:top w:val="dotted" w:sz="4" w:space="0" w:color="0097A9" w:themeColor="accent5"/>
              <w:left w:val="dotted" w:sz="4" w:space="0" w:color="0097A9" w:themeColor="accent5"/>
              <w:bottom w:val="dotted" w:sz="4" w:space="0" w:color="0097A9" w:themeColor="accent5"/>
              <w:right w:val="dotted" w:sz="4" w:space="0" w:color="0097A9" w:themeColor="accent5"/>
            </w:tcBorders>
            <w:hideMark/>
          </w:tcPr>
          <w:p w14:paraId="068C0F3E" w14:textId="3A7A4D5B" w:rsidR="00667C2E" w:rsidRDefault="00667C2E">
            <w:pPr>
              <w:pStyle w:val="Summarytable"/>
              <w:rPr>
                <w:color w:val="00707E" w:themeColor="accent5" w:themeShade="BF"/>
                <w:lang w:val="en-GB"/>
              </w:rPr>
            </w:pPr>
            <w:r w:rsidRPr="00E67102">
              <w:rPr>
                <w:noProof/>
                <w:lang w:val="en-GB"/>
              </w:rPr>
              <w:drawing>
                <wp:inline distT="0" distB="0" distL="0" distR="0" wp14:anchorId="1B368647" wp14:editId="29FADFB8">
                  <wp:extent cx="269875" cy="269875"/>
                  <wp:effectExtent l="0" t="0" r="0" b="0"/>
                  <wp:docPr id="481345091" name="Graphic 481345091" descr="P2229C1T115#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1345091" name="Graphic 481345091" descr="P2229C1T115#yIS1">
                            <a:extLst>
                              <a:ext uri="{C183D7F6-B498-43B3-948B-1728B52AA6E4}">
                                <adec:decorative xmlns:adec="http://schemas.microsoft.com/office/drawing/2017/decorative" val="1"/>
                              </a:ext>
                            </a:extLst>
                          </pic:cNvPr>
                          <pic:cNvPicPr>
                            <a:picLocks noChangeAspect="1"/>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269875" cy="269875"/>
                          </a:xfrm>
                          <a:prstGeom prst="rect">
                            <a:avLst/>
                          </a:prstGeom>
                        </pic:spPr>
                      </pic:pic>
                    </a:graphicData>
                  </a:graphic>
                </wp:inline>
              </w:drawing>
            </w:r>
            <w:r w:rsidRPr="00E67102">
              <w:rPr>
                <w:color w:val="00707E" w:themeColor="accent5" w:themeShade="BF"/>
                <w:lang w:val="en-GB"/>
              </w:rPr>
              <w:t>Case study:</w:t>
            </w:r>
            <w:r>
              <w:rPr>
                <w:color w:val="00707E" w:themeColor="accent5" w:themeShade="BF"/>
                <w:lang w:val="en-GB"/>
              </w:rPr>
              <w:t xml:space="preserve"> </w:t>
            </w:r>
            <w:r>
              <w:rPr>
                <w:b w:val="0"/>
                <w:bCs w:val="0"/>
                <w:color w:val="00707E" w:themeColor="accent5" w:themeShade="BF"/>
                <w:lang w:val="en-GB"/>
              </w:rPr>
              <w:t>Single Employer Model (SEM) as a potential strategic initiative</w:t>
            </w:r>
          </w:p>
          <w:p w14:paraId="7189A65D" w14:textId="419D88BD" w:rsidR="00146F1A" w:rsidRDefault="00146F1A" w:rsidP="007634A9">
            <w:pPr>
              <w:spacing w:before="120"/>
              <w:ind w:left="142"/>
              <w:rPr>
                <w:rFonts w:eastAsia="Calibri"/>
                <w:lang w:val="en-GB"/>
              </w:rPr>
            </w:pPr>
            <w:r w:rsidRPr="0534B61A">
              <w:rPr>
                <w:rFonts w:eastAsia="Calibri"/>
                <w:lang w:val="en-GB"/>
              </w:rPr>
              <w:t>Single Employer Model (SEM) trials explore new approaches to employment arrangements for GP trainees, with the aim to address key barriers to attracting and retaining the next generation of GPs.</w:t>
            </w:r>
          </w:p>
          <w:p w14:paraId="48C03F30" w14:textId="750955A8" w:rsidR="00146F1A" w:rsidRDefault="00146F1A" w:rsidP="007634A9">
            <w:pPr>
              <w:spacing w:before="120"/>
              <w:ind w:left="142"/>
              <w:rPr>
                <w:rFonts w:eastAsia="Calibri"/>
                <w:lang w:val="en-GB"/>
              </w:rPr>
            </w:pPr>
            <w:r w:rsidRPr="45DE98C6">
              <w:rPr>
                <w:rFonts w:eastAsia="Calibri"/>
                <w:lang w:val="en-GB"/>
              </w:rPr>
              <w:t xml:space="preserve">The model allows GP trainees to be employed by one employer throughout their training rotations, </w:t>
            </w:r>
            <w:r w:rsidR="00F278CF">
              <w:rPr>
                <w:rFonts w:eastAsia="Calibri"/>
                <w:lang w:val="en-GB"/>
              </w:rPr>
              <w:t>providing</w:t>
            </w:r>
            <w:r w:rsidRPr="45DE98C6">
              <w:rPr>
                <w:rFonts w:eastAsia="Calibri"/>
                <w:lang w:val="en-GB"/>
              </w:rPr>
              <w:t xml:space="preserve"> increased ease of accruing and accessing employment entitlements (such as personal leave, recreation leave and parental leave), and </w:t>
            </w:r>
            <w:r w:rsidR="00F278CF">
              <w:rPr>
                <w:rFonts w:eastAsia="Calibri"/>
                <w:lang w:val="en-GB"/>
              </w:rPr>
              <w:t>greater</w:t>
            </w:r>
            <w:r w:rsidRPr="45DE98C6">
              <w:rPr>
                <w:rFonts w:eastAsia="Calibri"/>
                <w:lang w:val="en-GB"/>
              </w:rPr>
              <w:t xml:space="preserve"> certainty of training arrangements. It will bridge the gap between hospital-based and community-based training placements.</w:t>
            </w:r>
          </w:p>
          <w:p w14:paraId="1244E297" w14:textId="3127FA5B" w:rsidR="00146F1A" w:rsidRDefault="00146F1A" w:rsidP="007634A9">
            <w:pPr>
              <w:spacing w:before="120"/>
              <w:ind w:left="142"/>
              <w:rPr>
                <w:rFonts w:eastAsia="Calibri"/>
                <w:lang w:val="en-GB"/>
              </w:rPr>
            </w:pPr>
            <w:r w:rsidRPr="45DE98C6">
              <w:rPr>
                <w:rFonts w:eastAsia="Calibri"/>
                <w:lang w:val="en-GB"/>
              </w:rPr>
              <w:t xml:space="preserve">Expected benefits of the SEM trials include improved access to </w:t>
            </w:r>
            <w:r w:rsidR="00537EA2">
              <w:rPr>
                <w:rFonts w:eastAsia="Calibri"/>
                <w:lang w:val="en-GB"/>
              </w:rPr>
              <w:t>GP</w:t>
            </w:r>
            <w:r w:rsidRPr="45DE98C6">
              <w:rPr>
                <w:rFonts w:eastAsia="Calibri"/>
                <w:lang w:val="en-GB"/>
              </w:rPr>
              <w:t xml:space="preserve"> services for local communities, both in the immediate term through increased numbers of GP trainees, and in the longer term by encouraging those GP trainees to build local connections in the communities in which they train.  </w:t>
            </w:r>
          </w:p>
          <w:p w14:paraId="77B57FA3" w14:textId="0649B397" w:rsidR="00146F1A" w:rsidRDefault="00146F1A" w:rsidP="007634A9">
            <w:pPr>
              <w:pStyle w:val="Summarytable"/>
              <w:rPr>
                <w:b w:val="0"/>
                <w:bCs w:val="0"/>
                <w:lang w:val="en-GB"/>
              </w:rPr>
            </w:pPr>
            <w:r w:rsidRPr="0534B61A">
              <w:rPr>
                <w:b w:val="0"/>
                <w:bCs w:val="0"/>
                <w:lang w:val="en-GB"/>
              </w:rPr>
              <w:t xml:space="preserve">The initiative makes it more attractive for junior doctors to enter a GP training pathway (via salary and entitlement incentives), while supporting the delivery of services </w:t>
            </w:r>
            <w:r w:rsidR="000704F4" w:rsidRPr="0534B61A">
              <w:rPr>
                <w:b w:val="0"/>
                <w:bCs w:val="0"/>
                <w:lang w:val="en-GB"/>
              </w:rPr>
              <w:t>across</w:t>
            </w:r>
            <w:r w:rsidRPr="0534B61A">
              <w:rPr>
                <w:b w:val="0"/>
                <w:bCs w:val="0"/>
                <w:lang w:val="en-GB"/>
              </w:rPr>
              <w:t xml:space="preserve"> hospitals and </w:t>
            </w:r>
            <w:r w:rsidR="00537EA2">
              <w:rPr>
                <w:b w:val="0"/>
                <w:bCs w:val="0"/>
                <w:lang w:val="en-GB"/>
              </w:rPr>
              <w:t>GPs</w:t>
            </w:r>
            <w:r w:rsidRPr="0534B61A">
              <w:rPr>
                <w:b w:val="0"/>
                <w:bCs w:val="0"/>
                <w:lang w:val="en-GB"/>
              </w:rPr>
              <w:t xml:space="preserve">. </w:t>
            </w:r>
          </w:p>
          <w:p w14:paraId="159F26C0" w14:textId="43CB6BBB" w:rsidR="00667C2E" w:rsidRDefault="00146F1A">
            <w:pPr>
              <w:pStyle w:val="Summarytable"/>
              <w:rPr>
                <w:b w:val="0"/>
                <w:bCs w:val="0"/>
                <w:lang w:val="en-GB"/>
              </w:rPr>
            </w:pPr>
            <w:r w:rsidRPr="00EC3768">
              <w:rPr>
                <w:rFonts w:eastAsia="Calibri"/>
                <w:b w:val="0"/>
                <w:bCs w:val="0"/>
                <w:lang w:val="en-GB"/>
              </w:rPr>
              <w:t xml:space="preserve">Early feedback from the small number of GP trainees and </w:t>
            </w:r>
            <w:r w:rsidR="00537EA2">
              <w:rPr>
                <w:rFonts w:eastAsia="Calibri"/>
                <w:b w:val="0"/>
                <w:bCs w:val="0"/>
                <w:lang w:val="en-GB"/>
              </w:rPr>
              <w:t>GPs</w:t>
            </w:r>
            <w:r w:rsidRPr="00EC3768">
              <w:rPr>
                <w:rFonts w:eastAsia="Calibri"/>
                <w:b w:val="0"/>
                <w:bCs w:val="0"/>
                <w:lang w:val="en-GB"/>
              </w:rPr>
              <w:t xml:space="preserve"> who have participated in trials has been positive. Further trials will test these findings with a larger cohort across a number of localities, and over a longer period of time. A comprehensive evaluation of the trials will commence in the first half of 2024 to assess if the trials are achieving the desired outcomes. Interim evaluation results will inform ongoing implementation plans. </w:t>
            </w:r>
            <w:r w:rsidRPr="000704F4">
              <w:rPr>
                <w:b w:val="0"/>
                <w:bCs w:val="0"/>
                <w:lang w:val="en-GB"/>
              </w:rPr>
              <w:t>The SEM is a potential strategic initiative that could be enabled and supported through joint commitment from the Commonwealth, States and Territories</w:t>
            </w:r>
            <w:r w:rsidRPr="0534B61A">
              <w:rPr>
                <w:b w:val="0"/>
                <w:bCs w:val="0"/>
                <w:lang w:val="en-GB"/>
              </w:rPr>
              <w:t>.</w:t>
            </w:r>
          </w:p>
        </w:tc>
      </w:tr>
    </w:tbl>
    <w:p w14:paraId="76F96CE4" w14:textId="77777777" w:rsidR="00667C2E" w:rsidRDefault="00667C2E" w:rsidP="00667C2E"/>
    <w:p w14:paraId="59D35BA4" w14:textId="77777777" w:rsidR="00667C2E" w:rsidRPr="00667C2E" w:rsidRDefault="00667C2E" w:rsidP="007745A8">
      <w:pPr>
        <w:pStyle w:val="Heading4"/>
        <w:numPr>
          <w:ilvl w:val="3"/>
          <w:numId w:val="80"/>
        </w:numPr>
      </w:pPr>
      <w:r w:rsidRPr="00667C2E">
        <w:t>Dedicated governance oversight</w:t>
      </w:r>
    </w:p>
    <w:p w14:paraId="1C6F8350" w14:textId="0FD2D5B1" w:rsidR="00667C2E" w:rsidRDefault="00667C2E" w:rsidP="00667C2E">
      <w:r>
        <w:t xml:space="preserve">A national focus on ensuring a sufficient and quality health workforce should be recognised in the NHRA, through a dedicated national </w:t>
      </w:r>
      <w:r w:rsidR="00476F5A">
        <w:t xml:space="preserve">health </w:t>
      </w:r>
      <w:r>
        <w:t>workforce planning body, either within the NHRA or referenced by it, along the lines of the previous Health Workforce Australia. This focus would provide a vehicle to drive collaborative reform on workforce priorities.</w:t>
      </w:r>
    </w:p>
    <w:p w14:paraId="7D0D5AA4" w14:textId="616932B1" w:rsidR="00667C2E" w:rsidRDefault="00667C2E" w:rsidP="00667C2E">
      <w:r>
        <w:t xml:space="preserve">Functions of a national </w:t>
      </w:r>
      <w:r w:rsidR="00476F5A">
        <w:t xml:space="preserve">health </w:t>
      </w:r>
      <w:r>
        <w:t xml:space="preserve">workforce planning body could include ensuring national and jurisdictional health workforce planning and analysis, acting as the source of truth for data on health workforce, and guiding health workforce training numbers aligned to community need and vulnerable populations, across sectors, across specialisations, and geographical location. An example identified in consultation was the operation of the </w:t>
      </w:r>
      <w:r>
        <w:rPr>
          <w:i/>
          <w:iCs/>
        </w:rPr>
        <w:t>Health and Care (Staffing) (Scotland) Act 2019</w:t>
      </w:r>
      <w:r w:rsidR="003F5D51">
        <w:rPr>
          <w:rFonts w:ascii="ZWAdobeF" w:hAnsi="ZWAdobeF" w:cs="ZWAdobeF"/>
          <w:iCs/>
          <w:sz w:val="2"/>
          <w:szCs w:val="2"/>
        </w:rPr>
        <w:t>168F</w:t>
      </w:r>
      <w:r>
        <w:rPr>
          <w:rStyle w:val="FootnoteReference"/>
        </w:rPr>
        <w:footnoteReference w:id="170"/>
      </w:r>
      <w:r>
        <w:t xml:space="preserve"> which sets out the vision and strategy for the National Health Service (NHS) Scotland workforce to deliver a resilient, efficient and high-quality healthcare service (refer case study below).</w:t>
      </w:r>
    </w:p>
    <w:tbl>
      <w:tblPr>
        <w:tblStyle w:val="TableGrid"/>
        <w:tblW w:w="0" w:type="auto"/>
        <w:tblBorders>
          <w:top w:val="dotted" w:sz="4" w:space="0" w:color="0097A9" w:themeColor="accent5"/>
          <w:left w:val="dotted" w:sz="4" w:space="0" w:color="0097A9" w:themeColor="accent5"/>
          <w:bottom w:val="dotted" w:sz="4" w:space="0" w:color="0097A9" w:themeColor="accent5"/>
          <w:right w:val="dotted" w:sz="4" w:space="0" w:color="0097A9" w:themeColor="accent5"/>
        </w:tblBorders>
        <w:tblLook w:val="04A0" w:firstRow="1" w:lastRow="0" w:firstColumn="1" w:lastColumn="0" w:noHBand="0" w:noVBand="1"/>
      </w:tblPr>
      <w:tblGrid>
        <w:gridCol w:w="10456"/>
      </w:tblGrid>
      <w:tr w:rsidR="00667C2E" w14:paraId="1C58D8D1" w14:textId="77777777" w:rsidTr="00667C2E">
        <w:trPr>
          <w:cnfStyle w:val="100000000000" w:firstRow="1" w:lastRow="0" w:firstColumn="0" w:lastColumn="0" w:oddVBand="0" w:evenVBand="0" w:oddHBand="0" w:evenHBand="0" w:firstRowFirstColumn="0" w:firstRowLastColumn="0" w:lastRowFirstColumn="0" w:lastRowLastColumn="0"/>
        </w:trPr>
        <w:tc>
          <w:tcPr>
            <w:tcW w:w="10456" w:type="dxa"/>
            <w:tcBorders>
              <w:top w:val="dotted" w:sz="4" w:space="0" w:color="0097A9" w:themeColor="accent5"/>
              <w:left w:val="dotted" w:sz="4" w:space="0" w:color="0097A9" w:themeColor="accent5"/>
              <w:bottom w:val="dotted" w:sz="4" w:space="0" w:color="0097A9" w:themeColor="accent5"/>
              <w:right w:val="dotted" w:sz="4" w:space="0" w:color="0097A9" w:themeColor="accent5"/>
            </w:tcBorders>
            <w:hideMark/>
          </w:tcPr>
          <w:p w14:paraId="045B49D5" w14:textId="5ABD37D7" w:rsidR="00667C2E" w:rsidRDefault="00667C2E" w:rsidP="00C10884">
            <w:pPr>
              <w:pStyle w:val="Summarytable"/>
              <w:keepNext/>
              <w:rPr>
                <w:color w:val="00707E" w:themeColor="accent5" w:themeShade="BF"/>
                <w:lang w:val="en-GB"/>
              </w:rPr>
            </w:pPr>
            <w:r w:rsidRPr="00E67102">
              <w:rPr>
                <w:noProof/>
                <w:lang w:val="en-GB"/>
              </w:rPr>
              <w:drawing>
                <wp:inline distT="0" distB="0" distL="0" distR="0" wp14:anchorId="15CA239E" wp14:editId="4A311F07">
                  <wp:extent cx="269875" cy="269875"/>
                  <wp:effectExtent l="0" t="0" r="0" b="0"/>
                  <wp:docPr id="481345090" name="Graphic 481345090" descr="P2240C1T116#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1345090" name="Graphic 481345090" descr="P2240C1T116#yIS1">
                            <a:extLst>
                              <a:ext uri="{C183D7F6-B498-43B3-948B-1728B52AA6E4}">
                                <adec:decorative xmlns:adec="http://schemas.microsoft.com/office/drawing/2017/decorative" val="1"/>
                              </a:ext>
                            </a:extLst>
                          </pic:cNvPr>
                          <pic:cNvPicPr>
                            <a:picLocks noChangeAspect="1"/>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269875" cy="269875"/>
                          </a:xfrm>
                          <a:prstGeom prst="rect">
                            <a:avLst/>
                          </a:prstGeom>
                        </pic:spPr>
                      </pic:pic>
                    </a:graphicData>
                  </a:graphic>
                </wp:inline>
              </w:drawing>
            </w:r>
            <w:r w:rsidRPr="00E67102">
              <w:rPr>
                <w:color w:val="00707E" w:themeColor="accent5" w:themeShade="BF"/>
                <w:lang w:val="en-GB"/>
              </w:rPr>
              <w:t>Case study:</w:t>
            </w:r>
            <w:r>
              <w:rPr>
                <w:color w:val="00707E" w:themeColor="accent5" w:themeShade="BF"/>
                <w:lang w:val="en-GB"/>
              </w:rPr>
              <w:t xml:space="preserve"> </w:t>
            </w:r>
            <w:r>
              <w:rPr>
                <w:b w:val="0"/>
                <w:bCs w:val="0"/>
                <w:color w:val="00707E" w:themeColor="accent5" w:themeShade="BF"/>
                <w:lang w:val="en-GB"/>
              </w:rPr>
              <w:t xml:space="preserve">The </w:t>
            </w:r>
            <w:r>
              <w:rPr>
                <w:b w:val="0"/>
                <w:bCs w:val="0"/>
                <w:i/>
                <w:iCs/>
                <w:color w:val="00707E" w:themeColor="accent5" w:themeShade="BF"/>
                <w:lang w:val="en-GB"/>
              </w:rPr>
              <w:t>Health and Care (Staffing) (Scotland) Act 2019</w:t>
            </w:r>
          </w:p>
          <w:p w14:paraId="3D2C146B" w14:textId="77777777" w:rsidR="00667C2E" w:rsidRDefault="00667C2E">
            <w:pPr>
              <w:ind w:left="142"/>
              <w:rPr>
                <w:lang w:val="en-GB"/>
              </w:rPr>
            </w:pPr>
            <w:r>
              <w:rPr>
                <w:lang w:val="en-GB"/>
              </w:rPr>
              <w:t xml:space="preserve">The </w:t>
            </w:r>
            <w:r>
              <w:rPr>
                <w:i/>
                <w:iCs/>
                <w:lang w:val="en-GB"/>
              </w:rPr>
              <w:t>Health and Care (Staffing) (Scotland) Act 2019</w:t>
            </w:r>
            <w:r>
              <w:rPr>
                <w:lang w:val="en-GB"/>
              </w:rPr>
              <w:t xml:space="preserve"> provides a statutory basis for the provision of appropriate staffing in health and care service settings, enabling safe and high-quality care and improved outcomes for service users. It does this by ensuring that the right people with the right skills are in the right place at the right time creating better outcomes for patients and service users and supporting the wellbeing of staff. </w:t>
            </w:r>
          </w:p>
          <w:p w14:paraId="5F1834DF" w14:textId="77777777" w:rsidR="00667C2E" w:rsidRDefault="00667C2E">
            <w:pPr>
              <w:ind w:left="142"/>
              <w:rPr>
                <w:lang w:val="en-GB"/>
              </w:rPr>
            </w:pPr>
            <w:r>
              <w:rPr>
                <w:lang w:val="en-GB"/>
              </w:rPr>
              <w:t xml:space="preserve">The effective application of this legislation: </w:t>
            </w:r>
          </w:p>
          <w:p w14:paraId="3EB12D59" w14:textId="77777777" w:rsidR="00667C2E" w:rsidRDefault="00667C2E">
            <w:pPr>
              <w:pStyle w:val="ListParagraph"/>
              <w:numPr>
                <w:ilvl w:val="0"/>
                <w:numId w:val="88"/>
              </w:numPr>
              <w:rPr>
                <w:lang w:val="en-GB"/>
              </w:rPr>
            </w:pPr>
            <w:r>
              <w:rPr>
                <w:lang w:val="en-GB"/>
              </w:rPr>
              <w:t>Provides assurance that staffing is appropriate to support high quality care, identify where improvements in quality are required and determine where staffing has impacted on quality of care.</w:t>
            </w:r>
          </w:p>
          <w:p w14:paraId="2E257D1C" w14:textId="77777777" w:rsidR="00667C2E" w:rsidRDefault="00667C2E">
            <w:pPr>
              <w:pStyle w:val="ListParagraph"/>
              <w:numPr>
                <w:ilvl w:val="0"/>
                <w:numId w:val="88"/>
              </w:numPr>
              <w:rPr>
                <w:lang w:val="en-GB"/>
              </w:rPr>
            </w:pPr>
            <w:r>
              <w:rPr>
                <w:lang w:val="en-GB"/>
              </w:rPr>
              <w:t>Supports an open and honest culture where clinical/professional staff are engaged in relevant processes and informed about decisions relating to staffing requirements.</w:t>
            </w:r>
          </w:p>
          <w:p w14:paraId="6F3D637A" w14:textId="77777777" w:rsidR="00667C2E" w:rsidRDefault="00667C2E">
            <w:pPr>
              <w:pStyle w:val="ListParagraph"/>
              <w:numPr>
                <w:ilvl w:val="0"/>
                <w:numId w:val="88"/>
              </w:numPr>
              <w:rPr>
                <w:lang w:val="en-GB"/>
              </w:rPr>
            </w:pPr>
            <w:r>
              <w:rPr>
                <w:lang w:val="en-GB"/>
              </w:rPr>
              <w:t>Enables further improvements in workforce planning by strengthening and enhancing arrangements already in place to support transparency in staffing and employment practice.</w:t>
            </w:r>
          </w:p>
          <w:p w14:paraId="211E2407" w14:textId="77777777" w:rsidR="00667C2E" w:rsidRDefault="00667C2E">
            <w:pPr>
              <w:pStyle w:val="ListParagraph"/>
              <w:numPr>
                <w:ilvl w:val="0"/>
                <w:numId w:val="88"/>
              </w:numPr>
              <w:rPr>
                <w:lang w:val="en-GB"/>
              </w:rPr>
            </w:pPr>
            <w:r>
              <w:rPr>
                <w:lang w:val="en-GB"/>
              </w:rPr>
              <w:t>Ensures the clinical voice is heard at all levels by ensuring arrangements are in place to seek and take appropriate clinical advice in making decisions and putting in place arrangements in relation to staffing.</w:t>
            </w:r>
          </w:p>
        </w:tc>
      </w:tr>
    </w:tbl>
    <w:p w14:paraId="17828D37" w14:textId="77777777" w:rsidR="00667C2E" w:rsidRDefault="00667C2E" w:rsidP="00667C2E"/>
    <w:p w14:paraId="06702ECE" w14:textId="77777777" w:rsidR="00667C2E" w:rsidRPr="00667C2E" w:rsidRDefault="00667C2E" w:rsidP="007745A8">
      <w:pPr>
        <w:pStyle w:val="Heading4"/>
        <w:numPr>
          <w:ilvl w:val="3"/>
          <w:numId w:val="80"/>
        </w:numPr>
      </w:pPr>
      <w:r w:rsidRPr="00667C2E">
        <w:t>Working to full scope of practice</w:t>
      </w:r>
    </w:p>
    <w:p w14:paraId="18C054AD" w14:textId="02B0AAE2" w:rsidR="00667C2E" w:rsidRDefault="00667C2E" w:rsidP="00667C2E">
      <w:r>
        <w:t xml:space="preserve">A key element of workforce effectiveness is to use the medical workforce at its full scope or practice across all professions. There is a need for a national consensus on what this means, establishing methods to ensure safe practice standards, developing more career progression opportunities, and systematically </w:t>
      </w:r>
      <w:r w:rsidR="00880025">
        <w:t>identifying</w:t>
      </w:r>
      <w:r>
        <w:t xml:space="preserve"> and removing barriers that currently exist. There are a variety of examples of progress in this area which </w:t>
      </w:r>
      <w:r w:rsidR="00CD0F8A">
        <w:t>were</w:t>
      </w:r>
      <w:r>
        <w:t xml:space="preserve"> presented to the Review</w:t>
      </w:r>
      <w:r w:rsidR="00CD0F8A">
        <w:t>,</w:t>
      </w:r>
      <w:r>
        <w:t xml:space="preserve"> but what is lacking is a systematic and connected approach, with a particular focus </w:t>
      </w:r>
      <w:r w:rsidR="009A7E9E">
        <w:t xml:space="preserve">on </w:t>
      </w:r>
      <w:r>
        <w:t>current and emerging areas of workforce shortage.</w:t>
      </w:r>
    </w:p>
    <w:tbl>
      <w:tblPr>
        <w:tblStyle w:val="TableGrid"/>
        <w:tblW w:w="0" w:type="auto"/>
        <w:tblBorders>
          <w:top w:val="dotted" w:sz="4" w:space="0" w:color="0097A9" w:themeColor="accent5"/>
          <w:left w:val="dotted" w:sz="4" w:space="0" w:color="0097A9" w:themeColor="accent5"/>
          <w:bottom w:val="dotted" w:sz="4" w:space="0" w:color="0097A9" w:themeColor="accent5"/>
          <w:right w:val="dotted" w:sz="4" w:space="0" w:color="0097A9" w:themeColor="accent5"/>
        </w:tblBorders>
        <w:tblLook w:val="04A0" w:firstRow="1" w:lastRow="0" w:firstColumn="1" w:lastColumn="0" w:noHBand="0" w:noVBand="1"/>
      </w:tblPr>
      <w:tblGrid>
        <w:gridCol w:w="10456"/>
      </w:tblGrid>
      <w:tr w:rsidR="00667C2E" w14:paraId="774AF18A" w14:textId="77777777" w:rsidTr="00C77641">
        <w:trPr>
          <w:cnfStyle w:val="100000000000" w:firstRow="1" w:lastRow="0" w:firstColumn="0" w:lastColumn="0" w:oddVBand="0" w:evenVBand="0" w:oddHBand="0" w:evenHBand="0" w:firstRowFirstColumn="0" w:firstRowLastColumn="0" w:lastRowFirstColumn="0" w:lastRowLastColumn="0"/>
        </w:trPr>
        <w:tc>
          <w:tcPr>
            <w:tcW w:w="10456" w:type="dxa"/>
            <w:tcBorders>
              <w:top w:val="dotted" w:sz="4" w:space="0" w:color="0097A9" w:themeColor="accent5"/>
              <w:left w:val="dotted" w:sz="4" w:space="0" w:color="0097A9" w:themeColor="accent5"/>
              <w:bottom w:val="dotted" w:sz="4" w:space="0" w:color="0097A9" w:themeColor="accent5"/>
              <w:right w:val="dotted" w:sz="4" w:space="0" w:color="0097A9" w:themeColor="accent5"/>
            </w:tcBorders>
            <w:hideMark/>
          </w:tcPr>
          <w:p w14:paraId="5142A3A5" w14:textId="0D687E9D" w:rsidR="00667C2E" w:rsidRDefault="00667C2E">
            <w:pPr>
              <w:pStyle w:val="Summarytable"/>
              <w:rPr>
                <w:color w:val="00707E" w:themeColor="accent5" w:themeShade="BF"/>
                <w:lang w:val="en-GB"/>
              </w:rPr>
            </w:pPr>
            <w:r w:rsidRPr="00E67102">
              <w:rPr>
                <w:noProof/>
                <w:lang w:val="en-GB"/>
              </w:rPr>
              <w:drawing>
                <wp:inline distT="0" distB="0" distL="0" distR="0" wp14:anchorId="06C5255D" wp14:editId="27BE4A32">
                  <wp:extent cx="269875" cy="269875"/>
                  <wp:effectExtent l="0" t="0" r="0" b="0"/>
                  <wp:docPr id="481345089" name="Graphic 481345089" descr="P2251C1T117#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1345089" name="Graphic 481345089" descr="P2251C1T117#yIS1">
                            <a:extLst>
                              <a:ext uri="{C183D7F6-B498-43B3-948B-1728B52AA6E4}">
                                <adec:decorative xmlns:adec="http://schemas.microsoft.com/office/drawing/2017/decorative" val="1"/>
                              </a:ext>
                            </a:extLst>
                          </pic:cNvPr>
                          <pic:cNvPicPr>
                            <a:picLocks noChangeAspect="1"/>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269875" cy="269875"/>
                          </a:xfrm>
                          <a:prstGeom prst="rect">
                            <a:avLst/>
                          </a:prstGeom>
                        </pic:spPr>
                      </pic:pic>
                    </a:graphicData>
                  </a:graphic>
                </wp:inline>
              </w:drawing>
            </w:r>
            <w:r w:rsidRPr="00E67102">
              <w:rPr>
                <w:color w:val="00707E" w:themeColor="accent5" w:themeShade="BF"/>
                <w:lang w:val="en-GB"/>
              </w:rPr>
              <w:t>Case study:</w:t>
            </w:r>
            <w:r>
              <w:rPr>
                <w:color w:val="00707E" w:themeColor="accent5" w:themeShade="BF"/>
                <w:lang w:val="en-GB"/>
              </w:rPr>
              <w:t xml:space="preserve"> </w:t>
            </w:r>
            <w:r>
              <w:rPr>
                <w:b w:val="0"/>
                <w:bCs w:val="0"/>
                <w:color w:val="00707E" w:themeColor="accent5" w:themeShade="BF"/>
                <w:lang w:val="en-GB"/>
              </w:rPr>
              <w:t>Paramedics working at their full scope of practice in the community</w:t>
            </w:r>
          </w:p>
          <w:p w14:paraId="048CD6A0" w14:textId="77777777" w:rsidR="00667C2E" w:rsidRDefault="00667C2E">
            <w:pPr>
              <w:pStyle w:val="Summarytable"/>
              <w:rPr>
                <w:b w:val="0"/>
                <w:bCs w:val="0"/>
                <w:lang w:val="en-GB"/>
              </w:rPr>
            </w:pPr>
            <w:r>
              <w:rPr>
                <w:b w:val="0"/>
                <w:bCs w:val="0"/>
                <w:lang w:val="en-GB"/>
              </w:rPr>
              <w:t>Innovative models of care are being developed and implemented to maximise the benefits of paramedics within their local communities. Community Paramedicine is a new and evolving model of care in which paramedics receive specialist training and operate with an expanded scope of practice to provide public health, primary healthcare, and preventive care to under-serviced populations within the community.</w:t>
            </w:r>
          </w:p>
          <w:p w14:paraId="2A1257E5" w14:textId="77777777" w:rsidR="00667C2E" w:rsidRDefault="00667C2E">
            <w:pPr>
              <w:pStyle w:val="Summarytable"/>
              <w:rPr>
                <w:b w:val="0"/>
                <w:bCs w:val="0"/>
                <w:lang w:val="en-GB"/>
              </w:rPr>
            </w:pPr>
            <w:r>
              <w:rPr>
                <w:b w:val="0"/>
                <w:bCs w:val="0"/>
                <w:lang w:val="en-GB"/>
              </w:rPr>
              <w:t>Better utilisation of paramedics, through increased scope of practice and clinical expansion, would help address workforce shortages across the broader health system, including in rural, regional, and remote locations, and assessing and treating patients at home, where possible, and avoiding the need for emergency medical transport.</w:t>
            </w:r>
          </w:p>
          <w:p w14:paraId="1CC2C6A2" w14:textId="77777777" w:rsidR="00667C2E" w:rsidRDefault="00667C2E">
            <w:pPr>
              <w:pStyle w:val="Summarytable"/>
              <w:rPr>
                <w:b w:val="0"/>
                <w:bCs w:val="0"/>
                <w:lang w:val="en-GB"/>
              </w:rPr>
            </w:pPr>
            <w:r>
              <w:rPr>
                <w:b w:val="0"/>
                <w:bCs w:val="0"/>
                <w:lang w:val="en-GB"/>
              </w:rPr>
              <w:t xml:space="preserve">While increasing the scope of practice of paramedics can have several potential benefits, there are risks and considerations that need to be carefully managed, including patient safety, adequate training and education, clinical governance, and collaboration with other healthcare professionals. </w:t>
            </w:r>
          </w:p>
        </w:tc>
      </w:tr>
    </w:tbl>
    <w:p w14:paraId="23406B48" w14:textId="77777777" w:rsidR="00667C2E" w:rsidRDefault="00667C2E" w:rsidP="00667C2E"/>
    <w:p w14:paraId="35B13605" w14:textId="3433B56A" w:rsidR="00667C2E" w:rsidRPr="00667C2E" w:rsidRDefault="00667C2E" w:rsidP="007745A8">
      <w:pPr>
        <w:pStyle w:val="Heading4"/>
        <w:numPr>
          <w:ilvl w:val="3"/>
          <w:numId w:val="80"/>
        </w:numPr>
      </w:pPr>
      <w:bookmarkStart w:id="328" w:name="_Ref148445256"/>
      <w:r w:rsidRPr="00667C2E">
        <w:t>Commitment to the role of the Australian Health Practitioner Regulation Authority (AHPRA)</w:t>
      </w:r>
      <w:bookmarkEnd w:id="328"/>
    </w:p>
    <w:p w14:paraId="338C77FE" w14:textId="7A2A4732" w:rsidR="00667C2E" w:rsidRDefault="00667C2E" w:rsidP="00667C2E">
      <w:r>
        <w:t>AHPRA has five core regulatory functions that seek to ensure the community has access to a safe health workforce across all professions registered un</w:t>
      </w:r>
      <w:r w:rsidR="00ED1393">
        <w:t>der</w:t>
      </w:r>
      <w:r>
        <w:t xml:space="preserve"> the National Registration and Accreditation Scheme: </w:t>
      </w:r>
    </w:p>
    <w:p w14:paraId="2EE42A82" w14:textId="1F52D41A" w:rsidR="00667C2E" w:rsidRDefault="00667C2E">
      <w:pPr>
        <w:pStyle w:val="ListParagraph"/>
        <w:numPr>
          <w:ilvl w:val="0"/>
          <w:numId w:val="89"/>
        </w:numPr>
      </w:pPr>
      <w:r>
        <w:t>Providing policy advice to the National Boards about registration standards, codes and guidelines for health practitioners</w:t>
      </w:r>
    </w:p>
    <w:p w14:paraId="023F91E6" w14:textId="479FB007" w:rsidR="00667C2E" w:rsidRDefault="00667C2E">
      <w:pPr>
        <w:pStyle w:val="ListParagraph"/>
        <w:numPr>
          <w:ilvl w:val="0"/>
          <w:numId w:val="89"/>
        </w:numPr>
      </w:pPr>
      <w:r>
        <w:t>Ensuring that only health practitioners with the skills and qualifications to provide competent and ethical care are registered to practise</w:t>
      </w:r>
    </w:p>
    <w:p w14:paraId="5BCCE1C5" w14:textId="77777777" w:rsidR="00667C2E" w:rsidRDefault="00667C2E">
      <w:pPr>
        <w:pStyle w:val="ListParagraph"/>
        <w:numPr>
          <w:ilvl w:val="0"/>
          <w:numId w:val="89"/>
        </w:numPr>
      </w:pPr>
      <w:r>
        <w:t>Managing complaints and concerns raised about the health, performance and conduct of individual health practitioners on behalf of the National Boards</w:t>
      </w:r>
    </w:p>
    <w:p w14:paraId="5DFE2BC4" w14:textId="04532795" w:rsidR="00667C2E" w:rsidRDefault="00667C2E">
      <w:pPr>
        <w:pStyle w:val="ListParagraph"/>
        <w:numPr>
          <w:ilvl w:val="0"/>
          <w:numId w:val="89"/>
        </w:numPr>
      </w:pPr>
      <w:r>
        <w:t>Monitoring and audit</w:t>
      </w:r>
      <w:r w:rsidR="00ED1393">
        <w:t xml:space="preserve"> of</w:t>
      </w:r>
      <w:r>
        <w:t xml:space="preserve"> registered health practitioners to make sure they are complying with Board requirements</w:t>
      </w:r>
    </w:p>
    <w:p w14:paraId="7AE1EFF1" w14:textId="77777777" w:rsidR="00667C2E" w:rsidRDefault="00667C2E">
      <w:pPr>
        <w:pStyle w:val="ListParagraph"/>
        <w:numPr>
          <w:ilvl w:val="0"/>
          <w:numId w:val="89"/>
        </w:numPr>
      </w:pPr>
      <w:r>
        <w:t>Working with accreditation authorities and committees to ensure graduating students are suitably qualified and skilled to apply to register as a health practitioner.</w:t>
      </w:r>
    </w:p>
    <w:p w14:paraId="48BEE66A" w14:textId="55E51F01" w:rsidR="00667C2E" w:rsidRDefault="00667C2E" w:rsidP="00667C2E">
      <w:r>
        <w:t>The NHRA does not currently reference AHPRA. A future Agreement should explicitly reference the role that AHPRA performs and include a commitment to the continued development of the national regulation scheme.</w:t>
      </w:r>
    </w:p>
    <w:p w14:paraId="5E8ADC5E" w14:textId="77777777" w:rsidR="00667C2E" w:rsidRDefault="00667C2E" w:rsidP="00667C2E">
      <w:pPr>
        <w:keepNext/>
      </w:pPr>
      <w:r>
        <w:t>Considerations of how AHPRA’s role can be expanded and embedded in the NHRA include:</w:t>
      </w:r>
    </w:p>
    <w:p w14:paraId="1034E548" w14:textId="23B14671" w:rsidR="00667C2E" w:rsidRDefault="00667C2E">
      <w:pPr>
        <w:pStyle w:val="ListParagraph"/>
        <w:numPr>
          <w:ilvl w:val="0"/>
          <w:numId w:val="90"/>
        </w:numPr>
      </w:pPr>
      <w:r>
        <w:t xml:space="preserve">Regulation of health professionals that are not currently regulated by AHPRA including Aboriginal </w:t>
      </w:r>
      <w:r w:rsidR="00ED1393">
        <w:t xml:space="preserve">and Torres Strait Islander Health Workers </w:t>
      </w:r>
      <w:r>
        <w:t xml:space="preserve">for consolidation. </w:t>
      </w:r>
    </w:p>
    <w:p w14:paraId="000CE183" w14:textId="77777777" w:rsidR="00667C2E" w:rsidRDefault="00667C2E">
      <w:pPr>
        <w:pStyle w:val="ListParagraph"/>
        <w:numPr>
          <w:ilvl w:val="0"/>
          <w:numId w:val="90"/>
        </w:numPr>
      </w:pPr>
      <w:r>
        <w:t>Monitoring and management to ensure minimum training standards are met in collaboration with peak bodies.</w:t>
      </w:r>
    </w:p>
    <w:p w14:paraId="4A190F6C" w14:textId="380D6EC9" w:rsidR="00667C2E" w:rsidRDefault="00667C2E">
      <w:pPr>
        <w:pStyle w:val="ListParagraph"/>
        <w:numPr>
          <w:ilvl w:val="0"/>
          <w:numId w:val="90"/>
        </w:numPr>
      </w:pPr>
      <w:r>
        <w:t>Provision of data in relation to the health workforce.</w:t>
      </w:r>
    </w:p>
    <w:tbl>
      <w:tblPr>
        <w:tblStyle w:val="TableGrid"/>
        <w:tblW w:w="0" w:type="auto"/>
        <w:shd w:val="clear" w:color="auto" w:fill="F2F2F2" w:themeFill="background1" w:themeFillShade="F2"/>
        <w:tblLook w:val="04A0" w:firstRow="1" w:lastRow="0" w:firstColumn="1" w:lastColumn="0" w:noHBand="0" w:noVBand="1"/>
      </w:tblPr>
      <w:tblGrid>
        <w:gridCol w:w="10466"/>
      </w:tblGrid>
      <w:tr w:rsidR="00667C2E" w14:paraId="26C63441" w14:textId="77777777" w:rsidTr="00667C2E">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hideMark/>
          </w:tcPr>
          <w:p w14:paraId="110160CA" w14:textId="53C1F967" w:rsidR="00667C2E" w:rsidRDefault="00E67102" w:rsidP="00E67102">
            <w:pPr>
              <w:pStyle w:val="Summarytable"/>
              <w:rPr>
                <w:b w:val="0"/>
                <w:bCs w:val="0"/>
                <w:lang w:val="en-GB"/>
              </w:rPr>
            </w:pPr>
            <w:r>
              <w:rPr>
                <w:noProof/>
                <w:lang w:val="en-GB"/>
              </w:rPr>
              <w:drawing>
                <wp:inline distT="0" distB="0" distL="0" distR="0" wp14:anchorId="5389BA96" wp14:editId="65C7E1FC">
                  <wp:extent cx="269875" cy="269875"/>
                  <wp:effectExtent l="0" t="0" r="0" b="0"/>
                  <wp:docPr id="481345088" name="Graphic 481345088" descr="P2269C1T118#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1345088" name="Graphic 481345088" descr="P2269C1T118#yIS1">
                            <a:extLst>
                              <a:ext uri="{C183D7F6-B498-43B3-948B-1728B52AA6E4}">
                                <adec:decorative xmlns:adec="http://schemas.microsoft.com/office/drawing/2017/decorative" val="1"/>
                              </a:ext>
                            </a:extLst>
                          </pic:cNvPr>
                          <pic:cNvPicPr>
                            <a:picLocks noChangeAspect="1"/>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69875" cy="269875"/>
                          </a:xfrm>
                          <a:prstGeom prst="rect">
                            <a:avLst/>
                          </a:prstGeom>
                        </pic:spPr>
                      </pic:pic>
                    </a:graphicData>
                  </a:graphic>
                </wp:inline>
              </w:drawing>
            </w:r>
            <w:r w:rsidR="00667C2E">
              <w:rPr>
                <w:color w:val="00707E" w:themeColor="accent5" w:themeShade="BF"/>
                <w:lang w:val="en-GB"/>
              </w:rPr>
              <w:t>Recommendation 3</w:t>
            </w:r>
            <w:r w:rsidR="008D4BA9">
              <w:rPr>
                <w:color w:val="00707E" w:themeColor="accent5" w:themeShade="BF"/>
                <w:lang w:val="en-GB"/>
              </w:rPr>
              <w:t>9</w:t>
            </w:r>
            <w:r w:rsidR="00667C2E">
              <w:rPr>
                <w:color w:val="00707E" w:themeColor="accent5" w:themeShade="BF"/>
                <w:lang w:val="en-GB"/>
              </w:rPr>
              <w:t xml:space="preserve">: </w:t>
            </w:r>
            <w:r w:rsidR="00667C2E">
              <w:rPr>
                <w:b w:val="0"/>
                <w:bCs w:val="0"/>
                <w:lang w:val="en-GB"/>
              </w:rPr>
              <w:t>A future Agreement should</w:t>
            </w:r>
            <w:r w:rsidR="00667C2E">
              <w:rPr>
                <w:lang w:val="en-GB"/>
              </w:rPr>
              <w:t xml:space="preserve"> explicitly recognise the role of the health workforce</w:t>
            </w:r>
            <w:r w:rsidR="00667C2E">
              <w:rPr>
                <w:b w:val="0"/>
                <w:bCs w:val="0"/>
                <w:lang w:val="en-GB"/>
              </w:rPr>
              <w:t xml:space="preserve"> in the delivery of quality health services as an additional Schedule. The Schedule should:</w:t>
            </w:r>
          </w:p>
          <w:p w14:paraId="7CEADFF9" w14:textId="39D15199" w:rsidR="00667C2E" w:rsidRDefault="00667C2E" w:rsidP="00E67102">
            <w:pPr>
              <w:pStyle w:val="Summarytable"/>
              <w:numPr>
                <w:ilvl w:val="0"/>
                <w:numId w:val="82"/>
              </w:numPr>
              <w:ind w:left="709"/>
              <w:rPr>
                <w:b w:val="0"/>
                <w:bCs w:val="0"/>
                <w:lang w:val="en-GB"/>
              </w:rPr>
            </w:pPr>
            <w:r>
              <w:rPr>
                <w:b w:val="0"/>
                <w:bCs w:val="0"/>
                <w:lang w:val="en-GB"/>
              </w:rPr>
              <w:t xml:space="preserve">Align to relevant national workforce strategies by reflecting the current work being progressed to support, grow, shape, and </w:t>
            </w:r>
            <w:r w:rsidR="003A50C5">
              <w:rPr>
                <w:b w:val="0"/>
                <w:bCs w:val="0"/>
                <w:lang w:val="en-GB"/>
              </w:rPr>
              <w:t>deliver</w:t>
            </w:r>
            <w:r>
              <w:rPr>
                <w:b w:val="0"/>
                <w:bCs w:val="0"/>
                <w:lang w:val="en-GB"/>
              </w:rPr>
              <w:t xml:space="preserve"> a </w:t>
            </w:r>
            <w:r w:rsidR="00DB62D4">
              <w:rPr>
                <w:b w:val="0"/>
                <w:bCs w:val="0"/>
                <w:lang w:val="en-GB"/>
              </w:rPr>
              <w:t xml:space="preserve">health </w:t>
            </w:r>
            <w:r>
              <w:rPr>
                <w:b w:val="0"/>
                <w:bCs w:val="0"/>
                <w:lang w:val="en-GB"/>
              </w:rPr>
              <w:t xml:space="preserve">workforce to achieve the goals </w:t>
            </w:r>
            <w:r w:rsidR="00E3049F">
              <w:rPr>
                <w:b w:val="0"/>
                <w:bCs w:val="0"/>
                <w:lang w:val="en-GB"/>
              </w:rPr>
              <w:t xml:space="preserve">of </w:t>
            </w:r>
            <w:r>
              <w:rPr>
                <w:b w:val="0"/>
                <w:bCs w:val="0"/>
                <w:lang w:val="en-GB"/>
              </w:rPr>
              <w:t>the Agreement.</w:t>
            </w:r>
          </w:p>
          <w:p w14:paraId="599F554E" w14:textId="3C602CEF" w:rsidR="00667C2E" w:rsidRDefault="00667C2E" w:rsidP="00E67102">
            <w:pPr>
              <w:pStyle w:val="Summarytable"/>
              <w:numPr>
                <w:ilvl w:val="0"/>
                <w:numId w:val="82"/>
              </w:numPr>
              <w:ind w:left="709"/>
              <w:rPr>
                <w:b w:val="0"/>
                <w:bCs w:val="0"/>
                <w:lang w:val="en-GB"/>
              </w:rPr>
            </w:pPr>
            <w:r>
              <w:rPr>
                <w:b w:val="0"/>
                <w:bCs w:val="0"/>
                <w:lang w:val="en-GB"/>
              </w:rPr>
              <w:t>Ensure a collaborative Commonwealth</w:t>
            </w:r>
            <w:r w:rsidR="005477FB">
              <w:rPr>
                <w:b w:val="0"/>
                <w:bCs w:val="0"/>
                <w:lang w:val="en-GB"/>
              </w:rPr>
              <w:t>,</w:t>
            </w:r>
            <w:r>
              <w:rPr>
                <w:b w:val="0"/>
                <w:bCs w:val="0"/>
                <w:lang w:val="en-GB"/>
              </w:rPr>
              <w:t xml:space="preserve"> State</w:t>
            </w:r>
            <w:r w:rsidR="005477FB">
              <w:rPr>
                <w:b w:val="0"/>
                <w:bCs w:val="0"/>
                <w:lang w:val="en-GB"/>
              </w:rPr>
              <w:t xml:space="preserve"> and </w:t>
            </w:r>
            <w:r>
              <w:rPr>
                <w:b w:val="0"/>
                <w:bCs w:val="0"/>
                <w:lang w:val="en-GB"/>
              </w:rPr>
              <w:t xml:space="preserve">Territory focus encompassing a concise set of strategic priorities and actions, including those related to operating at full scope of practice, to be delivered through the Agreement. </w:t>
            </w:r>
          </w:p>
          <w:p w14:paraId="5098894C" w14:textId="092A536F" w:rsidR="00667C2E" w:rsidRDefault="00667C2E" w:rsidP="00E67102">
            <w:pPr>
              <w:pStyle w:val="Summarytable"/>
              <w:numPr>
                <w:ilvl w:val="0"/>
                <w:numId w:val="82"/>
              </w:numPr>
              <w:ind w:left="709"/>
              <w:rPr>
                <w:b w:val="0"/>
                <w:bCs w:val="0"/>
                <w:lang w:val="en-GB"/>
              </w:rPr>
            </w:pPr>
            <w:r>
              <w:rPr>
                <w:b w:val="0"/>
                <w:bCs w:val="0"/>
                <w:lang w:val="en-GB"/>
              </w:rPr>
              <w:t xml:space="preserve">Consider </w:t>
            </w:r>
            <w:r w:rsidRPr="00F95F8D">
              <w:rPr>
                <w:lang w:val="en-GB"/>
              </w:rPr>
              <w:t xml:space="preserve">dedicated national </w:t>
            </w:r>
            <w:r w:rsidR="001952BE" w:rsidRPr="00F95F8D">
              <w:rPr>
                <w:lang w:val="en-GB"/>
              </w:rPr>
              <w:t xml:space="preserve">health </w:t>
            </w:r>
            <w:r w:rsidRPr="00F95F8D">
              <w:rPr>
                <w:lang w:val="en-GB"/>
              </w:rPr>
              <w:t>workforce planning governance oversight</w:t>
            </w:r>
            <w:r>
              <w:rPr>
                <w:b w:val="0"/>
                <w:bCs w:val="0"/>
                <w:lang w:val="en-GB"/>
              </w:rPr>
              <w:t xml:space="preserve"> (either within the Agreement or as an adjunct to it) along the lines of the previous Health Workforce Australia. This</w:t>
            </w:r>
            <w:r w:rsidR="00E92F12">
              <w:rPr>
                <w:b w:val="0"/>
                <w:bCs w:val="0"/>
                <w:lang w:val="en-GB"/>
              </w:rPr>
              <w:t>,</w:t>
            </w:r>
            <w:r>
              <w:rPr>
                <w:b w:val="0"/>
                <w:bCs w:val="0"/>
                <w:lang w:val="en-GB"/>
              </w:rPr>
              <w:t xml:space="preserve"> together with a shared Commonwealth</w:t>
            </w:r>
            <w:r w:rsidR="005477FB">
              <w:rPr>
                <w:b w:val="0"/>
                <w:bCs w:val="0"/>
                <w:lang w:val="en-GB"/>
              </w:rPr>
              <w:t>,</w:t>
            </w:r>
            <w:r>
              <w:rPr>
                <w:b w:val="0"/>
                <w:bCs w:val="0"/>
                <w:lang w:val="en-GB"/>
              </w:rPr>
              <w:t xml:space="preserve"> State</w:t>
            </w:r>
            <w:r w:rsidR="005477FB">
              <w:rPr>
                <w:b w:val="0"/>
                <w:bCs w:val="0"/>
                <w:lang w:val="en-GB"/>
              </w:rPr>
              <w:t xml:space="preserve"> and </w:t>
            </w:r>
            <w:r>
              <w:rPr>
                <w:b w:val="0"/>
                <w:bCs w:val="0"/>
                <w:lang w:val="en-GB"/>
              </w:rPr>
              <w:t>Territory commitment</w:t>
            </w:r>
            <w:r w:rsidR="00E92F12">
              <w:rPr>
                <w:b w:val="0"/>
                <w:bCs w:val="0"/>
                <w:lang w:val="en-GB"/>
              </w:rPr>
              <w:t>,</w:t>
            </w:r>
            <w:r>
              <w:rPr>
                <w:b w:val="0"/>
                <w:bCs w:val="0"/>
                <w:lang w:val="en-GB"/>
              </w:rPr>
              <w:t xml:space="preserve"> would provide a vehicle to drive collaborative reform on workforce priorities.</w:t>
            </w:r>
          </w:p>
          <w:p w14:paraId="06D7FB09" w14:textId="77777777" w:rsidR="00667C2E" w:rsidRDefault="00667C2E" w:rsidP="00E67102">
            <w:pPr>
              <w:pStyle w:val="Summarytable"/>
              <w:numPr>
                <w:ilvl w:val="0"/>
                <w:numId w:val="82"/>
              </w:numPr>
              <w:ind w:left="709"/>
              <w:rPr>
                <w:b w:val="0"/>
                <w:bCs w:val="0"/>
                <w:lang w:val="en-GB"/>
              </w:rPr>
            </w:pPr>
            <w:r>
              <w:rPr>
                <w:b w:val="0"/>
                <w:bCs w:val="0"/>
                <w:lang w:val="en-GB"/>
              </w:rPr>
              <w:t>Include a commitment to the continued development of the national regulation scheme through the Australian Health Practitioner Regulation Authority (AHPRA).</w:t>
            </w:r>
          </w:p>
        </w:tc>
      </w:tr>
    </w:tbl>
    <w:p w14:paraId="179BC841" w14:textId="77777777" w:rsidR="009B4D68" w:rsidRDefault="009B4D68" w:rsidP="00D2518E"/>
    <w:p w14:paraId="5C951BC5" w14:textId="4830EA5D" w:rsidR="00667C2E" w:rsidRPr="00667C2E" w:rsidRDefault="00667C2E">
      <w:pPr>
        <w:pStyle w:val="Heading3"/>
        <w:numPr>
          <w:ilvl w:val="2"/>
          <w:numId w:val="80"/>
        </w:numPr>
      </w:pPr>
      <w:r w:rsidRPr="00667C2E">
        <w:t>Digital health</w:t>
      </w:r>
    </w:p>
    <w:p w14:paraId="009964F1" w14:textId="6BD3AE04" w:rsidR="00667C2E" w:rsidRPr="00667C2E" w:rsidRDefault="00667C2E" w:rsidP="007745A8">
      <w:pPr>
        <w:pStyle w:val="Heading4"/>
        <w:numPr>
          <w:ilvl w:val="3"/>
          <w:numId w:val="80"/>
        </w:numPr>
      </w:pPr>
      <w:r w:rsidRPr="00667C2E">
        <w:t>Support for a healthcare system enabled by digital infrastructure</w:t>
      </w:r>
    </w:p>
    <w:p w14:paraId="32C0CDBC" w14:textId="374A1785" w:rsidR="00667C2E" w:rsidRDefault="00667C2E" w:rsidP="00667C2E">
      <w:r>
        <w:t>Digital health infrastructure will play an increasingly</w:t>
      </w:r>
      <w:r w:rsidDel="00CB1574">
        <w:t xml:space="preserve"> </w:t>
      </w:r>
      <w:r w:rsidR="00CB1574">
        <w:t xml:space="preserve">important </w:t>
      </w:r>
      <w:r>
        <w:t xml:space="preserve">role in the delivery of health care services, given technological advances, consumer demand and the need to operate within a constrained resource (workforce and budget) environment.  The effective use of digital health can support consumers as they navigate the health system, empowering them to be at the centre of their own care, connecting healthcare providers, facilitating communication and simplifying and expanding information sharing. This requires digitally enabled models of care that </w:t>
      </w:r>
      <w:r w:rsidR="00EC412B">
        <w:t>improve</w:t>
      </w:r>
      <w:r>
        <w:t xml:space="preserve"> accessibility, quality, safety and efficiency, such as:</w:t>
      </w:r>
    </w:p>
    <w:p w14:paraId="0802140B" w14:textId="3AE29198" w:rsidR="00667C2E" w:rsidRDefault="00667C2E">
      <w:pPr>
        <w:pStyle w:val="ListParagraph"/>
        <w:numPr>
          <w:ilvl w:val="0"/>
          <w:numId w:val="91"/>
        </w:numPr>
      </w:pPr>
      <w:r>
        <w:t>More integrated management of chronic illness</w:t>
      </w:r>
    </w:p>
    <w:p w14:paraId="7D90FE8C" w14:textId="262B6DE9" w:rsidR="00667C2E" w:rsidRDefault="00667C2E">
      <w:pPr>
        <w:pStyle w:val="ListParagraph"/>
        <w:numPr>
          <w:ilvl w:val="0"/>
          <w:numId w:val="91"/>
        </w:numPr>
      </w:pPr>
      <w:r>
        <w:t>New digital services that support the health of babies and young children</w:t>
      </w:r>
    </w:p>
    <w:p w14:paraId="79E9B5C2" w14:textId="4ECEA3B5" w:rsidR="00667C2E" w:rsidRDefault="00667C2E">
      <w:pPr>
        <w:pStyle w:val="ListParagraph"/>
        <w:numPr>
          <w:ilvl w:val="0"/>
          <w:numId w:val="91"/>
        </w:numPr>
      </w:pPr>
      <w:r>
        <w:t>Digital services for advanced care planning</w:t>
      </w:r>
    </w:p>
    <w:p w14:paraId="6D7C76E4" w14:textId="473E4C5A" w:rsidR="00667C2E" w:rsidRDefault="00667C2E">
      <w:pPr>
        <w:pStyle w:val="ListParagraph"/>
        <w:numPr>
          <w:ilvl w:val="0"/>
          <w:numId w:val="91"/>
        </w:numPr>
      </w:pPr>
      <w:r>
        <w:t>Information sharing in urgent and emergency care</w:t>
      </w:r>
    </w:p>
    <w:p w14:paraId="2E7FF956" w14:textId="28933C25" w:rsidR="00667C2E" w:rsidRDefault="00667C2E">
      <w:pPr>
        <w:pStyle w:val="ListParagraph"/>
        <w:numPr>
          <w:ilvl w:val="0"/>
          <w:numId w:val="91"/>
        </w:numPr>
      </w:pPr>
      <w:r>
        <w:t xml:space="preserve">Expanded access to telehealth services, especially in rural and remote Australia. </w:t>
      </w:r>
    </w:p>
    <w:p w14:paraId="46D1546D" w14:textId="1E6B8FEB" w:rsidR="00667C2E" w:rsidRDefault="00667C2E" w:rsidP="00667C2E">
      <w:r>
        <w:t xml:space="preserve">Digital technologies have the potential to ease the pressure on hospitals and, through the sharing of quality data, help to inform service demand and subsequently workforce supply. When used successfully </w:t>
      </w:r>
      <w:r w:rsidR="00813CC1">
        <w:t>they enable</w:t>
      </w:r>
      <w:r>
        <w:t xml:space="preserve"> improved clinical decision-making for health care providers and consumers and can support the transition of care between healthcare settings. However, the value and impact of digital health has not been explicitly recognised in the NHRA. </w:t>
      </w:r>
    </w:p>
    <w:p w14:paraId="4B1BAEF8" w14:textId="77777777" w:rsidR="00667C2E" w:rsidRDefault="00667C2E" w:rsidP="00667C2E">
      <w:pPr>
        <w:rPr>
          <w:color w:val="000000" w:themeColor="text1"/>
        </w:rPr>
      </w:pPr>
      <w:r>
        <w:t xml:space="preserve">A future Agreement should incentivise the adoption of digital health solutions in supporting patient-centred care. It should also encourage appropriate data collection, curation and analysis of health data assets to make the health system more efficient and enhance equity and patient outcomes. </w:t>
      </w:r>
    </w:p>
    <w:tbl>
      <w:tblPr>
        <w:tblStyle w:val="TableGrid"/>
        <w:tblW w:w="0" w:type="auto"/>
        <w:tblBorders>
          <w:top w:val="dotted" w:sz="4" w:space="0" w:color="0097A9" w:themeColor="accent5"/>
          <w:left w:val="dotted" w:sz="4" w:space="0" w:color="0097A9" w:themeColor="accent5"/>
          <w:bottom w:val="dotted" w:sz="4" w:space="0" w:color="0097A9" w:themeColor="accent5"/>
          <w:right w:val="dotted" w:sz="4" w:space="0" w:color="0097A9" w:themeColor="accent5"/>
        </w:tblBorders>
        <w:tblLook w:val="04A0" w:firstRow="1" w:lastRow="0" w:firstColumn="1" w:lastColumn="0" w:noHBand="0" w:noVBand="1"/>
      </w:tblPr>
      <w:tblGrid>
        <w:gridCol w:w="10456"/>
      </w:tblGrid>
      <w:tr w:rsidR="00667C2E" w14:paraId="0CACC559" w14:textId="77777777" w:rsidTr="00667C2E">
        <w:trPr>
          <w:cnfStyle w:val="100000000000" w:firstRow="1" w:lastRow="0" w:firstColumn="0" w:lastColumn="0" w:oddVBand="0" w:evenVBand="0" w:oddHBand="0" w:evenHBand="0" w:firstRowFirstColumn="0" w:firstRowLastColumn="0" w:lastRowFirstColumn="0" w:lastRowLastColumn="0"/>
        </w:trPr>
        <w:tc>
          <w:tcPr>
            <w:tcW w:w="10456" w:type="dxa"/>
            <w:tcBorders>
              <w:top w:val="dotted" w:sz="4" w:space="0" w:color="0097A9" w:themeColor="accent5"/>
              <w:left w:val="dotted" w:sz="4" w:space="0" w:color="0097A9" w:themeColor="accent5"/>
              <w:bottom w:val="dotted" w:sz="4" w:space="0" w:color="0097A9" w:themeColor="accent5"/>
              <w:right w:val="dotted" w:sz="4" w:space="0" w:color="0097A9" w:themeColor="accent5"/>
            </w:tcBorders>
            <w:hideMark/>
          </w:tcPr>
          <w:p w14:paraId="00144CAB" w14:textId="1BCA8F9D" w:rsidR="00667C2E" w:rsidRDefault="00667C2E">
            <w:pPr>
              <w:pStyle w:val="Summarytable"/>
              <w:rPr>
                <w:color w:val="00707E" w:themeColor="accent5" w:themeShade="BF"/>
                <w:lang w:val="en-GB"/>
              </w:rPr>
            </w:pPr>
            <w:r w:rsidRPr="00E67102">
              <w:rPr>
                <w:noProof/>
                <w:lang w:val="en-GB"/>
              </w:rPr>
              <w:drawing>
                <wp:inline distT="0" distB="0" distL="0" distR="0" wp14:anchorId="62D72011" wp14:editId="7E836B35">
                  <wp:extent cx="269875" cy="269875"/>
                  <wp:effectExtent l="0" t="0" r="0" b="0"/>
                  <wp:docPr id="11" name="Graphic 11" descr="P2286C1T119#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 name="Graphic 11" descr="P2286C1T119#yIS1">
                            <a:extLst>
                              <a:ext uri="{C183D7F6-B498-43B3-948B-1728B52AA6E4}">
                                <adec:decorative xmlns:adec="http://schemas.microsoft.com/office/drawing/2017/decorative" val="1"/>
                              </a:ext>
                            </a:extLst>
                          </pic:cNvPr>
                          <pic:cNvPicPr>
                            <a:picLocks noChangeAspect="1"/>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69875" cy="269875"/>
                          </a:xfrm>
                          <a:prstGeom prst="rect">
                            <a:avLst/>
                          </a:prstGeom>
                        </pic:spPr>
                      </pic:pic>
                    </a:graphicData>
                  </a:graphic>
                </wp:inline>
              </w:drawing>
            </w:r>
            <w:r w:rsidRPr="00E67102">
              <w:rPr>
                <w:color w:val="00707E" w:themeColor="accent5" w:themeShade="BF"/>
                <w:lang w:val="en-GB"/>
              </w:rPr>
              <w:t>Case study:</w:t>
            </w:r>
            <w:r>
              <w:rPr>
                <w:b w:val="0"/>
                <w:bCs w:val="0"/>
                <w:color w:val="00707E" w:themeColor="accent5" w:themeShade="BF"/>
                <w:lang w:val="en-GB"/>
              </w:rPr>
              <w:t xml:space="preserve"> Northern Health - using The Clinician’s digital health platform to expand the Victorian Virtual Emergency Department (VVED) statewide</w:t>
            </w:r>
            <w:r w:rsidR="003F5D51">
              <w:rPr>
                <w:rFonts w:ascii="ZWAdobeF" w:hAnsi="ZWAdobeF" w:cs="ZWAdobeF"/>
                <w:b w:val="0"/>
                <w:bCs w:val="0"/>
                <w:sz w:val="2"/>
                <w:szCs w:val="2"/>
                <w:lang w:val="en-GB"/>
              </w:rPr>
              <w:t>169F</w:t>
            </w:r>
            <w:r>
              <w:rPr>
                <w:rStyle w:val="FootnoteReference"/>
                <w:b w:val="0"/>
                <w:bCs w:val="0"/>
                <w:color w:val="00707E" w:themeColor="accent5" w:themeShade="BF"/>
              </w:rPr>
              <w:footnoteReference w:id="171"/>
            </w:r>
          </w:p>
          <w:p w14:paraId="25CDF72B" w14:textId="77777777" w:rsidR="00667C2E" w:rsidRDefault="00667C2E">
            <w:pPr>
              <w:ind w:left="142"/>
              <w:rPr>
                <w:lang w:val="en-GB"/>
              </w:rPr>
            </w:pPr>
            <w:r>
              <w:rPr>
                <w:lang w:val="en-GB"/>
              </w:rPr>
              <w:t xml:space="preserve">In response to the growing demand for virtual emergency care, The Clinician, a digital health innovator, embarked on a collaborative journey with Northern Health to develop an innovative patient registration and intake platform. This initiative is part of the state-wide expansion of the VVED aimed at providing non-critical emergency care to patients in the comfort of their homes. </w:t>
            </w:r>
          </w:p>
          <w:p w14:paraId="698FE531" w14:textId="77777777" w:rsidR="00667C2E" w:rsidRDefault="00667C2E">
            <w:pPr>
              <w:ind w:left="142"/>
              <w:rPr>
                <w:lang w:val="en-GB"/>
              </w:rPr>
            </w:pPr>
            <w:r>
              <w:rPr>
                <w:lang w:val="en-GB"/>
              </w:rPr>
              <w:t>Through the deployment of The Clinician's digital health platform, ZEDOC, Northern Health sought to revolutionise patient intake procedures and enhance clinical tracking capabilities, ensuring timely access to virtual emergency care.</w:t>
            </w:r>
          </w:p>
          <w:p w14:paraId="50587599" w14:textId="77777777" w:rsidR="00667C2E" w:rsidRDefault="00667C2E">
            <w:pPr>
              <w:ind w:left="142"/>
              <w:rPr>
                <w:lang w:val="en-GB"/>
              </w:rPr>
            </w:pPr>
            <w:r>
              <w:rPr>
                <w:lang w:val="en-GB"/>
              </w:rPr>
              <w:t>Notable features included:</w:t>
            </w:r>
          </w:p>
          <w:p w14:paraId="6CA43E87" w14:textId="77777777" w:rsidR="00667C2E" w:rsidRDefault="00667C2E" w:rsidP="00A20593">
            <w:pPr>
              <w:pStyle w:val="ListBullet"/>
              <w:ind w:left="709"/>
              <w:rPr>
                <w:lang w:val="en-GB"/>
              </w:rPr>
            </w:pPr>
            <w:r>
              <w:rPr>
                <w:lang w:val="en-GB"/>
              </w:rPr>
              <w:t>Multilingual Support: The registration form is accessible in 22 different languages, ensuring inclusivity and accessibility for diverse patient populations.</w:t>
            </w:r>
          </w:p>
          <w:p w14:paraId="73FFB9F9" w14:textId="77777777" w:rsidR="00667C2E" w:rsidRDefault="00667C2E" w:rsidP="00A20593">
            <w:pPr>
              <w:pStyle w:val="ListBullet"/>
              <w:ind w:left="709"/>
              <w:rPr>
                <w:lang w:val="en-GB"/>
              </w:rPr>
            </w:pPr>
            <w:r>
              <w:rPr>
                <w:lang w:val="en-GB"/>
              </w:rPr>
              <w:t>SMS Verification: A secure SMS verification process enhances data accuracy and security.</w:t>
            </w:r>
          </w:p>
          <w:p w14:paraId="348E8C41" w14:textId="77777777" w:rsidR="00667C2E" w:rsidRDefault="00667C2E" w:rsidP="00A20593">
            <w:pPr>
              <w:pStyle w:val="ListBullet"/>
              <w:ind w:left="709"/>
              <w:rPr>
                <w:lang w:val="en-GB"/>
              </w:rPr>
            </w:pPr>
            <w:r>
              <w:rPr>
                <w:lang w:val="en-GB"/>
              </w:rPr>
              <w:t>Automated Clinical Tracking: Streamlined processes for real-time tracking of patient progress, reducing administrative overhead.</w:t>
            </w:r>
          </w:p>
          <w:p w14:paraId="5BA76AC2" w14:textId="77777777" w:rsidR="00667C2E" w:rsidRDefault="00667C2E" w:rsidP="00A20593">
            <w:pPr>
              <w:pStyle w:val="ListBullet"/>
              <w:spacing w:after="120"/>
              <w:ind w:left="709"/>
              <w:rPr>
                <w:lang w:val="en-GB"/>
              </w:rPr>
            </w:pPr>
            <w:r>
              <w:rPr>
                <w:lang w:val="en-GB"/>
              </w:rPr>
              <w:t>Integration with HealthDirect's Telehealth Service: A seamless integration with HealthDirect's telehealth service facilitated smooth transitions between virtual emergency care and additional medical services.</w:t>
            </w:r>
          </w:p>
          <w:p w14:paraId="40B789D1" w14:textId="3E24EC74" w:rsidR="00667C2E" w:rsidRDefault="00667C2E">
            <w:pPr>
              <w:ind w:left="142"/>
              <w:rPr>
                <w:lang w:val="en-GB"/>
              </w:rPr>
            </w:pPr>
            <w:r>
              <w:rPr>
                <w:lang w:val="en-GB"/>
              </w:rPr>
              <w:t>As of the implementation date, over 200 clinical and clerical staff members are actively utili</w:t>
            </w:r>
            <w:r w:rsidR="00B35D4B">
              <w:rPr>
                <w:lang w:val="en-GB"/>
              </w:rPr>
              <w:t>s</w:t>
            </w:r>
            <w:r>
              <w:rPr>
                <w:lang w:val="en-GB"/>
              </w:rPr>
              <w:t xml:space="preserve">ing the ZEDOC platform, both onsite and remotely. The VVED's capacity has increased significantly, from serving 50-60 patients per day to 250 patients per day. </w:t>
            </w:r>
          </w:p>
          <w:p w14:paraId="5C2EDBA2" w14:textId="77777777" w:rsidR="00667C2E" w:rsidRDefault="00667C2E">
            <w:pPr>
              <w:ind w:left="142"/>
              <w:rPr>
                <w:lang w:val="en-GB"/>
              </w:rPr>
            </w:pPr>
            <w:r>
              <w:rPr>
                <w:lang w:val="en-GB"/>
              </w:rPr>
              <w:t>This case study demonstrates how a digitally enabled health solution can play a role in managing demand for virtual emergency care, ensuring that patients receive timely attention and care. It highlights the importance of agile collaboration and the potential of digital health solutions to make Australia’s health care system more accessible, safe, and efficient.</w:t>
            </w:r>
          </w:p>
        </w:tc>
      </w:tr>
    </w:tbl>
    <w:p w14:paraId="5B1BA599" w14:textId="77777777" w:rsidR="00667C2E" w:rsidRDefault="00667C2E" w:rsidP="00667C2E"/>
    <w:p w14:paraId="4EACB63F" w14:textId="3990EA61" w:rsidR="00667C2E" w:rsidRPr="00667C2E" w:rsidRDefault="00667C2E" w:rsidP="007745A8">
      <w:pPr>
        <w:pStyle w:val="Heading4"/>
        <w:numPr>
          <w:ilvl w:val="3"/>
          <w:numId w:val="80"/>
        </w:numPr>
      </w:pPr>
      <w:r w:rsidRPr="00667C2E">
        <w:t xml:space="preserve">The role of the Australian Digital Health </w:t>
      </w:r>
      <w:r w:rsidR="00CB1574">
        <w:t>Agency</w:t>
      </w:r>
      <w:r w:rsidR="00CB1574" w:rsidRPr="00667C2E">
        <w:t xml:space="preserve"> </w:t>
      </w:r>
      <w:r w:rsidRPr="00667C2E">
        <w:t xml:space="preserve">(ADHA) and the Intergovernmental Agreement (IGA) on National Digital Health </w:t>
      </w:r>
    </w:p>
    <w:p w14:paraId="52D87CA8" w14:textId="5164B8AE" w:rsidR="00667C2E" w:rsidRDefault="00667C2E" w:rsidP="00667C2E">
      <w:pPr>
        <w:rPr>
          <w:color w:val="000000" w:themeColor="text1"/>
        </w:rPr>
      </w:pPr>
      <w:r>
        <w:rPr>
          <w:color w:val="000000" w:themeColor="text1"/>
        </w:rPr>
        <w:t>ADHA’s purpose is to achieve ‘</w:t>
      </w:r>
      <w:r>
        <w:t>better health for all Australians enabled by seamless, safe, secure digital health services and technologies that provide a range of innovative, easy-to-use tools for both patients and providers’. The role of ADHA should be recognised within the Agreement as a national body, noting the significance of its work in supporting the delivery of a future health system.</w:t>
      </w:r>
    </w:p>
    <w:p w14:paraId="0A525606" w14:textId="15A51081" w:rsidR="00667C2E" w:rsidRDefault="00667C2E" w:rsidP="00667C2E">
      <w:r>
        <w:t xml:space="preserve">Funded by the Commonwealth and the States and Territories in recognition of digital health as a national enterprise, the ADHA </w:t>
      </w:r>
      <w:r w:rsidR="00813CC1">
        <w:t xml:space="preserve">has </w:t>
      </w:r>
      <w:r>
        <w:t xml:space="preserve">a key role in connecting Australians to a modern healthcare system that ensures they can access the care they need, when and where they need it. </w:t>
      </w:r>
    </w:p>
    <w:p w14:paraId="1139A439" w14:textId="2035830E" w:rsidR="00667C2E" w:rsidRDefault="00667C2E" w:rsidP="00667C2E">
      <w:r>
        <w:t>Despite a clear purpose, there is a need for their role and focus to be reinforced in a future Agreement, with the following priorities:</w:t>
      </w:r>
    </w:p>
    <w:p w14:paraId="1EFBDBD5" w14:textId="7876EC91" w:rsidR="00667C2E" w:rsidRDefault="00667C2E" w:rsidP="00A20593">
      <w:pPr>
        <w:pStyle w:val="ListBullet"/>
        <w:ind w:left="567"/>
      </w:pPr>
      <w:r>
        <w:t>Commitment to putting patients at the centre of healthcare, empowered with timely, accurate and comprehensive information necessary to participate in their own healthcare</w:t>
      </w:r>
    </w:p>
    <w:p w14:paraId="442AF1E2" w14:textId="055E705D" w:rsidR="00667C2E" w:rsidRDefault="00667C2E" w:rsidP="00A20593">
      <w:pPr>
        <w:pStyle w:val="ListBullet"/>
        <w:ind w:left="567"/>
      </w:pPr>
      <w:r>
        <w:t>Recognition of the role of digital health solutions in supporting patient-centred care and advancing the objectives of the NHRA – improving health outcomes, access and innovation</w:t>
      </w:r>
    </w:p>
    <w:p w14:paraId="753C4919" w14:textId="2669145B" w:rsidR="00667C2E" w:rsidRDefault="00667C2E" w:rsidP="00A20593">
      <w:pPr>
        <w:pStyle w:val="ListBullet"/>
        <w:ind w:left="567"/>
      </w:pPr>
      <w:r>
        <w:t xml:space="preserve">Acknowledgement and support for the </w:t>
      </w:r>
      <w:r w:rsidRPr="00650E28">
        <w:rPr>
          <w:i/>
          <w:iCs/>
        </w:rPr>
        <w:t>National Digital Health Strategy</w:t>
      </w:r>
      <w:r w:rsidR="00813CC1">
        <w:rPr>
          <w:i/>
          <w:iCs/>
        </w:rPr>
        <w:t xml:space="preserve"> </w:t>
      </w:r>
      <w:r w:rsidR="00813CC1" w:rsidRPr="00650E28">
        <w:t>and</w:t>
      </w:r>
      <w:r>
        <w:t xml:space="preserve"> the </w:t>
      </w:r>
      <w:r w:rsidRPr="00650E28">
        <w:rPr>
          <w:i/>
          <w:iCs/>
        </w:rPr>
        <w:t>IGA on National Digital Health</w:t>
      </w:r>
      <w:r>
        <w:t>, where they advance the objectives and outcomes of the NHRA.</w:t>
      </w:r>
    </w:p>
    <w:p w14:paraId="6DAB2557" w14:textId="7202137D" w:rsidR="00667C2E" w:rsidRDefault="00667C2E" w:rsidP="00A20593">
      <w:pPr>
        <w:pStyle w:val="ListBullet"/>
        <w:ind w:left="567"/>
      </w:pPr>
      <w:r>
        <w:t>Commitment to strengthen public hospital support of Commonwealth and cross-jurisdictional digital health initiatives, including the use of My Health Record and Healthcare Identifiers.</w:t>
      </w:r>
    </w:p>
    <w:p w14:paraId="6ECA0FA5" w14:textId="7C227B76" w:rsidR="00667C2E" w:rsidRDefault="00667C2E" w:rsidP="00A20593">
      <w:pPr>
        <w:pStyle w:val="ListBullet"/>
        <w:spacing w:after="120"/>
        <w:ind w:left="567"/>
      </w:pPr>
      <w:r>
        <w:t xml:space="preserve">Commitment to implementing the </w:t>
      </w:r>
      <w:r w:rsidRPr="00650E28">
        <w:rPr>
          <w:i/>
          <w:iCs/>
        </w:rPr>
        <w:t>Interoperability Plan</w:t>
      </w:r>
      <w:r>
        <w:t xml:space="preserve"> to achieve a more interoperable Australian health system and support implementation of digitally enabled models of care.</w:t>
      </w:r>
    </w:p>
    <w:p w14:paraId="33E710D7" w14:textId="36F6C168" w:rsidR="00667C2E" w:rsidRDefault="00667C2E" w:rsidP="00667C2E">
      <w:r>
        <w:t xml:space="preserve">The ADHA regularly interacts with all jurisdictions to achieve a national approach in digital health, including implementing national infrastructure funded under the </w:t>
      </w:r>
      <w:r w:rsidRPr="00650E28">
        <w:rPr>
          <w:i/>
          <w:iCs/>
        </w:rPr>
        <w:t>IGA on National Digital Health</w:t>
      </w:r>
      <w:r>
        <w:t>, and to help harmonise jurisdictional digital health strategies and investments. Incorporating ADHA into the NHRA could leverage its partnerships with jurisdictions to support the digital solutions that will help the Addendum achieve its objectives.</w:t>
      </w:r>
    </w:p>
    <w:p w14:paraId="4EAFB298" w14:textId="44FAFD20" w:rsidR="00667C2E" w:rsidRPr="00667C2E" w:rsidRDefault="00667C2E" w:rsidP="007745A8">
      <w:pPr>
        <w:pStyle w:val="Heading4"/>
        <w:numPr>
          <w:ilvl w:val="3"/>
          <w:numId w:val="80"/>
        </w:numPr>
      </w:pPr>
      <w:bookmarkStart w:id="329" w:name="_Ref148445281"/>
      <w:r w:rsidRPr="00667C2E">
        <w:t>Shared commitment to progressing digital health and data sharing</w:t>
      </w:r>
      <w:bookmarkEnd w:id="329"/>
    </w:p>
    <w:p w14:paraId="190E9C0E" w14:textId="3843C24A" w:rsidR="00667C2E" w:rsidRDefault="00667C2E" w:rsidP="00667C2E">
      <w:pPr>
        <w:pStyle w:val="Summarytable"/>
        <w:ind w:left="0"/>
        <w:rPr>
          <w:b w:val="0"/>
        </w:rPr>
      </w:pPr>
      <w:r>
        <w:rPr>
          <w:b w:val="0"/>
          <w:bCs w:val="0"/>
        </w:rPr>
        <w:t xml:space="preserve">Readily available data informs decision making at the individual, community and national level, contributing to a sustainable health system. The COVID-19 pandemic highlighted the importance of timely and comprehensive data sharing and linkage to manage both crisis situations and ongoing health challenges, including increased demand for data by policy makers, researchers, and the public.  </w:t>
      </w:r>
    </w:p>
    <w:p w14:paraId="73197A91" w14:textId="688B988D" w:rsidR="00667C2E" w:rsidRDefault="00667C2E" w:rsidP="00667C2E">
      <w:pPr>
        <w:pStyle w:val="Summarytable"/>
        <w:ind w:left="0"/>
        <w:rPr>
          <w:b w:val="0"/>
          <w:bCs w:val="0"/>
        </w:rPr>
      </w:pPr>
      <w:r>
        <w:rPr>
          <w:b w:val="0"/>
          <w:bCs w:val="0"/>
        </w:rPr>
        <w:t>States and Territories hold hospital and many other relevant datasets while the Commonwealth holds MBS and PBS data, together with the Census and other data collections. It is not common practice for these datasets to be linked outside of their individual and specific pricing, costing and compliance functions. Consistent implementation of a unique patient identifier (</w:t>
      </w:r>
      <w:r w:rsidR="00813CC1">
        <w:rPr>
          <w:b w:val="0"/>
          <w:bCs w:val="0"/>
        </w:rPr>
        <w:t>see</w:t>
      </w:r>
      <w:r>
        <w:rPr>
          <w:b w:val="0"/>
          <w:bCs w:val="0"/>
        </w:rPr>
        <w:t xml:space="preserve"> </w:t>
      </w:r>
      <w:r w:rsidR="00813CC1">
        <w:rPr>
          <w:b w:val="0"/>
          <w:bCs w:val="0"/>
        </w:rPr>
        <w:t xml:space="preserve">Case Study: </w:t>
      </w:r>
      <w:r>
        <w:rPr>
          <w:b w:val="0"/>
          <w:bCs w:val="0"/>
        </w:rPr>
        <w:t xml:space="preserve">Health Identifiers Framework) would assist in facilitating agreed and appropriate data linkages across the health system, with benefits for transparency, informed health policy and decision-making and research. </w:t>
      </w:r>
    </w:p>
    <w:tbl>
      <w:tblPr>
        <w:tblStyle w:val="TableGrid"/>
        <w:tblW w:w="0" w:type="auto"/>
        <w:tblBorders>
          <w:top w:val="dotted" w:sz="4" w:space="0" w:color="0097A9" w:themeColor="accent5"/>
          <w:left w:val="dotted" w:sz="4" w:space="0" w:color="0097A9" w:themeColor="accent5"/>
          <w:bottom w:val="dotted" w:sz="4" w:space="0" w:color="0097A9" w:themeColor="accent5"/>
          <w:right w:val="dotted" w:sz="4" w:space="0" w:color="0097A9" w:themeColor="accent5"/>
        </w:tblBorders>
        <w:tblLook w:val="04A0" w:firstRow="1" w:lastRow="0" w:firstColumn="1" w:lastColumn="0" w:noHBand="0" w:noVBand="1"/>
      </w:tblPr>
      <w:tblGrid>
        <w:gridCol w:w="10456"/>
      </w:tblGrid>
      <w:tr w:rsidR="00667C2E" w14:paraId="6ADE3AB9" w14:textId="77777777" w:rsidTr="00667C2E">
        <w:trPr>
          <w:cnfStyle w:val="100000000000" w:firstRow="1" w:lastRow="0" w:firstColumn="0" w:lastColumn="0" w:oddVBand="0" w:evenVBand="0" w:oddHBand="0" w:evenHBand="0" w:firstRowFirstColumn="0" w:firstRowLastColumn="0" w:lastRowFirstColumn="0" w:lastRowLastColumn="0"/>
        </w:trPr>
        <w:tc>
          <w:tcPr>
            <w:tcW w:w="10456" w:type="dxa"/>
            <w:tcBorders>
              <w:top w:val="dotted" w:sz="4" w:space="0" w:color="0097A9" w:themeColor="accent5"/>
              <w:left w:val="dotted" w:sz="4" w:space="0" w:color="0097A9" w:themeColor="accent5"/>
              <w:bottom w:val="dotted" w:sz="4" w:space="0" w:color="0097A9" w:themeColor="accent5"/>
              <w:right w:val="dotted" w:sz="4" w:space="0" w:color="0097A9" w:themeColor="accent5"/>
            </w:tcBorders>
            <w:hideMark/>
          </w:tcPr>
          <w:p w14:paraId="337FF38E" w14:textId="6D4F106B" w:rsidR="00667C2E" w:rsidRDefault="00667C2E">
            <w:pPr>
              <w:pStyle w:val="Summarytable"/>
              <w:rPr>
                <w:color w:val="00707E" w:themeColor="accent5" w:themeShade="BF"/>
                <w:lang w:val="en-GB"/>
              </w:rPr>
            </w:pPr>
            <w:r>
              <w:rPr>
                <w:noProof/>
                <w:lang w:val="en-GB"/>
              </w:rPr>
              <w:drawing>
                <wp:inline distT="0" distB="0" distL="0" distR="0" wp14:anchorId="71F61778" wp14:editId="2193A17C">
                  <wp:extent cx="269875" cy="269875"/>
                  <wp:effectExtent l="0" t="0" r="0" b="0"/>
                  <wp:docPr id="10" name="Graphic 10" descr="P2311C1T120#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 name="Graphic 10" descr="P2311C1T120#yIS1">
                            <a:extLst>
                              <a:ext uri="{C183D7F6-B498-43B3-948B-1728B52AA6E4}">
                                <adec:decorative xmlns:adec="http://schemas.microsoft.com/office/drawing/2017/decorative" val="1"/>
                              </a:ext>
                            </a:extLst>
                          </pic:cNvPr>
                          <pic:cNvPicPr>
                            <a:picLocks noChangeAspect="1"/>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69875" cy="269875"/>
                          </a:xfrm>
                          <a:prstGeom prst="rect">
                            <a:avLst/>
                          </a:prstGeom>
                        </pic:spPr>
                      </pic:pic>
                    </a:graphicData>
                  </a:graphic>
                </wp:inline>
              </w:drawing>
            </w:r>
            <w:r w:rsidRPr="0049799B">
              <w:rPr>
                <w:color w:val="00707E" w:themeColor="accent5" w:themeShade="BF"/>
                <w:lang w:val="en-GB"/>
              </w:rPr>
              <w:t>Case study:</w:t>
            </w:r>
            <w:r>
              <w:rPr>
                <w:b w:val="0"/>
                <w:bCs w:val="0"/>
                <w:color w:val="00707E" w:themeColor="accent5" w:themeShade="BF"/>
                <w:lang w:val="en-GB"/>
              </w:rPr>
              <w:t xml:space="preserve"> Health Identifiers Framework</w:t>
            </w:r>
          </w:p>
          <w:p w14:paraId="4EAF5132" w14:textId="77777777" w:rsidR="00667C2E" w:rsidRDefault="00667C2E">
            <w:pPr>
              <w:ind w:left="142"/>
              <w:rPr>
                <w:lang w:val="en-GB"/>
              </w:rPr>
            </w:pPr>
            <w:r>
              <w:rPr>
                <w:lang w:val="en-GB"/>
              </w:rPr>
              <w:t xml:space="preserve">The Commonwealth Government is currently engaged in a project aimed at identifying opportunities for modifications within the Healthcare Identifiers Framework, which encompasses the </w:t>
            </w:r>
            <w:r w:rsidRPr="00650E28">
              <w:rPr>
                <w:i/>
                <w:iCs/>
                <w:lang w:val="en-GB"/>
              </w:rPr>
              <w:t>Healthcare Identifiers Act 2010</w:t>
            </w:r>
            <w:r>
              <w:rPr>
                <w:lang w:val="en-GB"/>
              </w:rPr>
              <w:t xml:space="preserve">, the </w:t>
            </w:r>
            <w:r w:rsidRPr="00650E28">
              <w:rPr>
                <w:i/>
                <w:iCs/>
                <w:lang w:val="en-GB"/>
              </w:rPr>
              <w:t>Healthcare Identifiers Regulations 2020</w:t>
            </w:r>
            <w:r>
              <w:rPr>
                <w:lang w:val="en-GB"/>
              </w:rPr>
              <w:t>, and the essential policy parameters governing the Healthcare Identifiers Services.</w:t>
            </w:r>
          </w:p>
          <w:p w14:paraId="36CAD75D" w14:textId="77777777" w:rsidR="00667C2E" w:rsidRDefault="00667C2E">
            <w:pPr>
              <w:ind w:left="142"/>
              <w:rPr>
                <w:lang w:val="en-GB"/>
              </w:rPr>
            </w:pPr>
            <w:r>
              <w:rPr>
                <w:lang w:val="en-GB"/>
              </w:rPr>
              <w:t>Healthcare Identifiers (HIs) have proven effective in implementing initiatives like My Health Record (MHR) and more recent digital advancements such as electronic prescribing. However, the adoption of HIs in contexts beyond these services has been slow, partially due to legal and operational challenges.</w:t>
            </w:r>
          </w:p>
          <w:p w14:paraId="1EB4C95A" w14:textId="4E684784" w:rsidR="00667C2E" w:rsidRDefault="00667C2E">
            <w:pPr>
              <w:ind w:left="142"/>
              <w:rPr>
                <w:lang w:val="en-GB"/>
              </w:rPr>
            </w:pPr>
            <w:r>
              <w:rPr>
                <w:lang w:val="en-GB"/>
              </w:rPr>
              <w:t xml:space="preserve">The primary objective of this project is to align the Act and the HI Service to align with Australia’s modern healthcare environment. This alignment will facilitate the provision of safe, high-quality healthcare services and enable the </w:t>
            </w:r>
            <w:r w:rsidR="00813CC1">
              <w:rPr>
                <w:lang w:val="en-GB"/>
              </w:rPr>
              <w:t>fulfilment</w:t>
            </w:r>
            <w:r>
              <w:rPr>
                <w:lang w:val="en-GB"/>
              </w:rPr>
              <w:t xml:space="preserve"> of current and emerging strategic, policy, program, and operational objectives.</w:t>
            </w:r>
          </w:p>
          <w:p w14:paraId="189D4EE0" w14:textId="77777777" w:rsidR="00667C2E" w:rsidRDefault="00667C2E">
            <w:pPr>
              <w:ind w:left="142"/>
              <w:rPr>
                <w:lang w:val="en-GB"/>
              </w:rPr>
            </w:pPr>
            <w:r>
              <w:rPr>
                <w:lang w:val="en-GB"/>
              </w:rPr>
              <w:t>The project seeks to expedite the integration of Australia's health information systems by ensuring that HIs can serve as universal identifiers across healthcare programs and services. This will empower healthcare providers to accurately identify recipients of healthcare and securely transmit health information between healthcare facilities. This transformation is expected to:</w:t>
            </w:r>
          </w:p>
          <w:p w14:paraId="65E79E4C" w14:textId="77777777" w:rsidR="00667C2E" w:rsidRDefault="00667C2E">
            <w:pPr>
              <w:pStyle w:val="ListParagraph"/>
              <w:numPr>
                <w:ilvl w:val="0"/>
                <w:numId w:val="92"/>
              </w:numPr>
              <w:ind w:left="709"/>
              <w:rPr>
                <w:lang w:val="en-GB"/>
              </w:rPr>
            </w:pPr>
            <w:r>
              <w:rPr>
                <w:lang w:val="en-GB"/>
              </w:rPr>
              <w:t>Alleviate the burden on healthcare recipients, as they will no longer need to repeatedly provide crucial health information.</w:t>
            </w:r>
          </w:p>
          <w:p w14:paraId="01B0A8EC" w14:textId="77777777" w:rsidR="00667C2E" w:rsidRDefault="00667C2E">
            <w:pPr>
              <w:pStyle w:val="ListParagraph"/>
              <w:numPr>
                <w:ilvl w:val="0"/>
                <w:numId w:val="92"/>
              </w:numPr>
              <w:ind w:left="709"/>
              <w:rPr>
                <w:lang w:val="en-GB"/>
              </w:rPr>
            </w:pPr>
            <w:r>
              <w:rPr>
                <w:lang w:val="en-GB"/>
              </w:rPr>
              <w:t>Provide healthcare providers with access to more comprehensive patient information at the point of care, ultimately enhancing patient outcomes.</w:t>
            </w:r>
          </w:p>
          <w:p w14:paraId="714D1B01" w14:textId="77777777" w:rsidR="00667C2E" w:rsidRDefault="00667C2E">
            <w:pPr>
              <w:pStyle w:val="ListParagraph"/>
              <w:numPr>
                <w:ilvl w:val="0"/>
                <w:numId w:val="92"/>
              </w:numPr>
              <w:ind w:left="709"/>
              <w:rPr>
                <w:lang w:val="en-GB"/>
              </w:rPr>
            </w:pPr>
            <w:r>
              <w:rPr>
                <w:lang w:val="en-GB"/>
              </w:rPr>
              <w:t>Enhance researchers' capacity to connect and analyse large volumes of de-identified health data regarding outcomes and usage. The outcomes of this research will inform planning and funding decisions, benefiting all Australians.</w:t>
            </w:r>
          </w:p>
          <w:p w14:paraId="3611FB30" w14:textId="77777777" w:rsidR="00667C2E" w:rsidRDefault="00667C2E">
            <w:pPr>
              <w:ind w:left="142"/>
              <w:rPr>
                <w:lang w:val="en-GB"/>
              </w:rPr>
            </w:pPr>
            <w:r>
              <w:rPr>
                <w:lang w:val="en-GB"/>
              </w:rPr>
              <w:t>The HI Framework project is an example of a critical health data initiative that requires national collaboration, coordination, and commitment to overcoming the legal and operational challenges associated with digital health and data sharing.</w:t>
            </w:r>
          </w:p>
        </w:tc>
      </w:tr>
    </w:tbl>
    <w:p w14:paraId="347326D9" w14:textId="77777777" w:rsidR="00667C2E" w:rsidRDefault="00667C2E" w:rsidP="00667C2E"/>
    <w:p w14:paraId="44CEBB2C" w14:textId="4DD9D29B" w:rsidR="00667C2E" w:rsidRDefault="00667C2E" w:rsidP="00667C2E">
      <w:pPr>
        <w:rPr>
          <w:b/>
        </w:rPr>
      </w:pPr>
      <w:r>
        <w:t xml:space="preserve">‘Enhanced health data’ is a long-term reform (LTR) priority area in the Agreement. This stream aims to ensure </w:t>
      </w:r>
      <w:r w:rsidR="00191724">
        <w:t xml:space="preserve">that </w:t>
      </w:r>
      <w:r>
        <w:t xml:space="preserve">the data generated by Australia’s health system drives better health outcomes and delivers effective, safe and efficient health care for all Australians. The </w:t>
      </w:r>
      <w:r w:rsidRPr="00650E28">
        <w:rPr>
          <w:i/>
          <w:iCs/>
        </w:rPr>
        <w:t>IGA on National Digital Health</w:t>
      </w:r>
      <w:r>
        <w:t xml:space="preserve"> is a shared investment commitment between the Commonwealth and the States and Territories that progresses this LTR stream. </w:t>
      </w:r>
      <w:r w:rsidR="00813CC1">
        <w:rPr>
          <w:lang w:val="en-GB"/>
        </w:rPr>
        <w:t>This commitment and work to date (see Case Study: IGA on National Digital Health) should be reflected in a future Agreement.</w:t>
      </w:r>
    </w:p>
    <w:tbl>
      <w:tblPr>
        <w:tblStyle w:val="TableGrid"/>
        <w:tblW w:w="0" w:type="auto"/>
        <w:tblBorders>
          <w:top w:val="dotted" w:sz="4" w:space="0" w:color="0097A9" w:themeColor="accent5"/>
          <w:left w:val="dotted" w:sz="4" w:space="0" w:color="0097A9" w:themeColor="accent5"/>
          <w:bottom w:val="dotted" w:sz="4" w:space="0" w:color="0097A9" w:themeColor="accent5"/>
          <w:right w:val="dotted" w:sz="4" w:space="0" w:color="0097A9" w:themeColor="accent5"/>
        </w:tblBorders>
        <w:tblLook w:val="04A0" w:firstRow="1" w:lastRow="0" w:firstColumn="1" w:lastColumn="0" w:noHBand="0" w:noVBand="1"/>
      </w:tblPr>
      <w:tblGrid>
        <w:gridCol w:w="10456"/>
      </w:tblGrid>
      <w:tr w:rsidR="00667C2E" w14:paraId="16220612" w14:textId="77777777" w:rsidTr="00667C2E">
        <w:trPr>
          <w:cnfStyle w:val="100000000000" w:firstRow="1" w:lastRow="0" w:firstColumn="0" w:lastColumn="0" w:oddVBand="0" w:evenVBand="0" w:oddHBand="0" w:evenHBand="0" w:firstRowFirstColumn="0" w:firstRowLastColumn="0" w:lastRowFirstColumn="0" w:lastRowLastColumn="0"/>
        </w:trPr>
        <w:tc>
          <w:tcPr>
            <w:tcW w:w="10456" w:type="dxa"/>
            <w:tcBorders>
              <w:top w:val="dotted" w:sz="4" w:space="0" w:color="0097A9" w:themeColor="accent5"/>
              <w:left w:val="dotted" w:sz="4" w:space="0" w:color="0097A9" w:themeColor="accent5"/>
              <w:bottom w:val="dotted" w:sz="4" w:space="0" w:color="0097A9" w:themeColor="accent5"/>
              <w:right w:val="dotted" w:sz="4" w:space="0" w:color="0097A9" w:themeColor="accent5"/>
            </w:tcBorders>
            <w:hideMark/>
          </w:tcPr>
          <w:p w14:paraId="7A5AB833" w14:textId="24DCEA4A" w:rsidR="00667C2E" w:rsidRDefault="00667C2E" w:rsidP="00F3118C">
            <w:pPr>
              <w:pStyle w:val="Summarytable"/>
              <w:rPr>
                <w:color w:val="00707E" w:themeColor="accent5" w:themeShade="BF"/>
                <w:lang w:val="en-GB"/>
              </w:rPr>
            </w:pPr>
            <w:r w:rsidRPr="0049799B">
              <w:rPr>
                <w:noProof/>
                <w:lang w:val="en-GB"/>
              </w:rPr>
              <w:drawing>
                <wp:inline distT="0" distB="0" distL="0" distR="0" wp14:anchorId="08EF5AFF" wp14:editId="5005CECB">
                  <wp:extent cx="269875" cy="269875"/>
                  <wp:effectExtent l="0" t="0" r="0" b="0"/>
                  <wp:docPr id="9" name="Graphic 9" descr="P2323C1T121#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Graphic 9" descr="P2323C1T121#yIS1">
                            <a:extLst>
                              <a:ext uri="{C183D7F6-B498-43B3-948B-1728B52AA6E4}">
                                <adec:decorative xmlns:adec="http://schemas.microsoft.com/office/drawing/2017/decorative" val="1"/>
                              </a:ext>
                            </a:extLst>
                          </pic:cNvPr>
                          <pic:cNvPicPr>
                            <a:picLocks noChangeAspect="1"/>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69875" cy="269875"/>
                          </a:xfrm>
                          <a:prstGeom prst="rect">
                            <a:avLst/>
                          </a:prstGeom>
                        </pic:spPr>
                      </pic:pic>
                    </a:graphicData>
                  </a:graphic>
                </wp:inline>
              </w:drawing>
            </w:r>
            <w:r w:rsidRPr="0049799B">
              <w:rPr>
                <w:color w:val="00707E" w:themeColor="accent5" w:themeShade="BF"/>
                <w:lang w:val="en-GB"/>
              </w:rPr>
              <w:t>Case study:</w:t>
            </w:r>
            <w:r>
              <w:rPr>
                <w:b w:val="0"/>
                <w:bCs w:val="0"/>
                <w:color w:val="00707E" w:themeColor="accent5" w:themeShade="BF"/>
                <w:lang w:val="en-GB"/>
              </w:rPr>
              <w:t xml:space="preserve"> IGA on National Digital Health</w:t>
            </w:r>
          </w:p>
          <w:p w14:paraId="05597FE1" w14:textId="3413EB69" w:rsidR="00667C2E" w:rsidRDefault="00667C2E" w:rsidP="00F3118C">
            <w:pPr>
              <w:ind w:left="142"/>
              <w:rPr>
                <w:lang w:val="en-GB"/>
              </w:rPr>
            </w:pPr>
            <w:r>
              <w:rPr>
                <w:lang w:val="en-GB"/>
              </w:rPr>
              <w:t xml:space="preserve">The IGA on National Digital Health’s purpose is to enable interoperability and connected data across Australia's health care settings to support high quality patient care and improve the efficiency and sustainability of the health care system. It comprises the governance, funding arrangements, </w:t>
            </w:r>
            <w:r w:rsidR="00270BC2">
              <w:rPr>
                <w:lang w:val="en-GB"/>
              </w:rPr>
              <w:t xml:space="preserve">and </w:t>
            </w:r>
            <w:r>
              <w:rPr>
                <w:lang w:val="en-GB"/>
              </w:rPr>
              <w:t>roles and responsibilities of relevant parties to guide future investment, development and implementation of a national approach to digital health, including innovative and technological advances.</w:t>
            </w:r>
          </w:p>
          <w:p w14:paraId="558B9E3F" w14:textId="51798FCA" w:rsidR="00667C2E" w:rsidRDefault="00667C2E" w:rsidP="00F3118C">
            <w:pPr>
              <w:ind w:left="142"/>
              <w:rPr>
                <w:lang w:val="en-GB"/>
              </w:rPr>
            </w:pPr>
            <w:r>
              <w:rPr>
                <w:lang w:val="en-GB"/>
              </w:rPr>
              <w:t>The IGA was renewed for four years from 2023-24</w:t>
            </w:r>
            <w:r w:rsidR="00C409A3">
              <w:rPr>
                <w:lang w:val="en-GB"/>
              </w:rPr>
              <w:t xml:space="preserve"> </w:t>
            </w:r>
            <w:r>
              <w:rPr>
                <w:lang w:val="en-GB"/>
              </w:rPr>
              <w:t xml:space="preserve">to support existing national health infrastructure and commitment by all governments to support the development of national health information exchange (HIE) capabilities that support patients as they transition through care settings. This allows the secure, safe and seamless sharing of health information between all jurisdictions where it is required for healthcare delivery. </w:t>
            </w:r>
          </w:p>
          <w:p w14:paraId="654B55A8" w14:textId="4882A11B" w:rsidR="00667C2E" w:rsidRDefault="00667C2E" w:rsidP="008D4BA9">
            <w:pPr>
              <w:ind w:left="142"/>
              <w:rPr>
                <w:lang w:val="en-GB"/>
              </w:rPr>
            </w:pPr>
            <w:r>
              <w:rPr>
                <w:lang w:val="en-GB"/>
              </w:rPr>
              <w:t>A national HIE network of interconnected health information systems will increase access to new and existing sources of health information for a complete picture of an individual to enable the right care, in the right place, through seamless data exchange. The key benefits of a national HIE</w:t>
            </w:r>
            <w:r w:rsidR="002F622E">
              <w:rPr>
                <w:lang w:val="en-GB"/>
              </w:rPr>
              <w:t xml:space="preserve">, </w:t>
            </w:r>
            <w:r w:rsidR="008B2665">
              <w:rPr>
                <w:lang w:val="en-GB"/>
              </w:rPr>
              <w:t>being tested</w:t>
            </w:r>
            <w:r w:rsidR="002F622E">
              <w:rPr>
                <w:lang w:val="en-GB"/>
              </w:rPr>
              <w:t xml:space="preserve"> through scoping activity,</w:t>
            </w:r>
            <w:r>
              <w:rPr>
                <w:lang w:val="en-GB"/>
              </w:rPr>
              <w:t xml:space="preserve"> include reduced time spent looking for information, improved continuity of care through a reduction in duplication of tests, potential avoidance of unnecessary hospital admissions, and swifter interventions where the complete data picture is available. These will all lead to improved clinical outcomes and system efficiencies.</w:t>
            </w:r>
          </w:p>
        </w:tc>
      </w:tr>
    </w:tbl>
    <w:p w14:paraId="17D8F928" w14:textId="544F3009" w:rsidR="00667C2E" w:rsidRDefault="00667C2E" w:rsidP="00667C2E">
      <w:pPr>
        <w:pStyle w:val="Summarytable"/>
        <w:ind w:left="0"/>
        <w:rPr>
          <w:b w:val="0"/>
          <w:bCs w:val="0"/>
        </w:rPr>
      </w:pPr>
      <w:r>
        <w:rPr>
          <w:b w:val="0"/>
        </w:rPr>
        <w:t>The</w:t>
      </w:r>
      <w:r>
        <w:rPr>
          <w:b w:val="0"/>
          <w:bCs w:val="0"/>
        </w:rPr>
        <w:t xml:space="preserve"> health data landscape and interactions with privacy regimes is complex within jurisdictions and, by extension, across jurisdictions. While there are legislative means that enable data sharing to occur, inconsistencies in legal terminology, organisation culture and risk frameworks often impact the ability to readily share data. Breaches of government and non-government data impact on public trust and the social licence for data sharing. In addition, while data processing </w:t>
      </w:r>
      <w:r>
        <w:rPr>
          <w:b w:val="0"/>
        </w:rPr>
        <w:t>in healthcare remains</w:t>
      </w:r>
      <w:r>
        <w:rPr>
          <w:b w:val="0"/>
          <w:bCs w:val="0"/>
        </w:rPr>
        <w:t xml:space="preserve"> manual and paper-based, the use of robust and up to date data to inform decisions</w:t>
      </w:r>
      <w:r w:rsidR="00813CC1">
        <w:rPr>
          <w:b w:val="0"/>
          <w:bCs w:val="0"/>
        </w:rPr>
        <w:t xml:space="preserve"> will be impeded</w:t>
      </w:r>
      <w:r>
        <w:rPr>
          <w:b w:val="0"/>
          <w:bCs w:val="0"/>
        </w:rPr>
        <w:t xml:space="preserve">. </w:t>
      </w:r>
    </w:p>
    <w:p w14:paraId="3EE95331" w14:textId="10BEA0FC" w:rsidR="00667C2E" w:rsidRDefault="00667C2E" w:rsidP="00667C2E">
      <w:pPr>
        <w:pStyle w:val="Summarytable"/>
        <w:ind w:left="0"/>
        <w:rPr>
          <w:b w:val="0"/>
          <w:bCs w:val="0"/>
        </w:rPr>
      </w:pPr>
      <w:r>
        <w:rPr>
          <w:b w:val="0"/>
          <w:bCs w:val="0"/>
        </w:rPr>
        <w:t xml:space="preserve">The </w:t>
      </w:r>
      <w:r w:rsidRPr="00650E28">
        <w:rPr>
          <w:b w:val="0"/>
          <w:bCs w:val="0"/>
          <w:i/>
          <w:iCs/>
        </w:rPr>
        <w:t>Strengthening Medicare Taskforce</w:t>
      </w:r>
      <w:r>
        <w:rPr>
          <w:b w:val="0"/>
          <w:bCs w:val="0"/>
        </w:rPr>
        <w:t xml:space="preserve"> emphasised the need to continue to invest in infrastructure that improves interoperability between systems, simplifies data sharing and access, improves the security and resilience of the health system, and accelerates progress towards a consumer driven health system. These reforms include modernising My Health Record to increase its utilisation and impact, improving health system data connection underpinned by robust national governance and legislation, regulation of clinical software and improved technology, and investing in better health data for research/evaluation of models of care and to support planning. </w:t>
      </w:r>
    </w:p>
    <w:p w14:paraId="4AAFA54A" w14:textId="6EBA0E25" w:rsidR="00667C2E" w:rsidRDefault="00667C2E" w:rsidP="00667C2E">
      <w:pPr>
        <w:pStyle w:val="Summarytable"/>
        <w:ind w:left="0"/>
        <w:rPr>
          <w:b w:val="0"/>
        </w:rPr>
      </w:pPr>
      <w:r>
        <w:t>First Nations’ data</w:t>
      </w:r>
    </w:p>
    <w:p w14:paraId="1D764E67" w14:textId="44F42F4F" w:rsidR="00667C2E" w:rsidRDefault="00667C2E" w:rsidP="00667C2E">
      <w:r>
        <w:t xml:space="preserve">Both the </w:t>
      </w:r>
      <w:r w:rsidRPr="00650E28">
        <w:rPr>
          <w:i/>
          <w:iCs/>
        </w:rPr>
        <w:t>National Agreement on Closing the Gap</w:t>
      </w:r>
      <w:r>
        <w:t xml:space="preserve"> and the </w:t>
      </w:r>
      <w:r>
        <w:rPr>
          <w:i/>
          <w:iCs/>
        </w:rPr>
        <w:t>National Aboriginal and Torres Strait Islander Health Plan 20</w:t>
      </w:r>
      <w:r w:rsidR="00AA64F8">
        <w:rPr>
          <w:i/>
          <w:iCs/>
        </w:rPr>
        <w:t>2</w:t>
      </w:r>
      <w:r>
        <w:rPr>
          <w:i/>
          <w:iCs/>
        </w:rPr>
        <w:t>1-203</w:t>
      </w:r>
      <w:r w:rsidR="00BD42D0">
        <w:rPr>
          <w:i/>
          <w:iCs/>
        </w:rPr>
        <w:t>1</w:t>
      </w:r>
      <w:r w:rsidR="003F5D51">
        <w:rPr>
          <w:rFonts w:ascii="ZWAdobeF" w:hAnsi="ZWAdobeF" w:cs="ZWAdobeF"/>
          <w:iCs/>
          <w:sz w:val="2"/>
          <w:szCs w:val="2"/>
        </w:rPr>
        <w:t>170F</w:t>
      </w:r>
      <w:r>
        <w:rPr>
          <w:rStyle w:val="FootnoteReference"/>
          <w:i/>
          <w:iCs/>
        </w:rPr>
        <w:footnoteReference w:id="172"/>
      </w:r>
      <w:r>
        <w:t xml:space="preserve"> emphasise the importance of First Nations’ people having access to, and ownership of, the data that involves and impacts them. Indigenous Data Sovereignty principles should be embedded in the NHRA for the design, collection, use and dissemination of Aboriginal and Torres Strait Islander data. </w:t>
      </w:r>
    </w:p>
    <w:p w14:paraId="5A03CF7A" w14:textId="488A603D" w:rsidR="00667C2E" w:rsidRDefault="00667C2E" w:rsidP="00FC69BE">
      <w:pPr>
        <w:pStyle w:val="Summarytable"/>
        <w:keepNext/>
        <w:ind w:left="0"/>
      </w:pPr>
      <w:r>
        <w:t>Workforce data</w:t>
      </w:r>
    </w:p>
    <w:p w14:paraId="4E0D5B45" w14:textId="77777777" w:rsidR="00667C2E" w:rsidRDefault="00667C2E" w:rsidP="00FC69BE">
      <w:pPr>
        <w:pStyle w:val="Summarytable"/>
        <w:keepNext/>
        <w:ind w:left="0"/>
        <w:rPr>
          <w:b w:val="0"/>
          <w:bCs w:val="0"/>
        </w:rPr>
      </w:pPr>
      <w:r>
        <w:rPr>
          <w:b w:val="0"/>
          <w:bCs w:val="0"/>
        </w:rPr>
        <w:t xml:space="preserve">There is an opportunity to initiate structural reform to the way the health workforce is planned and managed through a comprehensive approach to workforce intelligence and governance. </w:t>
      </w:r>
    </w:p>
    <w:p w14:paraId="71733BB5" w14:textId="4ACD9CDC" w:rsidR="00667C2E" w:rsidRDefault="00667C2E" w:rsidP="00FC69BE">
      <w:pPr>
        <w:pStyle w:val="Summarytable"/>
        <w:keepNext/>
        <w:ind w:left="0"/>
        <w:rPr>
          <w:b w:val="0"/>
          <w:bCs w:val="0"/>
        </w:rPr>
      </w:pPr>
      <w:r>
        <w:rPr>
          <w:b w:val="0"/>
          <w:bCs w:val="0"/>
        </w:rPr>
        <w:t xml:space="preserve">For example, requiring States and Territories to report on the Australian Teaching and Training Classification (ATTC) as a national minimum dataset where current reporting is only on a “best endeavours” basis, would improve transparency and enable improved workforce planning. Agreement across jurisdictions on data, sharing data, and mandatory reporting (as is law in New Zealand) would enable a greater understanding of the TTR environment to make appropriate policy decisions. </w:t>
      </w:r>
    </w:p>
    <w:tbl>
      <w:tblPr>
        <w:tblStyle w:val="TableGrid"/>
        <w:tblW w:w="0" w:type="auto"/>
        <w:shd w:val="clear" w:color="auto" w:fill="F2F2F2" w:themeFill="background1" w:themeFillShade="F2"/>
        <w:tblLook w:val="04A0" w:firstRow="1" w:lastRow="0" w:firstColumn="1" w:lastColumn="0" w:noHBand="0" w:noVBand="1"/>
      </w:tblPr>
      <w:tblGrid>
        <w:gridCol w:w="10466"/>
      </w:tblGrid>
      <w:tr w:rsidR="00667C2E" w14:paraId="6E742C8C" w14:textId="77777777" w:rsidTr="00667C2E">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hideMark/>
          </w:tcPr>
          <w:p w14:paraId="1F50F8AD" w14:textId="6208A320" w:rsidR="00667C2E" w:rsidRDefault="0049799B">
            <w:pPr>
              <w:pStyle w:val="Summarytable"/>
              <w:rPr>
                <w:b w:val="0"/>
                <w:bCs w:val="0"/>
                <w:lang w:val="en-GB"/>
              </w:rPr>
            </w:pPr>
            <w:r>
              <w:rPr>
                <w:noProof/>
                <w:lang w:val="en-GB"/>
              </w:rPr>
              <w:drawing>
                <wp:inline distT="0" distB="0" distL="0" distR="0" wp14:anchorId="0066F6D8" wp14:editId="09186562">
                  <wp:extent cx="269875" cy="269875"/>
                  <wp:effectExtent l="0" t="0" r="0" b="0"/>
                  <wp:docPr id="4" name="Graphic 4" descr="P2335C1T122#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Graphic 4" descr="P2335C1T122#yIS1">
                            <a:extLst>
                              <a:ext uri="{C183D7F6-B498-43B3-948B-1728B52AA6E4}">
                                <adec:decorative xmlns:adec="http://schemas.microsoft.com/office/drawing/2017/decorative" val="1"/>
                              </a:ext>
                            </a:extLst>
                          </pic:cNvPr>
                          <pic:cNvPicPr>
                            <a:picLocks noChangeAspect="1"/>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69875" cy="269875"/>
                          </a:xfrm>
                          <a:prstGeom prst="rect">
                            <a:avLst/>
                          </a:prstGeom>
                        </pic:spPr>
                      </pic:pic>
                    </a:graphicData>
                  </a:graphic>
                </wp:inline>
              </w:drawing>
            </w:r>
            <w:r w:rsidR="00667C2E">
              <w:rPr>
                <w:color w:val="00707E" w:themeColor="accent5" w:themeShade="BF"/>
                <w:lang w:val="en-GB"/>
              </w:rPr>
              <w:t xml:space="preserve">Recommendation </w:t>
            </w:r>
            <w:r w:rsidR="008D4BA9">
              <w:rPr>
                <w:color w:val="00707E" w:themeColor="accent5" w:themeShade="BF"/>
                <w:lang w:val="en-GB"/>
              </w:rPr>
              <w:t>40</w:t>
            </w:r>
            <w:r w:rsidR="00E13E91">
              <w:rPr>
                <w:color w:val="00707E" w:themeColor="accent5" w:themeShade="BF"/>
                <w:lang w:val="en-GB"/>
              </w:rPr>
              <w:t xml:space="preserve">: </w:t>
            </w:r>
            <w:r w:rsidR="00667C2E">
              <w:rPr>
                <w:b w:val="0"/>
                <w:bCs w:val="0"/>
                <w:lang w:val="en-GB"/>
              </w:rPr>
              <w:t xml:space="preserve">A future Agreement should include an explicit </w:t>
            </w:r>
            <w:r w:rsidR="00667C2E">
              <w:rPr>
                <w:lang w:val="en-GB"/>
              </w:rPr>
              <w:t xml:space="preserve">commitment to progress digital health as a key enabler to improving the health system, </w:t>
            </w:r>
            <w:r w:rsidR="00667C2E">
              <w:rPr>
                <w:b w:val="0"/>
                <w:bCs w:val="0"/>
                <w:lang w:val="en-GB"/>
              </w:rPr>
              <w:t>as an additional Schedule. The Schedule should reflect:</w:t>
            </w:r>
          </w:p>
          <w:p w14:paraId="0060D6F9" w14:textId="681FEA4A" w:rsidR="00667C2E" w:rsidRDefault="00667C2E" w:rsidP="0049799B">
            <w:pPr>
              <w:pStyle w:val="Summarytable"/>
              <w:numPr>
                <w:ilvl w:val="0"/>
                <w:numId w:val="83"/>
              </w:numPr>
              <w:ind w:left="709"/>
              <w:rPr>
                <w:b w:val="0"/>
                <w:bCs w:val="0"/>
                <w:lang w:val="en-GB"/>
              </w:rPr>
            </w:pPr>
            <w:r>
              <w:rPr>
                <w:b w:val="0"/>
                <w:bCs w:val="0"/>
                <w:lang w:val="en-GB"/>
              </w:rPr>
              <w:t>Support and incentivisation for a digitally enabled healthcare system</w:t>
            </w:r>
            <w:r w:rsidR="00AB1398">
              <w:rPr>
                <w:b w:val="0"/>
                <w:bCs w:val="0"/>
                <w:lang w:val="en-GB"/>
              </w:rPr>
              <w:t xml:space="preserve">, including integrated funding for evolving models of </w:t>
            </w:r>
            <w:r w:rsidR="00ED1393">
              <w:rPr>
                <w:b w:val="0"/>
                <w:bCs w:val="0"/>
                <w:lang w:val="en-GB"/>
              </w:rPr>
              <w:t>care.</w:t>
            </w:r>
          </w:p>
          <w:p w14:paraId="1E23C4EF" w14:textId="0DC814E2" w:rsidR="00667C2E" w:rsidRDefault="00667C2E" w:rsidP="0049799B">
            <w:pPr>
              <w:pStyle w:val="Summarytable"/>
              <w:numPr>
                <w:ilvl w:val="0"/>
                <w:numId w:val="83"/>
              </w:numPr>
              <w:ind w:left="709"/>
              <w:rPr>
                <w:b w:val="0"/>
                <w:bCs w:val="0"/>
                <w:lang w:val="en-GB"/>
              </w:rPr>
            </w:pPr>
            <w:r>
              <w:rPr>
                <w:b w:val="0"/>
                <w:bCs w:val="0"/>
                <w:lang w:val="en-GB"/>
              </w:rPr>
              <w:t>The role of the Australian Digital Health Agency (ADHA) in progressing digital health</w:t>
            </w:r>
            <w:r w:rsidR="00BF5092">
              <w:rPr>
                <w:b w:val="0"/>
                <w:bCs w:val="0"/>
                <w:lang w:val="en-GB"/>
              </w:rPr>
              <w:t>.</w:t>
            </w:r>
          </w:p>
          <w:p w14:paraId="777418F2" w14:textId="0DD79795" w:rsidR="00093CB9" w:rsidRPr="00AD7D40" w:rsidRDefault="00093CB9" w:rsidP="00AD7D40">
            <w:pPr>
              <w:pStyle w:val="Summarytable"/>
              <w:numPr>
                <w:ilvl w:val="0"/>
                <w:numId w:val="83"/>
              </w:numPr>
              <w:ind w:left="709"/>
              <w:rPr>
                <w:b w:val="0"/>
                <w:bCs w:val="0"/>
                <w:lang w:val="en-GB"/>
              </w:rPr>
            </w:pPr>
            <w:r w:rsidRPr="00AD7D40">
              <w:rPr>
                <w:b w:val="0"/>
                <w:bCs w:val="0"/>
                <w:lang w:val="en-GB"/>
              </w:rPr>
              <w:t xml:space="preserve">The </w:t>
            </w:r>
            <w:r w:rsidRPr="00AD7D40">
              <w:rPr>
                <w:b w:val="0"/>
                <w:bCs w:val="0"/>
                <w:i/>
                <w:iCs/>
                <w:lang w:val="en-GB"/>
              </w:rPr>
              <w:t xml:space="preserve">Intergovernmental Agreement (IGA) on National Digital Health 2023-27 </w:t>
            </w:r>
            <w:r w:rsidRPr="00AD7D40">
              <w:rPr>
                <w:b w:val="0"/>
                <w:bCs w:val="0"/>
                <w:lang w:val="en-GB"/>
              </w:rPr>
              <w:t xml:space="preserve">and </w:t>
            </w:r>
            <w:r w:rsidRPr="00AD7D40">
              <w:rPr>
                <w:b w:val="0"/>
                <w:bCs w:val="0"/>
                <w:i/>
                <w:iCs/>
                <w:lang w:val="en-GB"/>
              </w:rPr>
              <w:t>Connecting Australian Healthcare - National Healthcare Interoperability Plan 2023-28</w:t>
            </w:r>
            <w:r w:rsidR="00BF5092" w:rsidRPr="00AD7D40">
              <w:rPr>
                <w:b w:val="0"/>
                <w:bCs w:val="0"/>
                <w:i/>
                <w:iCs/>
                <w:lang w:val="en-GB"/>
              </w:rPr>
              <w:t>.</w:t>
            </w:r>
          </w:p>
          <w:p w14:paraId="7D66DE89" w14:textId="7028F472" w:rsidR="00667C2E" w:rsidRDefault="00667C2E" w:rsidP="00AD7D40">
            <w:pPr>
              <w:pStyle w:val="Summarytable"/>
              <w:numPr>
                <w:ilvl w:val="0"/>
                <w:numId w:val="83"/>
              </w:numPr>
              <w:ind w:left="709"/>
              <w:rPr>
                <w:b w:val="0"/>
                <w:bCs w:val="0"/>
                <w:lang w:val="en-GB"/>
              </w:rPr>
            </w:pPr>
            <w:r>
              <w:rPr>
                <w:b w:val="0"/>
                <w:bCs w:val="0"/>
                <w:lang w:val="en-GB"/>
              </w:rPr>
              <w:t>Agreed priorities, roles and responsibilities, and actions to progress digital health</w:t>
            </w:r>
            <w:r w:rsidR="0075422F">
              <w:rPr>
                <w:b w:val="0"/>
                <w:bCs w:val="0"/>
                <w:lang w:val="en-GB"/>
              </w:rPr>
              <w:t xml:space="preserve">, </w:t>
            </w:r>
            <w:r>
              <w:rPr>
                <w:b w:val="0"/>
                <w:bCs w:val="0"/>
                <w:lang w:val="en-GB"/>
              </w:rPr>
              <w:t>data sharing</w:t>
            </w:r>
            <w:r w:rsidR="0075422F">
              <w:rPr>
                <w:b w:val="0"/>
                <w:bCs w:val="0"/>
                <w:lang w:val="en-GB"/>
              </w:rPr>
              <w:t xml:space="preserve"> and data linkage as a foundation </w:t>
            </w:r>
            <w:r w:rsidR="00A517A0">
              <w:rPr>
                <w:b w:val="0"/>
                <w:bCs w:val="0"/>
                <w:lang w:val="en-GB"/>
              </w:rPr>
              <w:t>to advance effective co-commissioning and optimal models of care</w:t>
            </w:r>
            <w:r>
              <w:rPr>
                <w:b w:val="0"/>
                <w:bCs w:val="0"/>
                <w:lang w:val="en-GB"/>
              </w:rPr>
              <w:t>.</w:t>
            </w:r>
          </w:p>
        </w:tc>
      </w:tr>
    </w:tbl>
    <w:p w14:paraId="7908CC51" w14:textId="0D305193" w:rsidR="009D6E74" w:rsidRDefault="006E68B3" w:rsidP="00A23DD3">
      <w:pPr>
        <w:pStyle w:val="Heading2"/>
        <w:pageBreakBefore/>
      </w:pPr>
      <w:bookmarkStart w:id="330" w:name="_Ref146629266"/>
      <w:r>
        <w:rPr>
          <w:noProof/>
        </w:rPr>
        <w:drawing>
          <wp:anchor distT="0" distB="0" distL="114300" distR="114300" simplePos="0" relativeHeight="251701248" behindDoc="0" locked="0" layoutInCell="1" allowOverlap="1" wp14:anchorId="72282523" wp14:editId="1571DC68">
            <wp:simplePos x="0" y="0"/>
            <wp:positionH relativeFrom="column">
              <wp:posOffset>5821045</wp:posOffset>
            </wp:positionH>
            <wp:positionV relativeFrom="paragraph">
              <wp:posOffset>0</wp:posOffset>
            </wp:positionV>
            <wp:extent cx="822325" cy="808990"/>
            <wp:effectExtent l="0" t="0" r="0" b="0"/>
            <wp:wrapSquare wrapText="bothSides"/>
            <wp:docPr id="481345113" name="Picture 481345113" descr="P234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45113" name="Picture 481345113" descr="P2341#y1">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822325" cy="808990"/>
                    </a:xfrm>
                    <a:prstGeom prst="rect">
                      <a:avLst/>
                    </a:prstGeom>
                  </pic:spPr>
                </pic:pic>
              </a:graphicData>
            </a:graphic>
            <wp14:sizeRelH relativeFrom="page">
              <wp14:pctWidth>0</wp14:pctWidth>
            </wp14:sizeRelH>
            <wp14:sizeRelV relativeFrom="page">
              <wp14:pctHeight>0</wp14:pctHeight>
            </wp14:sizeRelV>
          </wp:anchor>
        </w:drawing>
      </w:r>
      <w:r w:rsidR="009D6E74">
        <w:t xml:space="preserve">Measuring the success </w:t>
      </w:r>
      <w:r w:rsidR="003A16BC">
        <w:t>of the Agreement</w:t>
      </w:r>
      <w:bookmarkEnd w:id="320"/>
      <w:bookmarkEnd w:id="321"/>
      <w:bookmarkEnd w:id="322"/>
      <w:bookmarkEnd w:id="323"/>
      <w:bookmarkEnd w:id="324"/>
      <w:bookmarkEnd w:id="325"/>
      <w:bookmarkEnd w:id="326"/>
      <w:bookmarkEnd w:id="327"/>
      <w:bookmarkEnd w:id="330"/>
    </w:p>
    <w:p w14:paraId="545DA6FD" w14:textId="2010BE3C" w:rsidR="00DE7E3E" w:rsidRDefault="00DE7E3E" w:rsidP="00DE7E3E">
      <w:pPr>
        <w:pStyle w:val="Heading3"/>
      </w:pPr>
      <w:bookmarkStart w:id="331" w:name="_Ref148445344"/>
      <w:r>
        <w:t xml:space="preserve">The need for a </w:t>
      </w:r>
      <w:r w:rsidRPr="00FD28F5">
        <w:t>health system performance framework</w:t>
      </w:r>
      <w:bookmarkEnd w:id="331"/>
    </w:p>
    <w:p w14:paraId="02DED316" w14:textId="7AE8FB28" w:rsidR="00087851" w:rsidRDefault="00087851" w:rsidP="00087851">
      <w:r>
        <w:t xml:space="preserve">The objectives, priorities and shared Commonwealth, State and Territory responsibilities of the NHRA and the Addendum include commitments to improve safety and quality, access, equity, sustainability and efficiency. An existing objective of the Agreement is that all jurisdictions “work in partnership to implement arrangements” to “improve accountability and performance reporting on the health system through the </w:t>
      </w:r>
      <w:r w:rsidR="009840D9">
        <w:t>Australian Health Performance Framework (</w:t>
      </w:r>
      <w:r>
        <w:t>AHPF</w:t>
      </w:r>
      <w:r w:rsidR="009840D9">
        <w:t>)</w:t>
      </w:r>
      <w:r>
        <w:t xml:space="preserve"> and supporting national performance indicators” (clauses 7f and D5a). </w:t>
      </w:r>
    </w:p>
    <w:p w14:paraId="3954A1C0" w14:textId="06871F16" w:rsidR="00087851" w:rsidRDefault="00087851" w:rsidP="00087851">
      <w:r>
        <w:t xml:space="preserve">In undertaking </w:t>
      </w:r>
      <w:r w:rsidR="009840D9">
        <w:t>the Mid</w:t>
      </w:r>
      <w:r w:rsidR="00DF7FFA">
        <w:t>-Term</w:t>
      </w:r>
      <w:r>
        <w:t xml:space="preserve"> Review of the NHRA, it proved very difficult to access a concise set of data able to inform the Review and </w:t>
      </w:r>
      <w:r w:rsidR="008E10A0">
        <w:t>G</w:t>
      </w:r>
      <w:r>
        <w:t>overnments on how effectively the Agreement was delivering against its objectives. Stakeholders concurred that the absence of a single clear performance framework, an underpinning nationally consistent dataset to support performance reporting and governance and clear lines of accountability, reporting and alignment with decision-making processes, detracted from the effective operation of the Agreement.</w:t>
      </w:r>
    </w:p>
    <w:p w14:paraId="7ECE0369" w14:textId="77777777" w:rsidR="00087851" w:rsidRPr="00207AD2" w:rsidRDefault="00087851" w:rsidP="007745A8">
      <w:pPr>
        <w:pStyle w:val="Heading4"/>
      </w:pPr>
      <w:r w:rsidRPr="00207AD2">
        <w:t>History</w:t>
      </w:r>
    </w:p>
    <w:p w14:paraId="4065E0FC" w14:textId="66C7C928" w:rsidR="00087851" w:rsidRDefault="00087851" w:rsidP="00087851">
      <w:r>
        <w:t>The commitment to a performance and accountability framework able to provide Australians “with information about the performance of their health and hospital services in a way that is nationally consistent and locally relevant”</w:t>
      </w:r>
      <w:r w:rsidR="003F5D51">
        <w:rPr>
          <w:rFonts w:ascii="ZWAdobeF" w:hAnsi="ZWAdobeF" w:cs="ZWAdobeF"/>
          <w:sz w:val="2"/>
          <w:szCs w:val="2"/>
        </w:rPr>
        <w:t>171F</w:t>
      </w:r>
      <w:r w:rsidR="004815A0">
        <w:rPr>
          <w:rStyle w:val="FootnoteReference"/>
        </w:rPr>
        <w:footnoteReference w:id="173"/>
      </w:r>
      <w:r>
        <w:t xml:space="preserve"> was a feature of the original </w:t>
      </w:r>
      <w:r w:rsidR="00BE7360">
        <w:t>NHRA</w:t>
      </w:r>
      <w:r>
        <w:t xml:space="preserve">. While this commitment has been retained in some form in the Addenda that have followed, there have been changes to roles and responsibilities and governance associated with its delivery that have detracted from achieving its purpose. </w:t>
      </w:r>
    </w:p>
    <w:p w14:paraId="1F74F78B" w14:textId="6974B6FD" w:rsidR="00087851" w:rsidRDefault="00087851" w:rsidP="00087851">
      <w:r>
        <w:t>Two factors have particularly impacted</w:t>
      </w:r>
      <w:r w:rsidR="002E3B5C">
        <w:t xml:space="preserve"> this</w:t>
      </w:r>
      <w:r>
        <w:t>:</w:t>
      </w:r>
    </w:p>
    <w:p w14:paraId="65495AB9" w14:textId="4C81AF1A" w:rsidR="00087851" w:rsidRDefault="00087851" w:rsidP="00F3118C">
      <w:pPr>
        <w:pStyle w:val="Longdotpoints"/>
        <w:ind w:left="567"/>
      </w:pPr>
      <w:r>
        <w:t xml:space="preserve">Firstly, the 2011 Agreement established and charged </w:t>
      </w:r>
      <w:r w:rsidR="00DE5197">
        <w:t>the</w:t>
      </w:r>
      <w:r>
        <w:t xml:space="preserve"> </w:t>
      </w:r>
      <w:r w:rsidR="00DE5197">
        <w:t>NHPA</w:t>
      </w:r>
      <w:r>
        <w:t xml:space="preserve"> as an independent Commonwealth statutory authority to provide quarterly reporting on hospital and health system performance, monitor the performance of LHNs, Medicare Locals (now PHNs), develop additional performance indicators as appropriate and maintain the My Hospitals website. The NHPA was further charged with providing comparative analysis and identifying best practice. The NHPA was abolished in 2015 with its functions transferred to the AIHW, ACSQHC and the </w:t>
      </w:r>
      <w:r w:rsidR="00F41A9D">
        <w:t xml:space="preserve">Commonwealth </w:t>
      </w:r>
      <w:r>
        <w:t>Department of Health and Age</w:t>
      </w:r>
      <w:r w:rsidR="004041FD">
        <w:t>d Care</w:t>
      </w:r>
      <w:r>
        <w:t>. With this, clarity of roles and responsibilities and lines of accountability were lost.</w:t>
      </w:r>
    </w:p>
    <w:p w14:paraId="4A2A5322" w14:textId="70667B55" w:rsidR="00087851" w:rsidRDefault="00087851" w:rsidP="00F3118C">
      <w:pPr>
        <w:pStyle w:val="Longdotpoints"/>
        <w:ind w:left="567"/>
      </w:pPr>
      <w:r>
        <w:t xml:space="preserve">Secondly, with the changes to the Commonwealth commitment to funding share and the introduction of a 6.5% national growth cap, the collection and reporting of performance indicators and performance benchmarks, as set out in the </w:t>
      </w:r>
      <w:r w:rsidRPr="00764429">
        <w:rPr>
          <w:i/>
          <w:iCs/>
        </w:rPr>
        <w:t>National Health Reform Act 201</w:t>
      </w:r>
      <w:r w:rsidR="00764429">
        <w:rPr>
          <w:i/>
          <w:iCs/>
        </w:rPr>
        <w:t>1</w:t>
      </w:r>
      <w:r w:rsidR="00496665" w:rsidRPr="00496665">
        <w:t>,</w:t>
      </w:r>
      <w:r w:rsidRPr="00496665">
        <w:t xml:space="preserve"> </w:t>
      </w:r>
      <w:r>
        <w:t>faltered.</w:t>
      </w:r>
    </w:p>
    <w:p w14:paraId="54C416B8" w14:textId="77777777" w:rsidR="00087851" w:rsidRDefault="00087851" w:rsidP="00087851">
      <w:r>
        <w:t xml:space="preserve">The absence of clear lines of accountability and shared commitment to specific performance indicators and benchmarks, regular reporting and examination of progress against these in a way that can inform policy, and continual refinement and development of indicators to align with health system challenges is detracting from the effective operation of the Agreement. </w:t>
      </w:r>
    </w:p>
    <w:p w14:paraId="01A862BF" w14:textId="194DC28C" w:rsidR="00087851" w:rsidRPr="00207AD2" w:rsidRDefault="00087851" w:rsidP="007745A8">
      <w:pPr>
        <w:pStyle w:val="Heading4"/>
      </w:pPr>
      <w:bookmarkStart w:id="332" w:name="_Ref148445311"/>
      <w:r w:rsidRPr="00207AD2">
        <w:t xml:space="preserve">Why </w:t>
      </w:r>
      <w:r w:rsidR="005D7ABA">
        <w:t>d</w:t>
      </w:r>
      <w:r w:rsidRPr="00207AD2">
        <w:t xml:space="preserve">oes it </w:t>
      </w:r>
      <w:r w:rsidR="005D7ABA">
        <w:t>m</w:t>
      </w:r>
      <w:r w:rsidRPr="00207AD2">
        <w:t>atter?</w:t>
      </w:r>
      <w:bookmarkEnd w:id="332"/>
    </w:p>
    <w:p w14:paraId="33E0DAF5" w14:textId="0FCA4813" w:rsidR="00087851" w:rsidRDefault="00087851" w:rsidP="00087851">
      <w:r>
        <w:t>An evidence-based, effective way of understanding, monitoring and responding to the performance of Australia’s health system provides the strategic framework in which the NHRA sits. Existing gaps in performance measurement and reporting means there are insufficient mechanisms to measure the implementation and success of the Agreement at both national and jurisdictional level</w:t>
      </w:r>
      <w:r w:rsidR="0093758D">
        <w:t>s</w:t>
      </w:r>
      <w:r>
        <w:t xml:space="preserve">. </w:t>
      </w:r>
    </w:p>
    <w:p w14:paraId="543CAADE" w14:textId="413ADB6D" w:rsidR="00087851" w:rsidRDefault="00087851" w:rsidP="00087851">
      <w:r>
        <w:t xml:space="preserve">Current performance metrics included in the AHPF for the health system are largely focused on </w:t>
      </w:r>
      <w:r w:rsidR="00DF7FFA">
        <w:t>hospital</w:t>
      </w:r>
      <w:r>
        <w:t xml:space="preserve"> activity, with insufficient reporting on </w:t>
      </w:r>
      <w:r w:rsidR="00CC73DB">
        <w:t xml:space="preserve">system outcomes, </w:t>
      </w:r>
      <w:r>
        <w:t xml:space="preserve">activity </w:t>
      </w:r>
      <w:r w:rsidR="00CC73DB">
        <w:t xml:space="preserve">and </w:t>
      </w:r>
      <w:r>
        <w:t xml:space="preserve">outcomes at the interface between health sectors, and the consumer experience, including for vulnerable populations. </w:t>
      </w:r>
    </w:p>
    <w:p w14:paraId="3673DF07" w14:textId="68A6B8E5" w:rsidR="00087851" w:rsidRDefault="00087851" w:rsidP="00087851">
      <w:r>
        <w:t xml:space="preserve">A future Agreement should seek to reinstate the intended purpose of the original Agreement and </w:t>
      </w:r>
      <w:r w:rsidRPr="00080A76">
        <w:rPr>
          <w:i/>
          <w:iCs/>
        </w:rPr>
        <w:t>National Health Reform Act</w:t>
      </w:r>
      <w:r w:rsidR="00080A76" w:rsidRPr="00080A76">
        <w:rPr>
          <w:i/>
          <w:iCs/>
        </w:rPr>
        <w:t xml:space="preserve"> 2011</w:t>
      </w:r>
      <w:r w:rsidR="005963D2">
        <w:t>, n</w:t>
      </w:r>
      <w:r>
        <w:t>amely to establish a broadly based health system performance framework incorporating quantitative and qualitative indicators that accurately report nationally consistent and locally relevant data on the performance of the Agreement against its objectives and the performance of the health system</w:t>
      </w:r>
      <w:r w:rsidR="00033162">
        <w:t>.</w:t>
      </w:r>
      <w:r>
        <w:t xml:space="preserve"> </w:t>
      </w:r>
      <w:r w:rsidR="00033162">
        <w:t xml:space="preserve">This </w:t>
      </w:r>
      <w:r w:rsidR="00447B5C">
        <w:t>will</w:t>
      </w:r>
      <w:r>
        <w:t xml:space="preserve"> enable an assessment by Ministers, </w:t>
      </w:r>
      <w:r w:rsidR="00BE7360">
        <w:t xml:space="preserve">system managers </w:t>
      </w:r>
      <w:r>
        <w:t xml:space="preserve">and the broader public of whether the NHRA is meeting its objectives and is prepared for future challenges.  </w:t>
      </w:r>
    </w:p>
    <w:p w14:paraId="163FDF92" w14:textId="769AB71F" w:rsidR="00087851" w:rsidRDefault="00087851" w:rsidP="00087851">
      <w:r>
        <w:t>To be effective this will require the right governance and capabilities, robust business rules and principles, sufficient resourcing, and clear lines of accountability</w:t>
      </w:r>
      <w:r w:rsidR="00364752">
        <w:t xml:space="preserve"> as well as appropriate data linkage and data sharing</w:t>
      </w:r>
      <w:r>
        <w:t>.</w:t>
      </w:r>
      <w:r w:rsidR="00661F0A">
        <w:t xml:space="preserve"> </w:t>
      </w:r>
      <w:r w:rsidR="00F2121E">
        <w:t xml:space="preserve">Data requirements should be </w:t>
      </w:r>
      <w:r w:rsidR="002641D8">
        <w:t>a core element of planning</w:t>
      </w:r>
      <w:r w:rsidR="005F536C">
        <w:t xml:space="preserve"> and service development</w:t>
      </w:r>
      <w:r w:rsidR="002641D8">
        <w:t>, to ensure that activity and outcomes can be measured, reported and evaluated.</w:t>
      </w:r>
      <w:r>
        <w:t xml:space="preserve"> </w:t>
      </w:r>
    </w:p>
    <w:p w14:paraId="2B709737" w14:textId="27FC03A9" w:rsidR="00087851" w:rsidRDefault="00087851" w:rsidP="00087851">
      <w:r>
        <w:t xml:space="preserve">Establishing a </w:t>
      </w:r>
      <w:r w:rsidR="00285F1F">
        <w:t xml:space="preserve">health system </w:t>
      </w:r>
      <w:r>
        <w:t>performance framework along these lines will:</w:t>
      </w:r>
    </w:p>
    <w:p w14:paraId="1965F525" w14:textId="72BDDC1C" w:rsidR="00087851" w:rsidRDefault="003120E1" w:rsidP="00047A9B">
      <w:pPr>
        <w:pStyle w:val="Longdotpoints"/>
        <w:ind w:left="567" w:hanging="357"/>
        <w:contextualSpacing/>
      </w:pPr>
      <w:r>
        <w:t>S</w:t>
      </w:r>
      <w:r w:rsidR="00087851">
        <w:t>upport a shared vision and understanding of NHRA and health system performance through development and reporting against nationally consistent performance measures</w:t>
      </w:r>
      <w:r w:rsidR="00042678">
        <w:t>.</w:t>
      </w:r>
    </w:p>
    <w:p w14:paraId="777A4FF3" w14:textId="40D3363E" w:rsidR="00087851" w:rsidRDefault="001F00C3" w:rsidP="00047A9B">
      <w:pPr>
        <w:pStyle w:val="Longdotpoints"/>
        <w:ind w:left="567" w:hanging="357"/>
        <w:contextualSpacing/>
      </w:pPr>
      <w:r>
        <w:t>D</w:t>
      </w:r>
      <w:r w:rsidR="00087851">
        <w:t>rive improved performance through collection and analysis of measures and progress towards improvement goals</w:t>
      </w:r>
      <w:r w:rsidR="00873959">
        <w:t xml:space="preserve">, including mapping progress against the accountabilities of the parties (individual and shared) and </w:t>
      </w:r>
      <w:r w:rsidR="00BB461F">
        <w:t xml:space="preserve">those of </w:t>
      </w:r>
      <w:r w:rsidR="00873959">
        <w:t>the national bodies</w:t>
      </w:r>
      <w:r w:rsidR="00042678">
        <w:t>.</w:t>
      </w:r>
    </w:p>
    <w:p w14:paraId="2A5A105E" w14:textId="14CE44E5" w:rsidR="00087851" w:rsidRDefault="001F00C3" w:rsidP="00047A9B">
      <w:pPr>
        <w:pStyle w:val="Longdotpoints"/>
        <w:ind w:left="567" w:hanging="357"/>
        <w:contextualSpacing/>
      </w:pPr>
      <w:r>
        <w:t>P</w:t>
      </w:r>
      <w:r w:rsidR="00087851">
        <w:t>otentially reduce low-value care that does not contribute to improved patient outcomes and better manage patient transitions by highlighting variations in practice and outcomes</w:t>
      </w:r>
      <w:r w:rsidR="00042678">
        <w:t>.</w:t>
      </w:r>
    </w:p>
    <w:p w14:paraId="2CB168D4" w14:textId="37235BFA" w:rsidR="00D937A0" w:rsidRDefault="001F00C3" w:rsidP="00047A9B">
      <w:pPr>
        <w:pStyle w:val="Longdotpoints"/>
        <w:ind w:left="567" w:hanging="357"/>
        <w:contextualSpacing/>
      </w:pPr>
      <w:r>
        <w:t>S</w:t>
      </w:r>
      <w:r w:rsidR="00087851">
        <w:t>erve</w:t>
      </w:r>
      <w:r w:rsidR="00D4340B">
        <w:t xml:space="preserve"> as a basis for comparison and benchmarking for regional differences and inequalities</w:t>
      </w:r>
      <w:r w:rsidR="00042678">
        <w:t>.</w:t>
      </w:r>
    </w:p>
    <w:p w14:paraId="21FC1E96" w14:textId="3DFFBC77" w:rsidR="00087851" w:rsidRDefault="001F00C3" w:rsidP="00B31AC7">
      <w:pPr>
        <w:pStyle w:val="Longdotpoints"/>
        <w:ind w:left="567"/>
      </w:pPr>
      <w:r>
        <w:t>P</w:t>
      </w:r>
      <w:r w:rsidR="00087851">
        <w:t>rovide a multifunctional tool that allows monitoring of health system performance, transformation and data to support decision making.</w:t>
      </w:r>
    </w:p>
    <w:p w14:paraId="321D8B73" w14:textId="05D293C6" w:rsidR="00172C89" w:rsidRDefault="00172C89" w:rsidP="00172C89">
      <w:r>
        <w:t xml:space="preserve">Recommended areas of responsibility for developing the new </w:t>
      </w:r>
      <w:r w:rsidR="00285F1F">
        <w:t xml:space="preserve">health system </w:t>
      </w:r>
      <w:r>
        <w:t xml:space="preserve">performance framework and reporting against it are: </w:t>
      </w:r>
    </w:p>
    <w:p w14:paraId="327B9AD6" w14:textId="6C77FFAF" w:rsidR="00172C89" w:rsidRDefault="00172C89" w:rsidP="00290554">
      <w:pPr>
        <w:pStyle w:val="Longdotpoints"/>
        <w:ind w:left="567"/>
      </w:pPr>
      <w:r>
        <w:t>As part of negotiating the next Agreement and as a priority, all Health Ministers and their officials should work together to develop a health system performance framework</w:t>
      </w:r>
      <w:r w:rsidR="00C903C0">
        <w:t>,</w:t>
      </w:r>
      <w:r>
        <w:t xml:space="preserve"> comprising quantitative and qualitative measures </w:t>
      </w:r>
      <w:r w:rsidR="00C903C0">
        <w:t xml:space="preserve">and outcome measures, </w:t>
      </w:r>
      <w:r>
        <w:t xml:space="preserve">aligned to the objectives of the new broadly based Health </w:t>
      </w:r>
      <w:r w:rsidR="00BE7360">
        <w:t xml:space="preserve">System </w:t>
      </w:r>
      <w:r>
        <w:t>Agreement. Advice should be sought from the national bodies on measures relevant to their areas of expertise.</w:t>
      </w:r>
      <w:r w:rsidR="00F24FCB" w:rsidRPr="00F24FCB">
        <w:t xml:space="preserve"> </w:t>
      </w:r>
    </w:p>
    <w:p w14:paraId="4AEFD856" w14:textId="6234C3E9" w:rsidR="00172C89" w:rsidRDefault="008C4B53" w:rsidP="00B31AC7">
      <w:pPr>
        <w:pStyle w:val="Longdotpoints"/>
        <w:ind w:left="567"/>
      </w:pPr>
      <w:r>
        <w:t>T</w:t>
      </w:r>
      <w:r w:rsidR="00172C89">
        <w:t>he AIHW would have the primary responsibility for the collection and reporting of national health system performance framework data, including the development of nationally consistent data standards to ensure comparability and consistency of data</w:t>
      </w:r>
      <w:r w:rsidR="00E84573">
        <w:t>.</w:t>
      </w:r>
      <w:r w:rsidR="005267EE" w:rsidRPr="005267EE">
        <w:t xml:space="preserve"> </w:t>
      </w:r>
      <w:r w:rsidR="005267EE">
        <w:t>IHACPA would retain responsibility for data standards, collection and reporting in relation to cost and cost-related activity data.</w:t>
      </w:r>
    </w:p>
    <w:p w14:paraId="6E4B37DA" w14:textId="7A2875C3" w:rsidR="00172C89" w:rsidRDefault="00172C89" w:rsidP="00B31AC7">
      <w:pPr>
        <w:pStyle w:val="Longdotpoints"/>
        <w:ind w:left="567"/>
      </w:pPr>
      <w:r>
        <w:t xml:space="preserve">The new National </w:t>
      </w:r>
      <w:r w:rsidR="00E84573">
        <w:t xml:space="preserve">Innovation </w:t>
      </w:r>
      <w:r>
        <w:t xml:space="preserve">and Reform </w:t>
      </w:r>
      <w:r w:rsidR="008C25EB" w:rsidRPr="004E2E4E">
        <w:t>Agency</w:t>
      </w:r>
      <w:r w:rsidR="008C25EB">
        <w:t xml:space="preserve"> </w:t>
      </w:r>
      <w:r>
        <w:t>would have primary responsibility for advising Health Ministers on the system implications of the reported data and developing innovation and reform ideas in response</w:t>
      </w:r>
      <w:r w:rsidR="00C903C0">
        <w:t>,</w:t>
      </w:r>
      <w:r>
        <w:t xml:space="preserve"> for consideration by the parties to the Agreement.</w:t>
      </w:r>
    </w:p>
    <w:p w14:paraId="62AFA38A" w14:textId="2E82C1A0" w:rsidR="00087851" w:rsidRDefault="00087851" w:rsidP="00087851">
      <w:r>
        <w:t>Health performance reporting should be considered at least annually by Health Ministers and should inform a program of shared action and future work. Performance indicators should be implemented in an objective, transparent, and consistent manner, including quality assurance mechanisms, such as stakeholder review and consultation.</w:t>
      </w:r>
    </w:p>
    <w:tbl>
      <w:tblPr>
        <w:tblStyle w:val="TableGrid"/>
        <w:tblW w:w="0" w:type="auto"/>
        <w:shd w:val="clear" w:color="auto" w:fill="F2F2F2" w:themeFill="background1" w:themeFillShade="F2"/>
        <w:tblLook w:val="04A0" w:firstRow="1" w:lastRow="0" w:firstColumn="1" w:lastColumn="0" w:noHBand="0" w:noVBand="1"/>
      </w:tblPr>
      <w:tblGrid>
        <w:gridCol w:w="10466"/>
      </w:tblGrid>
      <w:tr w:rsidR="007B2DE3" w14:paraId="01BB9575" w14:textId="77777777">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tcPr>
          <w:p w14:paraId="64BEAB39" w14:textId="0D52270A" w:rsidR="007B2DE3" w:rsidRDefault="007B2DE3">
            <w:pPr>
              <w:pStyle w:val="Summarytable"/>
            </w:pPr>
            <w:r>
              <w:rPr>
                <w:noProof/>
                <w:color w:val="0097A9" w:themeColor="accent5"/>
              </w:rPr>
              <w:drawing>
                <wp:inline distT="0" distB="0" distL="0" distR="0" wp14:anchorId="3975520C" wp14:editId="3CAB2DE1">
                  <wp:extent cx="270000" cy="270000"/>
                  <wp:effectExtent l="0" t="0" r="0" b="0"/>
                  <wp:docPr id="49" name="Graphic 49" descr="P2367C1T12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descr="P2367C1T123#yIS1">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70000" cy="270000"/>
                          </a:xfrm>
                          <a:prstGeom prst="rect">
                            <a:avLst/>
                          </a:prstGeom>
                        </pic:spPr>
                      </pic:pic>
                    </a:graphicData>
                  </a:graphic>
                </wp:inline>
              </w:drawing>
            </w:r>
            <w:r w:rsidR="000B273F">
              <w:rPr>
                <w:color w:val="00707E" w:themeColor="accent5" w:themeShade="BF"/>
              </w:rPr>
              <w:t xml:space="preserve">Recommendation </w:t>
            </w:r>
            <w:r w:rsidR="006617B9">
              <w:rPr>
                <w:color w:val="00707E" w:themeColor="accent5" w:themeShade="BF"/>
              </w:rPr>
              <w:t>41</w:t>
            </w:r>
            <w:r w:rsidRPr="00BB2C81">
              <w:rPr>
                <w:color w:val="00707E" w:themeColor="accent5" w:themeShade="BF"/>
              </w:rPr>
              <w:t xml:space="preserve">: </w:t>
            </w:r>
            <w:r w:rsidR="001860FC" w:rsidRPr="001860FC">
              <w:rPr>
                <w:b w:val="0"/>
                <w:bCs w:val="0"/>
              </w:rPr>
              <w:t xml:space="preserve">A broadly based </w:t>
            </w:r>
            <w:r w:rsidR="001860FC" w:rsidRPr="00FD28F5">
              <w:t>health system performance framework</w:t>
            </w:r>
            <w:r w:rsidR="001860FC" w:rsidRPr="001860FC">
              <w:rPr>
                <w:b w:val="0"/>
                <w:bCs w:val="0"/>
              </w:rPr>
              <w:t xml:space="preserve"> </w:t>
            </w:r>
            <w:r w:rsidR="001860FC" w:rsidRPr="00F95F8D">
              <w:t xml:space="preserve">incorporating quantitative and qualitative indicators </w:t>
            </w:r>
            <w:r w:rsidR="00CC73DB" w:rsidRPr="00F95F8D">
              <w:t>and outcome measures</w:t>
            </w:r>
            <w:r w:rsidR="00CC73DB">
              <w:rPr>
                <w:b w:val="0"/>
                <w:bCs w:val="0"/>
              </w:rPr>
              <w:t xml:space="preserve"> </w:t>
            </w:r>
            <w:r w:rsidR="001860FC" w:rsidRPr="001860FC">
              <w:rPr>
                <w:b w:val="0"/>
                <w:bCs w:val="0"/>
              </w:rPr>
              <w:t xml:space="preserve">that accurately report against the objectives of the Agreement should be developed as a priority, with clear governance drawing on the expertise of the NHRA national bodies, and </w:t>
            </w:r>
            <w:r w:rsidR="00590156">
              <w:rPr>
                <w:b w:val="0"/>
                <w:bCs w:val="0"/>
              </w:rPr>
              <w:t>with</w:t>
            </w:r>
            <w:r w:rsidR="001860FC" w:rsidRPr="001860FC">
              <w:rPr>
                <w:b w:val="0"/>
                <w:bCs w:val="0"/>
              </w:rPr>
              <w:t xml:space="preserve"> at least annual reporting to Health Ministers on system performance and improvement strategies</w:t>
            </w:r>
            <w:r w:rsidRPr="001860FC">
              <w:rPr>
                <w:b w:val="0"/>
                <w:bCs w:val="0"/>
              </w:rPr>
              <w:t>.</w:t>
            </w:r>
          </w:p>
        </w:tc>
      </w:tr>
    </w:tbl>
    <w:p w14:paraId="53353756" w14:textId="77777777" w:rsidR="00DA78C8" w:rsidRDefault="00DA78C8" w:rsidP="001B4B37"/>
    <w:tbl>
      <w:tblPr>
        <w:tblStyle w:val="TableGrid"/>
        <w:tblW w:w="0" w:type="auto"/>
        <w:shd w:val="clear" w:color="auto" w:fill="F2F2F2" w:themeFill="background1" w:themeFillShade="F2"/>
        <w:tblLook w:val="04A0" w:firstRow="1" w:lastRow="0" w:firstColumn="1" w:lastColumn="0" w:noHBand="0" w:noVBand="1"/>
      </w:tblPr>
      <w:tblGrid>
        <w:gridCol w:w="10466"/>
      </w:tblGrid>
      <w:tr w:rsidR="00854B64" w14:paraId="0E3DA599" w14:textId="77777777">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tcPr>
          <w:p w14:paraId="12DEF3DA" w14:textId="51167097" w:rsidR="00854B64" w:rsidRDefault="00854B64" w:rsidP="00836943">
            <w:pPr>
              <w:pStyle w:val="Summarytable"/>
            </w:pPr>
            <w:r>
              <w:rPr>
                <w:noProof/>
                <w:color w:val="0097A9" w:themeColor="accent5"/>
              </w:rPr>
              <w:drawing>
                <wp:inline distT="0" distB="0" distL="0" distR="0" wp14:anchorId="6E06A948" wp14:editId="1F630828">
                  <wp:extent cx="270000" cy="270000"/>
                  <wp:effectExtent l="0" t="0" r="0" b="0"/>
                  <wp:docPr id="14" name="Graphic 14" descr="P2370C1T12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P2370C1T124#yIS1">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70000" cy="270000"/>
                          </a:xfrm>
                          <a:prstGeom prst="rect">
                            <a:avLst/>
                          </a:prstGeom>
                        </pic:spPr>
                      </pic:pic>
                    </a:graphicData>
                  </a:graphic>
                </wp:inline>
              </w:drawing>
            </w:r>
            <w:r>
              <w:rPr>
                <w:color w:val="00707E" w:themeColor="accent5" w:themeShade="BF"/>
              </w:rPr>
              <w:t xml:space="preserve">Recommendation </w:t>
            </w:r>
            <w:r w:rsidR="006617B9">
              <w:rPr>
                <w:color w:val="00707E" w:themeColor="accent5" w:themeShade="BF"/>
              </w:rPr>
              <w:t>42</w:t>
            </w:r>
            <w:r w:rsidRPr="00BB2C81">
              <w:rPr>
                <w:color w:val="00707E" w:themeColor="accent5" w:themeShade="BF"/>
              </w:rPr>
              <w:t xml:space="preserve">: </w:t>
            </w:r>
            <w:r w:rsidR="00F95132" w:rsidRPr="00F95132">
              <w:rPr>
                <w:b w:val="0"/>
                <w:bCs w:val="0"/>
              </w:rPr>
              <w:t xml:space="preserve">The </w:t>
            </w:r>
            <w:r w:rsidR="00F95132" w:rsidRPr="002A239C">
              <w:t xml:space="preserve">AIHW should be primarily responsible for the development of nationally consistent data standards, data collection </w:t>
            </w:r>
            <w:r w:rsidR="00F95132" w:rsidRPr="00E64ABB">
              <w:t xml:space="preserve">and reporting </w:t>
            </w:r>
            <w:r w:rsidR="00F95132" w:rsidRPr="00E64ABB">
              <w:rPr>
                <w:b w:val="0"/>
              </w:rPr>
              <w:t>for the health system performance framework</w:t>
            </w:r>
            <w:r w:rsidR="00F95132" w:rsidRPr="00E64ABB">
              <w:rPr>
                <w:b w:val="0"/>
                <w:bCs w:val="0"/>
              </w:rPr>
              <w:t>, working with jurisdictions and the national bodies, with the new</w:t>
            </w:r>
            <w:r w:rsidR="00F95132" w:rsidRPr="00E64ABB">
              <w:t xml:space="preserve"> Innovation and Reform Agency to advise</w:t>
            </w:r>
            <w:r w:rsidR="00F95132" w:rsidRPr="00642603">
              <w:t xml:space="preserve"> Ministers on potential innovation and reform responses</w:t>
            </w:r>
            <w:r w:rsidR="00F95132" w:rsidRPr="00F95132">
              <w:rPr>
                <w:b w:val="0"/>
                <w:bCs w:val="0"/>
              </w:rPr>
              <w:t xml:space="preserve"> to the system implications of reported data. </w:t>
            </w:r>
          </w:p>
        </w:tc>
      </w:tr>
    </w:tbl>
    <w:p w14:paraId="63FA42BB" w14:textId="77777777" w:rsidR="00854B64" w:rsidRDefault="00854B64" w:rsidP="001B4B37"/>
    <w:p w14:paraId="1D346006" w14:textId="77777777" w:rsidR="00401A3D" w:rsidRPr="00207AD2" w:rsidRDefault="00401A3D" w:rsidP="00DE7E3E">
      <w:pPr>
        <w:pStyle w:val="Heading3"/>
      </w:pPr>
      <w:bookmarkStart w:id="333" w:name="_Ref148445369"/>
      <w:r w:rsidRPr="00207AD2">
        <w:t>Elements of a Performance Framework</w:t>
      </w:r>
      <w:bookmarkEnd w:id="333"/>
    </w:p>
    <w:p w14:paraId="7D548591" w14:textId="2C86D680" w:rsidR="00401A3D" w:rsidRDefault="00C10F39" w:rsidP="00401A3D">
      <w:r w:rsidRPr="00C10F39">
        <w:t>In the absence</w:t>
      </w:r>
      <w:r w:rsidR="00401A3D">
        <w:t xml:space="preserve"> of </w:t>
      </w:r>
      <w:r w:rsidRPr="00C10F39">
        <w:t xml:space="preserve">an agreed dataset on the performance of the NHRA, </w:t>
      </w:r>
      <w:r w:rsidR="00401A3D">
        <w:t xml:space="preserve">an Interim </w:t>
      </w:r>
      <w:r w:rsidR="00547591">
        <w:t xml:space="preserve">Quantitative </w:t>
      </w:r>
      <w:r w:rsidR="00401A3D">
        <w:t>NHRA Performance Framework was developed</w:t>
      </w:r>
      <w:r w:rsidR="002C2C16">
        <w:t xml:space="preserve"> by the Review</w:t>
      </w:r>
      <w:r w:rsidR="00401A3D">
        <w:t>, as a means of assessing the progress of the Agreement to date against its objectives. This interim framework drew on existing data sourced primarily from AIHW, the Productivity Commission, ACSQHC, IHACPA, NHFB and the Commonwealth Department of Health and Age</w:t>
      </w:r>
      <w:r w:rsidR="001B299F">
        <w:t>d Care</w:t>
      </w:r>
      <w:r w:rsidR="00401A3D">
        <w:t xml:space="preserve">.  </w:t>
      </w:r>
    </w:p>
    <w:p w14:paraId="313F0A00" w14:textId="2EFAFBDF" w:rsidR="001728A9" w:rsidRDefault="00401A3D" w:rsidP="007B2DE3">
      <w:r>
        <w:t xml:space="preserve">Measures were derived against </w:t>
      </w:r>
      <w:r w:rsidR="00591819">
        <w:t xml:space="preserve">the </w:t>
      </w:r>
      <w:r>
        <w:t xml:space="preserve">six NHRA </w:t>
      </w:r>
      <w:r w:rsidR="00591819">
        <w:t>themes</w:t>
      </w:r>
      <w:r>
        <w:t xml:space="preserve"> </w:t>
      </w:r>
      <w:r w:rsidR="006A31D6">
        <w:t xml:space="preserve">identified in </w:t>
      </w:r>
      <w:r w:rsidR="006A31D6">
        <w:fldChar w:fldCharType="begin" w:fldLock="1"/>
      </w:r>
      <w:r w:rsidR="006A31D6">
        <w:instrText xml:space="preserve"> REF _Ref144756759 \h </w:instrText>
      </w:r>
      <w:r w:rsidR="006A31D6">
        <w:fldChar w:fldCharType="separate"/>
      </w:r>
      <w:r w:rsidR="00FA10A4">
        <w:t xml:space="preserve">Figure </w:t>
      </w:r>
      <w:r w:rsidR="00FA10A4">
        <w:rPr>
          <w:noProof/>
        </w:rPr>
        <w:t>37</w:t>
      </w:r>
      <w:r w:rsidR="006A31D6">
        <w:fldChar w:fldCharType="end"/>
      </w:r>
      <w:r w:rsidR="00313926">
        <w:t>.</w:t>
      </w:r>
      <w:r w:rsidR="009A1339">
        <w:t xml:space="preserve"> </w:t>
      </w:r>
    </w:p>
    <w:p w14:paraId="19A264BD" w14:textId="486DFA22" w:rsidR="001312DF" w:rsidRDefault="00DE75BE" w:rsidP="007B2DE3">
      <w:r>
        <w:rPr>
          <w:noProof/>
        </w:rPr>
        <w:drawing>
          <wp:inline distT="0" distB="0" distL="0" distR="0" wp14:anchorId="3E21D726" wp14:editId="0A2E673E">
            <wp:extent cx="6363015" cy="3048000"/>
            <wp:effectExtent l="0" t="0" r="0" b="0"/>
            <wp:docPr id="1489793643" name="Picture 1489793643" descr="P23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43" name="Picture 1489793643" descr="P2376#yIS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399315" cy="3065388"/>
                    </a:xfrm>
                    <a:prstGeom prst="rect">
                      <a:avLst/>
                    </a:prstGeom>
                    <a:noFill/>
                  </pic:spPr>
                </pic:pic>
              </a:graphicData>
            </a:graphic>
          </wp:inline>
        </w:drawing>
      </w:r>
    </w:p>
    <w:p w14:paraId="2CA3BB4E" w14:textId="28D2C621" w:rsidR="001312DF" w:rsidRDefault="00313926" w:rsidP="00C2024B">
      <w:pPr>
        <w:pStyle w:val="Caption"/>
      </w:pPr>
      <w:bookmarkStart w:id="334" w:name="_Ref143294170"/>
      <w:bookmarkStart w:id="335" w:name="_Ref144756759"/>
      <w:bookmarkStart w:id="336" w:name="_Toc148968415"/>
      <w:r>
        <w:t xml:space="preserve">Figure </w:t>
      </w:r>
      <w:bookmarkEnd w:id="334"/>
      <w:r w:rsidR="00765452">
        <w:fldChar w:fldCharType="begin"/>
      </w:r>
      <w:r w:rsidR="00765452">
        <w:instrText xml:space="preserve"> SEQ Figure \* ARABIC </w:instrText>
      </w:r>
      <w:r w:rsidR="00765452">
        <w:fldChar w:fldCharType="separate"/>
      </w:r>
      <w:r w:rsidR="003F5D51">
        <w:rPr>
          <w:noProof/>
        </w:rPr>
        <w:t>37</w:t>
      </w:r>
      <w:r w:rsidR="00765452">
        <w:fldChar w:fldCharType="end"/>
      </w:r>
      <w:bookmarkEnd w:id="335"/>
      <w:r>
        <w:t xml:space="preserve">: </w:t>
      </w:r>
      <w:r w:rsidRPr="00313926">
        <w:t>NHRA Interim Quantitative Performance Framework</w:t>
      </w:r>
      <w:r>
        <w:t xml:space="preserve"> </w:t>
      </w:r>
      <w:r w:rsidR="00CA5F7A">
        <w:t xml:space="preserve">– NHRA objectives </w:t>
      </w:r>
      <w:r>
        <w:t>and indicator</w:t>
      </w:r>
      <w:r w:rsidR="00CA5F7A">
        <w:t xml:space="preserve"> measure</w:t>
      </w:r>
      <w:r>
        <w:t>s</w:t>
      </w:r>
      <w:bookmarkEnd w:id="336"/>
    </w:p>
    <w:p w14:paraId="31B6E2CD" w14:textId="721B1032" w:rsidR="00233082" w:rsidRDefault="00E50CEF" w:rsidP="00233082">
      <w:r>
        <w:t xml:space="preserve">This framework culminated in </w:t>
      </w:r>
      <w:r w:rsidR="00753035">
        <w:t>a</w:t>
      </w:r>
      <w:r>
        <w:t xml:space="preserve"> </w:t>
      </w:r>
      <w:r w:rsidR="00376C81">
        <w:t xml:space="preserve">two-page </w:t>
      </w:r>
      <w:r w:rsidR="00AC241F">
        <w:t>D</w:t>
      </w:r>
      <w:r w:rsidR="00376C81">
        <w:t xml:space="preserve">ata </w:t>
      </w:r>
      <w:r w:rsidR="00AC241F">
        <w:t>P</w:t>
      </w:r>
      <w:r w:rsidR="00376C81">
        <w:t>lacemat</w:t>
      </w:r>
      <w:r w:rsidR="00753035">
        <w:t xml:space="preserve"> </w:t>
      </w:r>
      <w:r w:rsidR="00830E6C">
        <w:t>developed</w:t>
      </w:r>
      <w:r w:rsidR="00753035">
        <w:t xml:space="preserve"> as part of the Review – refer to</w:t>
      </w:r>
      <w:r w:rsidR="00CF310B">
        <w:t xml:space="preserve"> </w:t>
      </w:r>
      <w:r w:rsidR="007F5078">
        <w:fldChar w:fldCharType="begin" w:fldLock="1"/>
      </w:r>
      <w:r w:rsidR="007F5078">
        <w:instrText xml:space="preserve"> REF _Ref143684611 \h </w:instrText>
      </w:r>
      <w:r w:rsidR="007F5078">
        <w:fldChar w:fldCharType="separate"/>
      </w:r>
      <w:r w:rsidR="00FA10A4">
        <w:t xml:space="preserve">Figure </w:t>
      </w:r>
      <w:r w:rsidR="00FA10A4">
        <w:rPr>
          <w:noProof/>
        </w:rPr>
        <w:t>38</w:t>
      </w:r>
      <w:r w:rsidR="007F5078">
        <w:fldChar w:fldCharType="end"/>
      </w:r>
      <w:r w:rsidR="007F5078">
        <w:t xml:space="preserve"> </w:t>
      </w:r>
      <w:r w:rsidR="005E33E9">
        <w:t xml:space="preserve">below </w:t>
      </w:r>
      <w:r w:rsidR="00233082">
        <w:t>and</w:t>
      </w:r>
      <w:r w:rsidR="0003082E">
        <w:t xml:space="preserve"> </w:t>
      </w:r>
      <w:r w:rsidR="0003082E">
        <w:fldChar w:fldCharType="begin" w:fldLock="1"/>
      </w:r>
      <w:r w:rsidR="0003082E">
        <w:instrText xml:space="preserve"> REF _Ref148605868 \w \h </w:instrText>
      </w:r>
      <w:r w:rsidR="0003082E">
        <w:fldChar w:fldCharType="separate"/>
      </w:r>
      <w:r w:rsidR="00FA10A4">
        <w:t>Appendix I</w:t>
      </w:r>
      <w:r w:rsidR="0003082E">
        <w:fldChar w:fldCharType="end"/>
      </w:r>
      <w:r w:rsidR="00233082">
        <w:t xml:space="preserve">. The Data Placemat sought to provide a snapshot of today's health system performance against the objectives of the NHRA. This performance framework architecture and monitoring is a starting point and should be further built upon and refined to form the </w:t>
      </w:r>
      <w:r w:rsidR="00285F1F">
        <w:t>h</w:t>
      </w:r>
      <w:r w:rsidR="00233082">
        <w:t xml:space="preserve">ealth </w:t>
      </w:r>
      <w:r w:rsidR="00285F1F">
        <w:t>system p</w:t>
      </w:r>
      <w:r w:rsidR="00233082">
        <w:t xml:space="preserve">erformance </w:t>
      </w:r>
      <w:r w:rsidR="00285F1F">
        <w:t>f</w:t>
      </w:r>
      <w:r w:rsidR="00233082">
        <w:t xml:space="preserve">ramework described at </w:t>
      </w:r>
      <w:r w:rsidR="00233082" w:rsidRPr="007D09BA">
        <w:t xml:space="preserve">Recommendation </w:t>
      </w:r>
      <w:r w:rsidR="006F717E">
        <w:t>41</w:t>
      </w:r>
      <w:r w:rsidR="00233082">
        <w:t xml:space="preserve">, underpinned by readily accessible and shared national data collections. </w:t>
      </w:r>
    </w:p>
    <w:p w14:paraId="50279156" w14:textId="3A390EBC" w:rsidR="00233082" w:rsidRDefault="00233082" w:rsidP="00233082">
      <w:r>
        <w:t xml:space="preserve">In developing the Data Placemat, gaps were identified that should be addressed in a future </w:t>
      </w:r>
      <w:r w:rsidR="00285F1F">
        <w:t>health system p</w:t>
      </w:r>
      <w:r>
        <w:t xml:space="preserve">erformance </w:t>
      </w:r>
      <w:r w:rsidR="00285F1F">
        <w:t>f</w:t>
      </w:r>
      <w:r>
        <w:t>ramework as follows:</w:t>
      </w:r>
    </w:p>
    <w:p w14:paraId="5948C209" w14:textId="2E7BB8F1" w:rsidR="00CC73DB" w:rsidRPr="00650E28" w:rsidRDefault="00CC73DB" w:rsidP="0080177A">
      <w:pPr>
        <w:pStyle w:val="Longdotpoints"/>
      </w:pPr>
      <w:r w:rsidRPr="00CC73DB">
        <w:rPr>
          <w:b/>
          <w:bCs/>
        </w:rPr>
        <w:t>Outcome Measures:</w:t>
      </w:r>
      <w:r>
        <w:rPr>
          <w:b/>
          <w:bCs/>
        </w:rPr>
        <w:t xml:space="preserve"> </w:t>
      </w:r>
      <w:r w:rsidRPr="00650E28">
        <w:t xml:space="preserve">Much of the data that has been used to measure and report on the health system </w:t>
      </w:r>
      <w:r w:rsidR="00BE7360">
        <w:t>relates to</w:t>
      </w:r>
      <w:r w:rsidRPr="00650E28">
        <w:t xml:space="preserve"> system inputs and outputs, generally with an activity focus. Measures that capture the outcomes that this activity generates enables </w:t>
      </w:r>
      <w:r>
        <w:t>greater</w:t>
      </w:r>
      <w:r w:rsidRPr="00650E28">
        <w:t xml:space="preserve"> sophistication in understanding how </w:t>
      </w:r>
      <w:r>
        <w:t xml:space="preserve">effectively the system is operating and whether it is </w:t>
      </w:r>
      <w:r w:rsidR="00BE7360">
        <w:t xml:space="preserve">achieving </w:t>
      </w:r>
      <w:r>
        <w:t>the highest value.</w:t>
      </w:r>
    </w:p>
    <w:p w14:paraId="3ABE689A" w14:textId="56F6C849" w:rsidR="00BD0C74" w:rsidRPr="00BD0C74" w:rsidRDefault="00BD0C74" w:rsidP="0080177A">
      <w:pPr>
        <w:pStyle w:val="Longdotpoints"/>
      </w:pPr>
      <w:r w:rsidRPr="00CA6213">
        <w:rPr>
          <w:b/>
          <w:bCs/>
        </w:rPr>
        <w:t>PREMs</w:t>
      </w:r>
      <w:r w:rsidR="000B19FA">
        <w:rPr>
          <w:b/>
          <w:bCs/>
        </w:rPr>
        <w:t xml:space="preserve"> </w:t>
      </w:r>
      <w:r w:rsidRPr="00CA6213">
        <w:rPr>
          <w:b/>
          <w:bCs/>
        </w:rPr>
        <w:t>/</w:t>
      </w:r>
      <w:r w:rsidR="00CA6213" w:rsidRPr="00CA6213">
        <w:rPr>
          <w:b/>
          <w:bCs/>
        </w:rPr>
        <w:t xml:space="preserve"> </w:t>
      </w:r>
      <w:r w:rsidRPr="00CA6213">
        <w:rPr>
          <w:b/>
          <w:bCs/>
        </w:rPr>
        <w:t>PROMs:</w:t>
      </w:r>
      <w:r w:rsidRPr="00BD0C74">
        <w:t xml:space="preserve"> </w:t>
      </w:r>
      <w:r w:rsidR="00255791">
        <w:t>These measures begin to incorporate the importance of patient outcomes in any assessment of health system performance</w:t>
      </w:r>
      <w:r w:rsidR="00E513E4">
        <w:t xml:space="preserve"> (see </w:t>
      </w:r>
      <w:r w:rsidR="00BE7360">
        <w:t>Case Study</w:t>
      </w:r>
      <w:r w:rsidR="00E513E4">
        <w:t>: Patient Reported Indicator Survey)</w:t>
      </w:r>
      <w:r w:rsidR="00255791">
        <w:t xml:space="preserve">. </w:t>
      </w:r>
      <w:r w:rsidRPr="00BD0C74">
        <w:t>Collecting this data in a more consistent manner will help with continual monitoring of public hospital systems.</w:t>
      </w:r>
      <w:r w:rsidR="00A60B15">
        <w:t xml:space="preserve"> </w:t>
      </w:r>
    </w:p>
    <w:tbl>
      <w:tblPr>
        <w:tblStyle w:val="TableGrid"/>
        <w:tblW w:w="0" w:type="auto"/>
        <w:tblBorders>
          <w:top w:val="dotted" w:sz="4" w:space="0" w:color="0097A9" w:themeColor="accent5"/>
          <w:left w:val="dotted" w:sz="4" w:space="0" w:color="0097A9" w:themeColor="accent5"/>
          <w:bottom w:val="dotted" w:sz="4" w:space="0" w:color="0097A9" w:themeColor="accent5"/>
          <w:right w:val="dotted" w:sz="4" w:space="0" w:color="0097A9" w:themeColor="accent5"/>
        </w:tblBorders>
        <w:tblLook w:val="04A0" w:firstRow="1" w:lastRow="0" w:firstColumn="1" w:lastColumn="0" w:noHBand="0" w:noVBand="1"/>
      </w:tblPr>
      <w:tblGrid>
        <w:gridCol w:w="10456"/>
      </w:tblGrid>
      <w:tr w:rsidR="00EF5FAB" w14:paraId="2578BDEA" w14:textId="77777777" w:rsidTr="00E32245">
        <w:trPr>
          <w:cnfStyle w:val="100000000000" w:firstRow="1" w:lastRow="0" w:firstColumn="0" w:lastColumn="0" w:oddVBand="0" w:evenVBand="0" w:oddHBand="0" w:evenHBand="0" w:firstRowFirstColumn="0" w:firstRowLastColumn="0" w:lastRowFirstColumn="0" w:lastRowLastColumn="0"/>
        </w:trPr>
        <w:tc>
          <w:tcPr>
            <w:tcW w:w="1046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243AFB0" w14:textId="3B562BCA" w:rsidR="00EF5FAB" w:rsidRDefault="00EF5FAB" w:rsidP="00A326DF">
            <w:pPr>
              <w:pStyle w:val="Summarytable"/>
              <w:keepNext/>
              <w:keepLines/>
              <w:rPr>
                <w:b w:val="0"/>
                <w:bCs w:val="0"/>
              </w:rPr>
            </w:pPr>
            <w:r w:rsidRPr="00CA5F7A">
              <w:rPr>
                <w:noProof/>
                <w:color w:val="00707E" w:themeColor="accent5" w:themeShade="BF"/>
              </w:rPr>
              <w:drawing>
                <wp:inline distT="0" distB="0" distL="0" distR="0" wp14:anchorId="241A8FBA" wp14:editId="3D9F9173">
                  <wp:extent cx="270000" cy="270000"/>
                  <wp:effectExtent l="0" t="0" r="0" b="0"/>
                  <wp:docPr id="52379462" name="Graphic 52379462" descr="P2382C1T125#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9462" name="Graphic 52379462" descr="P2382C1T125#yIS1">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270000" cy="270000"/>
                          </a:xfrm>
                          <a:prstGeom prst="rect">
                            <a:avLst/>
                          </a:prstGeom>
                        </pic:spPr>
                      </pic:pic>
                    </a:graphicData>
                  </a:graphic>
                </wp:inline>
              </w:drawing>
            </w:r>
            <w:r w:rsidRPr="00CA5F7A">
              <w:rPr>
                <w:color w:val="00707E" w:themeColor="accent5" w:themeShade="BF"/>
              </w:rPr>
              <w:t>Case study:</w:t>
            </w:r>
            <w:r w:rsidRPr="00BB2C81">
              <w:rPr>
                <w:color w:val="00707E" w:themeColor="accent5" w:themeShade="BF"/>
              </w:rPr>
              <w:t xml:space="preserve"> </w:t>
            </w:r>
            <w:r w:rsidR="007B7359" w:rsidRPr="007B7359">
              <w:rPr>
                <w:b w:val="0"/>
                <w:bCs w:val="0"/>
                <w:color w:val="00707E" w:themeColor="accent5" w:themeShade="BF"/>
              </w:rPr>
              <w:t>Patient Report</w:t>
            </w:r>
            <w:r w:rsidR="005B63C0">
              <w:rPr>
                <w:b w:val="0"/>
                <w:bCs w:val="0"/>
                <w:color w:val="00707E" w:themeColor="accent5" w:themeShade="BF"/>
              </w:rPr>
              <w:t>ed</w:t>
            </w:r>
            <w:r w:rsidR="007B7359" w:rsidRPr="007B7359">
              <w:rPr>
                <w:b w:val="0"/>
                <w:bCs w:val="0"/>
                <w:color w:val="00707E" w:themeColor="accent5" w:themeShade="BF"/>
              </w:rPr>
              <w:t xml:space="preserve"> Indicator Survey (</w:t>
            </w:r>
            <w:r w:rsidR="0012683F" w:rsidRPr="0012683F">
              <w:rPr>
                <w:b w:val="0"/>
                <w:bCs w:val="0"/>
                <w:color w:val="00707E" w:themeColor="accent5" w:themeShade="BF"/>
              </w:rPr>
              <w:t>PaRIS</w:t>
            </w:r>
            <w:r w:rsidR="007B7359" w:rsidRPr="007B7359">
              <w:rPr>
                <w:b w:val="0"/>
                <w:bCs w:val="0"/>
                <w:color w:val="00707E" w:themeColor="accent5" w:themeShade="BF"/>
              </w:rPr>
              <w:t>)</w:t>
            </w:r>
          </w:p>
          <w:p w14:paraId="7842B0B4" w14:textId="60EDB1C9" w:rsidR="00276892" w:rsidRDefault="00276892" w:rsidP="00A326DF">
            <w:pPr>
              <w:pStyle w:val="Summarytable"/>
              <w:keepNext/>
              <w:keepLines/>
              <w:ind w:right="107"/>
              <w:rPr>
                <w:b w:val="0"/>
                <w:bCs w:val="0"/>
              </w:rPr>
            </w:pPr>
            <w:r>
              <w:rPr>
                <w:b w:val="0"/>
                <w:bCs w:val="0"/>
              </w:rPr>
              <w:t xml:space="preserve">PaRIS is an OECD-led initiative aimed at strengthening the measurement of outcomes and experiences of healthcare services for people living with chronic conditions in primary care. ACSQHC, on behalf of the Commonwealth Department of Health and Aged Care, is the National Program Manager for PaRIS in Australia.  </w:t>
            </w:r>
          </w:p>
          <w:p w14:paraId="25B17F98" w14:textId="1C3D6FED" w:rsidR="00EF5FAB" w:rsidRPr="003578B9" w:rsidRDefault="00276892" w:rsidP="00A326DF">
            <w:pPr>
              <w:pStyle w:val="Summarytable"/>
              <w:keepNext/>
              <w:keepLines/>
              <w:ind w:right="107"/>
              <w:rPr>
                <w:b w:val="0"/>
                <w:bCs w:val="0"/>
              </w:rPr>
            </w:pPr>
            <w:r w:rsidRPr="00276892">
              <w:rPr>
                <w:b w:val="0"/>
                <w:bCs w:val="0"/>
              </w:rPr>
              <w:t>The survey focuses on PREM</w:t>
            </w:r>
            <w:r w:rsidR="00A326DF">
              <w:rPr>
                <w:b w:val="0"/>
                <w:bCs w:val="0"/>
              </w:rPr>
              <w:t>s</w:t>
            </w:r>
            <w:r w:rsidR="00C02936" w:rsidRPr="00C02936">
              <w:rPr>
                <w:b w:val="0"/>
                <w:bCs w:val="0"/>
              </w:rPr>
              <w:t xml:space="preserve">, which measure how patients experience health care and refers to practical aspects of care; and </w:t>
            </w:r>
            <w:r w:rsidRPr="00276892">
              <w:rPr>
                <w:b w:val="0"/>
                <w:bCs w:val="0"/>
              </w:rPr>
              <w:t>PROM</w:t>
            </w:r>
            <w:r w:rsidR="00D03885">
              <w:rPr>
                <w:b w:val="0"/>
                <w:bCs w:val="0"/>
              </w:rPr>
              <w:t>s</w:t>
            </w:r>
            <w:r w:rsidR="00C02936" w:rsidRPr="00C02936">
              <w:rPr>
                <w:b w:val="0"/>
                <w:bCs w:val="0"/>
              </w:rPr>
              <w:t>, which measure how patients assess the results of the care they receive. One of the critical dimensions that PaRIS assesses is the coordination of care from the patients’ perspective</w:t>
            </w:r>
            <w:r w:rsidRPr="00276892">
              <w:rPr>
                <w:b w:val="0"/>
                <w:bCs w:val="0"/>
              </w:rPr>
              <w:t>, providing</w:t>
            </w:r>
            <w:r w:rsidR="00C02936" w:rsidRPr="00C02936">
              <w:rPr>
                <w:b w:val="0"/>
                <w:bCs w:val="0"/>
              </w:rPr>
              <w:t xml:space="preserve"> insights to policy </w:t>
            </w:r>
            <w:r w:rsidRPr="00276892">
              <w:rPr>
                <w:b w:val="0"/>
                <w:bCs w:val="0"/>
              </w:rPr>
              <w:t>makers</w:t>
            </w:r>
            <w:r w:rsidR="00C02936" w:rsidRPr="00C02936">
              <w:rPr>
                <w:b w:val="0"/>
                <w:bCs w:val="0"/>
              </w:rPr>
              <w:t xml:space="preserve"> on integrated care. PaRIS is being rolled out Australia-wide between mid-May 2023 to 31 October 2023, aligned with </w:t>
            </w:r>
            <w:r w:rsidR="00892413">
              <w:rPr>
                <w:b w:val="0"/>
                <w:bCs w:val="0"/>
              </w:rPr>
              <w:t xml:space="preserve">the </w:t>
            </w:r>
            <w:r w:rsidR="00C02936" w:rsidRPr="00C02936">
              <w:rPr>
                <w:b w:val="0"/>
                <w:bCs w:val="0"/>
              </w:rPr>
              <w:t xml:space="preserve">OECD </w:t>
            </w:r>
            <w:r w:rsidRPr="00276892">
              <w:rPr>
                <w:b w:val="0"/>
                <w:bCs w:val="0"/>
              </w:rPr>
              <w:t>timeframe</w:t>
            </w:r>
            <w:r w:rsidR="00EF5FAB">
              <w:rPr>
                <w:b w:val="0"/>
                <w:bCs w:val="0"/>
              </w:rPr>
              <w:t>.</w:t>
            </w:r>
          </w:p>
        </w:tc>
      </w:tr>
    </w:tbl>
    <w:p w14:paraId="1C910FAC" w14:textId="77777777" w:rsidR="00EF5FAB" w:rsidRPr="00BD0C74" w:rsidRDefault="00EF5FAB" w:rsidP="00CC7F3C">
      <w:pPr>
        <w:pStyle w:val="Longdotpoints"/>
        <w:numPr>
          <w:ilvl w:val="0"/>
          <w:numId w:val="0"/>
        </w:numPr>
      </w:pPr>
    </w:p>
    <w:p w14:paraId="444C4FC8" w14:textId="4E5CD97C" w:rsidR="00C8095F" w:rsidRDefault="00C8095F" w:rsidP="00C8095F">
      <w:pPr>
        <w:pStyle w:val="Longdotpoints"/>
      </w:pPr>
      <w:r>
        <w:rPr>
          <w:b/>
          <w:bCs/>
        </w:rPr>
        <w:t>Quality and Safety:</w:t>
      </w:r>
      <w:r>
        <w:t xml:space="preserve"> Whil</w:t>
      </w:r>
      <w:r w:rsidR="00892413">
        <w:t>e</w:t>
      </w:r>
      <w:r>
        <w:t xml:space="preserve"> there is data available in this area (some of which are included in the Data Placemat), capturing this consistently over time and in a way that enables comparison is important. Clear and consistent guidelines will promote consistent identification of quality and safety events (e.g. Sentinel events).</w:t>
      </w:r>
    </w:p>
    <w:p w14:paraId="62EE1033" w14:textId="77777777" w:rsidR="00BF22CE" w:rsidRDefault="00C8095F" w:rsidP="00BF22CE">
      <w:pPr>
        <w:pStyle w:val="Longdotpoints"/>
      </w:pPr>
      <w:r>
        <w:rPr>
          <w:b/>
          <w:bCs/>
        </w:rPr>
        <w:t>Access block:</w:t>
      </w:r>
      <w:r>
        <w:t xml:space="preserve"> A consistent national dataset on the incidence of long stay older and NDIS patients in hospitals by region and cause would assist in establishing baseline measurement and monitoring for interventions designed to reduce access block. </w:t>
      </w:r>
      <w:r w:rsidR="00BF22CE">
        <w:t>Some jurisdictions consider that Hospital Access Targets (HAT) may be a more nuanced set of time-based targets for ED performance. HAT has been adopted by Western Australia, trialled in the Australian Capital Territory, and Tasmania has committed to implementing it by 2023.</w:t>
      </w:r>
    </w:p>
    <w:p w14:paraId="3BF4AC5C" w14:textId="0AAFA3DA" w:rsidR="00C8095F" w:rsidRDefault="00C8095F" w:rsidP="00C8095F">
      <w:pPr>
        <w:pStyle w:val="Longdotpoints"/>
      </w:pPr>
      <w:r>
        <w:rPr>
          <w:b/>
          <w:bCs/>
        </w:rPr>
        <w:t>Workforce:</w:t>
      </w:r>
      <w:r>
        <w:t xml:space="preserve"> Whilst there are sources of workforce data, the collection varies by profession </w:t>
      </w:r>
      <w:r w:rsidR="00A9686B">
        <w:t>and timing. M</w:t>
      </w:r>
      <w:r>
        <w:t xml:space="preserve">ore specific data fields could be collected to better identify changes in public hospital workforce trends. Key workforce data that should be collected consistently include specifying the number of hours or proportion of time a worker spends in </w:t>
      </w:r>
      <w:r w:rsidR="00BF22CE">
        <w:t xml:space="preserve">the </w:t>
      </w:r>
      <w:r>
        <w:t xml:space="preserve">public hospital system, workforce data by age, profession (medical practitioners, nurses, allied health), and rurality. In the process of developing the </w:t>
      </w:r>
      <w:r w:rsidR="00E101BF">
        <w:t xml:space="preserve">Data </w:t>
      </w:r>
      <w:r>
        <w:t>Placemat</w:t>
      </w:r>
      <w:r w:rsidR="00D92CB0">
        <w:t>,</w:t>
      </w:r>
      <w:r>
        <w:t xml:space="preserve"> discrepancies were identified between data collections held by AIHW and the Commonwealth Department of Health and Age</w:t>
      </w:r>
      <w:r w:rsidR="00E101BF">
        <w:t>d Care</w:t>
      </w:r>
      <w:r>
        <w:t xml:space="preserve">. These differences should be reconciled in a future </w:t>
      </w:r>
      <w:r w:rsidR="00587C7B">
        <w:t>health system p</w:t>
      </w:r>
      <w:r>
        <w:t xml:space="preserve">erformance </w:t>
      </w:r>
      <w:r w:rsidR="00587C7B">
        <w:t>f</w:t>
      </w:r>
      <w:r>
        <w:t>ramework.</w:t>
      </w:r>
    </w:p>
    <w:p w14:paraId="2C82FFED" w14:textId="56059181" w:rsidR="00F86ABF" w:rsidRPr="003F313E" w:rsidRDefault="00BD0C74" w:rsidP="00CC7F3C">
      <w:pPr>
        <w:pStyle w:val="Longdotpoints"/>
        <w:rPr>
          <w:rFonts w:ascii="Times New Roman" w:hAnsi="Times New Roman" w:cs="Times New Roman"/>
          <w:sz w:val="24"/>
          <w:szCs w:val="24"/>
          <w:lang w:eastAsia="en-AU"/>
        </w:rPr>
      </w:pPr>
      <w:r w:rsidRPr="00B33937">
        <w:rPr>
          <w:b/>
          <w:bCs/>
        </w:rPr>
        <w:t>Primary care:</w:t>
      </w:r>
      <w:r w:rsidRPr="00BD0C74">
        <w:t xml:space="preserve"> </w:t>
      </w:r>
      <w:r w:rsidR="00C8095F">
        <w:t xml:space="preserve">Measures of access to primary care enable a clearer understanding at national and local levels of health system performance. </w:t>
      </w:r>
      <w:r w:rsidRPr="00BD0C74">
        <w:t xml:space="preserve">ABS data on reported reasons why people </w:t>
      </w:r>
      <w:r w:rsidR="00C8095F">
        <w:t>do not</w:t>
      </w:r>
      <w:r w:rsidRPr="00BD0C74">
        <w:t xml:space="preserve"> access a GP</w:t>
      </w:r>
      <w:r w:rsidR="00C8095F">
        <w:t xml:space="preserve"> provides an important insight to perceived access barriers and should be collected and reported</w:t>
      </w:r>
      <w:r w:rsidRPr="00BD0C74">
        <w:t xml:space="preserve"> consistently</w:t>
      </w:r>
      <w:r w:rsidR="00C8095F">
        <w:t>.</w:t>
      </w:r>
      <w:r w:rsidR="00AC241F">
        <w:t xml:space="preserve"> In addition, t</w:t>
      </w:r>
      <w:r w:rsidR="00F86ABF" w:rsidRPr="00F86ABF">
        <w:t xml:space="preserve">he following data was requested </w:t>
      </w:r>
      <w:r w:rsidR="00AC241F">
        <w:t>in</w:t>
      </w:r>
      <w:r w:rsidR="00F86ABF" w:rsidRPr="00F86ABF">
        <w:t xml:space="preserve"> the development of the Data Placemat</w:t>
      </w:r>
      <w:r w:rsidR="00C8095F">
        <w:t>. Continued</w:t>
      </w:r>
      <w:r w:rsidR="00F86ABF" w:rsidRPr="00F86ABF">
        <w:t xml:space="preserve"> collection of this </w:t>
      </w:r>
      <w:r w:rsidR="00AC241F">
        <w:t xml:space="preserve">data as </w:t>
      </w:r>
      <w:r w:rsidR="00C8095F">
        <w:t xml:space="preserve">part of the new </w:t>
      </w:r>
      <w:r w:rsidR="00587C7B">
        <w:t>health system p</w:t>
      </w:r>
      <w:r w:rsidR="00C8095F">
        <w:t xml:space="preserve">erformance </w:t>
      </w:r>
      <w:r w:rsidR="00587C7B">
        <w:t>f</w:t>
      </w:r>
      <w:r w:rsidR="00C8095F">
        <w:t xml:space="preserve">ramework would be </w:t>
      </w:r>
      <w:r w:rsidR="00AC241F">
        <w:t>beneficial</w:t>
      </w:r>
      <w:r w:rsidR="00F86ABF" w:rsidRPr="00F86ABF">
        <w:t>:</w:t>
      </w:r>
    </w:p>
    <w:p w14:paraId="38A0F459" w14:textId="77777777" w:rsidR="00F86ABF" w:rsidRPr="00F86ABF" w:rsidRDefault="00F86ABF" w:rsidP="00AC241F">
      <w:pPr>
        <w:pStyle w:val="Subdotpoint"/>
      </w:pPr>
      <w:r w:rsidRPr="00F86ABF">
        <w:t xml:space="preserve">Bulk billing rates </w:t>
      </w:r>
    </w:p>
    <w:p w14:paraId="2B830401" w14:textId="44A31421" w:rsidR="00CB5893" w:rsidRDefault="00CB5893" w:rsidP="00CB5893">
      <w:pPr>
        <w:pStyle w:val="Subdotpoint"/>
        <w:numPr>
          <w:ilvl w:val="2"/>
          <w:numId w:val="19"/>
        </w:numPr>
      </w:pPr>
      <w:r>
        <w:t>by age (0 to 16</w:t>
      </w:r>
      <w:r w:rsidR="0040214A">
        <w:t>,</w:t>
      </w:r>
      <w:r>
        <w:t xml:space="preserve"> 16-64, 65+)</w:t>
      </w:r>
    </w:p>
    <w:p w14:paraId="15C91E3A" w14:textId="2F74A433" w:rsidR="00F86ABF" w:rsidRPr="00F86ABF" w:rsidRDefault="00F86ABF" w:rsidP="00CB5893">
      <w:pPr>
        <w:pStyle w:val="Subdotpoint"/>
        <w:numPr>
          <w:ilvl w:val="2"/>
          <w:numId w:val="19"/>
        </w:numPr>
      </w:pPr>
      <w:r w:rsidRPr="00F86ABF">
        <w:t>by State</w:t>
      </w:r>
      <w:r w:rsidR="009741BC">
        <w:t xml:space="preserve">, </w:t>
      </w:r>
      <w:r w:rsidR="0060762F">
        <w:t>Territory</w:t>
      </w:r>
      <w:r w:rsidRPr="00F86ABF">
        <w:t xml:space="preserve"> </w:t>
      </w:r>
      <w:r w:rsidR="0060762F">
        <w:t>and</w:t>
      </w:r>
      <w:r w:rsidRPr="00F86ABF">
        <w:t xml:space="preserve"> National</w:t>
      </w:r>
    </w:p>
    <w:p w14:paraId="5F994CA4" w14:textId="77777777" w:rsidR="00F86ABF" w:rsidRPr="00F86ABF" w:rsidRDefault="00F86ABF" w:rsidP="00AC241F">
      <w:pPr>
        <w:pStyle w:val="Subdotpoint"/>
      </w:pPr>
      <w:r w:rsidRPr="00F86ABF">
        <w:t>Out of pocket costs (age)</w:t>
      </w:r>
    </w:p>
    <w:p w14:paraId="171E2AEA" w14:textId="4A438D4F" w:rsidR="00F86ABF" w:rsidRPr="00F86ABF" w:rsidRDefault="00F86ABF" w:rsidP="00D170A5">
      <w:pPr>
        <w:pStyle w:val="Subdotpoint"/>
        <w:numPr>
          <w:ilvl w:val="2"/>
          <w:numId w:val="19"/>
        </w:numPr>
      </w:pPr>
      <w:r w:rsidRPr="00F86ABF">
        <w:t>by age (0 to 16</w:t>
      </w:r>
      <w:r w:rsidR="0040214A">
        <w:t>,</w:t>
      </w:r>
      <w:r w:rsidRPr="00F86ABF">
        <w:t xml:space="preserve"> </w:t>
      </w:r>
      <w:r w:rsidR="00CB5893" w:rsidRPr="00CB5893">
        <w:t>16-64, 65+</w:t>
      </w:r>
      <w:r w:rsidRPr="00F86ABF">
        <w:t xml:space="preserve">) </w:t>
      </w:r>
    </w:p>
    <w:p w14:paraId="7B6105BB" w14:textId="18D13BFB" w:rsidR="00F86ABF" w:rsidRPr="00F86ABF" w:rsidRDefault="00F86ABF" w:rsidP="00D170A5">
      <w:pPr>
        <w:pStyle w:val="Subdotpoint"/>
        <w:numPr>
          <w:ilvl w:val="2"/>
          <w:numId w:val="19"/>
        </w:numPr>
      </w:pPr>
      <w:r w:rsidRPr="00F86ABF">
        <w:t>by State</w:t>
      </w:r>
      <w:r w:rsidR="00415141">
        <w:t xml:space="preserve">, </w:t>
      </w:r>
      <w:r w:rsidR="0060762F">
        <w:t>Territory</w:t>
      </w:r>
      <w:r w:rsidRPr="00F86ABF">
        <w:t xml:space="preserve"> </w:t>
      </w:r>
      <w:r w:rsidR="0060762F">
        <w:t>and</w:t>
      </w:r>
      <w:r w:rsidRPr="00F86ABF">
        <w:t xml:space="preserve"> National</w:t>
      </w:r>
    </w:p>
    <w:p w14:paraId="5425D603" w14:textId="77777777" w:rsidR="00F86ABF" w:rsidRPr="00F86ABF" w:rsidRDefault="00F86ABF" w:rsidP="00AC241F">
      <w:pPr>
        <w:pStyle w:val="Subdotpoint"/>
      </w:pPr>
      <w:r w:rsidRPr="00F86ABF">
        <w:t>Out of pocket costs (telehealth)</w:t>
      </w:r>
    </w:p>
    <w:p w14:paraId="509720D1" w14:textId="02976C39" w:rsidR="003C7A82" w:rsidRDefault="003C7A82" w:rsidP="003C7A82">
      <w:pPr>
        <w:pStyle w:val="Subdotpoint"/>
        <w:numPr>
          <w:ilvl w:val="2"/>
          <w:numId w:val="19"/>
        </w:numPr>
      </w:pPr>
      <w:r>
        <w:t>by State</w:t>
      </w:r>
      <w:r w:rsidR="009741BC">
        <w:t xml:space="preserve">, </w:t>
      </w:r>
      <w:r w:rsidR="000C4DCA">
        <w:t>Territory and</w:t>
      </w:r>
      <w:r>
        <w:t xml:space="preserve"> National</w:t>
      </w:r>
    </w:p>
    <w:p w14:paraId="0190CCF4" w14:textId="4FD0BF02" w:rsidR="0039436A" w:rsidRDefault="00BD0C74" w:rsidP="00CC7F3C">
      <w:pPr>
        <w:pStyle w:val="Longdotpoints"/>
      </w:pPr>
      <w:r w:rsidRPr="00327ED6">
        <w:rPr>
          <w:b/>
          <w:bCs/>
        </w:rPr>
        <w:t>Population Health:</w:t>
      </w:r>
      <w:r w:rsidRPr="00BD0C74">
        <w:t xml:space="preserve"> Agreeing a consistent national collection to track population health trends and outcomes over time would assist to create stronger understanding of health system challenges.</w:t>
      </w:r>
    </w:p>
    <w:p w14:paraId="58DB190D" w14:textId="5B76F653" w:rsidR="00C1747F" w:rsidRPr="00BD61E0" w:rsidRDefault="00BE7360" w:rsidP="00592DAF">
      <w:r>
        <w:t>To</w:t>
      </w:r>
      <w:r w:rsidR="00021B6B" w:rsidRPr="00BD61E0">
        <w:t xml:space="preserve"> </w:t>
      </w:r>
      <w:r w:rsidR="0087722A" w:rsidRPr="00BD61E0">
        <w:t>establish</w:t>
      </w:r>
      <w:r w:rsidR="00021B6B" w:rsidRPr="00BD61E0">
        <w:t xml:space="preserve"> a</w:t>
      </w:r>
      <w:r w:rsidR="0087722A" w:rsidRPr="00BD61E0">
        <w:t xml:space="preserve"> </w:t>
      </w:r>
      <w:r w:rsidR="00021B6B" w:rsidRPr="00BD61E0">
        <w:t xml:space="preserve">common and consistent </w:t>
      </w:r>
      <w:r w:rsidR="00587C7B">
        <w:t>health system p</w:t>
      </w:r>
      <w:r w:rsidR="00021B6B" w:rsidRPr="00BD61E0">
        <w:t xml:space="preserve">erformance </w:t>
      </w:r>
      <w:r w:rsidR="00587C7B">
        <w:t>f</w:t>
      </w:r>
      <w:r w:rsidR="00021B6B" w:rsidRPr="00BD61E0">
        <w:t xml:space="preserve">ramework, some existing challenges </w:t>
      </w:r>
      <w:r w:rsidR="00F265D5" w:rsidRPr="00BD61E0">
        <w:t xml:space="preserve">need to be </w:t>
      </w:r>
      <w:r w:rsidR="00E428C9" w:rsidRPr="00BD61E0">
        <w:t>accounted for and overcome</w:t>
      </w:r>
      <w:r w:rsidR="009D5B43" w:rsidRPr="00BD61E0">
        <w:t xml:space="preserve">, for example: </w:t>
      </w:r>
    </w:p>
    <w:p w14:paraId="44FB2EB2" w14:textId="095A7489" w:rsidR="00E65EE3" w:rsidRPr="00BD61E0" w:rsidRDefault="00AF1D80" w:rsidP="00135C89">
      <w:pPr>
        <w:pStyle w:val="ListBullet"/>
        <w:ind w:left="567"/>
      </w:pPr>
      <w:r>
        <w:t>C</w:t>
      </w:r>
      <w:r w:rsidR="00E3090A" w:rsidRPr="00BD61E0">
        <w:t xml:space="preserve">onsistent definition of inputs (e.g. </w:t>
      </w:r>
      <w:r w:rsidR="00397E8C" w:rsidRPr="00BD61E0">
        <w:t>data type</w:t>
      </w:r>
      <w:r w:rsidR="00E3090A" w:rsidRPr="00BD61E0">
        <w:t>)</w:t>
      </w:r>
      <w:r w:rsidR="00D17140">
        <w:t>.</w:t>
      </w:r>
    </w:p>
    <w:p w14:paraId="733B4F3B" w14:textId="0F09F748" w:rsidR="00AF1D80" w:rsidRPr="00BD61E0" w:rsidRDefault="00AF1D80" w:rsidP="00135C89">
      <w:pPr>
        <w:pStyle w:val="ListBullet"/>
        <w:ind w:left="567"/>
      </w:pPr>
      <w:r>
        <w:t xml:space="preserve">Recognition </w:t>
      </w:r>
      <w:r w:rsidR="00FE5AEE">
        <w:t xml:space="preserve">that </w:t>
      </w:r>
      <w:r w:rsidR="00AA28CD">
        <w:t>the scope</w:t>
      </w:r>
      <w:r>
        <w:t xml:space="preserve"> </w:t>
      </w:r>
      <w:r w:rsidR="009858FA">
        <w:t>of</w:t>
      </w:r>
      <w:r>
        <w:t xml:space="preserve"> </w:t>
      </w:r>
      <w:r w:rsidRPr="00AF1D80">
        <w:t xml:space="preserve">indicators </w:t>
      </w:r>
      <w:r w:rsidR="00FE5AEE">
        <w:t>should relate</w:t>
      </w:r>
      <w:r w:rsidR="009858FA">
        <w:t xml:space="preserve"> </w:t>
      </w:r>
      <w:r w:rsidR="00DB57D2">
        <w:t>not only to</w:t>
      </w:r>
      <w:r w:rsidR="00327E04">
        <w:t xml:space="preserve"> </w:t>
      </w:r>
      <w:r w:rsidR="00327E04" w:rsidRPr="00327E04">
        <w:t>public hospitals</w:t>
      </w:r>
      <w:r w:rsidR="00327E04">
        <w:t xml:space="preserve"> but also</w:t>
      </w:r>
      <w:r w:rsidR="005E29EC">
        <w:t xml:space="preserve"> to</w:t>
      </w:r>
      <w:r w:rsidRPr="00AF1D80">
        <w:t xml:space="preserve"> intersectoral collaboration such as primary care, aged care, disability support, </w:t>
      </w:r>
      <w:r w:rsidRPr="00650E28">
        <w:rPr>
          <w:i/>
          <w:iCs/>
        </w:rPr>
        <w:t>Closing the Gap</w:t>
      </w:r>
      <w:r w:rsidRPr="00AF1D80">
        <w:t xml:space="preserve"> and other priority groups with lower access</w:t>
      </w:r>
      <w:r w:rsidR="00D17140">
        <w:t>.</w:t>
      </w:r>
    </w:p>
    <w:p w14:paraId="455B9234" w14:textId="0C602D65" w:rsidR="00201508" w:rsidRPr="00BD61E0" w:rsidRDefault="005812EB" w:rsidP="00135C89">
      <w:pPr>
        <w:pStyle w:val="ListBullet"/>
        <w:ind w:left="567"/>
      </w:pPr>
      <w:r w:rsidRPr="00BD61E0">
        <w:t>Agreement</w:t>
      </w:r>
      <w:r w:rsidR="00E3090A" w:rsidRPr="00BD61E0">
        <w:t xml:space="preserve"> of </w:t>
      </w:r>
      <w:r w:rsidR="00504A6A" w:rsidRPr="00BD61E0">
        <w:t xml:space="preserve">performance </w:t>
      </w:r>
      <w:r w:rsidR="00044641" w:rsidRPr="00BD61E0">
        <w:t>measurement business rules</w:t>
      </w:r>
      <w:r w:rsidR="00D17140">
        <w:t>.</w:t>
      </w:r>
      <w:r w:rsidR="00593FF3" w:rsidRPr="00BD61E0">
        <w:t xml:space="preserve"> </w:t>
      </w:r>
    </w:p>
    <w:p w14:paraId="6504B3D3" w14:textId="60BA43EC" w:rsidR="00504A6A" w:rsidRPr="00BD61E0" w:rsidRDefault="00201508" w:rsidP="00135C89">
      <w:pPr>
        <w:pStyle w:val="ListBullet"/>
        <w:ind w:left="567"/>
      </w:pPr>
      <w:r w:rsidRPr="00BD61E0">
        <w:t xml:space="preserve">Agreement of reporting </w:t>
      </w:r>
      <w:r w:rsidR="00FE5AEE">
        <w:t>structures</w:t>
      </w:r>
      <w:r w:rsidR="00D17140">
        <w:t>.</w:t>
      </w:r>
    </w:p>
    <w:p w14:paraId="007384D1" w14:textId="64CC9278" w:rsidR="00FE5AEE" w:rsidRDefault="00FE5AEE" w:rsidP="00135C89">
      <w:pPr>
        <w:pStyle w:val="ListBullet"/>
        <w:ind w:left="567"/>
      </w:pPr>
      <w:r>
        <w:t>Consistent application of reporting at jurisdictional and national levels (e.g. the jurisdictions agree that their submitted data to national bodies has been interpreted and applied correctly)</w:t>
      </w:r>
      <w:r w:rsidR="00D17140">
        <w:t>.</w:t>
      </w:r>
    </w:p>
    <w:p w14:paraId="78E399E1" w14:textId="1278C98F" w:rsidR="00E3090A" w:rsidRPr="00BD61E0" w:rsidRDefault="00BD4B55" w:rsidP="00135C89">
      <w:pPr>
        <w:pStyle w:val="ListBullet"/>
        <w:spacing w:after="120"/>
        <w:ind w:left="567"/>
      </w:pPr>
      <w:r>
        <w:t>Agreement on the</w:t>
      </w:r>
      <w:r w:rsidR="0035059E" w:rsidRPr="0035059E">
        <w:t xml:space="preserve"> </w:t>
      </w:r>
      <w:r w:rsidR="00BD61E0" w:rsidRPr="00BD61E0">
        <w:t>reporting</w:t>
      </w:r>
      <w:r w:rsidR="0035059E" w:rsidRPr="00BD61E0">
        <w:t xml:space="preserve"> </w:t>
      </w:r>
      <w:r w:rsidR="0035059E" w:rsidRPr="0035059E">
        <w:t xml:space="preserve">turnaround </w:t>
      </w:r>
      <w:r w:rsidR="00BD61E0" w:rsidRPr="00BD61E0">
        <w:t xml:space="preserve">timeframe </w:t>
      </w:r>
      <w:r w:rsidR="0035059E" w:rsidRPr="0035059E">
        <w:t xml:space="preserve">between service delivered and data available (to reduce </w:t>
      </w:r>
      <w:r w:rsidR="00BD61E0" w:rsidRPr="00BD61E0">
        <w:t>any potential</w:t>
      </w:r>
      <w:r w:rsidR="0035059E" w:rsidRPr="00BD61E0">
        <w:t xml:space="preserve"> reporting </w:t>
      </w:r>
      <w:r w:rsidR="00BD61E0" w:rsidRPr="00BD61E0">
        <w:t>time lag</w:t>
      </w:r>
      <w:r w:rsidR="0035059E" w:rsidRPr="00BD61E0">
        <w:t>)</w:t>
      </w:r>
      <w:r w:rsidR="00E3090A" w:rsidRPr="00BD61E0">
        <w:t>.</w:t>
      </w:r>
    </w:p>
    <w:p w14:paraId="5745A9DC" w14:textId="5A85C7EB" w:rsidR="0086208D" w:rsidRDefault="0086208D" w:rsidP="0086208D">
      <w:r>
        <w:t>A</w:t>
      </w:r>
      <w:r w:rsidRPr="0086208D">
        <w:t xml:space="preserve"> future </w:t>
      </w:r>
      <w:r w:rsidR="00587C7B">
        <w:t>health system p</w:t>
      </w:r>
      <w:r w:rsidR="00235E53">
        <w:t xml:space="preserve">erformance </w:t>
      </w:r>
      <w:r w:rsidR="00587C7B">
        <w:t>f</w:t>
      </w:r>
      <w:r w:rsidR="00235E53">
        <w:t>ramework</w:t>
      </w:r>
      <w:r w:rsidRPr="0086208D">
        <w:t xml:space="preserve"> </w:t>
      </w:r>
      <w:r w:rsidR="00A47426">
        <w:t xml:space="preserve">(within a new Agreement) </w:t>
      </w:r>
      <w:r w:rsidRPr="0086208D">
        <w:t xml:space="preserve">should </w:t>
      </w:r>
      <w:r>
        <w:t xml:space="preserve">also </w:t>
      </w:r>
      <w:r w:rsidRPr="0086208D">
        <w:t>drive and measure innovation</w:t>
      </w:r>
      <w:r w:rsidR="00E15ADB">
        <w:t>.</w:t>
      </w:r>
    </w:p>
    <w:p w14:paraId="1E862272" w14:textId="7DF44208" w:rsidR="00D83942" w:rsidRDefault="00C10DCD" w:rsidP="0086208D">
      <w:r>
        <w:t>C</w:t>
      </w:r>
      <w:r w:rsidRPr="00C10DCD">
        <w:t>ountry comparisons of Performance, Monitoring, and Improvement Systems</w:t>
      </w:r>
      <w:r>
        <w:t xml:space="preserve"> are provided in</w:t>
      </w:r>
      <w:r w:rsidR="0003082E">
        <w:t xml:space="preserve"> </w:t>
      </w:r>
      <w:r w:rsidR="0003082E">
        <w:fldChar w:fldCharType="begin" w:fldLock="1"/>
      </w:r>
      <w:r w:rsidR="0003082E">
        <w:instrText xml:space="preserve"> REF _Ref148605884 \w \h </w:instrText>
      </w:r>
      <w:r w:rsidR="0003082E">
        <w:fldChar w:fldCharType="separate"/>
      </w:r>
      <w:r w:rsidR="00FA10A4">
        <w:t>Appendix J</w:t>
      </w:r>
      <w:r w:rsidR="0003082E">
        <w:fldChar w:fldCharType="end"/>
      </w:r>
      <w:r w:rsidRPr="00C10DCD">
        <w:t>.</w:t>
      </w:r>
    </w:p>
    <w:tbl>
      <w:tblPr>
        <w:tblStyle w:val="TableGrid"/>
        <w:tblW w:w="0" w:type="auto"/>
        <w:tblBorders>
          <w:top w:val="dotted" w:sz="4" w:space="0" w:color="0097A9" w:themeColor="accent5"/>
          <w:left w:val="dotted" w:sz="4" w:space="0" w:color="0097A9" w:themeColor="accent5"/>
          <w:bottom w:val="dotted" w:sz="4" w:space="0" w:color="0097A9" w:themeColor="accent5"/>
          <w:right w:val="dotted" w:sz="4" w:space="0" w:color="0097A9" w:themeColor="accent5"/>
        </w:tblBorders>
        <w:tblLook w:val="04A0" w:firstRow="1" w:lastRow="0" w:firstColumn="1" w:lastColumn="0" w:noHBand="0" w:noVBand="1"/>
      </w:tblPr>
      <w:tblGrid>
        <w:gridCol w:w="10456"/>
      </w:tblGrid>
      <w:tr w:rsidR="00A470EE" w14:paraId="439A3FB2" w14:textId="77777777" w:rsidTr="00E32245">
        <w:trPr>
          <w:cnfStyle w:val="100000000000" w:firstRow="1" w:lastRow="0" w:firstColumn="0" w:lastColumn="0" w:oddVBand="0" w:evenVBand="0" w:oddHBand="0" w:evenHBand="0" w:firstRowFirstColumn="0" w:firstRowLastColumn="0" w:lastRowFirstColumn="0" w:lastRowLastColumn="0"/>
        </w:trPr>
        <w:tc>
          <w:tcPr>
            <w:tcW w:w="1046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70F071E" w14:textId="7248A098" w:rsidR="00A470EE" w:rsidRPr="00BB2C81" w:rsidRDefault="00A470EE">
            <w:pPr>
              <w:pStyle w:val="Summarytable"/>
              <w:rPr>
                <w:color w:val="00707E" w:themeColor="accent5" w:themeShade="BF"/>
              </w:rPr>
            </w:pPr>
            <w:r w:rsidRPr="00CA5F7A">
              <w:rPr>
                <w:noProof/>
                <w:color w:val="00707E" w:themeColor="accent5" w:themeShade="BF"/>
              </w:rPr>
              <w:drawing>
                <wp:inline distT="0" distB="0" distL="0" distR="0" wp14:anchorId="0F8A5B92" wp14:editId="71EC0BC9">
                  <wp:extent cx="270000" cy="270000"/>
                  <wp:effectExtent l="0" t="0" r="0" b="0"/>
                  <wp:docPr id="1489793614" name="Graphic 1489793614" descr="P2409C1T12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14" name="Graphic 1489793614" descr="P2409C1T126#yIS1">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270000" cy="270000"/>
                          </a:xfrm>
                          <a:prstGeom prst="rect">
                            <a:avLst/>
                          </a:prstGeom>
                        </pic:spPr>
                      </pic:pic>
                    </a:graphicData>
                  </a:graphic>
                </wp:inline>
              </w:drawing>
            </w:r>
            <w:r w:rsidRPr="00CA5F7A">
              <w:rPr>
                <w:color w:val="00707E" w:themeColor="accent5" w:themeShade="BF"/>
              </w:rPr>
              <w:t>Case study:</w:t>
            </w:r>
            <w:r w:rsidRPr="00BB2C81">
              <w:rPr>
                <w:color w:val="00707E" w:themeColor="accent5" w:themeShade="BF"/>
              </w:rPr>
              <w:t xml:space="preserve"> </w:t>
            </w:r>
            <w:r w:rsidR="00176DC9" w:rsidRPr="00176DC9">
              <w:rPr>
                <w:b w:val="0"/>
                <w:bCs w:val="0"/>
                <w:color w:val="00707E" w:themeColor="accent5" w:themeShade="BF"/>
              </w:rPr>
              <w:t xml:space="preserve">OECD </w:t>
            </w:r>
            <w:r w:rsidR="00734A74" w:rsidRPr="00734A74">
              <w:rPr>
                <w:b w:val="0"/>
                <w:bCs w:val="0"/>
                <w:color w:val="00707E" w:themeColor="accent5" w:themeShade="BF"/>
              </w:rPr>
              <w:t xml:space="preserve">Health </w:t>
            </w:r>
            <w:r w:rsidR="00734A74">
              <w:rPr>
                <w:b w:val="0"/>
                <w:bCs w:val="0"/>
                <w:color w:val="00707E" w:themeColor="accent5" w:themeShade="BF"/>
              </w:rPr>
              <w:t>S</w:t>
            </w:r>
            <w:r w:rsidR="00734A74" w:rsidRPr="00734A74">
              <w:rPr>
                <w:b w:val="0"/>
                <w:bCs w:val="0"/>
                <w:color w:val="00707E" w:themeColor="accent5" w:themeShade="BF"/>
              </w:rPr>
              <w:t xml:space="preserve">ystem </w:t>
            </w:r>
            <w:r w:rsidR="00734A74">
              <w:rPr>
                <w:b w:val="0"/>
                <w:bCs w:val="0"/>
                <w:color w:val="00707E" w:themeColor="accent5" w:themeShade="BF"/>
              </w:rPr>
              <w:t>P</w:t>
            </w:r>
            <w:r w:rsidR="00734A74" w:rsidRPr="00734A74">
              <w:rPr>
                <w:b w:val="0"/>
                <w:bCs w:val="0"/>
                <w:color w:val="00707E" w:themeColor="accent5" w:themeShade="BF"/>
              </w:rPr>
              <w:t xml:space="preserve">erformance </w:t>
            </w:r>
            <w:r w:rsidR="00734A74">
              <w:rPr>
                <w:b w:val="0"/>
                <w:bCs w:val="0"/>
                <w:color w:val="00707E" w:themeColor="accent5" w:themeShade="BF"/>
              </w:rPr>
              <w:t>A</w:t>
            </w:r>
            <w:r w:rsidR="00734A74" w:rsidRPr="00734A74">
              <w:rPr>
                <w:b w:val="0"/>
                <w:bCs w:val="0"/>
                <w:color w:val="00707E" w:themeColor="accent5" w:themeShade="BF"/>
              </w:rPr>
              <w:t>ssessment (HSPA</w:t>
            </w:r>
            <w:r w:rsidR="001E5FD6">
              <w:rPr>
                <w:b w:val="0"/>
                <w:bCs w:val="0"/>
                <w:color w:val="00707E" w:themeColor="accent5" w:themeShade="BF"/>
              </w:rPr>
              <w:t>)</w:t>
            </w:r>
            <w:r w:rsidR="00176DC9" w:rsidRPr="00BB2C81">
              <w:rPr>
                <w:color w:val="00707E" w:themeColor="accent5" w:themeShade="BF"/>
              </w:rPr>
              <w:t xml:space="preserve"> </w:t>
            </w:r>
            <w:r w:rsidR="008B1908" w:rsidRPr="008B1908">
              <w:rPr>
                <w:b w:val="0"/>
                <w:bCs w:val="0"/>
                <w:color w:val="00707E" w:themeColor="accent5" w:themeShade="BF"/>
              </w:rPr>
              <w:t>Framework</w:t>
            </w:r>
            <w:r w:rsidR="001C1A6D">
              <w:rPr>
                <w:b w:val="0"/>
                <w:bCs w:val="0"/>
                <w:color w:val="00707E" w:themeColor="accent5" w:themeShade="BF"/>
              </w:rPr>
              <w:t>s</w:t>
            </w:r>
            <w:r w:rsidR="009A6773">
              <w:rPr>
                <w:b w:val="0"/>
                <w:bCs w:val="0"/>
                <w:color w:val="00707E" w:themeColor="accent5" w:themeShade="BF"/>
              </w:rPr>
              <w:t xml:space="preserve"> –</w:t>
            </w:r>
            <w:r w:rsidR="00CD276C">
              <w:rPr>
                <w:b w:val="0"/>
                <w:bCs w:val="0"/>
                <w:color w:val="00707E" w:themeColor="accent5" w:themeShade="BF"/>
              </w:rPr>
              <w:t xml:space="preserve"> </w:t>
            </w:r>
            <w:r w:rsidR="009A6773">
              <w:rPr>
                <w:b w:val="0"/>
                <w:bCs w:val="0"/>
                <w:color w:val="00707E" w:themeColor="accent5" w:themeShade="BF"/>
              </w:rPr>
              <w:t>establishment</w:t>
            </w:r>
            <w:r w:rsidR="00CD276C">
              <w:rPr>
                <w:b w:val="0"/>
                <w:bCs w:val="0"/>
                <w:color w:val="00707E" w:themeColor="accent5" w:themeShade="BF"/>
              </w:rPr>
              <w:t xml:space="preserve"> and implementation</w:t>
            </w:r>
            <w:r w:rsidR="00990575">
              <w:rPr>
                <w:b w:val="0"/>
                <w:bCs w:val="0"/>
                <w:color w:val="00707E" w:themeColor="accent5" w:themeShade="BF"/>
              </w:rPr>
              <w:t xml:space="preserve"> in Estonia</w:t>
            </w:r>
          </w:p>
          <w:p w14:paraId="27B169D1" w14:textId="4D649DDC" w:rsidR="00051087" w:rsidRDefault="00FE3761" w:rsidP="004F12B6">
            <w:pPr>
              <w:pStyle w:val="Summarytable"/>
              <w:ind w:right="108"/>
              <w:rPr>
                <w:b w:val="0"/>
                <w:bCs w:val="0"/>
              </w:rPr>
            </w:pPr>
            <w:r w:rsidRPr="00FE3761">
              <w:rPr>
                <w:b w:val="0"/>
                <w:bCs w:val="0"/>
              </w:rPr>
              <w:t>HSPA frameworks have been developed and used increasingly across countries and regions, to bring together stakeholders in the health sector to share common objectives and to support their work towards better health system performance.</w:t>
            </w:r>
            <w:r w:rsidR="004F12B6">
              <w:rPr>
                <w:b w:val="0"/>
                <w:bCs w:val="0"/>
              </w:rPr>
              <w:t xml:space="preserve"> The OCED </w:t>
            </w:r>
            <w:r w:rsidR="009657DF" w:rsidRPr="009657DF">
              <w:rPr>
                <w:b w:val="0"/>
                <w:bCs w:val="0"/>
              </w:rPr>
              <w:t>HSPA framework</w:t>
            </w:r>
            <w:r w:rsidR="00693A78">
              <w:rPr>
                <w:b w:val="0"/>
                <w:bCs w:val="0"/>
              </w:rPr>
              <w:t xml:space="preserve"> states that this type of Framework</w:t>
            </w:r>
            <w:r w:rsidR="009657DF" w:rsidRPr="009657DF">
              <w:rPr>
                <w:b w:val="0"/>
                <w:bCs w:val="0"/>
              </w:rPr>
              <w:t xml:space="preserve"> should</w:t>
            </w:r>
            <w:r w:rsidR="00051087">
              <w:rPr>
                <w:b w:val="0"/>
                <w:bCs w:val="0"/>
              </w:rPr>
              <w:t>:</w:t>
            </w:r>
          </w:p>
          <w:p w14:paraId="1E50C033" w14:textId="441066F2" w:rsidR="008658D9" w:rsidRDefault="00693A78" w:rsidP="00A850C3">
            <w:pPr>
              <w:pStyle w:val="Summarytable"/>
              <w:numPr>
                <w:ilvl w:val="0"/>
                <w:numId w:val="38"/>
              </w:numPr>
              <w:spacing w:before="0" w:after="0"/>
              <w:ind w:left="567" w:right="108" w:hanging="283"/>
              <w:rPr>
                <w:b w:val="0"/>
                <w:bCs w:val="0"/>
              </w:rPr>
            </w:pPr>
            <w:r>
              <w:rPr>
                <w:b w:val="0"/>
                <w:bCs w:val="0"/>
              </w:rPr>
              <w:t>B</w:t>
            </w:r>
            <w:r w:rsidR="008658D9">
              <w:rPr>
                <w:b w:val="0"/>
                <w:bCs w:val="0"/>
              </w:rPr>
              <w:t xml:space="preserve">e </w:t>
            </w:r>
            <w:r w:rsidR="009657DF" w:rsidRPr="009657DF">
              <w:rPr>
                <w:b w:val="0"/>
                <w:bCs w:val="0"/>
              </w:rPr>
              <w:t>comprehensive, encompassing all aspects of the system and its performance</w:t>
            </w:r>
            <w:r>
              <w:rPr>
                <w:b w:val="0"/>
                <w:bCs w:val="0"/>
              </w:rPr>
              <w:t>.</w:t>
            </w:r>
          </w:p>
          <w:p w14:paraId="052CF7AF" w14:textId="6A2777AF" w:rsidR="008658D9" w:rsidRDefault="00693A78" w:rsidP="00A850C3">
            <w:pPr>
              <w:pStyle w:val="Summarytable"/>
              <w:numPr>
                <w:ilvl w:val="0"/>
                <w:numId w:val="38"/>
              </w:numPr>
              <w:spacing w:before="0" w:after="0"/>
              <w:ind w:left="567" w:right="108" w:hanging="283"/>
              <w:rPr>
                <w:b w:val="0"/>
                <w:bCs w:val="0"/>
              </w:rPr>
            </w:pPr>
            <w:r>
              <w:rPr>
                <w:b w:val="0"/>
                <w:bCs w:val="0"/>
              </w:rPr>
              <w:t>I</w:t>
            </w:r>
            <w:r w:rsidR="009657DF" w:rsidRPr="009657DF">
              <w:rPr>
                <w:b w:val="0"/>
                <w:bCs w:val="0"/>
              </w:rPr>
              <w:t>ncorporat</w:t>
            </w:r>
            <w:r w:rsidR="008658D9">
              <w:rPr>
                <w:b w:val="0"/>
                <w:bCs w:val="0"/>
              </w:rPr>
              <w:t>e</w:t>
            </w:r>
            <w:r w:rsidR="009657DF" w:rsidRPr="009657DF">
              <w:rPr>
                <w:b w:val="0"/>
                <w:bCs w:val="0"/>
              </w:rPr>
              <w:t xml:space="preserve"> both quantitative and qualitative indicators</w:t>
            </w:r>
            <w:r>
              <w:rPr>
                <w:b w:val="0"/>
                <w:bCs w:val="0"/>
              </w:rPr>
              <w:t>.</w:t>
            </w:r>
          </w:p>
          <w:p w14:paraId="612C3940" w14:textId="466DB183" w:rsidR="008658D9" w:rsidRDefault="00693A78" w:rsidP="00A850C3">
            <w:pPr>
              <w:pStyle w:val="Summarytable"/>
              <w:numPr>
                <w:ilvl w:val="0"/>
                <w:numId w:val="38"/>
              </w:numPr>
              <w:spacing w:before="0" w:after="0"/>
              <w:ind w:left="567" w:right="108" w:hanging="283"/>
              <w:rPr>
                <w:b w:val="0"/>
                <w:bCs w:val="0"/>
              </w:rPr>
            </w:pPr>
            <w:r>
              <w:rPr>
                <w:b w:val="0"/>
                <w:bCs w:val="0"/>
              </w:rPr>
              <w:t>B</w:t>
            </w:r>
            <w:r w:rsidR="009657DF" w:rsidRPr="009657DF">
              <w:rPr>
                <w:b w:val="0"/>
                <w:bCs w:val="0"/>
              </w:rPr>
              <w:t>e able to serve as a basis for comparison and benchmarking, as well as for monitoring regional differences and inequalities</w:t>
            </w:r>
            <w:r>
              <w:rPr>
                <w:b w:val="0"/>
                <w:bCs w:val="0"/>
              </w:rPr>
              <w:t>.</w:t>
            </w:r>
          </w:p>
          <w:p w14:paraId="0F1EC922" w14:textId="3F3C4ABA" w:rsidR="005D577A" w:rsidRDefault="00693A78" w:rsidP="00A850C3">
            <w:pPr>
              <w:pStyle w:val="Summarytable"/>
              <w:numPr>
                <w:ilvl w:val="0"/>
                <w:numId w:val="38"/>
              </w:numPr>
              <w:spacing w:before="0" w:after="0"/>
              <w:ind w:left="567" w:right="108" w:hanging="283"/>
              <w:rPr>
                <w:b w:val="0"/>
                <w:bCs w:val="0"/>
              </w:rPr>
            </w:pPr>
            <w:r>
              <w:rPr>
                <w:b w:val="0"/>
                <w:bCs w:val="0"/>
              </w:rPr>
              <w:t>B</w:t>
            </w:r>
            <w:r w:rsidR="008658D9" w:rsidRPr="008658D9">
              <w:rPr>
                <w:b w:val="0"/>
                <w:bCs w:val="0"/>
              </w:rPr>
              <w:t>e regularly updated to reflect the latest research, data and methodology, which requires an iterative process to ensure the right indicators are reported</w:t>
            </w:r>
            <w:r>
              <w:rPr>
                <w:b w:val="0"/>
                <w:bCs w:val="0"/>
              </w:rPr>
              <w:t>.</w:t>
            </w:r>
          </w:p>
          <w:p w14:paraId="62B9D697" w14:textId="21832EA0" w:rsidR="00CD276C" w:rsidRDefault="00693A78" w:rsidP="00A850C3">
            <w:pPr>
              <w:pStyle w:val="Summarytable"/>
              <w:numPr>
                <w:ilvl w:val="0"/>
                <w:numId w:val="38"/>
              </w:numPr>
              <w:spacing w:before="0" w:after="0"/>
              <w:ind w:left="567" w:right="108" w:hanging="283"/>
              <w:rPr>
                <w:b w:val="0"/>
                <w:bCs w:val="0"/>
              </w:rPr>
            </w:pPr>
            <w:r>
              <w:rPr>
                <w:b w:val="0"/>
                <w:bCs w:val="0"/>
              </w:rPr>
              <w:t>B</w:t>
            </w:r>
            <w:r w:rsidR="009657DF" w:rsidRPr="008658D9">
              <w:rPr>
                <w:b w:val="0"/>
                <w:bCs w:val="0"/>
              </w:rPr>
              <w:t>e flexible enough to adapt to changing circumstances, such as technological advances and changing population and health needs</w:t>
            </w:r>
            <w:r>
              <w:rPr>
                <w:b w:val="0"/>
                <w:bCs w:val="0"/>
              </w:rPr>
              <w:t>.</w:t>
            </w:r>
          </w:p>
          <w:p w14:paraId="21B5B8BD" w14:textId="571F7E3A" w:rsidR="0057038A" w:rsidRDefault="00D17140" w:rsidP="00A850C3">
            <w:pPr>
              <w:pStyle w:val="Summarytable"/>
              <w:numPr>
                <w:ilvl w:val="0"/>
                <w:numId w:val="38"/>
              </w:numPr>
              <w:spacing w:before="0" w:after="0"/>
              <w:ind w:left="567" w:right="108" w:hanging="283"/>
              <w:rPr>
                <w:b w:val="0"/>
                <w:bCs w:val="0"/>
              </w:rPr>
            </w:pPr>
            <w:r>
              <w:rPr>
                <w:b w:val="0"/>
                <w:bCs w:val="0"/>
              </w:rPr>
              <w:t>Be i</w:t>
            </w:r>
            <w:r w:rsidR="00E33DA8" w:rsidRPr="0057038A">
              <w:rPr>
                <w:b w:val="0"/>
                <w:bCs w:val="0"/>
              </w:rPr>
              <w:t>mplemented in an objective, transparent, and consistent manner</w:t>
            </w:r>
            <w:r w:rsidR="00693A78">
              <w:rPr>
                <w:b w:val="0"/>
                <w:bCs w:val="0"/>
              </w:rPr>
              <w:t>.</w:t>
            </w:r>
          </w:p>
          <w:p w14:paraId="0A0F158F" w14:textId="7BC6C2C8" w:rsidR="001050C9" w:rsidRDefault="00693A78" w:rsidP="00A850C3">
            <w:pPr>
              <w:pStyle w:val="Summarytable"/>
              <w:numPr>
                <w:ilvl w:val="0"/>
                <w:numId w:val="38"/>
              </w:numPr>
              <w:spacing w:before="0"/>
              <w:ind w:left="567" w:right="108" w:hanging="283"/>
              <w:rPr>
                <w:b w:val="0"/>
                <w:bCs w:val="0"/>
              </w:rPr>
            </w:pPr>
            <w:r>
              <w:rPr>
                <w:b w:val="0"/>
                <w:bCs w:val="0"/>
              </w:rPr>
              <w:t>I</w:t>
            </w:r>
            <w:r w:rsidR="00E33DA8" w:rsidRPr="0057038A">
              <w:rPr>
                <w:b w:val="0"/>
                <w:bCs w:val="0"/>
              </w:rPr>
              <w:t xml:space="preserve">nclude quality assurance mechanisms, such as stakeholder review and consultation. </w:t>
            </w:r>
          </w:p>
          <w:p w14:paraId="524656B2" w14:textId="0EF5E2EB" w:rsidR="00EA4516" w:rsidRDefault="00352A76" w:rsidP="001050C9">
            <w:pPr>
              <w:pStyle w:val="Summarytable"/>
              <w:ind w:right="108"/>
              <w:rPr>
                <w:b w:val="0"/>
                <w:bCs w:val="0"/>
              </w:rPr>
            </w:pPr>
            <w:r w:rsidRPr="00352A76">
              <w:rPr>
                <w:b w:val="0"/>
                <w:bCs w:val="0"/>
              </w:rPr>
              <w:t>In 2021, the Ministry of Social Affairs of Estonia</w:t>
            </w:r>
            <w:r w:rsidR="004D1C67">
              <w:rPr>
                <w:b w:val="0"/>
                <w:bCs w:val="0"/>
              </w:rPr>
              <w:t>,</w:t>
            </w:r>
            <w:r w:rsidRPr="00352A76">
              <w:rPr>
                <w:b w:val="0"/>
                <w:bCs w:val="0"/>
              </w:rPr>
              <w:t xml:space="preserve"> </w:t>
            </w:r>
            <w:r w:rsidR="004D1C67" w:rsidRPr="004D1C67">
              <w:rPr>
                <w:b w:val="0"/>
                <w:bCs w:val="0"/>
              </w:rPr>
              <w:t xml:space="preserve">alongside </w:t>
            </w:r>
            <w:r w:rsidR="001E5FD6">
              <w:rPr>
                <w:b w:val="0"/>
                <w:bCs w:val="0"/>
              </w:rPr>
              <w:t xml:space="preserve">key </w:t>
            </w:r>
            <w:r w:rsidR="004D1C67" w:rsidRPr="004D1C67">
              <w:rPr>
                <w:b w:val="0"/>
                <w:bCs w:val="0"/>
              </w:rPr>
              <w:t>representatives within the Estonian health system, the OECD, and European Commission</w:t>
            </w:r>
            <w:r w:rsidR="004D1C67">
              <w:rPr>
                <w:b w:val="0"/>
                <w:bCs w:val="0"/>
              </w:rPr>
              <w:t>,</w:t>
            </w:r>
            <w:r w:rsidR="004D1C67" w:rsidRPr="004D1C67">
              <w:rPr>
                <w:b w:val="0"/>
                <w:bCs w:val="0"/>
              </w:rPr>
              <w:t xml:space="preserve"> </w:t>
            </w:r>
            <w:r w:rsidR="00DB7FE4">
              <w:rPr>
                <w:b w:val="0"/>
                <w:bCs w:val="0"/>
              </w:rPr>
              <w:t>embarked on a process</w:t>
            </w:r>
            <w:r w:rsidRPr="00352A76">
              <w:rPr>
                <w:b w:val="0"/>
                <w:bCs w:val="0"/>
              </w:rPr>
              <w:t xml:space="preserve"> of developing a national HSPA framework</w:t>
            </w:r>
            <w:r w:rsidR="004D1C67">
              <w:rPr>
                <w:b w:val="0"/>
                <w:bCs w:val="0"/>
              </w:rPr>
              <w:t xml:space="preserve">. </w:t>
            </w:r>
          </w:p>
          <w:p w14:paraId="32A500AD" w14:textId="4A092CD3" w:rsidR="00EA4516" w:rsidRDefault="00594DE8" w:rsidP="004053F3">
            <w:pPr>
              <w:pStyle w:val="Summarytable"/>
              <w:ind w:right="108"/>
              <w:rPr>
                <w:b w:val="0"/>
                <w:bCs w:val="0"/>
              </w:rPr>
            </w:pPr>
            <w:r w:rsidRPr="00EA4516">
              <w:rPr>
                <w:b w:val="0"/>
                <w:bCs w:val="0"/>
              </w:rPr>
              <w:t>The Estonian HSPA framework is composed of 18 domains grouped into 5 areas of health status, outcomes, processes, structures, and cross-cutting themes. The framework highlights the main policy direction of the Estonian health system to become more person</w:t>
            </w:r>
            <w:r w:rsidR="00D25C46" w:rsidRPr="00EA4516">
              <w:rPr>
                <w:b w:val="0"/>
                <w:bCs w:val="0"/>
              </w:rPr>
              <w:t>-</w:t>
            </w:r>
            <w:r w:rsidRPr="00EA4516">
              <w:rPr>
                <w:b w:val="0"/>
                <w:bCs w:val="0"/>
              </w:rPr>
              <w:t>centred, and embeds equity, efficiency, and resilience into all domains.</w:t>
            </w:r>
            <w:r w:rsidR="009848CC">
              <w:rPr>
                <w:noProof/>
              </w:rPr>
              <w:t xml:space="preserve"> </w:t>
            </w:r>
          </w:p>
          <w:p w14:paraId="737E5DD9" w14:textId="77777777" w:rsidR="00993BB6" w:rsidRDefault="00993BB6" w:rsidP="004053F3">
            <w:pPr>
              <w:pStyle w:val="Summarytable"/>
              <w:ind w:right="108"/>
              <w:rPr>
                <w:b w:val="0"/>
                <w:bCs w:val="0"/>
              </w:rPr>
            </w:pPr>
            <w:r w:rsidRPr="00993BB6">
              <w:rPr>
                <w:b w:val="0"/>
                <w:bCs w:val="0"/>
              </w:rPr>
              <w:t>The selection process of indicators assessed both their fitness-for-use (data availability and readiness), and fitness-for-purpose (relevance for policy priorities and for HSPA purpose), along with their benchmarking possibilities for international and regional comparison</w:t>
            </w:r>
            <w:r>
              <w:rPr>
                <w:b w:val="0"/>
                <w:bCs w:val="0"/>
              </w:rPr>
              <w:t>.</w:t>
            </w:r>
          </w:p>
          <w:p w14:paraId="531E11B5" w14:textId="26523F4A" w:rsidR="00280258" w:rsidRPr="00993BB6" w:rsidRDefault="00D77A6A" w:rsidP="00955F02">
            <w:pPr>
              <w:pStyle w:val="Summarytable"/>
              <w:ind w:right="108"/>
              <w:rPr>
                <w:b w:val="0"/>
                <w:bCs w:val="0"/>
              </w:rPr>
            </w:pPr>
            <w:r w:rsidRPr="00D77A6A">
              <w:rPr>
                <w:b w:val="0"/>
                <w:bCs w:val="0"/>
              </w:rPr>
              <w:t>The implementation and daily use of HSPA will be facilitated by a three-part governance structure, with clearly assigned roles and responsibilities to the key organisations. The HSPA Advisory Board involves main health system stakeholders and is tasked with the overall oversight and HSPA stewardship role. The Co-ordination Board, led by the Ministry of Social Affairs,</w:t>
            </w:r>
            <w:r w:rsidR="00280258">
              <w:rPr>
                <w:b w:val="0"/>
                <w:bCs w:val="0"/>
              </w:rPr>
              <w:t xml:space="preserve"> </w:t>
            </w:r>
            <w:r w:rsidRPr="00D77A6A">
              <w:rPr>
                <w:b w:val="0"/>
                <w:bCs w:val="0"/>
              </w:rPr>
              <w:t>will be complemented by Task Force, led by the National Institute for Health Development</w:t>
            </w:r>
            <w:r w:rsidR="00280258">
              <w:rPr>
                <w:b w:val="0"/>
                <w:bCs w:val="0"/>
              </w:rPr>
              <w:t>.</w:t>
            </w:r>
          </w:p>
        </w:tc>
      </w:tr>
    </w:tbl>
    <w:p w14:paraId="1659333A" w14:textId="77777777" w:rsidR="00A470EE" w:rsidRPr="005D3AD3" w:rsidRDefault="00A470EE" w:rsidP="0086208D">
      <w:pPr>
        <w:rPr>
          <w:highlight w:val="yellow"/>
        </w:rPr>
      </w:pPr>
    </w:p>
    <w:tbl>
      <w:tblPr>
        <w:tblStyle w:val="TableGrid"/>
        <w:tblW w:w="0" w:type="auto"/>
        <w:shd w:val="clear" w:color="auto" w:fill="F2F2F2" w:themeFill="background1" w:themeFillShade="F2"/>
        <w:tblLook w:val="04A0" w:firstRow="1" w:lastRow="0" w:firstColumn="1" w:lastColumn="0" w:noHBand="0" w:noVBand="1"/>
      </w:tblPr>
      <w:tblGrid>
        <w:gridCol w:w="10466"/>
      </w:tblGrid>
      <w:tr w:rsidR="00DA78C8" w14:paraId="294EB54C" w14:textId="77777777">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tcPr>
          <w:p w14:paraId="0E1EC0EC" w14:textId="595361D4" w:rsidR="00DA78C8" w:rsidRPr="002719AC" w:rsidRDefault="00DA78C8">
            <w:pPr>
              <w:pStyle w:val="Summarytable"/>
              <w:rPr>
                <w:b w:val="0"/>
                <w:bCs w:val="0"/>
              </w:rPr>
            </w:pPr>
            <w:r>
              <w:rPr>
                <w:noProof/>
                <w:color w:val="0097A9" w:themeColor="accent5"/>
              </w:rPr>
              <w:drawing>
                <wp:inline distT="0" distB="0" distL="0" distR="0" wp14:anchorId="21647395" wp14:editId="4FCC3829">
                  <wp:extent cx="270000" cy="270000"/>
                  <wp:effectExtent l="0" t="0" r="0" b="0"/>
                  <wp:docPr id="51" name="Graphic 51" descr="P2424C1T12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1" descr="P2424C1T127#yIS1">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70000" cy="270000"/>
                          </a:xfrm>
                          <a:prstGeom prst="rect">
                            <a:avLst/>
                          </a:prstGeom>
                        </pic:spPr>
                      </pic:pic>
                    </a:graphicData>
                  </a:graphic>
                </wp:inline>
              </w:drawing>
            </w:r>
            <w:r w:rsidR="000754C1">
              <w:rPr>
                <w:color w:val="00707E" w:themeColor="accent5" w:themeShade="BF"/>
              </w:rPr>
              <w:t>Recommendation</w:t>
            </w:r>
            <w:r>
              <w:rPr>
                <w:color w:val="00707E" w:themeColor="accent5" w:themeShade="BF"/>
              </w:rPr>
              <w:t xml:space="preserve"> </w:t>
            </w:r>
            <w:r w:rsidR="00377E4E">
              <w:rPr>
                <w:color w:val="00707E" w:themeColor="accent5" w:themeShade="BF"/>
              </w:rPr>
              <w:t>4</w:t>
            </w:r>
            <w:r w:rsidR="004076CE">
              <w:rPr>
                <w:color w:val="00707E" w:themeColor="accent5" w:themeShade="BF"/>
              </w:rPr>
              <w:t>3</w:t>
            </w:r>
            <w:r w:rsidRPr="00BB2C81">
              <w:rPr>
                <w:color w:val="00707E" w:themeColor="accent5" w:themeShade="BF"/>
              </w:rPr>
              <w:t xml:space="preserve">: </w:t>
            </w:r>
            <w:r w:rsidRPr="002719AC">
              <w:rPr>
                <w:b w:val="0"/>
                <w:bCs w:val="0"/>
              </w:rPr>
              <w:t xml:space="preserve">The </w:t>
            </w:r>
            <w:r w:rsidR="00E7667E">
              <w:t>h</w:t>
            </w:r>
            <w:r w:rsidR="00937A52" w:rsidRPr="00937A52">
              <w:t xml:space="preserve">ealth </w:t>
            </w:r>
            <w:r w:rsidR="00E7667E">
              <w:t>s</w:t>
            </w:r>
            <w:r w:rsidR="00937A52" w:rsidRPr="00937A52">
              <w:t>ystem</w:t>
            </w:r>
            <w:r w:rsidR="00937A52">
              <w:rPr>
                <w:b w:val="0"/>
                <w:bCs w:val="0"/>
              </w:rPr>
              <w:t xml:space="preserve"> </w:t>
            </w:r>
            <w:r w:rsidR="00E7667E" w:rsidRPr="00E7667E">
              <w:t>p</w:t>
            </w:r>
            <w:r w:rsidRPr="004035D0">
              <w:t xml:space="preserve">erformance </w:t>
            </w:r>
            <w:r w:rsidR="00E7667E">
              <w:t>f</w:t>
            </w:r>
            <w:r w:rsidRPr="004035D0">
              <w:t>ramework should be accompanied with a</w:t>
            </w:r>
            <w:r w:rsidRPr="002719AC">
              <w:rPr>
                <w:b w:val="0"/>
                <w:bCs w:val="0"/>
              </w:rPr>
              <w:t xml:space="preserve"> </w:t>
            </w:r>
            <w:r w:rsidRPr="00E11653">
              <w:t>shared commitment</w:t>
            </w:r>
            <w:r w:rsidRPr="002719AC">
              <w:rPr>
                <w:b w:val="0"/>
                <w:bCs w:val="0"/>
              </w:rPr>
              <w:t xml:space="preserve"> to:</w:t>
            </w:r>
          </w:p>
          <w:p w14:paraId="715033CA" w14:textId="0D51E252" w:rsidR="00BA0EAA" w:rsidRDefault="00BA0EAA" w:rsidP="00CA5F7A">
            <w:pPr>
              <w:pStyle w:val="Summarytable"/>
              <w:numPr>
                <w:ilvl w:val="1"/>
                <w:numId w:val="25"/>
              </w:numPr>
              <w:ind w:left="567" w:hanging="284"/>
              <w:rPr>
                <w:b w:val="0"/>
                <w:bCs w:val="0"/>
              </w:rPr>
            </w:pPr>
            <w:r w:rsidRPr="002719AC">
              <w:rPr>
                <w:b w:val="0"/>
                <w:bCs w:val="0"/>
              </w:rPr>
              <w:t xml:space="preserve">Being developed </w:t>
            </w:r>
            <w:r w:rsidR="00BD483D">
              <w:rPr>
                <w:b w:val="0"/>
                <w:bCs w:val="0"/>
              </w:rPr>
              <w:t xml:space="preserve">as an </w:t>
            </w:r>
            <w:r w:rsidR="00BD483D" w:rsidRPr="00F95F8D">
              <w:t>immediate priority</w:t>
            </w:r>
            <w:r w:rsidR="00BD483D">
              <w:rPr>
                <w:b w:val="0"/>
                <w:bCs w:val="0"/>
              </w:rPr>
              <w:t xml:space="preserve">, </w:t>
            </w:r>
            <w:r w:rsidR="00A71730">
              <w:rPr>
                <w:b w:val="0"/>
                <w:bCs w:val="0"/>
              </w:rPr>
              <w:t xml:space="preserve">in order </w:t>
            </w:r>
            <w:r w:rsidR="00CB26A3">
              <w:rPr>
                <w:b w:val="0"/>
                <w:bCs w:val="0"/>
              </w:rPr>
              <w:t xml:space="preserve">to take effect from the start of a new </w:t>
            </w:r>
            <w:r w:rsidR="00BD483D">
              <w:rPr>
                <w:b w:val="0"/>
                <w:bCs w:val="0"/>
              </w:rPr>
              <w:t>Agreement</w:t>
            </w:r>
            <w:r w:rsidR="00A71730">
              <w:rPr>
                <w:b w:val="0"/>
                <w:bCs w:val="0"/>
              </w:rPr>
              <w:t xml:space="preserve">, with an agreed </w:t>
            </w:r>
            <w:r w:rsidR="00BC017B">
              <w:rPr>
                <w:b w:val="0"/>
                <w:bCs w:val="0"/>
              </w:rPr>
              <w:t>timeframe</w:t>
            </w:r>
            <w:r w:rsidR="00A71730">
              <w:rPr>
                <w:b w:val="0"/>
                <w:bCs w:val="0"/>
              </w:rPr>
              <w:t xml:space="preserve"> to </w:t>
            </w:r>
            <w:r w:rsidR="00031F5C">
              <w:rPr>
                <w:b w:val="0"/>
                <w:bCs w:val="0"/>
              </w:rPr>
              <w:t>move to</w:t>
            </w:r>
            <w:r w:rsidRPr="002719AC">
              <w:rPr>
                <w:b w:val="0"/>
                <w:bCs w:val="0"/>
              </w:rPr>
              <w:t xml:space="preserve"> nationally consistent measurement and reporting</w:t>
            </w:r>
            <w:r w:rsidR="00BC017B">
              <w:rPr>
                <w:b w:val="0"/>
                <w:bCs w:val="0"/>
              </w:rPr>
              <w:t xml:space="preserve"> as soon as possible.</w:t>
            </w:r>
          </w:p>
          <w:p w14:paraId="2601ACCB" w14:textId="2F3E4200" w:rsidR="00DA78C8" w:rsidRPr="002719AC" w:rsidRDefault="00DA78C8" w:rsidP="00CA5F7A">
            <w:pPr>
              <w:pStyle w:val="Summarytable"/>
              <w:numPr>
                <w:ilvl w:val="1"/>
                <w:numId w:val="25"/>
              </w:numPr>
              <w:ind w:left="567" w:hanging="284"/>
              <w:rPr>
                <w:b w:val="0"/>
                <w:bCs w:val="0"/>
              </w:rPr>
            </w:pPr>
            <w:r>
              <w:rPr>
                <w:b w:val="0"/>
                <w:bCs w:val="0"/>
              </w:rPr>
              <w:t>I</w:t>
            </w:r>
            <w:r w:rsidRPr="002719AC">
              <w:rPr>
                <w:b w:val="0"/>
                <w:bCs w:val="0"/>
              </w:rPr>
              <w:t xml:space="preserve">nclude indicators </w:t>
            </w:r>
            <w:r w:rsidR="00BA0EAA">
              <w:rPr>
                <w:b w:val="0"/>
                <w:bCs w:val="0"/>
              </w:rPr>
              <w:t>that focus not only</w:t>
            </w:r>
            <w:r w:rsidRPr="002719AC">
              <w:rPr>
                <w:b w:val="0"/>
                <w:bCs w:val="0"/>
              </w:rPr>
              <w:t xml:space="preserve"> on </w:t>
            </w:r>
            <w:r w:rsidR="00BA0EAA">
              <w:rPr>
                <w:b w:val="0"/>
                <w:bCs w:val="0"/>
              </w:rPr>
              <w:t>quantitative and qualitative performance</w:t>
            </w:r>
            <w:r w:rsidRPr="002719AC">
              <w:rPr>
                <w:b w:val="0"/>
                <w:bCs w:val="0"/>
              </w:rPr>
              <w:t xml:space="preserve"> of public hospitals</w:t>
            </w:r>
            <w:r w:rsidR="00BA0EAA">
              <w:rPr>
                <w:b w:val="0"/>
                <w:bCs w:val="0"/>
              </w:rPr>
              <w:t>,</w:t>
            </w:r>
            <w:r w:rsidRPr="002719AC">
              <w:rPr>
                <w:b w:val="0"/>
                <w:bCs w:val="0"/>
              </w:rPr>
              <w:t xml:space="preserve"> but also </w:t>
            </w:r>
            <w:r w:rsidR="00BA0EAA">
              <w:rPr>
                <w:b w:val="0"/>
                <w:bCs w:val="0"/>
              </w:rPr>
              <w:t xml:space="preserve">on </w:t>
            </w:r>
            <w:r w:rsidR="00CC73DB">
              <w:rPr>
                <w:b w:val="0"/>
                <w:bCs w:val="0"/>
              </w:rPr>
              <w:t xml:space="preserve">the outcomes that are achieved, </w:t>
            </w:r>
            <w:r w:rsidR="00BA0EAA">
              <w:rPr>
                <w:b w:val="0"/>
                <w:bCs w:val="0"/>
              </w:rPr>
              <w:t xml:space="preserve">the interface with </w:t>
            </w:r>
            <w:r w:rsidRPr="002719AC">
              <w:rPr>
                <w:b w:val="0"/>
                <w:bCs w:val="0"/>
              </w:rPr>
              <w:t xml:space="preserve">the </w:t>
            </w:r>
            <w:r w:rsidR="00BA0EAA">
              <w:rPr>
                <w:b w:val="0"/>
                <w:bCs w:val="0"/>
              </w:rPr>
              <w:t>broader health system</w:t>
            </w:r>
            <w:r w:rsidRPr="002719AC">
              <w:rPr>
                <w:b w:val="0"/>
                <w:bCs w:val="0"/>
              </w:rPr>
              <w:t xml:space="preserve"> such as </w:t>
            </w:r>
            <w:r w:rsidR="00A517A0">
              <w:rPr>
                <w:b w:val="0"/>
                <w:bCs w:val="0"/>
              </w:rPr>
              <w:t xml:space="preserve">prevention/health promotion, </w:t>
            </w:r>
            <w:r w:rsidRPr="002719AC">
              <w:rPr>
                <w:b w:val="0"/>
                <w:bCs w:val="0"/>
              </w:rPr>
              <w:t xml:space="preserve">primary care </w:t>
            </w:r>
            <w:r w:rsidR="00BA0EAA">
              <w:rPr>
                <w:b w:val="0"/>
                <w:bCs w:val="0"/>
              </w:rPr>
              <w:t>access</w:t>
            </w:r>
            <w:r w:rsidRPr="002719AC">
              <w:rPr>
                <w:b w:val="0"/>
                <w:bCs w:val="0"/>
              </w:rPr>
              <w:t xml:space="preserve">, aged care </w:t>
            </w:r>
            <w:r w:rsidR="00BA0EAA">
              <w:rPr>
                <w:b w:val="0"/>
                <w:bCs w:val="0"/>
              </w:rPr>
              <w:t>transition</w:t>
            </w:r>
            <w:r w:rsidRPr="002719AC">
              <w:rPr>
                <w:b w:val="0"/>
                <w:bCs w:val="0"/>
              </w:rPr>
              <w:t xml:space="preserve">, disability support </w:t>
            </w:r>
            <w:r w:rsidR="00BA0EAA">
              <w:rPr>
                <w:b w:val="0"/>
                <w:bCs w:val="0"/>
              </w:rPr>
              <w:t>transition</w:t>
            </w:r>
            <w:r w:rsidRPr="002719AC">
              <w:rPr>
                <w:b w:val="0"/>
                <w:bCs w:val="0"/>
              </w:rPr>
              <w:t>, Closing the Gap indicators</w:t>
            </w:r>
            <w:r w:rsidR="00BA0EAA">
              <w:rPr>
                <w:b w:val="0"/>
                <w:bCs w:val="0"/>
              </w:rPr>
              <w:t>, rural and remote access, and adequacy and distribution of the health workforce</w:t>
            </w:r>
            <w:r w:rsidR="00B406E6">
              <w:rPr>
                <w:b w:val="0"/>
                <w:bCs w:val="0"/>
              </w:rPr>
              <w:t xml:space="preserve"> </w:t>
            </w:r>
            <w:r w:rsidR="00B406E6" w:rsidRPr="00B406E6">
              <w:rPr>
                <w:b w:val="0"/>
                <w:bCs w:val="0"/>
              </w:rPr>
              <w:t xml:space="preserve">as well as patient </w:t>
            </w:r>
            <w:r w:rsidR="00B406E6" w:rsidRPr="00CC73DB">
              <w:rPr>
                <w:b w:val="0"/>
                <w:bCs w:val="0"/>
              </w:rPr>
              <w:t>experience and reported outcome measures</w:t>
            </w:r>
            <w:r w:rsidRPr="00CC73DB">
              <w:rPr>
                <w:b w:val="0"/>
                <w:bCs w:val="0"/>
              </w:rPr>
              <w:t>.</w:t>
            </w:r>
          </w:p>
        </w:tc>
      </w:tr>
    </w:tbl>
    <w:p w14:paraId="5BCD50A1" w14:textId="12D1581D" w:rsidR="00663A58" w:rsidRDefault="00663A58" w:rsidP="007B2DE3"/>
    <w:p w14:paraId="257823E9" w14:textId="2C40305B" w:rsidR="00917CE6" w:rsidRPr="00917CE6" w:rsidRDefault="00917CE6" w:rsidP="00DA7949">
      <w:pPr>
        <w:keepNext/>
        <w:pageBreakBefore/>
        <w:rPr>
          <w:b/>
          <w:bCs/>
          <w:noProof/>
        </w:rPr>
      </w:pPr>
      <w:r w:rsidRPr="00917CE6">
        <w:rPr>
          <w:b/>
          <w:bCs/>
          <w:noProof/>
        </w:rPr>
        <w:t>NHRA MTR and NHRA Interim Quantitative Performance Framework Data Placemat</w:t>
      </w:r>
      <w:r>
        <w:rPr>
          <w:b/>
          <w:bCs/>
          <w:noProof/>
        </w:rPr>
        <w:t xml:space="preserve"> </w:t>
      </w:r>
      <w:r w:rsidR="006345E7">
        <w:rPr>
          <w:b/>
          <w:bCs/>
          <w:noProof/>
        </w:rPr>
        <w:t>(double-sided)</w:t>
      </w:r>
    </w:p>
    <w:p w14:paraId="74D29375" w14:textId="6A95ED1A" w:rsidR="00917CE6" w:rsidRDefault="00B22C6B" w:rsidP="00B22C6B">
      <w:r w:rsidRPr="00B22C6B">
        <w:rPr>
          <w:noProof/>
        </w:rPr>
        <w:drawing>
          <wp:inline distT="0" distB="0" distL="0" distR="0" wp14:anchorId="14B5E673" wp14:editId="6645A58C">
            <wp:extent cx="6181725" cy="4374340"/>
            <wp:effectExtent l="0" t="0" r="0" b="7620"/>
            <wp:docPr id="21" name="Picture 21" descr="P24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2430#yIS1"/>
                    <pic:cNvPicPr/>
                  </pic:nvPicPr>
                  <pic:blipFill>
                    <a:blip r:embed="rId107"/>
                    <a:stretch>
                      <a:fillRect/>
                    </a:stretch>
                  </pic:blipFill>
                  <pic:spPr>
                    <a:xfrm>
                      <a:off x="0" y="0"/>
                      <a:ext cx="6198455" cy="4386178"/>
                    </a:xfrm>
                    <a:prstGeom prst="rect">
                      <a:avLst/>
                    </a:prstGeom>
                  </pic:spPr>
                </pic:pic>
              </a:graphicData>
            </a:graphic>
          </wp:inline>
        </w:drawing>
      </w:r>
    </w:p>
    <w:p w14:paraId="305830DC" w14:textId="63460C83" w:rsidR="004B7A52" w:rsidRDefault="00B22C6B" w:rsidP="00B22C6B">
      <w:pPr>
        <w:spacing w:after="0"/>
      </w:pPr>
      <w:r>
        <w:rPr>
          <w:noProof/>
        </w:rPr>
        <w:drawing>
          <wp:inline distT="0" distB="0" distL="0" distR="0" wp14:anchorId="115AF69A" wp14:editId="406148D0">
            <wp:extent cx="6181725" cy="4405055"/>
            <wp:effectExtent l="0" t="0" r="0" b="0"/>
            <wp:docPr id="25" name="Picture 25" descr="P24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2431#yIS1"/>
                    <pic:cNvPicPr/>
                  </pic:nvPicPr>
                  <pic:blipFill>
                    <a:blip r:embed="rId108"/>
                    <a:stretch>
                      <a:fillRect/>
                    </a:stretch>
                  </pic:blipFill>
                  <pic:spPr>
                    <a:xfrm>
                      <a:off x="0" y="0"/>
                      <a:ext cx="6192503" cy="4412735"/>
                    </a:xfrm>
                    <a:prstGeom prst="rect">
                      <a:avLst/>
                    </a:prstGeom>
                  </pic:spPr>
                </pic:pic>
              </a:graphicData>
            </a:graphic>
          </wp:inline>
        </w:drawing>
      </w:r>
    </w:p>
    <w:p w14:paraId="7A5FB944" w14:textId="330D760D" w:rsidR="00286B0D" w:rsidRDefault="005F7FF4" w:rsidP="00C2024B">
      <w:pPr>
        <w:pStyle w:val="Caption"/>
      </w:pPr>
      <w:bookmarkStart w:id="337" w:name="_Ref142993234"/>
      <w:bookmarkStart w:id="338" w:name="_Ref143684611"/>
      <w:bookmarkStart w:id="339" w:name="_Toc148968416"/>
      <w:r>
        <w:t xml:space="preserve">Figure </w:t>
      </w:r>
      <w:bookmarkEnd w:id="337"/>
      <w:r w:rsidR="00765452">
        <w:fldChar w:fldCharType="begin"/>
      </w:r>
      <w:r w:rsidR="00765452">
        <w:instrText xml:space="preserve"> SEQ Figure \* ARABIC </w:instrText>
      </w:r>
      <w:r w:rsidR="00765452">
        <w:fldChar w:fldCharType="separate"/>
      </w:r>
      <w:r w:rsidR="003F5D51">
        <w:rPr>
          <w:noProof/>
        </w:rPr>
        <w:t>38</w:t>
      </w:r>
      <w:r w:rsidR="00765452">
        <w:fldChar w:fldCharType="end"/>
      </w:r>
      <w:bookmarkEnd w:id="338"/>
      <w:r>
        <w:t xml:space="preserve">: </w:t>
      </w:r>
      <w:r w:rsidR="00830E6C" w:rsidRPr="00830E6C">
        <w:t>NHRA Interim Quantitative Performance Framework</w:t>
      </w:r>
      <w:r w:rsidR="00830E6C">
        <w:t xml:space="preserve"> Data Placemat</w:t>
      </w:r>
      <w:bookmarkEnd w:id="339"/>
      <w:r w:rsidR="00830E6C">
        <w:t xml:space="preserve"> </w:t>
      </w:r>
      <w:r w:rsidR="00286B0D">
        <w:br w:type="page"/>
      </w:r>
    </w:p>
    <w:p w14:paraId="25993D4B" w14:textId="49B7981D" w:rsidR="003A16BC" w:rsidRDefault="00941C34" w:rsidP="003A16BC">
      <w:pPr>
        <w:pStyle w:val="Heading2"/>
      </w:pPr>
      <w:bookmarkStart w:id="340" w:name="_Toc143291701"/>
      <w:bookmarkStart w:id="341" w:name="_Ref143602428"/>
      <w:bookmarkStart w:id="342" w:name="_Ref144209356"/>
      <w:bookmarkStart w:id="343" w:name="_Ref146024775"/>
      <w:r>
        <w:rPr>
          <w:noProof/>
        </w:rPr>
        <w:drawing>
          <wp:anchor distT="0" distB="0" distL="114300" distR="114300" simplePos="0" relativeHeight="251691008" behindDoc="0" locked="0" layoutInCell="1" allowOverlap="1" wp14:anchorId="09DFA503" wp14:editId="07251D2A">
            <wp:simplePos x="0" y="0"/>
            <wp:positionH relativeFrom="column">
              <wp:posOffset>5955858</wp:posOffset>
            </wp:positionH>
            <wp:positionV relativeFrom="paragraph">
              <wp:posOffset>193</wp:posOffset>
            </wp:positionV>
            <wp:extent cx="681355" cy="805815"/>
            <wp:effectExtent l="0" t="0" r="4445" b="0"/>
            <wp:wrapSquare wrapText="bothSides"/>
            <wp:docPr id="8" name="Picture 8" descr="P243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2433#y1">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681355" cy="805815"/>
                    </a:xfrm>
                    <a:prstGeom prst="rect">
                      <a:avLst/>
                    </a:prstGeom>
                  </pic:spPr>
                </pic:pic>
              </a:graphicData>
            </a:graphic>
            <wp14:sizeRelH relativeFrom="page">
              <wp14:pctWidth>0</wp14:pctWidth>
            </wp14:sizeRelH>
            <wp14:sizeRelV relativeFrom="page">
              <wp14:pctHeight>0</wp14:pctHeight>
            </wp14:sizeRelV>
          </wp:anchor>
        </w:drawing>
      </w:r>
      <w:r w:rsidR="003A16BC">
        <w:t>Learning from COVID-19 and preparing for future events</w:t>
      </w:r>
      <w:bookmarkEnd w:id="340"/>
      <w:bookmarkEnd w:id="341"/>
      <w:bookmarkEnd w:id="342"/>
      <w:bookmarkEnd w:id="343"/>
    </w:p>
    <w:p w14:paraId="437C0D40" w14:textId="77777777" w:rsidR="00564076" w:rsidRDefault="00A327F4" w:rsidP="00A327F4">
      <w:r>
        <w:t xml:space="preserve">The </w:t>
      </w:r>
      <w:r w:rsidRPr="004D6E11">
        <w:t xml:space="preserve">COVID-19 </w:t>
      </w:r>
      <w:r>
        <w:t xml:space="preserve">pandemic </w:t>
      </w:r>
      <w:r w:rsidRPr="004D6E11">
        <w:t>highlighted a lack of flexibility and agility in the NHRA to manage major disruptions to the health system</w:t>
      </w:r>
      <w:r>
        <w:t xml:space="preserve">, requiring bespoke arrangements to be put in place. </w:t>
      </w:r>
      <w:r w:rsidR="00564076">
        <w:t xml:space="preserve">That said, these arrangements were put in place quickly at the start of the pandemic and supported the continued operation of the health system during that period. </w:t>
      </w:r>
    </w:p>
    <w:p w14:paraId="7E191CB4" w14:textId="68A0FC06" w:rsidR="00A327F4" w:rsidRDefault="00A327F4" w:rsidP="00A327F4">
      <w:r>
        <w:t>The pandemic significantly increased</w:t>
      </w:r>
      <w:r w:rsidRPr="004D6E11">
        <w:t xml:space="preserve"> volatility in public hospital activity </w:t>
      </w:r>
      <w:r>
        <w:t xml:space="preserve">attributed to the direct effects of COVID-19 on healthcare demand, the need to maintain standby capability for COVID-19 cases, and workforce limitations caused by staff being furloughed. </w:t>
      </w:r>
      <w:r w:rsidR="005C2A9B">
        <w:t>T</w:t>
      </w:r>
      <w:r>
        <w:t xml:space="preserve">he average daily ED presentations categorised as resuscitation, urgent, and emergency </w:t>
      </w:r>
      <w:r w:rsidR="00DB6B57">
        <w:t>have slightly</w:t>
      </w:r>
      <w:r w:rsidR="00497921">
        <w:t xml:space="preserve"> </w:t>
      </w:r>
      <w:r>
        <w:t>increased since 2019-20</w:t>
      </w:r>
      <w:r w:rsidR="003F5D51">
        <w:rPr>
          <w:rFonts w:ascii="ZWAdobeF" w:hAnsi="ZWAdobeF" w:cs="ZWAdobeF"/>
          <w:sz w:val="2"/>
          <w:szCs w:val="2"/>
        </w:rPr>
        <w:t>172F</w:t>
      </w:r>
      <w:r>
        <w:rPr>
          <w:rStyle w:val="FootnoteReference"/>
        </w:rPr>
        <w:footnoteReference w:id="174"/>
      </w:r>
      <w:r>
        <w:t xml:space="preserve">, and there are </w:t>
      </w:r>
      <w:r w:rsidR="002C717F">
        <w:t xml:space="preserve">reported </w:t>
      </w:r>
      <w:r w:rsidRPr="004D6E11">
        <w:t>backlogs in elective surgery</w:t>
      </w:r>
      <w:r w:rsidR="003F5D51">
        <w:rPr>
          <w:rFonts w:ascii="ZWAdobeF" w:hAnsi="ZWAdobeF" w:cs="ZWAdobeF"/>
          <w:sz w:val="2"/>
          <w:szCs w:val="2"/>
        </w:rPr>
        <w:t>173F</w:t>
      </w:r>
      <w:r>
        <w:rPr>
          <w:rStyle w:val="FootnoteReference"/>
        </w:rPr>
        <w:footnoteReference w:id="175"/>
      </w:r>
      <w:r w:rsidRPr="004D6E11">
        <w:t xml:space="preserve"> and specialist outpatient service</w:t>
      </w:r>
      <w:r>
        <w:t>s</w:t>
      </w:r>
      <w:r w:rsidR="0083131D">
        <w:t xml:space="preserve">, though </w:t>
      </w:r>
      <w:r w:rsidR="00FB6411">
        <w:t>underlying</w:t>
      </w:r>
      <w:r w:rsidR="00060835">
        <w:t xml:space="preserve"> volatility in the data </w:t>
      </w:r>
      <w:r w:rsidR="00FB6411">
        <w:t xml:space="preserve">during the periods of COVID-19 lockdowns </w:t>
      </w:r>
      <w:r w:rsidR="00060835">
        <w:t xml:space="preserve">makes it hard to identify </w:t>
      </w:r>
      <w:r w:rsidR="00FB6411">
        <w:t>long-term trends</w:t>
      </w:r>
      <w:r w:rsidRPr="004D6E11">
        <w:t>.</w:t>
      </w:r>
      <w:r>
        <w:t xml:space="preserve"> </w:t>
      </w:r>
      <w:r w:rsidRPr="004D6E11">
        <w:t xml:space="preserve"> </w:t>
      </w:r>
    </w:p>
    <w:p w14:paraId="246F2D9D" w14:textId="000B96FE" w:rsidR="00A327F4" w:rsidRDefault="00236795" w:rsidP="00A327F4">
      <w:r>
        <w:t xml:space="preserve">As noted, the </w:t>
      </w:r>
      <w:r w:rsidR="00A327F4">
        <w:t xml:space="preserve">NHRA could not adapt easily to the change in the volume and nature of public hospital activity related to COVID-19 </w:t>
      </w:r>
      <w:r w:rsidR="00EE3228">
        <w:t xml:space="preserve">and required </w:t>
      </w:r>
      <w:r w:rsidR="00A327F4">
        <w:t>separate agreements</w:t>
      </w:r>
      <w:r w:rsidR="00EE3228">
        <w:t xml:space="preserve"> to be put in place</w:t>
      </w:r>
      <w:r>
        <w:t>.</w:t>
      </w:r>
      <w:r w:rsidR="00A327F4">
        <w:t xml:space="preserve"> In particular, the current base plus growth model</w:t>
      </w:r>
      <w:r w:rsidR="00A327F4" w:rsidRPr="00EA7226">
        <w:t xml:space="preserve"> </w:t>
      </w:r>
      <w:r w:rsidR="00A327F4">
        <w:t xml:space="preserve">is not sufficiently responsive to accommodate periods of rapid volatility in the system. </w:t>
      </w:r>
      <w:r w:rsidR="00243213">
        <w:t>The three-year lag in cost data underpinning the NEP and NEC mean</w:t>
      </w:r>
      <w:r w:rsidR="004821D7">
        <w:t>s</w:t>
      </w:r>
      <w:r w:rsidR="00243213">
        <w:t xml:space="preserve"> that </w:t>
      </w:r>
      <w:r w:rsidR="00204BAE">
        <w:t xml:space="preserve">real-time cost increases related to </w:t>
      </w:r>
      <w:r w:rsidR="00243213">
        <w:t xml:space="preserve">COVID-19, inflationary pressure, </w:t>
      </w:r>
      <w:r w:rsidR="00204BAE">
        <w:t xml:space="preserve">supply chain costs </w:t>
      </w:r>
      <w:r w:rsidR="00243213">
        <w:t>and wage</w:t>
      </w:r>
      <w:r w:rsidR="00E72F85">
        <w:t>s</w:t>
      </w:r>
      <w:r w:rsidR="00243213">
        <w:t xml:space="preserve"> growth</w:t>
      </w:r>
      <w:r w:rsidR="006F5C5F">
        <w:t>,</w:t>
      </w:r>
      <w:r w:rsidR="00204BAE">
        <w:t xml:space="preserve"> </w:t>
      </w:r>
      <w:r w:rsidR="004821D7">
        <w:t>are</w:t>
      </w:r>
      <w:r w:rsidR="00243213">
        <w:t xml:space="preserve"> not reflected </w:t>
      </w:r>
      <w:r w:rsidR="001730D1">
        <w:t xml:space="preserve">for some time </w:t>
      </w:r>
      <w:r w:rsidR="00243213">
        <w:t>in the price/funding provided through the NHRA</w:t>
      </w:r>
      <w:r w:rsidR="006F5C5F">
        <w:t xml:space="preserve">, putting </w:t>
      </w:r>
      <w:r w:rsidR="00A327F4">
        <w:t xml:space="preserve">significant pressure on State and Territory budgets. </w:t>
      </w:r>
      <w:r w:rsidR="00A327F4" w:rsidRPr="003D0B49">
        <w:t xml:space="preserve">Section </w:t>
      </w:r>
      <w:r w:rsidR="00BF3E90" w:rsidRPr="003D0B49">
        <w:fldChar w:fldCharType="begin" w:fldLock="1"/>
      </w:r>
      <w:r w:rsidR="00BF3E90" w:rsidRPr="003D0B49">
        <w:instrText xml:space="preserve"> REF _Ref145603522 \w \h </w:instrText>
      </w:r>
      <w:r w:rsidR="003D0B49">
        <w:instrText xml:space="preserve"> \* MERGEFORMAT </w:instrText>
      </w:r>
      <w:r w:rsidR="00BF3E90" w:rsidRPr="003D0B49">
        <w:fldChar w:fldCharType="separate"/>
      </w:r>
      <w:r w:rsidR="00FA10A4">
        <w:t>5.4.2.2</w:t>
      </w:r>
      <w:r w:rsidR="00BF3E90" w:rsidRPr="003D0B49">
        <w:fldChar w:fldCharType="end"/>
      </w:r>
      <w:r w:rsidR="00A327F4" w:rsidRPr="003D0B49">
        <w:t xml:space="preserve"> details recommendations for improving the responsiveness of </w:t>
      </w:r>
      <w:r w:rsidR="00D73803">
        <w:t xml:space="preserve">the </w:t>
      </w:r>
      <w:r w:rsidR="00A327F4" w:rsidRPr="003D0B49">
        <w:t>NEP determination.</w:t>
      </w:r>
      <w:r w:rsidR="00A327F4">
        <w:t xml:space="preserve"> </w:t>
      </w:r>
    </w:p>
    <w:p w14:paraId="58359C34" w14:textId="526B1B3D" w:rsidR="00A327F4" w:rsidRDefault="00BF22CE" w:rsidP="00A327F4">
      <w:r>
        <w:t xml:space="preserve">States and Territories noted in consultation the substantial and enduring costs of </w:t>
      </w:r>
      <w:r w:rsidR="00A327F4">
        <w:t xml:space="preserve">COVID-19 </w:t>
      </w:r>
      <w:r>
        <w:t>related to</w:t>
      </w:r>
      <w:r w:rsidR="00A327F4">
        <w:t xml:space="preserve"> increases in health service costs, </w:t>
      </w:r>
      <w:r>
        <w:t>additional</w:t>
      </w:r>
      <w:r w:rsidR="00A327F4" w:rsidRPr="00000934">
        <w:t xml:space="preserve"> </w:t>
      </w:r>
      <w:r w:rsidR="00A327F4">
        <w:t xml:space="preserve">expenses for </w:t>
      </w:r>
      <w:r w:rsidR="00A327F4" w:rsidRPr="004D6E11">
        <w:t xml:space="preserve">personal protective equipment, more </w:t>
      </w:r>
      <w:r w:rsidR="00A327F4">
        <w:t>extensive</w:t>
      </w:r>
      <w:r w:rsidR="00A327F4" w:rsidRPr="004D6E11">
        <w:t xml:space="preserve"> cleaning </w:t>
      </w:r>
      <w:r w:rsidR="00A327F4">
        <w:t>protocols,</w:t>
      </w:r>
      <w:r w:rsidR="00A327F4" w:rsidRPr="004D6E11">
        <w:t xml:space="preserve"> and COVID-19 testing and screening for patients and visitors</w:t>
      </w:r>
      <w:r w:rsidR="00A327F4">
        <w:t xml:space="preserve">. In addition, </w:t>
      </w:r>
      <w:r w:rsidR="004615CF">
        <w:t xml:space="preserve">many jurisdictions </w:t>
      </w:r>
      <w:r w:rsidR="009936E4">
        <w:t xml:space="preserve">and health practitioner groups </w:t>
      </w:r>
      <w:r w:rsidR="004615CF">
        <w:t>cited</w:t>
      </w:r>
      <w:r w:rsidR="00A327F4">
        <w:t xml:space="preserve"> increased demand for elective surgery and a</w:t>
      </w:r>
      <w:r w:rsidR="00681F90">
        <w:t>n</w:t>
      </w:r>
      <w:r w:rsidR="00A327F4">
        <w:t xml:space="preserve"> increase in the acuity of patients when they present</w:t>
      </w:r>
      <w:r w:rsidR="007E1EFE">
        <w:t>,</w:t>
      </w:r>
      <w:r w:rsidR="00A327F4">
        <w:t xml:space="preserve"> related to deferred care. These demand and cost </w:t>
      </w:r>
      <w:r w:rsidR="00975A22">
        <w:t xml:space="preserve">factors </w:t>
      </w:r>
      <w:r w:rsidR="00A327F4">
        <w:t>have increased pressure on public hospitals</w:t>
      </w:r>
      <w:r w:rsidR="00705491">
        <w:t xml:space="preserve">, with many stakeholders of the view that this is </w:t>
      </w:r>
      <w:r w:rsidR="00A327F4">
        <w:t>unlikely to change in the foreseeable future.</w:t>
      </w:r>
    </w:p>
    <w:tbl>
      <w:tblPr>
        <w:tblStyle w:val="TableGrid"/>
        <w:tblW w:w="0" w:type="auto"/>
        <w:tblBorders>
          <w:top w:val="dotted" w:sz="4" w:space="0" w:color="00707E" w:themeColor="accent5" w:themeShade="BF"/>
          <w:left w:val="dotted" w:sz="4" w:space="0" w:color="00707E" w:themeColor="accent5" w:themeShade="BF"/>
          <w:bottom w:val="dotted" w:sz="4" w:space="0" w:color="00707E" w:themeColor="accent5" w:themeShade="BF"/>
          <w:right w:val="dotted" w:sz="4" w:space="0" w:color="00707E" w:themeColor="accent5" w:themeShade="BF"/>
        </w:tblBorders>
        <w:tblLook w:val="04A0" w:firstRow="1" w:lastRow="0" w:firstColumn="1" w:lastColumn="0" w:noHBand="0" w:noVBand="1"/>
      </w:tblPr>
      <w:tblGrid>
        <w:gridCol w:w="3918"/>
        <w:gridCol w:w="6538"/>
      </w:tblGrid>
      <w:tr w:rsidR="004F14B5" w14:paraId="6F0944B1" w14:textId="77777777" w:rsidTr="00660536">
        <w:trPr>
          <w:cnfStyle w:val="100000000000" w:firstRow="1" w:lastRow="0" w:firstColumn="0" w:lastColumn="0" w:oddVBand="0" w:evenVBand="0" w:oddHBand="0" w:evenHBand="0" w:firstRowFirstColumn="0" w:firstRowLastColumn="0" w:lastRowFirstColumn="0" w:lastRowLastColumn="0"/>
        </w:trPr>
        <w:tc>
          <w:tcPr>
            <w:tcW w:w="396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DB49A2A" w14:textId="71E84383" w:rsidR="000920F5" w:rsidRPr="00BB2C81" w:rsidRDefault="000920F5" w:rsidP="003D46B0">
            <w:pPr>
              <w:pStyle w:val="Summarytable"/>
              <w:rPr>
                <w:color w:val="00707E" w:themeColor="accent5" w:themeShade="BF"/>
              </w:rPr>
            </w:pPr>
            <w:r w:rsidRPr="00660536">
              <w:rPr>
                <w:noProof/>
                <w:color w:val="00707E" w:themeColor="accent5" w:themeShade="BF"/>
              </w:rPr>
              <w:drawing>
                <wp:inline distT="0" distB="0" distL="0" distR="0" wp14:anchorId="519D1A95" wp14:editId="6487E6BB">
                  <wp:extent cx="270000" cy="270000"/>
                  <wp:effectExtent l="0" t="0" r="0" b="0"/>
                  <wp:docPr id="52379509" name="Graphic 52379509" descr="P2438C1T128#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9509" name="Graphic 52379509" descr="P2438C1T128#yIS1">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270000" cy="270000"/>
                          </a:xfrm>
                          <a:prstGeom prst="rect">
                            <a:avLst/>
                          </a:prstGeom>
                        </pic:spPr>
                      </pic:pic>
                    </a:graphicData>
                  </a:graphic>
                </wp:inline>
              </w:drawing>
            </w:r>
            <w:r w:rsidRPr="00660536">
              <w:rPr>
                <w:color w:val="00707E" w:themeColor="accent5" w:themeShade="BF"/>
              </w:rPr>
              <w:t>Case study:</w:t>
            </w:r>
            <w:r w:rsidRPr="00BB2C81">
              <w:rPr>
                <w:color w:val="00707E" w:themeColor="accent5" w:themeShade="BF"/>
              </w:rPr>
              <w:t xml:space="preserve"> </w:t>
            </w:r>
            <w:r w:rsidRPr="00580C34">
              <w:rPr>
                <w:b w:val="0"/>
                <w:bCs w:val="0"/>
                <w:color w:val="00707E" w:themeColor="accent5" w:themeShade="BF"/>
              </w:rPr>
              <w:t>COVID-19 impact on ED activity</w:t>
            </w:r>
          </w:p>
          <w:p w14:paraId="136D5D93" w14:textId="02F15C82" w:rsidR="000920F5" w:rsidRDefault="000920F5" w:rsidP="00EA1E97">
            <w:pPr>
              <w:spacing w:afterLines="60" w:after="144" w:line="240" w:lineRule="auto"/>
              <w:ind w:left="142"/>
            </w:pPr>
            <w:r w:rsidRPr="00EA1E97">
              <w:t>In 2019–20, 2020–21 and 2021–22, ED activity was influenced by COVID-19 restrictions and changes in healthcare provision starting in February 2020. Some jurisdictions established COVID-19 fever clinics within EDs during 2020–21, contributing to significant increases in ED activity observed between 2019–20 and 2020–21</w:t>
            </w:r>
            <w:bookmarkStart w:id="344" w:name="_Ref144997723"/>
            <w:r w:rsidR="003F5D51">
              <w:rPr>
                <w:rFonts w:ascii="ZWAdobeF" w:hAnsi="ZWAdobeF" w:cs="ZWAdobeF"/>
                <w:sz w:val="2"/>
                <w:szCs w:val="2"/>
              </w:rPr>
              <w:t>174F</w:t>
            </w:r>
            <w:r w:rsidRPr="00EA1E97">
              <w:rPr>
                <w:rStyle w:val="FootnoteReference"/>
              </w:rPr>
              <w:footnoteReference w:id="176"/>
            </w:r>
            <w:bookmarkEnd w:id="344"/>
            <w:r w:rsidRPr="00EA1E97">
              <w:t>.</w:t>
            </w:r>
          </w:p>
          <w:p w14:paraId="629A703A" w14:textId="7D565682" w:rsidR="000920F5" w:rsidRPr="00F25079" w:rsidRDefault="000920F5" w:rsidP="000920F5">
            <w:pPr>
              <w:spacing w:after="60" w:line="240" w:lineRule="auto"/>
              <w:ind w:left="142"/>
            </w:pPr>
            <w:r w:rsidRPr="00EA1E97">
              <w:t xml:space="preserve">Before COVID-19, from 2014–15 to 2018–19, there was an average annual increase of 3.2% in ED presentations. </w:t>
            </w:r>
            <w:r>
              <w:t>W</w:t>
            </w:r>
            <w:r w:rsidRPr="00EA1E97">
              <w:t>ith the initial outbreak of COVID-19 in 2019–20, ED presentations decreased by 1.4% compared to 2018–19</w:t>
            </w:r>
            <w:r w:rsidRPr="00EA1E97">
              <w:rPr>
                <w:vertAlign w:val="superscript"/>
              </w:rPr>
              <w:fldChar w:fldCharType="begin"/>
            </w:r>
            <w:r w:rsidRPr="00EA1E97">
              <w:rPr>
                <w:vertAlign w:val="superscript"/>
              </w:rPr>
              <w:instrText xml:space="preserve"> NOTEREF _Ref144997723 \h  \* MERGEFORMAT </w:instrText>
            </w:r>
            <w:r w:rsidRPr="00EA1E97">
              <w:rPr>
                <w:vertAlign w:val="superscript"/>
              </w:rPr>
            </w:r>
            <w:r w:rsidRPr="00EA1E97">
              <w:rPr>
                <w:vertAlign w:val="superscript"/>
              </w:rPr>
              <w:fldChar w:fldCharType="separate"/>
            </w:r>
            <w:r w:rsidR="003F5D51">
              <w:rPr>
                <w:vertAlign w:val="superscript"/>
              </w:rPr>
              <w:t>175</w:t>
            </w:r>
            <w:r w:rsidRPr="00EA1E97">
              <w:rPr>
                <w:vertAlign w:val="superscript"/>
              </w:rPr>
              <w:fldChar w:fldCharType="end"/>
            </w:r>
            <w:r w:rsidRPr="00EA1E97">
              <w:t xml:space="preserve">. Between 2019–20 and 2020–21, ED presentations rebounded with a 6.9% increase. ED presentations remained relatively stable between 2020–21 and 2021–22, </w:t>
            </w:r>
            <w:r w:rsidRPr="002D26BD">
              <w:t>decreasing by only 0.2%. From February 2022, there was a steady increase in daily ED presentations</w:t>
            </w:r>
            <w:r w:rsidR="002D26BD">
              <w:t xml:space="preserve"> </w:t>
            </w:r>
            <w:r w:rsidR="00F02C56" w:rsidRPr="002D26BD">
              <w:t>to the end of June 2022</w:t>
            </w:r>
            <w:r w:rsidR="002D26BD">
              <w:t>.</w:t>
            </w:r>
          </w:p>
          <w:p w14:paraId="29A68D40" w14:textId="0076910A" w:rsidR="000920F5" w:rsidRPr="00EA1E97" w:rsidRDefault="000920F5" w:rsidP="000920F5">
            <w:pPr>
              <w:spacing w:afterLines="60" w:after="144" w:line="240" w:lineRule="auto"/>
              <w:ind w:left="142"/>
            </w:pPr>
            <w:r>
              <w:t xml:space="preserve">Refer to </w:t>
            </w:r>
            <w:r>
              <w:fldChar w:fldCharType="begin" w:fldLock="1"/>
            </w:r>
            <w:r>
              <w:instrText xml:space="preserve"> REF _Ref146204224 \h </w:instrText>
            </w:r>
            <w:r>
              <w:fldChar w:fldCharType="separate"/>
            </w:r>
            <w:r w:rsidR="00FA10A4">
              <w:t xml:space="preserve">Figure </w:t>
            </w:r>
            <w:r w:rsidR="00FA10A4">
              <w:rPr>
                <w:noProof/>
              </w:rPr>
              <w:t>39</w:t>
            </w:r>
            <w:r>
              <w:fldChar w:fldCharType="end"/>
            </w:r>
            <w:r>
              <w:t>.</w:t>
            </w:r>
            <w:r w:rsidR="003F5D51">
              <w:rPr>
                <w:rFonts w:ascii="ZWAdobeF" w:hAnsi="ZWAdobeF" w:cs="ZWAdobeF"/>
                <w:sz w:val="2"/>
                <w:szCs w:val="2"/>
              </w:rPr>
              <w:t>175F</w:t>
            </w:r>
            <w:r>
              <w:rPr>
                <w:rStyle w:val="FootnoteReference"/>
              </w:rPr>
              <w:footnoteReference w:id="177"/>
            </w:r>
          </w:p>
        </w:tc>
        <w:tc>
          <w:tcPr>
            <w:tcW w:w="649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32E7567" w14:textId="6E5233CF" w:rsidR="000920F5" w:rsidRPr="005D6B54" w:rsidRDefault="000920F5" w:rsidP="00C93250">
            <w:pPr>
              <w:spacing w:after="60" w:line="240" w:lineRule="auto"/>
              <w:ind w:left="142"/>
              <w:jc w:val="right"/>
            </w:pPr>
            <w:r>
              <w:rPr>
                <w:noProof/>
              </w:rPr>
              <w:drawing>
                <wp:inline distT="0" distB="0" distL="0" distR="0" wp14:anchorId="2320BABF" wp14:editId="5E64E3F4">
                  <wp:extent cx="4048125" cy="4048125"/>
                  <wp:effectExtent l="0" t="0" r="9525" b="9525"/>
                  <wp:docPr id="52379510" name="Picture 52379510" descr="P2442C2T1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9510" name="Picture 52379510" descr="P2442C2T128#yIS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048125" cy="4048125"/>
                          </a:xfrm>
                          <a:prstGeom prst="rect">
                            <a:avLst/>
                          </a:prstGeom>
                        </pic:spPr>
                      </pic:pic>
                    </a:graphicData>
                  </a:graphic>
                </wp:inline>
              </w:drawing>
            </w:r>
          </w:p>
          <w:p w14:paraId="295CFAAB" w14:textId="49FC53A9" w:rsidR="000920F5" w:rsidRPr="000920F5" w:rsidRDefault="000920F5" w:rsidP="00C2024B">
            <w:pPr>
              <w:pStyle w:val="Caption"/>
              <w:rPr>
                <w:b/>
                <w:bCs/>
                <w:noProof/>
                <w:sz w:val="20"/>
                <w:szCs w:val="20"/>
              </w:rPr>
            </w:pPr>
            <w:bookmarkStart w:id="345" w:name="_Ref146204224"/>
            <w:bookmarkStart w:id="346" w:name="_Toc148968417"/>
            <w:r>
              <w:t xml:space="preserve">Figure </w:t>
            </w:r>
            <w:r>
              <w:fldChar w:fldCharType="begin"/>
            </w:r>
            <w:r>
              <w:instrText xml:space="preserve"> SEQ Figure \* ARABIC </w:instrText>
            </w:r>
            <w:r>
              <w:fldChar w:fldCharType="separate"/>
            </w:r>
            <w:r w:rsidR="003F5D51">
              <w:rPr>
                <w:noProof/>
              </w:rPr>
              <w:t>39</w:t>
            </w:r>
            <w:r>
              <w:fldChar w:fldCharType="end"/>
            </w:r>
            <w:bookmarkEnd w:id="345"/>
            <w:r>
              <w:t xml:space="preserve">: </w:t>
            </w:r>
            <w:r w:rsidRPr="00D27C5F">
              <w:t xml:space="preserve">Average daily presentations to ED, by month, all </w:t>
            </w:r>
            <w:r w:rsidR="00B74398">
              <w:t>S</w:t>
            </w:r>
            <w:r w:rsidRPr="00D27C5F">
              <w:t xml:space="preserve">tates and </w:t>
            </w:r>
            <w:r w:rsidR="00B74398">
              <w:t>T</w:t>
            </w:r>
            <w:r w:rsidRPr="00D27C5F">
              <w:t>erritories, 2018-19 to 2021-22</w:t>
            </w:r>
            <w:bookmarkEnd w:id="346"/>
          </w:p>
        </w:tc>
      </w:tr>
    </w:tbl>
    <w:p w14:paraId="734352C0" w14:textId="77777777" w:rsidR="000920F5" w:rsidRDefault="000920F5" w:rsidP="00A327F4"/>
    <w:p w14:paraId="1BB64B43" w14:textId="0569D3A7" w:rsidR="00642439" w:rsidRPr="008B2303" w:rsidRDefault="00546BDC" w:rsidP="00636E04">
      <w:pPr>
        <w:pStyle w:val="Heading3"/>
      </w:pPr>
      <w:bookmarkStart w:id="347" w:name="_Ref146631397"/>
      <w:r w:rsidRPr="008B2303">
        <w:t>Increase f</w:t>
      </w:r>
      <w:r w:rsidR="00901A95" w:rsidRPr="008B2303">
        <w:t xml:space="preserve">lexibility in funding arrangements </w:t>
      </w:r>
      <w:r w:rsidRPr="008B2303">
        <w:t>to enable</w:t>
      </w:r>
      <w:r w:rsidR="00901A95" w:rsidRPr="008B2303">
        <w:t xml:space="preserve"> </w:t>
      </w:r>
      <w:r w:rsidRPr="008B2303">
        <w:t>rapid response</w:t>
      </w:r>
      <w:r w:rsidR="00901A95" w:rsidRPr="008B2303">
        <w:t xml:space="preserve"> to</w:t>
      </w:r>
      <w:r w:rsidRPr="008B2303">
        <w:t xml:space="preserve"> future</w:t>
      </w:r>
      <w:r w:rsidR="00901A95" w:rsidRPr="008B2303">
        <w:t xml:space="preserve"> system </w:t>
      </w:r>
      <w:r w:rsidR="002D5031" w:rsidRPr="008B2303">
        <w:t>disruptions</w:t>
      </w:r>
      <w:bookmarkEnd w:id="347"/>
    </w:p>
    <w:p w14:paraId="3B72110C" w14:textId="4A231882" w:rsidR="00A327F4" w:rsidRDefault="00A327F4" w:rsidP="00A327F4">
      <w:r>
        <w:t xml:space="preserve">Despite a lack of flexibility in the NHRA to respond to major system disruptions, governments moved quickly </w:t>
      </w:r>
      <w:r w:rsidR="005C39CC">
        <w:t xml:space="preserve">at the onset of COVID-19 </w:t>
      </w:r>
      <w:r>
        <w:t xml:space="preserve">to establish two funding arrangements: </w:t>
      </w:r>
    </w:p>
    <w:p w14:paraId="2204CCAF" w14:textId="6C529BB3" w:rsidR="00A327F4" w:rsidRDefault="00A327F4" w:rsidP="00A327F4">
      <w:pPr>
        <w:pStyle w:val="Longdotpoints"/>
        <w:ind w:left="567"/>
      </w:pPr>
      <w:r>
        <w:t xml:space="preserve">The </w:t>
      </w:r>
      <w:r w:rsidRPr="00CE1862">
        <w:rPr>
          <w:b/>
        </w:rPr>
        <w:t xml:space="preserve">Minimum Funding Guarantee (MFG) </w:t>
      </w:r>
      <w:r w:rsidR="00BF22CE" w:rsidRPr="00D91630">
        <w:t>($1.23 billion provided)</w:t>
      </w:r>
      <w:r w:rsidR="00BF22CE">
        <w:rPr>
          <w:b/>
        </w:rPr>
        <w:t xml:space="preserve"> </w:t>
      </w:r>
      <w:r>
        <w:t>guaranteed a baseline Commonwealth public hospital funding amount even if the usual amount and complexity of hospital activity decreased due to the pandemic</w:t>
      </w:r>
      <w:r w:rsidR="0039119D">
        <w:t>;</w:t>
      </w:r>
      <w:r>
        <w:t xml:space="preserve"> and </w:t>
      </w:r>
    </w:p>
    <w:p w14:paraId="2D2D0874" w14:textId="59F8310E" w:rsidR="00CE2397" w:rsidRDefault="00A327F4" w:rsidP="00697D95">
      <w:pPr>
        <w:pStyle w:val="Longdotpoints"/>
        <w:ind w:left="567"/>
      </w:pPr>
      <w:r w:rsidRPr="00CE1862">
        <w:t>The</w:t>
      </w:r>
      <w:r w:rsidRPr="00CE1862">
        <w:rPr>
          <w:b/>
        </w:rPr>
        <w:t xml:space="preserve"> COVID-19 NPA</w:t>
      </w:r>
      <w:r w:rsidR="00BF22CE">
        <w:rPr>
          <w:b/>
        </w:rPr>
        <w:t xml:space="preserve"> </w:t>
      </w:r>
      <w:r w:rsidR="00BF22CE" w:rsidRPr="00D91630">
        <w:t>($14.7 billion provided)</w:t>
      </w:r>
      <w:r w:rsidRPr="00BF22CE">
        <w:rPr>
          <w:bCs/>
        </w:rPr>
        <w:t xml:space="preserve"> </w:t>
      </w:r>
      <w:r>
        <w:t>provided</w:t>
      </w:r>
      <w:r w:rsidR="009B06E3">
        <w:t xml:space="preserve"> additional Commonwealth</w:t>
      </w:r>
      <w:r>
        <w:t xml:space="preserve"> funding, </w:t>
      </w:r>
      <w:r w:rsidR="00E750F9">
        <w:t xml:space="preserve">generally </w:t>
      </w:r>
      <w:r w:rsidR="009B06E3">
        <w:t xml:space="preserve">matched </w:t>
      </w:r>
      <w:r>
        <w:t xml:space="preserve">on a 50:50 basis </w:t>
      </w:r>
      <w:r w:rsidR="009B06E3">
        <w:t xml:space="preserve">by </w:t>
      </w:r>
      <w:r>
        <w:t>the States</w:t>
      </w:r>
      <w:r w:rsidR="00B8643A">
        <w:t xml:space="preserve"> and </w:t>
      </w:r>
      <w:r>
        <w:t xml:space="preserve">Territories, for targeted COVID-19 response programs including but not limited to public hospitals (refer to section </w:t>
      </w:r>
      <w:r w:rsidR="00212522">
        <w:fldChar w:fldCharType="begin" w:fldLock="1"/>
      </w:r>
      <w:r w:rsidR="00212522">
        <w:instrText xml:space="preserve"> REF _Ref143090524 \w \h </w:instrText>
      </w:r>
      <w:r w:rsidR="00557E43">
        <w:instrText xml:space="preserve"> \* MERGEFORMAT </w:instrText>
      </w:r>
      <w:r w:rsidR="00212522">
        <w:fldChar w:fldCharType="separate"/>
      </w:r>
      <w:r w:rsidR="00FA10A4">
        <w:t>2.8</w:t>
      </w:r>
      <w:r w:rsidR="00212522">
        <w:fldChar w:fldCharType="end"/>
      </w:r>
      <w:r w:rsidR="00212522">
        <w:t xml:space="preserve"> for further information)</w:t>
      </w:r>
      <w:r w:rsidR="001E521B">
        <w:t xml:space="preserve">. </w:t>
      </w:r>
    </w:p>
    <w:p w14:paraId="33AA0A6E" w14:textId="7E01E395" w:rsidR="00A327F4" w:rsidRDefault="00A327F4" w:rsidP="00A327F4">
      <w:r>
        <w:t xml:space="preserve">The COVID-19 NPA gave States and Territories flexibility to fund various models of care and made it easier to coordinate initiatives that crossed traditional boundaries between acute care and primary care, aged care and disability sectors. Additionally, the COVID-19 NPA supported States and Territories in contracting </w:t>
      </w:r>
      <w:r w:rsidRPr="00507B1E">
        <w:t xml:space="preserve">private hospitals </w:t>
      </w:r>
      <w:r>
        <w:t>to increase</w:t>
      </w:r>
      <w:r w:rsidRPr="00507B1E">
        <w:t xml:space="preserve"> capacity to </w:t>
      </w:r>
      <w:r>
        <w:t>respond to the pandemic</w:t>
      </w:r>
      <w:r w:rsidRPr="00507B1E">
        <w:t>.</w:t>
      </w:r>
      <w:r>
        <w:t xml:space="preserve"> This flexibility in using </w:t>
      </w:r>
      <w:r w:rsidRPr="004E5FF5">
        <w:t xml:space="preserve">hospital capacity across the entire system helped meet demand and optimise the workforce, medical equipment and bed capacity. </w:t>
      </w:r>
    </w:p>
    <w:p w14:paraId="4DF45D45" w14:textId="54EA07BB" w:rsidR="00DE0E9C" w:rsidRDefault="00DE0E9C">
      <w:r>
        <w:t xml:space="preserve">While the existing NHRA architecture supported delivery of </w:t>
      </w:r>
      <w:r w:rsidR="000B6BB5">
        <w:t>new</w:t>
      </w:r>
      <w:r>
        <w:t xml:space="preserve"> funding arrangements in response to the pandemic, there were challenges in operationalising and managing them. This included issues with:</w:t>
      </w:r>
    </w:p>
    <w:p w14:paraId="4730CC72" w14:textId="400C69CE" w:rsidR="00CD5959" w:rsidRDefault="00DE0E9C" w:rsidP="00A850C3">
      <w:pPr>
        <w:pStyle w:val="ListParagraph"/>
        <w:numPr>
          <w:ilvl w:val="0"/>
          <w:numId w:val="58"/>
        </w:numPr>
      </w:pPr>
      <w:r>
        <w:t xml:space="preserve">the requirement for quarterly </w:t>
      </w:r>
      <w:r w:rsidR="00CD5959">
        <w:t>reconciliation of NPA payments</w:t>
      </w:r>
    </w:p>
    <w:p w14:paraId="6253A132" w14:textId="77777777" w:rsidR="00DE0E9C" w:rsidRDefault="00DE0E9C" w:rsidP="00A850C3">
      <w:pPr>
        <w:pStyle w:val="ListParagraph"/>
        <w:numPr>
          <w:ilvl w:val="0"/>
          <w:numId w:val="58"/>
        </w:numPr>
      </w:pPr>
      <w:r>
        <w:t>quarantine and border control costs</w:t>
      </w:r>
    </w:p>
    <w:p w14:paraId="3D5BE6D6" w14:textId="77777777" w:rsidR="00DE0E9C" w:rsidRDefault="00DE0E9C" w:rsidP="00A850C3">
      <w:pPr>
        <w:pStyle w:val="ListParagraph"/>
        <w:numPr>
          <w:ilvl w:val="0"/>
          <w:numId w:val="58"/>
        </w:numPr>
      </w:pPr>
      <w:r>
        <w:t>determining the level of contribution for the Vaccination Dose Delivery Payment</w:t>
      </w:r>
    </w:p>
    <w:p w14:paraId="09B37A42" w14:textId="77777777" w:rsidR="00DE0E9C" w:rsidRDefault="00DE0E9C" w:rsidP="00A850C3">
      <w:pPr>
        <w:pStyle w:val="ListParagraph"/>
        <w:numPr>
          <w:ilvl w:val="0"/>
          <w:numId w:val="58"/>
        </w:numPr>
      </w:pPr>
      <w:r>
        <w:t xml:space="preserve">differing interpretations of activity reporting requirements across jurisdictions. </w:t>
      </w:r>
    </w:p>
    <w:p w14:paraId="4565F9A3" w14:textId="74E886B0" w:rsidR="00DE0E9C" w:rsidRDefault="00DE0E9C">
      <w:r>
        <w:t xml:space="preserve">A number of jurisdictions have raised the importance of fully understanding the way in which the NHRA, the MFG and COVID-19 NPA were developed and implemented, including </w:t>
      </w:r>
      <w:r w:rsidR="005C39CC">
        <w:t xml:space="preserve">any </w:t>
      </w:r>
      <w:r>
        <w:t xml:space="preserve">long term impacts to the </w:t>
      </w:r>
      <w:r w:rsidR="00CD5959">
        <w:t>NHRA</w:t>
      </w:r>
      <w:r w:rsidR="00074F20">
        <w:t xml:space="preserve"> </w:t>
      </w:r>
      <w:r>
        <w:t xml:space="preserve">funding model when </w:t>
      </w:r>
      <w:r w:rsidR="005C39CC">
        <w:t>t</w:t>
      </w:r>
      <w:r w:rsidR="00074F20">
        <w:t>he MFG and</w:t>
      </w:r>
      <w:r w:rsidR="0064743A">
        <w:t xml:space="preserve"> </w:t>
      </w:r>
      <w:r w:rsidR="0064743A">
        <w:br/>
        <w:t xml:space="preserve">COVID-19 </w:t>
      </w:r>
      <w:r w:rsidR="00074F20">
        <w:t xml:space="preserve">NPA </w:t>
      </w:r>
      <w:r>
        <w:t xml:space="preserve">ceased. </w:t>
      </w:r>
    </w:p>
    <w:tbl>
      <w:tblPr>
        <w:tblStyle w:val="TableGrid"/>
        <w:tblW w:w="0" w:type="auto"/>
        <w:tblBorders>
          <w:top w:val="dotted" w:sz="4" w:space="0" w:color="0097A9" w:themeColor="accent5"/>
          <w:left w:val="dotted" w:sz="4" w:space="0" w:color="0097A9" w:themeColor="accent5"/>
          <w:bottom w:val="dotted" w:sz="4" w:space="0" w:color="0097A9" w:themeColor="accent5"/>
          <w:right w:val="dotted" w:sz="4" w:space="0" w:color="0097A9" w:themeColor="accent5"/>
        </w:tblBorders>
        <w:tblLook w:val="04A0" w:firstRow="1" w:lastRow="0" w:firstColumn="1" w:lastColumn="0" w:noHBand="0" w:noVBand="1"/>
      </w:tblPr>
      <w:tblGrid>
        <w:gridCol w:w="10456"/>
      </w:tblGrid>
      <w:tr w:rsidR="00990F31" w14:paraId="5796ABB5" w14:textId="77777777" w:rsidTr="00E32245">
        <w:trPr>
          <w:cnfStyle w:val="100000000000" w:firstRow="1" w:lastRow="0" w:firstColumn="0" w:lastColumn="0" w:oddVBand="0" w:evenVBand="0" w:oddHBand="0" w:evenHBand="0" w:firstRowFirstColumn="0" w:firstRowLastColumn="0" w:lastRowFirstColumn="0" w:lastRowLastColumn="0"/>
        </w:trPr>
        <w:tc>
          <w:tcPr>
            <w:tcW w:w="1046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158400F" w14:textId="77777777" w:rsidR="00990F31" w:rsidRPr="00BB2C81" w:rsidRDefault="00990F31">
            <w:pPr>
              <w:pStyle w:val="Summarytable"/>
              <w:keepNext/>
              <w:rPr>
                <w:color w:val="00707E" w:themeColor="accent5" w:themeShade="BF"/>
              </w:rPr>
            </w:pPr>
            <w:r w:rsidRPr="00C93250">
              <w:rPr>
                <w:noProof/>
                <w:color w:val="00707E" w:themeColor="accent5" w:themeShade="BF"/>
              </w:rPr>
              <w:drawing>
                <wp:inline distT="0" distB="0" distL="0" distR="0" wp14:anchorId="4A461E5D" wp14:editId="521AF9F6">
                  <wp:extent cx="270000" cy="270000"/>
                  <wp:effectExtent l="0" t="0" r="0" b="0"/>
                  <wp:docPr id="1489793653" name="Graphic 1489793653" descr="P2457C1T12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53" name="Graphic 1489793653" descr="P2457C1T129#yIS1">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270000" cy="270000"/>
                          </a:xfrm>
                          <a:prstGeom prst="rect">
                            <a:avLst/>
                          </a:prstGeom>
                        </pic:spPr>
                      </pic:pic>
                    </a:graphicData>
                  </a:graphic>
                </wp:inline>
              </w:drawing>
            </w:r>
            <w:r w:rsidRPr="00C93250">
              <w:rPr>
                <w:color w:val="00707E" w:themeColor="accent5" w:themeShade="BF"/>
              </w:rPr>
              <w:t>Case study:</w:t>
            </w:r>
            <w:r w:rsidRPr="00BB2C81">
              <w:rPr>
                <w:color w:val="00707E" w:themeColor="accent5" w:themeShade="BF"/>
              </w:rPr>
              <w:t xml:space="preserve"> </w:t>
            </w:r>
            <w:r>
              <w:rPr>
                <w:b w:val="0"/>
                <w:bCs w:val="0"/>
                <w:color w:val="00707E" w:themeColor="accent5" w:themeShade="BF"/>
              </w:rPr>
              <w:t>Impact of the Minimum Funding Guarantee (MFG) on ABF base funding</w:t>
            </w:r>
          </w:p>
          <w:p w14:paraId="619E7BFA" w14:textId="7BF39A5D" w:rsidR="00990F31" w:rsidRDefault="00990F31">
            <w:pPr>
              <w:ind w:left="142" w:right="112"/>
            </w:pPr>
            <w:r>
              <w:t xml:space="preserve">The Commonwealth established the MFG from 2019-20 to 2021-22 to underwrite hospital funding during the COVID-19 pandemic, effectively guaranteeing funding </w:t>
            </w:r>
            <w:r w:rsidRPr="00D51631">
              <w:t xml:space="preserve">equivalent to </w:t>
            </w:r>
            <w:r w:rsidR="00FA3AED" w:rsidRPr="00D51631">
              <w:t xml:space="preserve">pre-pandemic forecasts of activity </w:t>
            </w:r>
            <w:r w:rsidR="00AA446A" w:rsidRPr="00D51631">
              <w:t>for those years</w:t>
            </w:r>
            <w:r w:rsidRPr="00D51631">
              <w:t>.</w:t>
            </w:r>
            <w:r w:rsidRPr="009B5008">
              <w:t xml:space="preserve"> </w:t>
            </w:r>
          </w:p>
          <w:p w14:paraId="180721D4" w14:textId="1EEE18B5" w:rsidR="00990F31" w:rsidRDefault="00990F31">
            <w:pPr>
              <w:ind w:left="142" w:right="112"/>
            </w:pPr>
            <w:r>
              <w:t xml:space="preserve">The way in which the MFG was applied </w:t>
            </w:r>
            <w:r w:rsidRPr="009B5008">
              <w:t xml:space="preserve">was to create </w:t>
            </w:r>
            <w:r>
              <w:t xml:space="preserve">an artificial level of activity for </w:t>
            </w:r>
            <w:r w:rsidRPr="009B5008">
              <w:t xml:space="preserve">2019-20, 2020-21 and 2021-22, </w:t>
            </w:r>
            <w:r>
              <w:t xml:space="preserve">equivalent to the level of the funding guarantee. </w:t>
            </w:r>
            <w:r w:rsidRPr="009B5008">
              <w:t>$1.23 billion in funding was distributed to the States</w:t>
            </w:r>
            <w:r w:rsidR="00B8643A">
              <w:t xml:space="preserve"> and </w:t>
            </w:r>
            <w:r>
              <w:t>Territories</w:t>
            </w:r>
            <w:r w:rsidRPr="009B5008">
              <w:t xml:space="preserve"> through the MFG. </w:t>
            </w:r>
          </w:p>
          <w:p w14:paraId="64A98D18" w14:textId="7F17F6B3" w:rsidR="00990F31" w:rsidRPr="005D6B54" w:rsidRDefault="00990F31">
            <w:pPr>
              <w:ind w:left="142" w:right="112"/>
            </w:pPr>
            <w:r w:rsidRPr="009B5008">
              <w:t>For 2022-23, the first year after the end of the MFG, the artificial level of activity created by the MFG for 2021-22 has been used to calculate the growth in activity that occurred in that year, driving the level of Commonwealth funding.</w:t>
            </w:r>
            <w:r>
              <w:t xml:space="preserve"> </w:t>
            </w:r>
            <w:r w:rsidR="00737C66">
              <w:t>Some State and Territories have identified that</w:t>
            </w:r>
            <w:r w:rsidRPr="009B5008">
              <w:t xml:space="preserve"> </w:t>
            </w:r>
            <w:r>
              <w:t xml:space="preserve">this could result in a reduction in funding </w:t>
            </w:r>
            <w:r w:rsidRPr="009B5008">
              <w:t>compared to a</w:t>
            </w:r>
            <w:r w:rsidR="00D24D3E">
              <w:t xml:space="preserve">n alternative potential </w:t>
            </w:r>
            <w:r w:rsidRPr="009B5008">
              <w:t>scenario where their actual (lower) activity in 2021-22 was used as the base fo</w:t>
            </w:r>
            <w:r w:rsidR="00467EC7">
              <w:t>r calculating</w:t>
            </w:r>
            <w:r w:rsidRPr="009B5008">
              <w:t xml:space="preserve"> growth purposes. Should it occur, this</w:t>
            </w:r>
            <w:r>
              <w:t xml:space="preserve"> reduction in funding would negatively impact </w:t>
            </w:r>
            <w:r w:rsidRPr="009B5008">
              <w:t>a State o</w:t>
            </w:r>
            <w:r>
              <w:t>r</w:t>
            </w:r>
            <w:r w:rsidRPr="009B5008">
              <w:t xml:space="preserve"> Territory’s</w:t>
            </w:r>
            <w:r>
              <w:t xml:space="preserve"> financial sustainability and is an example of how a sensible short term arrangement </w:t>
            </w:r>
            <w:r w:rsidR="00985635">
              <w:t xml:space="preserve">may </w:t>
            </w:r>
            <w:r>
              <w:t>have</w:t>
            </w:r>
            <w:r w:rsidR="00985635">
              <w:t>, or be seen to have,</w:t>
            </w:r>
            <w:r>
              <w:t xml:space="preserve"> unanticipated long term impacts.</w:t>
            </w:r>
          </w:p>
        </w:tc>
      </w:tr>
    </w:tbl>
    <w:p w14:paraId="6F9B94D0" w14:textId="77777777" w:rsidR="00990F31" w:rsidRDefault="00990F31"/>
    <w:p w14:paraId="7426BCE0" w14:textId="5FA6EDBF" w:rsidR="00DE0E9C" w:rsidRDefault="00DE0E9C">
      <w:r>
        <w:t>There is value in the Commonwealth</w:t>
      </w:r>
      <w:r w:rsidR="00050D37">
        <w:t>,</w:t>
      </w:r>
      <w:r>
        <w:t xml:space="preserve"> States</w:t>
      </w:r>
      <w:r w:rsidR="00050D37">
        <w:t xml:space="preserve"> and </w:t>
      </w:r>
      <w:r>
        <w:t>Territories collaboratively identifying the lessons from COVID-19 funding arrangements and agreeing how a future NHRA can be more responsive to future system disruptions and more effectively manage the transition back to normalised arrangements. This work, drawing on the submissions and case studies provided to this Review, should occur as part of negotiating a future Agreement, in order to inform future preparedness.</w:t>
      </w:r>
      <w:r w:rsidR="00A87C74">
        <w:t xml:space="preserve"> These lessons </w:t>
      </w:r>
      <w:r w:rsidR="00AD3E88">
        <w:t xml:space="preserve">should also be informed </w:t>
      </w:r>
      <w:r w:rsidR="00E120F3">
        <w:t xml:space="preserve">by </w:t>
      </w:r>
      <w:r w:rsidR="00A970F0" w:rsidRPr="00A970F0">
        <w:t xml:space="preserve">the </w:t>
      </w:r>
      <w:r w:rsidR="00975048">
        <w:t>forthcoming I</w:t>
      </w:r>
      <w:r w:rsidR="00A970F0" w:rsidRPr="00A970F0">
        <w:t>ndependent Inquiry into Australia’s response to the COVID-19 pandemic</w:t>
      </w:r>
      <w:r w:rsidR="00E120F3">
        <w:t>.</w:t>
      </w:r>
      <w:r w:rsidR="003F5D51">
        <w:rPr>
          <w:rFonts w:ascii="ZWAdobeF" w:hAnsi="ZWAdobeF" w:cs="ZWAdobeF"/>
          <w:sz w:val="2"/>
          <w:szCs w:val="2"/>
        </w:rPr>
        <w:t>176F</w:t>
      </w:r>
      <w:r w:rsidR="002D49D2">
        <w:rPr>
          <w:rStyle w:val="FootnoteReference"/>
        </w:rPr>
        <w:footnoteReference w:id="178"/>
      </w:r>
    </w:p>
    <w:p w14:paraId="0D28D557" w14:textId="19C0544D" w:rsidR="00530C9F" w:rsidRDefault="00D73803" w:rsidP="00530C9F">
      <w:r>
        <w:t>A</w:t>
      </w:r>
      <w:r w:rsidR="004D4E4B">
        <w:t xml:space="preserve"> future NHRA should</w:t>
      </w:r>
      <w:r w:rsidR="00EB05A1">
        <w:t xml:space="preserve"> clarify the roles</w:t>
      </w:r>
      <w:r w:rsidR="000A2E57">
        <w:t xml:space="preserve"> of Commonwealth, State</w:t>
      </w:r>
      <w:r w:rsidR="00A44490">
        <w:t xml:space="preserve"> and Territory</w:t>
      </w:r>
      <w:r w:rsidR="000A2E57">
        <w:t xml:space="preserve"> governments in managing</w:t>
      </w:r>
      <w:r w:rsidR="00A44490">
        <w:t xml:space="preserve"> major health system </w:t>
      </w:r>
      <w:r w:rsidR="002D5031">
        <w:t>disruptions</w:t>
      </w:r>
      <w:r w:rsidR="007C7065">
        <w:t>.</w:t>
      </w:r>
      <w:r w:rsidR="000C4D44">
        <w:t xml:space="preserve"> It should </w:t>
      </w:r>
      <w:r w:rsidR="00F4606A">
        <w:t>establish</w:t>
      </w:r>
      <w:r w:rsidR="000C4D44">
        <w:t xml:space="preserve"> principles fo</w:t>
      </w:r>
      <w:r w:rsidR="00C22B3F">
        <w:t xml:space="preserve">r </w:t>
      </w:r>
      <w:r w:rsidR="00F4606A">
        <w:t xml:space="preserve">expanding </w:t>
      </w:r>
      <w:r w:rsidR="00E73BCE">
        <w:t xml:space="preserve">surge capacity </w:t>
      </w:r>
      <w:r w:rsidR="002466D9">
        <w:t xml:space="preserve">and </w:t>
      </w:r>
      <w:r w:rsidR="000A451B">
        <w:t>determining cost-sharing arrangements</w:t>
      </w:r>
      <w:r w:rsidR="000C4D44">
        <w:t xml:space="preserve">. </w:t>
      </w:r>
      <w:r w:rsidR="000C35EC">
        <w:t>Pre-agreed principles and p</w:t>
      </w:r>
      <w:r w:rsidR="00552084">
        <w:t>rocess</w:t>
      </w:r>
      <w:r w:rsidR="00E25CAF">
        <w:t>es</w:t>
      </w:r>
      <w:r w:rsidR="00552084">
        <w:t xml:space="preserve"> for</w:t>
      </w:r>
      <w:r w:rsidR="00CA60B3">
        <w:t xml:space="preserve"> funding public health responses to </w:t>
      </w:r>
      <w:r w:rsidR="00552084">
        <w:t xml:space="preserve">future </w:t>
      </w:r>
      <w:r w:rsidR="002D5031">
        <w:t xml:space="preserve">disruptions </w:t>
      </w:r>
      <w:r w:rsidR="00891CED">
        <w:t>will enable more rapid establishment and smoother implementation.</w:t>
      </w:r>
      <w:r w:rsidR="00530C9F" w:rsidRPr="00530C9F">
        <w:t xml:space="preserve"> </w:t>
      </w:r>
      <w:r w:rsidR="0043243A">
        <w:t xml:space="preserve">Refer to section </w:t>
      </w:r>
      <w:r w:rsidR="00E74F5D">
        <w:fldChar w:fldCharType="begin" w:fldLock="1"/>
      </w:r>
      <w:r w:rsidR="00E74F5D">
        <w:instrText xml:space="preserve"> REF _Ref146626556 \w \h </w:instrText>
      </w:r>
      <w:r w:rsidR="00E74F5D">
        <w:fldChar w:fldCharType="separate"/>
      </w:r>
      <w:r w:rsidR="00FA10A4">
        <w:t>5.4.4.2</w:t>
      </w:r>
      <w:r w:rsidR="00E74F5D">
        <w:fldChar w:fldCharType="end"/>
      </w:r>
      <w:r w:rsidR="00E74F5D">
        <w:t xml:space="preserve"> </w:t>
      </w:r>
      <w:r w:rsidR="0043243A">
        <w:t xml:space="preserve">for further information on the transparency of public health funding. </w:t>
      </w:r>
    </w:p>
    <w:p w14:paraId="728D16BC" w14:textId="5E498018" w:rsidR="00FC1E14" w:rsidRDefault="00776A36" w:rsidP="001E521B">
      <w:r>
        <w:t xml:space="preserve">Furthermore, </w:t>
      </w:r>
      <w:r w:rsidR="00530C9F">
        <w:t xml:space="preserve">the Australian </w:t>
      </w:r>
      <w:r>
        <w:t>g</w:t>
      </w:r>
      <w:r w:rsidR="00530C9F">
        <w:t>overnment’s commitment to establish an Australian Centre for Disease Control (CDC)</w:t>
      </w:r>
      <w:r>
        <w:t xml:space="preserve"> presents an opportu</w:t>
      </w:r>
      <w:r w:rsidR="005672D2">
        <w:t>nity to streamline funding for public health activities.</w:t>
      </w:r>
      <w:r w:rsidR="00530C9F">
        <w:t xml:space="preserve"> The CDC’s scope will include preventive health elements that may be relevant to Clauses 21(a) and (b</w:t>
      </w:r>
      <w:r w:rsidR="00DE0E9C">
        <w:t>) of the NHRA. It is also likely there will be additional Commonwealth-State</w:t>
      </w:r>
      <w:r w:rsidR="009741BC">
        <w:t xml:space="preserve"> and </w:t>
      </w:r>
      <w:r w:rsidR="00DE0E9C">
        <w:t xml:space="preserve">Territory arrangements negotiated in line with the CDC establishment that may impact the NHRA. The commitment of all jurisdictions to the CDC presents an opportunity to ensure that funding for public health activities, including health protection, health promotion and preventive health initiatives, is used efficiently and is transparent. The CDC’s role in addressing emerging issues, including both communicable and non-communicable disease, in the health system should be </w:t>
      </w:r>
      <w:r w:rsidR="001F5117">
        <w:t xml:space="preserve">reflected </w:t>
      </w:r>
      <w:r w:rsidR="00DE0E9C">
        <w:t>in a</w:t>
      </w:r>
      <w:r w:rsidR="001D439F">
        <w:t xml:space="preserve"> future NHRA.</w:t>
      </w:r>
    </w:p>
    <w:tbl>
      <w:tblPr>
        <w:tblStyle w:val="TableGrid"/>
        <w:tblW w:w="0" w:type="auto"/>
        <w:shd w:val="clear" w:color="auto" w:fill="F2F2F2" w:themeFill="background1" w:themeFillShade="F2"/>
        <w:tblLook w:val="04A0" w:firstRow="1" w:lastRow="0" w:firstColumn="1" w:lastColumn="0" w:noHBand="0" w:noVBand="1"/>
      </w:tblPr>
      <w:tblGrid>
        <w:gridCol w:w="10466"/>
      </w:tblGrid>
      <w:tr w:rsidR="00FC1E14" w14:paraId="5D48213B" w14:textId="77777777" w:rsidTr="007B1238">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tcPr>
          <w:p w14:paraId="4CFFDC12" w14:textId="410D2C75" w:rsidR="00C11A4D" w:rsidRPr="00D33952" w:rsidRDefault="00C93250" w:rsidP="00530C9F">
            <w:pPr>
              <w:pStyle w:val="Summarytable"/>
              <w:rPr>
                <w:b w:val="0"/>
                <w:bCs w:val="0"/>
              </w:rPr>
            </w:pPr>
            <w:r>
              <w:rPr>
                <w:noProof/>
                <w:color w:val="0097A9" w:themeColor="accent5"/>
              </w:rPr>
              <w:drawing>
                <wp:inline distT="0" distB="0" distL="0" distR="0" wp14:anchorId="316F489D" wp14:editId="15418D26">
                  <wp:extent cx="270000" cy="270000"/>
                  <wp:effectExtent l="0" t="0" r="0" b="0"/>
                  <wp:docPr id="24" name="Graphic 24" descr="P2466C1T13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2466C1T130#yIS1">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70000" cy="270000"/>
                          </a:xfrm>
                          <a:prstGeom prst="rect">
                            <a:avLst/>
                          </a:prstGeom>
                        </pic:spPr>
                      </pic:pic>
                    </a:graphicData>
                  </a:graphic>
                </wp:inline>
              </w:drawing>
            </w:r>
            <w:r w:rsidR="00FC1E14" w:rsidRPr="00222940">
              <w:rPr>
                <w:color w:val="00707E" w:themeColor="accent5" w:themeShade="BF"/>
              </w:rPr>
              <w:t xml:space="preserve">Recommendation </w:t>
            </w:r>
            <w:r w:rsidR="00377E4E">
              <w:rPr>
                <w:color w:val="00707E" w:themeColor="accent5" w:themeShade="BF"/>
              </w:rPr>
              <w:t>4</w:t>
            </w:r>
            <w:r w:rsidR="00B03896">
              <w:rPr>
                <w:color w:val="00707E" w:themeColor="accent5" w:themeShade="BF"/>
              </w:rPr>
              <w:t>4</w:t>
            </w:r>
            <w:r w:rsidR="00FC1E14" w:rsidRPr="00BB2C81">
              <w:rPr>
                <w:color w:val="00707E" w:themeColor="accent5" w:themeShade="BF"/>
              </w:rPr>
              <w:t xml:space="preserve">: </w:t>
            </w:r>
            <w:r w:rsidR="00FF2761">
              <w:rPr>
                <w:b w:val="0"/>
                <w:bCs w:val="0"/>
              </w:rPr>
              <w:t>In relation</w:t>
            </w:r>
            <w:r w:rsidR="002F6992" w:rsidRPr="002F6992">
              <w:rPr>
                <w:b w:val="0"/>
                <w:bCs w:val="0"/>
              </w:rPr>
              <w:t xml:space="preserve"> to </w:t>
            </w:r>
            <w:r w:rsidR="002F6992" w:rsidRPr="00FF2761">
              <w:t>future system disruptions</w:t>
            </w:r>
            <w:r w:rsidR="00FF2761">
              <w:t>,</w:t>
            </w:r>
            <w:r w:rsidR="00FF2761" w:rsidRPr="00FF2761">
              <w:rPr>
                <w:b w:val="0"/>
                <w:bCs w:val="0"/>
              </w:rPr>
              <w:t xml:space="preserve"> a</w:t>
            </w:r>
            <w:r w:rsidR="00D33952" w:rsidRPr="00D33952">
              <w:rPr>
                <w:b w:val="0"/>
                <w:bCs w:val="0"/>
              </w:rPr>
              <w:t xml:space="preserve"> future NHRA should:</w:t>
            </w:r>
          </w:p>
          <w:p w14:paraId="0EAA6C78" w14:textId="79F1E987" w:rsidR="00D33952" w:rsidRPr="00D33952" w:rsidRDefault="005768A4" w:rsidP="00A850C3">
            <w:pPr>
              <w:pStyle w:val="Summarytable"/>
              <w:numPr>
                <w:ilvl w:val="1"/>
                <w:numId w:val="59"/>
              </w:numPr>
              <w:ind w:left="1134"/>
              <w:rPr>
                <w:b w:val="0"/>
                <w:bCs w:val="0"/>
              </w:rPr>
            </w:pPr>
            <w:r>
              <w:rPr>
                <w:b w:val="0"/>
                <w:bCs w:val="0"/>
              </w:rPr>
              <w:t>S</w:t>
            </w:r>
            <w:r w:rsidR="00D33952" w:rsidRPr="00D33952">
              <w:rPr>
                <w:b w:val="0"/>
                <w:bCs w:val="0"/>
              </w:rPr>
              <w:t xml:space="preserve">et out the principles and processes to establish </w:t>
            </w:r>
            <w:r w:rsidR="00D33952" w:rsidRPr="00F95F8D">
              <w:t>time-limited funding arrangements to respond to short-term national emergencies</w:t>
            </w:r>
            <w:r w:rsidR="00D33952" w:rsidRPr="00D33952">
              <w:rPr>
                <w:b w:val="0"/>
                <w:bCs w:val="0"/>
              </w:rPr>
              <w:t>, the circumstances in which these would be triggered and map the transition back to usual arrangements. These principles, processes and transitions should be informed by coordinated Commonwealth</w:t>
            </w:r>
            <w:r w:rsidR="009741BC">
              <w:rPr>
                <w:b w:val="0"/>
                <w:bCs w:val="0"/>
              </w:rPr>
              <w:t xml:space="preserve">, </w:t>
            </w:r>
            <w:r w:rsidR="00D33952" w:rsidRPr="00D33952">
              <w:rPr>
                <w:b w:val="0"/>
                <w:bCs w:val="0"/>
              </w:rPr>
              <w:t>State</w:t>
            </w:r>
            <w:r w:rsidR="009741BC">
              <w:rPr>
                <w:b w:val="0"/>
                <w:bCs w:val="0"/>
              </w:rPr>
              <w:t xml:space="preserve"> and </w:t>
            </w:r>
            <w:r w:rsidR="00D33952" w:rsidRPr="00D33952">
              <w:rPr>
                <w:b w:val="0"/>
                <w:bCs w:val="0"/>
              </w:rPr>
              <w:t>Territory consideration of the experience and lessons of the COVID-19 pandemic</w:t>
            </w:r>
            <w:r w:rsidR="00EC4113">
              <w:rPr>
                <w:b w:val="0"/>
                <w:bCs w:val="0"/>
              </w:rPr>
              <w:t xml:space="preserve"> </w:t>
            </w:r>
            <w:r w:rsidR="003F5178">
              <w:rPr>
                <w:b w:val="0"/>
                <w:bCs w:val="0"/>
              </w:rPr>
              <w:t>including</w:t>
            </w:r>
            <w:r w:rsidR="00EC4113">
              <w:rPr>
                <w:b w:val="0"/>
                <w:bCs w:val="0"/>
              </w:rPr>
              <w:t xml:space="preserve"> the </w:t>
            </w:r>
            <w:r w:rsidR="003F5178">
              <w:rPr>
                <w:b w:val="0"/>
                <w:bCs w:val="0"/>
              </w:rPr>
              <w:t>I</w:t>
            </w:r>
            <w:r w:rsidR="00FD25D2">
              <w:rPr>
                <w:b w:val="0"/>
                <w:bCs w:val="0"/>
              </w:rPr>
              <w:t xml:space="preserve">ndependent Inquiry into Australia’s </w:t>
            </w:r>
            <w:r w:rsidR="003F5178">
              <w:rPr>
                <w:b w:val="0"/>
                <w:bCs w:val="0"/>
              </w:rPr>
              <w:t>R</w:t>
            </w:r>
            <w:r w:rsidR="00FD25D2">
              <w:rPr>
                <w:b w:val="0"/>
                <w:bCs w:val="0"/>
              </w:rPr>
              <w:t>es</w:t>
            </w:r>
            <w:r w:rsidR="008B109D">
              <w:rPr>
                <w:b w:val="0"/>
                <w:bCs w:val="0"/>
              </w:rPr>
              <w:t xml:space="preserve">ponse </w:t>
            </w:r>
            <w:r w:rsidR="007061C0">
              <w:rPr>
                <w:b w:val="0"/>
                <w:bCs w:val="0"/>
              </w:rPr>
              <w:t xml:space="preserve">to the COVID-19 </w:t>
            </w:r>
            <w:r w:rsidR="003F5178">
              <w:rPr>
                <w:b w:val="0"/>
                <w:bCs w:val="0"/>
              </w:rPr>
              <w:t>P</w:t>
            </w:r>
            <w:r w:rsidR="007061C0">
              <w:rPr>
                <w:b w:val="0"/>
                <w:bCs w:val="0"/>
              </w:rPr>
              <w:t>andemic</w:t>
            </w:r>
            <w:r w:rsidR="00D33952" w:rsidRPr="00D33952">
              <w:rPr>
                <w:b w:val="0"/>
                <w:bCs w:val="0"/>
              </w:rPr>
              <w:t>.</w:t>
            </w:r>
          </w:p>
          <w:p w14:paraId="54D3D2BB" w14:textId="6D679696" w:rsidR="00612BC5" w:rsidRPr="005D100B" w:rsidRDefault="00D73803" w:rsidP="00A850C3">
            <w:pPr>
              <w:pStyle w:val="Summarytable"/>
              <w:numPr>
                <w:ilvl w:val="1"/>
                <w:numId w:val="59"/>
              </w:numPr>
              <w:ind w:left="1134"/>
              <w:rPr>
                <w:b w:val="0"/>
                <w:bCs w:val="0"/>
              </w:rPr>
            </w:pPr>
            <w:r>
              <w:rPr>
                <w:b w:val="0"/>
                <w:bCs w:val="0"/>
              </w:rPr>
              <w:t>B</w:t>
            </w:r>
            <w:r w:rsidR="001F5117">
              <w:rPr>
                <w:b w:val="0"/>
                <w:bCs w:val="0"/>
              </w:rPr>
              <w:t>e informed by</w:t>
            </w:r>
            <w:r w:rsidR="00407FDD">
              <w:rPr>
                <w:b w:val="0"/>
                <w:bCs w:val="0"/>
              </w:rPr>
              <w:t xml:space="preserve"> the</w:t>
            </w:r>
            <w:r w:rsidR="00484DA4">
              <w:rPr>
                <w:b w:val="0"/>
                <w:bCs w:val="0"/>
              </w:rPr>
              <w:t xml:space="preserve"> </w:t>
            </w:r>
            <w:r w:rsidR="00C55F4B" w:rsidRPr="00C55F4B">
              <w:rPr>
                <w:b w:val="0"/>
                <w:bCs w:val="0"/>
              </w:rPr>
              <w:t xml:space="preserve">Australian Centre for Disease Control </w:t>
            </w:r>
            <w:r w:rsidR="007D72FF">
              <w:rPr>
                <w:b w:val="0"/>
                <w:bCs w:val="0"/>
              </w:rPr>
              <w:t>and other related national bodies</w:t>
            </w:r>
            <w:r w:rsidR="00201D8E">
              <w:rPr>
                <w:b w:val="0"/>
                <w:bCs w:val="0"/>
              </w:rPr>
              <w:t>’</w:t>
            </w:r>
            <w:r w:rsidR="00407FDD">
              <w:rPr>
                <w:b w:val="0"/>
                <w:bCs w:val="0"/>
              </w:rPr>
              <w:t xml:space="preserve"> </w:t>
            </w:r>
            <w:r w:rsidR="00160058">
              <w:rPr>
                <w:b w:val="0"/>
                <w:bCs w:val="0"/>
              </w:rPr>
              <w:t xml:space="preserve">advice and </w:t>
            </w:r>
            <w:r w:rsidR="005C1FBF">
              <w:rPr>
                <w:b w:val="0"/>
                <w:bCs w:val="0"/>
              </w:rPr>
              <w:t xml:space="preserve">guidance </w:t>
            </w:r>
            <w:r w:rsidR="003D34B3">
              <w:rPr>
                <w:b w:val="0"/>
                <w:bCs w:val="0"/>
              </w:rPr>
              <w:t xml:space="preserve">regarding </w:t>
            </w:r>
            <w:r w:rsidR="004A15B6">
              <w:rPr>
                <w:b w:val="0"/>
                <w:bCs w:val="0"/>
              </w:rPr>
              <w:t xml:space="preserve">public health </w:t>
            </w:r>
            <w:r w:rsidR="003D34B3">
              <w:rPr>
                <w:b w:val="0"/>
                <w:bCs w:val="0"/>
              </w:rPr>
              <w:t>actions aimed at</w:t>
            </w:r>
            <w:r w:rsidR="001E4BCF">
              <w:rPr>
                <w:b w:val="0"/>
                <w:bCs w:val="0"/>
              </w:rPr>
              <w:t xml:space="preserve"> </w:t>
            </w:r>
            <w:r w:rsidR="003D34B3">
              <w:rPr>
                <w:b w:val="0"/>
                <w:bCs w:val="0"/>
              </w:rPr>
              <w:t>addressing disruptions to the health care system</w:t>
            </w:r>
            <w:r w:rsidR="004158D4">
              <w:rPr>
                <w:b w:val="0"/>
                <w:bCs w:val="0"/>
              </w:rPr>
              <w:t>.</w:t>
            </w:r>
          </w:p>
        </w:tc>
      </w:tr>
    </w:tbl>
    <w:p w14:paraId="332FB159" w14:textId="5A93FD46" w:rsidR="00FC1E14" w:rsidRDefault="00FC1E14" w:rsidP="00FC1E14"/>
    <w:p w14:paraId="1A663113" w14:textId="47DA9852" w:rsidR="00BC2830" w:rsidRPr="008B2303" w:rsidRDefault="00B1208C" w:rsidP="00D02A17">
      <w:pPr>
        <w:pStyle w:val="Heading3"/>
      </w:pPr>
      <w:bookmarkStart w:id="348" w:name="_Ref148445435"/>
      <w:r w:rsidRPr="008B2303">
        <w:t>S</w:t>
      </w:r>
      <w:r w:rsidR="00BC2830" w:rsidRPr="008B2303">
        <w:t xml:space="preserve">upport </w:t>
      </w:r>
      <w:r w:rsidR="003063F3" w:rsidRPr="008B2303">
        <w:t>health system</w:t>
      </w:r>
      <w:r w:rsidR="00BC2830" w:rsidRPr="008B2303">
        <w:t xml:space="preserve"> recovery from </w:t>
      </w:r>
      <w:r w:rsidR="00546BDC" w:rsidRPr="008B2303">
        <w:t>the ongoing impacts of COVID-19</w:t>
      </w:r>
      <w:bookmarkEnd w:id="348"/>
    </w:p>
    <w:tbl>
      <w:tblPr>
        <w:tblStyle w:val="TableGrid"/>
        <w:tblW w:w="0" w:type="auto"/>
        <w:tblLook w:val="04A0" w:firstRow="1" w:lastRow="0" w:firstColumn="1" w:lastColumn="0" w:noHBand="0" w:noVBand="1"/>
      </w:tblPr>
      <w:tblGrid>
        <w:gridCol w:w="7797"/>
        <w:gridCol w:w="2669"/>
      </w:tblGrid>
      <w:tr w:rsidR="00C93250" w14:paraId="62FDF823" w14:textId="77777777" w:rsidTr="00224087">
        <w:trPr>
          <w:cnfStyle w:val="100000000000" w:firstRow="1" w:lastRow="0" w:firstColumn="0" w:lastColumn="0" w:oddVBand="0" w:evenVBand="0" w:oddHBand="0" w:evenHBand="0" w:firstRowFirstColumn="0" w:firstRowLastColumn="0" w:lastRowFirstColumn="0" w:lastRowLastColumn="0"/>
        </w:trPr>
        <w:tc>
          <w:tcPr>
            <w:tcW w:w="7797" w:type="dxa"/>
          </w:tcPr>
          <w:p w14:paraId="38714F8A" w14:textId="701CD74E" w:rsidR="00C93250" w:rsidRDefault="00C93250" w:rsidP="00C93250">
            <w:r>
              <w:t xml:space="preserve">The longer-term effects of COVID-19 require </w:t>
            </w:r>
            <w:r w:rsidR="00581641">
              <w:t xml:space="preserve">monitoring and </w:t>
            </w:r>
            <w:r>
              <w:t xml:space="preserve">consideration, including management of increased mental health demand, the impact of delayed diagnosis both on demand and acuity, emerging effects of long-COVID and </w:t>
            </w:r>
            <w:r w:rsidR="008E2ADF">
              <w:t xml:space="preserve">any </w:t>
            </w:r>
            <w:r>
              <w:t>backlog</w:t>
            </w:r>
            <w:r w:rsidR="008E2ADF">
              <w:t>s</w:t>
            </w:r>
            <w:r>
              <w:t xml:space="preserve"> </w:t>
            </w:r>
            <w:r w:rsidR="008E2ADF">
              <w:t>in</w:t>
            </w:r>
            <w:r>
              <w:t xml:space="preserve"> planned surgery. The NHRA currently lacks the capacity to accelerate activity in response to system demand. The operation of the growth cap is a constraint</w:t>
            </w:r>
            <w:r w:rsidR="008E2ADF">
              <w:t>,</w:t>
            </w:r>
            <w:r>
              <w:t xml:space="preserve"> as is available workforce.   </w:t>
            </w:r>
          </w:p>
          <w:p w14:paraId="6E053D24" w14:textId="71FF7C68" w:rsidR="00C93250" w:rsidRDefault="00C93250" w:rsidP="00C93250">
            <w:r>
              <w:t>While the COVID</w:t>
            </w:r>
            <w:r w:rsidR="00074F20">
              <w:t>-19</w:t>
            </w:r>
            <w:r>
              <w:t xml:space="preserve"> NPA was extended several times, when it did expire on 31 December 2022, there were no transitional arrangements put in place. Consequently, activities that were previously funded under the COVID-19 NPA are currently funded through the NHRA (at a Commonwealth Contribution Rate of 45%) and count towards the 6.5% growth cap. As noted, the NEP lags behind the current costs of providing services due to the time it takes for cost data to translate to the NEP (refer to section </w:t>
            </w:r>
            <w:r>
              <w:fldChar w:fldCharType="begin" w:fldLock="1"/>
            </w:r>
            <w:r>
              <w:instrText xml:space="preserve"> REF _Ref145603522 \w \h  \* MERGEFORMAT </w:instrText>
            </w:r>
            <w:r>
              <w:fldChar w:fldCharType="separate"/>
            </w:r>
            <w:r w:rsidR="00FA10A4">
              <w:t>5.4.2.2</w:t>
            </w:r>
            <w:r>
              <w:fldChar w:fldCharType="end"/>
            </w:r>
            <w:r>
              <w:t xml:space="preserve">).  </w:t>
            </w:r>
          </w:p>
          <w:p w14:paraId="5A079061" w14:textId="43F6DA50" w:rsidR="00C93250" w:rsidRDefault="00C93250" w:rsidP="00C93250">
            <w:r>
              <w:t>States and Territories have reported that the cessation of the MFG from 2022-23 has shifted a significant financial burden onto them, given the 6.5% cap on national funding growth remains in place but the ongoing COVID-19 impacts have not dissipated.</w:t>
            </w:r>
          </w:p>
          <w:p w14:paraId="0E7B6564" w14:textId="36A458E7" w:rsidR="00C93250" w:rsidRDefault="00C93250" w:rsidP="008577F7">
            <w:r>
              <w:t xml:space="preserve">The </w:t>
            </w:r>
            <w:r w:rsidR="000B6DFE">
              <w:t>acuity</w:t>
            </w:r>
            <w:r>
              <w:t xml:space="preserve"> of ED presentations due to delayed care and </w:t>
            </w:r>
            <w:r w:rsidR="00321528">
              <w:t xml:space="preserve">any </w:t>
            </w:r>
            <w:r>
              <w:t xml:space="preserve">backlog in elective surgeries will place additional demand on the health care system. As the costs related to increased ED presentations rise, </w:t>
            </w:r>
            <w:r w:rsidR="000B6DFE">
              <w:t xml:space="preserve">States and Territories have advised that </w:t>
            </w:r>
            <w:r>
              <w:t>the only area where can limit their activity is elective surgery.</w:t>
            </w:r>
          </w:p>
        </w:tc>
        <w:tc>
          <w:tcPr>
            <w:tcW w:w="2669" w:type="dxa"/>
          </w:tcPr>
          <w:p w14:paraId="2EED5C62" w14:textId="593DC0E9" w:rsidR="00C93250" w:rsidRPr="00C93250" w:rsidRDefault="00C93250" w:rsidP="00C93250">
            <w:pPr>
              <w:ind w:left="138"/>
              <w:rPr>
                <w:i/>
                <w:iCs/>
                <w:sz w:val="28"/>
                <w:szCs w:val="28"/>
              </w:rPr>
            </w:pPr>
            <w:r w:rsidRPr="00C93250">
              <w:rPr>
                <w:i/>
                <w:iCs/>
                <w:color w:val="007680"/>
                <w:sz w:val="28"/>
                <w:szCs w:val="28"/>
              </w:rPr>
              <w:t>“COVID-19 has resulted in increased cost of service provision that is expected to endure. Hospitals have adapted to COVID-19 by changing patient movement and journeys, the use of PPE, cleaning procedures and how patients are grouped together.”</w:t>
            </w:r>
          </w:p>
        </w:tc>
      </w:tr>
    </w:tbl>
    <w:p w14:paraId="2E6C473F" w14:textId="487BD01D" w:rsidR="008577F7" w:rsidRDefault="008577F7" w:rsidP="008577F7">
      <w:r>
        <w:t>The Agreement should outline a shared commitment to collaborative strategies to address the ongoing impacts of COVID-19 on workforce availability, increased health service costs, increasing disease burden and the effects of delayed care on ED and elective surgery performance.</w:t>
      </w:r>
    </w:p>
    <w:tbl>
      <w:tblPr>
        <w:tblStyle w:val="TableGrid"/>
        <w:tblW w:w="10466" w:type="dxa"/>
        <w:tblBorders>
          <w:top w:val="dotted" w:sz="4" w:space="0" w:color="0097A9" w:themeColor="accent5"/>
          <w:left w:val="dotted" w:sz="4" w:space="0" w:color="0097A9" w:themeColor="accent5"/>
          <w:bottom w:val="dotted" w:sz="4" w:space="0" w:color="0097A9" w:themeColor="accent5"/>
          <w:right w:val="dotted" w:sz="4" w:space="0" w:color="0097A9" w:themeColor="accent5"/>
        </w:tblBorders>
        <w:tblLayout w:type="fixed"/>
        <w:tblLook w:val="04A0" w:firstRow="1" w:lastRow="0" w:firstColumn="1" w:lastColumn="0" w:noHBand="0" w:noVBand="1"/>
      </w:tblPr>
      <w:tblGrid>
        <w:gridCol w:w="3964"/>
        <w:gridCol w:w="6502"/>
      </w:tblGrid>
      <w:tr w:rsidR="00CA6DB5" w14:paraId="02B0EE7D" w14:textId="77777777" w:rsidTr="00A0058A">
        <w:trPr>
          <w:cnfStyle w:val="100000000000" w:firstRow="1" w:lastRow="0" w:firstColumn="0" w:lastColumn="0" w:oddVBand="0" w:evenVBand="0" w:oddHBand="0" w:evenHBand="0" w:firstRowFirstColumn="0" w:firstRowLastColumn="0" w:lastRowFirstColumn="0" w:lastRowLastColumn="0"/>
        </w:trPr>
        <w:tc>
          <w:tcPr>
            <w:tcW w:w="396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DE020F5" w14:textId="77777777" w:rsidR="00CA6DB5" w:rsidRPr="00BB2C81" w:rsidRDefault="00CA6DB5" w:rsidP="003D46B0">
            <w:pPr>
              <w:pStyle w:val="Summarytable"/>
              <w:keepNext/>
              <w:keepLines/>
              <w:rPr>
                <w:color w:val="00707E" w:themeColor="accent5" w:themeShade="BF"/>
              </w:rPr>
            </w:pPr>
            <w:r w:rsidRPr="00A0058A">
              <w:rPr>
                <w:noProof/>
                <w:color w:val="00707E" w:themeColor="accent5" w:themeShade="BF"/>
              </w:rPr>
              <w:drawing>
                <wp:inline distT="0" distB="0" distL="0" distR="0" wp14:anchorId="6803EB40" wp14:editId="1590F31E">
                  <wp:extent cx="270000" cy="270000"/>
                  <wp:effectExtent l="0" t="0" r="0" b="0"/>
                  <wp:docPr id="212" name="Graphic 212" descr="P2479C1T13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raphic 212" descr="P2479C1T132#yIS1">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270000" cy="270000"/>
                          </a:xfrm>
                          <a:prstGeom prst="rect">
                            <a:avLst/>
                          </a:prstGeom>
                        </pic:spPr>
                      </pic:pic>
                    </a:graphicData>
                  </a:graphic>
                </wp:inline>
              </w:drawing>
            </w:r>
            <w:r w:rsidRPr="00A0058A">
              <w:rPr>
                <w:color w:val="00707E" w:themeColor="accent5" w:themeShade="BF"/>
              </w:rPr>
              <w:t>Case study:</w:t>
            </w:r>
            <w:r w:rsidRPr="00BB2C81">
              <w:rPr>
                <w:color w:val="00707E" w:themeColor="accent5" w:themeShade="BF"/>
              </w:rPr>
              <w:t xml:space="preserve"> </w:t>
            </w:r>
            <w:r>
              <w:rPr>
                <w:b w:val="0"/>
                <w:bCs w:val="0"/>
                <w:color w:val="00707E" w:themeColor="accent5" w:themeShade="BF"/>
              </w:rPr>
              <w:t>Increasing wait times for elective surgery</w:t>
            </w:r>
          </w:p>
          <w:p w14:paraId="32C8E83C" w14:textId="21FBA34E" w:rsidR="00CA6DB5" w:rsidRDefault="00CA6DB5" w:rsidP="00127276">
            <w:pPr>
              <w:ind w:left="142"/>
            </w:pPr>
            <w:r>
              <w:t>From 2019-2022, wait times for elective surgery increased significantly due to the COVID-19 restrictions on performing elective surgery and the resultant elective surgery backlog. The average proportion of patients waiting longer than the clinically recommended time for elective surgery, across all categories, doubled in 2021-22</w:t>
            </w:r>
            <w:r>
              <w:rPr>
                <w:vertAlign w:val="superscript"/>
              </w:rPr>
              <w:t xml:space="preserve"> </w:t>
            </w:r>
            <w:r>
              <w:t xml:space="preserve">with an increase to 19.5% (refer to </w:t>
            </w:r>
            <w:r>
              <w:fldChar w:fldCharType="begin" w:fldLock="1"/>
            </w:r>
            <w:r>
              <w:instrText xml:space="preserve"> REF _Ref145019176 \h </w:instrText>
            </w:r>
            <w:r w:rsidR="00A0058A">
              <w:instrText xml:space="preserve"> \* MERGEFORMAT </w:instrText>
            </w:r>
            <w:r>
              <w:fldChar w:fldCharType="separate"/>
            </w:r>
            <w:r w:rsidR="00FA10A4">
              <w:t xml:space="preserve">Figure </w:t>
            </w:r>
            <w:r w:rsidR="00FA10A4">
              <w:rPr>
                <w:noProof/>
              </w:rPr>
              <w:t>40</w:t>
            </w:r>
            <w:r>
              <w:fldChar w:fldCharType="end"/>
            </w:r>
            <w:r w:rsidR="003F5D51">
              <w:rPr>
                <w:rFonts w:ascii="ZWAdobeF" w:hAnsi="ZWAdobeF" w:cs="ZWAdobeF"/>
                <w:sz w:val="2"/>
                <w:szCs w:val="2"/>
              </w:rPr>
              <w:t>177F</w:t>
            </w:r>
            <w:r w:rsidR="00FF7918">
              <w:rPr>
                <w:rStyle w:val="FootnoteReference"/>
              </w:rPr>
              <w:footnoteReference w:id="179"/>
            </w:r>
            <w:r>
              <w:t>).</w:t>
            </w:r>
          </w:p>
          <w:p w14:paraId="5FADBCAD" w14:textId="06A5A232" w:rsidR="00CA6DB5" w:rsidRDefault="00FA394A" w:rsidP="00127276">
            <w:pPr>
              <w:ind w:left="142"/>
            </w:pPr>
            <w:r>
              <w:t>Enduring impacts</w:t>
            </w:r>
            <w:r w:rsidR="00CA6DB5">
              <w:t xml:space="preserve"> </w:t>
            </w:r>
            <w:r w:rsidR="008C119E">
              <w:t>are hard to forecast. However,</w:t>
            </w:r>
            <w:r w:rsidR="00596084">
              <w:t xml:space="preserve"> </w:t>
            </w:r>
            <w:r w:rsidR="00CA6DB5">
              <w:t xml:space="preserve">based on the data in </w:t>
            </w:r>
            <w:r w:rsidR="00CA6DB5">
              <w:fldChar w:fldCharType="begin" w:fldLock="1"/>
            </w:r>
            <w:r w:rsidR="00CA6DB5">
              <w:instrText xml:space="preserve"> REF _Ref145019176 \h  \* MERGEFORMAT </w:instrText>
            </w:r>
            <w:r w:rsidR="00CA6DB5">
              <w:fldChar w:fldCharType="separate"/>
            </w:r>
            <w:r w:rsidR="00FA10A4">
              <w:t xml:space="preserve">Figure </w:t>
            </w:r>
            <w:r w:rsidR="00FA10A4">
              <w:rPr>
                <w:noProof/>
              </w:rPr>
              <w:t>40</w:t>
            </w:r>
            <w:r w:rsidR="00CA6DB5">
              <w:fldChar w:fldCharType="end"/>
            </w:r>
            <w:r w:rsidR="00CA6DB5">
              <w:t xml:space="preserve">, there </w:t>
            </w:r>
            <w:r w:rsidR="001736A4">
              <w:t xml:space="preserve">was </w:t>
            </w:r>
            <w:r w:rsidR="00CA6DB5">
              <w:t xml:space="preserve">an upward trend in </w:t>
            </w:r>
            <w:r w:rsidR="008C119E">
              <w:t>Categ</w:t>
            </w:r>
            <w:r w:rsidR="00E770C2">
              <w:t>ory 2 and 3 patients</w:t>
            </w:r>
            <w:r w:rsidR="00CA6DB5">
              <w:t xml:space="preserve"> and </w:t>
            </w:r>
            <w:r w:rsidR="00E770C2">
              <w:t>in the average wait time</w:t>
            </w:r>
            <w:r>
              <w:t>.</w:t>
            </w:r>
          </w:p>
        </w:tc>
        <w:tc>
          <w:tcPr>
            <w:tcW w:w="650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74AC655" w14:textId="77777777" w:rsidR="00CA6DB5" w:rsidRPr="00A0058A" w:rsidRDefault="00CA6DB5" w:rsidP="00FD4D9F">
            <w:pPr>
              <w:ind w:left="142"/>
            </w:pPr>
            <w:r w:rsidRPr="00A0058A">
              <w:rPr>
                <w:noProof/>
                <w:color w:val="00707E" w:themeColor="accent5" w:themeShade="BF"/>
              </w:rPr>
              <w:drawing>
                <wp:inline distT="0" distB="0" distL="0" distR="0" wp14:anchorId="21A91EDD" wp14:editId="533CB438">
                  <wp:extent cx="4088130" cy="1914525"/>
                  <wp:effectExtent l="0" t="0" r="7620" b="0"/>
                  <wp:docPr id="214" name="Chart 214" descr="P2482C2T132#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5D7C4005" w14:textId="2BC99E0C" w:rsidR="00CA6DB5" w:rsidRPr="00CA6DB5" w:rsidRDefault="00CA6DB5" w:rsidP="00C2024B">
            <w:pPr>
              <w:pStyle w:val="Caption"/>
              <w:rPr>
                <w:noProof/>
                <w:sz w:val="20"/>
                <w:szCs w:val="20"/>
              </w:rPr>
            </w:pPr>
            <w:bookmarkStart w:id="349" w:name="_Ref145019176"/>
            <w:bookmarkStart w:id="350" w:name="_Toc148968418"/>
            <w:r>
              <w:t xml:space="preserve">Figure </w:t>
            </w:r>
            <w:r>
              <w:fldChar w:fldCharType="begin"/>
            </w:r>
            <w:r>
              <w:instrText xml:space="preserve"> SEQ Figure \* ARABIC </w:instrText>
            </w:r>
            <w:r>
              <w:fldChar w:fldCharType="separate"/>
            </w:r>
            <w:r w:rsidR="003F5D51">
              <w:rPr>
                <w:noProof/>
              </w:rPr>
              <w:t>40</w:t>
            </w:r>
            <w:r>
              <w:fldChar w:fldCharType="end"/>
            </w:r>
            <w:bookmarkEnd w:id="349"/>
            <w:r>
              <w:t>: Proportion of patients waiting longer than the clinically recommended time for elective surgery by clinical category, 2012-22</w:t>
            </w:r>
            <w:bookmarkEnd w:id="350"/>
          </w:p>
        </w:tc>
      </w:tr>
    </w:tbl>
    <w:p w14:paraId="23C88DFA" w14:textId="77777777" w:rsidR="00816F59" w:rsidRDefault="00816F59" w:rsidP="008577F7"/>
    <w:tbl>
      <w:tblPr>
        <w:tblStyle w:val="TableGrid"/>
        <w:tblW w:w="0" w:type="auto"/>
        <w:shd w:val="clear" w:color="auto" w:fill="F2F2F2" w:themeFill="background1" w:themeFillShade="F2"/>
        <w:tblLook w:val="04A0" w:firstRow="1" w:lastRow="0" w:firstColumn="1" w:lastColumn="0" w:noHBand="0" w:noVBand="1"/>
      </w:tblPr>
      <w:tblGrid>
        <w:gridCol w:w="10466"/>
      </w:tblGrid>
      <w:tr w:rsidR="00DA2D1F" w14:paraId="2DE05F8A" w14:textId="77777777" w:rsidTr="007B1238">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2F2F2" w:themeFill="background1" w:themeFillShade="F2"/>
          </w:tcPr>
          <w:p w14:paraId="4BCDB688" w14:textId="50A4D46B" w:rsidR="00DA2D1F" w:rsidRPr="005D100B" w:rsidRDefault="00A0058A" w:rsidP="009F154E">
            <w:pPr>
              <w:pStyle w:val="Summarytable"/>
              <w:keepNext/>
              <w:rPr>
                <w:b w:val="0"/>
                <w:bCs w:val="0"/>
              </w:rPr>
            </w:pPr>
            <w:r>
              <w:rPr>
                <w:noProof/>
                <w:color w:val="0097A9" w:themeColor="accent5"/>
              </w:rPr>
              <w:drawing>
                <wp:inline distT="0" distB="0" distL="0" distR="0" wp14:anchorId="1C4285EB" wp14:editId="3F1839E6">
                  <wp:extent cx="270000" cy="270000"/>
                  <wp:effectExtent l="0" t="0" r="0" b="0"/>
                  <wp:docPr id="1489793600" name="Graphic 1489793600" descr="P2486C1T13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00" name="Graphic 1489793600" descr="P2486C1T133#yIS1">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70000" cy="270000"/>
                          </a:xfrm>
                          <a:prstGeom prst="rect">
                            <a:avLst/>
                          </a:prstGeom>
                        </pic:spPr>
                      </pic:pic>
                    </a:graphicData>
                  </a:graphic>
                </wp:inline>
              </w:drawing>
            </w:r>
            <w:r w:rsidR="00DA2D1F" w:rsidRPr="00222940">
              <w:rPr>
                <w:color w:val="00707E" w:themeColor="accent5" w:themeShade="BF"/>
              </w:rPr>
              <w:t xml:space="preserve">Recommendation </w:t>
            </w:r>
            <w:r w:rsidR="00377E4E">
              <w:rPr>
                <w:color w:val="00707E" w:themeColor="accent5" w:themeShade="BF"/>
              </w:rPr>
              <w:t>4</w:t>
            </w:r>
            <w:r w:rsidR="00B03896">
              <w:rPr>
                <w:color w:val="00707E" w:themeColor="accent5" w:themeShade="BF"/>
              </w:rPr>
              <w:t>5</w:t>
            </w:r>
            <w:r w:rsidR="003C6181">
              <w:rPr>
                <w:color w:val="00707E" w:themeColor="accent5" w:themeShade="BF"/>
              </w:rPr>
              <w:t>:</w:t>
            </w:r>
            <w:r w:rsidR="007D68E0">
              <w:rPr>
                <w:color w:val="00707E" w:themeColor="accent5" w:themeShade="BF"/>
              </w:rPr>
              <w:t xml:space="preserve"> </w:t>
            </w:r>
            <w:r w:rsidR="00AD0E6C">
              <w:rPr>
                <w:b w:val="0"/>
                <w:bCs w:val="0"/>
              </w:rPr>
              <w:t xml:space="preserve">A recovery </w:t>
            </w:r>
            <w:r w:rsidR="00AD0E6C" w:rsidRPr="00E2113D">
              <w:t xml:space="preserve">plan </w:t>
            </w:r>
            <w:r w:rsidR="00AD0E6C">
              <w:t>should be agreed</w:t>
            </w:r>
            <w:r w:rsidR="00DA2D1F" w:rsidRPr="00E2113D">
              <w:t xml:space="preserve"> </w:t>
            </w:r>
            <w:r w:rsidR="00F42B97" w:rsidRPr="00E2113D">
              <w:t xml:space="preserve">for the remainder of the 2020-25 Addendum to address the </w:t>
            </w:r>
            <w:r w:rsidR="003753BB" w:rsidRPr="00E2113D">
              <w:t>ongoing impacts</w:t>
            </w:r>
            <w:r w:rsidR="00F42B97" w:rsidRPr="00E2113D">
              <w:t xml:space="preserve"> of COVID-19 </w:t>
            </w:r>
            <w:r w:rsidR="00F42B97">
              <w:rPr>
                <w:b w:val="0"/>
                <w:bCs w:val="0"/>
              </w:rPr>
              <w:t>on workforce availability, cost escalation, increased disease burden and the backlog of delayed care</w:t>
            </w:r>
            <w:r w:rsidR="00FA3459">
              <w:rPr>
                <w:b w:val="0"/>
                <w:bCs w:val="0"/>
              </w:rPr>
              <w:t xml:space="preserve">. </w:t>
            </w:r>
            <w:r w:rsidR="00AD0E6C">
              <w:rPr>
                <w:b w:val="0"/>
                <w:bCs w:val="0"/>
              </w:rPr>
              <w:t>An option that should be considered is to exempt elective surgery activity (all or part) from the growth cap for the period to the end of the current Agreement</w:t>
            </w:r>
            <w:r w:rsidR="00D73803">
              <w:rPr>
                <w:b w:val="0"/>
                <w:bCs w:val="0"/>
              </w:rPr>
              <w:t>,</w:t>
            </w:r>
            <w:r w:rsidR="00AD0E6C">
              <w:rPr>
                <w:b w:val="0"/>
                <w:bCs w:val="0"/>
              </w:rPr>
              <w:t xml:space="preserve"> to reduce elective surgery backlogs.</w:t>
            </w:r>
          </w:p>
        </w:tc>
      </w:tr>
    </w:tbl>
    <w:p w14:paraId="44286E06" w14:textId="35F73254" w:rsidR="00886AD6" w:rsidRDefault="009C091C" w:rsidP="00077A04">
      <w:pPr>
        <w:pStyle w:val="Heading2"/>
        <w:pageBreakBefore/>
      </w:pPr>
      <w:bookmarkStart w:id="351" w:name="_Toc143291702"/>
      <w:bookmarkStart w:id="352" w:name="_Ref143602429"/>
      <w:bookmarkStart w:id="353" w:name="_Ref144209775"/>
      <w:bookmarkStart w:id="354" w:name="_Ref144993520"/>
      <w:r w:rsidRPr="009C091C">
        <w:t xml:space="preserve">Technical </w:t>
      </w:r>
      <w:r w:rsidR="00BE4889">
        <w:t>amendments</w:t>
      </w:r>
      <w:r w:rsidRPr="009C091C">
        <w:t xml:space="preserve"> of the Agreement (</w:t>
      </w:r>
      <w:r>
        <w:t>n</w:t>
      </w:r>
      <w:r w:rsidRPr="009C091C">
        <w:t xml:space="preserve">ot </w:t>
      </w:r>
      <w:r>
        <w:t>a</w:t>
      </w:r>
      <w:r w:rsidRPr="009C091C">
        <w:t xml:space="preserve">ddressed </w:t>
      </w:r>
      <w:r>
        <w:t>e</w:t>
      </w:r>
      <w:r w:rsidRPr="009C091C">
        <w:t>lsewhere)</w:t>
      </w:r>
      <w:bookmarkEnd w:id="351"/>
      <w:bookmarkEnd w:id="352"/>
      <w:bookmarkEnd w:id="353"/>
      <w:bookmarkEnd w:id="354"/>
    </w:p>
    <w:p w14:paraId="76F8B732" w14:textId="4AFCE2F8" w:rsidR="009C091C" w:rsidRDefault="000A66FF" w:rsidP="009C091C">
      <w:r>
        <w:t xml:space="preserve">There are </w:t>
      </w:r>
      <w:r w:rsidR="00143F12">
        <w:t>a range of t</w:t>
      </w:r>
      <w:r w:rsidR="00B365B9">
        <w:t xml:space="preserve">echnical amendments </w:t>
      </w:r>
      <w:r w:rsidR="002759BB">
        <w:t>required to</w:t>
      </w:r>
      <w:r w:rsidR="0022217D">
        <w:t xml:space="preserve"> </w:t>
      </w:r>
      <w:r w:rsidR="00B365B9">
        <w:t xml:space="preserve">the Agreement </w:t>
      </w:r>
      <w:r w:rsidR="002759BB">
        <w:t>in the future</w:t>
      </w:r>
      <w:r w:rsidR="0022217D">
        <w:t xml:space="preserve"> </w:t>
      </w:r>
      <w:r w:rsidR="00B365B9">
        <w:t>that are not addressed elsewhere in the report</w:t>
      </w:r>
      <w:r w:rsidR="002759BB">
        <w:t xml:space="preserve">, provided in </w:t>
      </w:r>
      <w:r w:rsidR="00143F12">
        <w:fldChar w:fldCharType="begin" w:fldLock="1"/>
      </w:r>
      <w:r w:rsidR="00143F12">
        <w:instrText xml:space="preserve"> REF _Ref142482878 \h </w:instrText>
      </w:r>
      <w:r w:rsidR="00143F12">
        <w:fldChar w:fldCharType="separate"/>
      </w:r>
      <w:r w:rsidR="00FA10A4">
        <w:t xml:space="preserve">Table </w:t>
      </w:r>
      <w:r w:rsidR="00FA10A4">
        <w:rPr>
          <w:noProof/>
        </w:rPr>
        <w:t>5</w:t>
      </w:r>
      <w:r w:rsidR="00143F12">
        <w:fldChar w:fldCharType="end"/>
      </w:r>
      <w:r w:rsidR="002759BB">
        <w:t>.</w:t>
      </w:r>
    </w:p>
    <w:p w14:paraId="3EC5E675" w14:textId="14392B42" w:rsidR="00503894" w:rsidRPr="00377E34" w:rsidRDefault="00503894" w:rsidP="00C2024B">
      <w:pPr>
        <w:pStyle w:val="Caption"/>
      </w:pPr>
      <w:bookmarkStart w:id="355" w:name="_Ref142482878"/>
      <w:bookmarkStart w:id="356" w:name="_Toc148968369"/>
      <w:r>
        <w:t xml:space="preserve">Table </w:t>
      </w:r>
      <w:r>
        <w:fldChar w:fldCharType="begin"/>
      </w:r>
      <w:r>
        <w:instrText xml:space="preserve"> SEQ Table \* ARABIC </w:instrText>
      </w:r>
      <w:r>
        <w:fldChar w:fldCharType="separate"/>
      </w:r>
      <w:r w:rsidR="003F5D51">
        <w:rPr>
          <w:noProof/>
        </w:rPr>
        <w:t>5</w:t>
      </w:r>
      <w:r>
        <w:rPr>
          <w:noProof/>
        </w:rPr>
        <w:fldChar w:fldCharType="end"/>
      </w:r>
      <w:bookmarkEnd w:id="355"/>
      <w:r>
        <w:t xml:space="preserve">: </w:t>
      </w:r>
      <w:r w:rsidR="00EF67D4" w:rsidRPr="00EF67D4">
        <w:t>Technical amendments of the Agreement (not addressed elsewhere</w:t>
      </w:r>
      <w:r w:rsidR="00401EC9">
        <w:t xml:space="preserve"> in the report</w:t>
      </w:r>
      <w:r w:rsidR="00EF67D4">
        <w:t>)</w:t>
      </w:r>
      <w:bookmarkEnd w:id="356"/>
    </w:p>
    <w:tbl>
      <w:tblPr>
        <w:tblStyle w:val="Deloittetable"/>
        <w:tblW w:w="4944" w:type="pct"/>
        <w:tblLook w:val="04A0" w:firstRow="1" w:lastRow="0" w:firstColumn="1" w:lastColumn="0" w:noHBand="0" w:noVBand="1"/>
      </w:tblPr>
      <w:tblGrid>
        <w:gridCol w:w="1842"/>
        <w:gridCol w:w="8507"/>
      </w:tblGrid>
      <w:tr w:rsidR="00B25012" w:rsidRPr="00B25012" w14:paraId="4D8CC7EF" w14:textId="77777777" w:rsidTr="00B90341">
        <w:trPr>
          <w:cnfStyle w:val="100000000000" w:firstRow="1" w:lastRow="0" w:firstColumn="0" w:lastColumn="0" w:oddVBand="0" w:evenVBand="0" w:oddHBand="0" w:evenHBand="0" w:firstRowFirstColumn="0" w:firstRowLastColumn="0" w:lastRowFirstColumn="0" w:lastRowLastColumn="0"/>
        </w:trPr>
        <w:tc>
          <w:tcPr>
            <w:tcW w:w="890" w:type="pct"/>
            <w:tcBorders>
              <w:top w:val="single" w:sz="24" w:space="0" w:color="0097A9" w:themeColor="accent5"/>
              <w:bottom w:val="single" w:sz="8" w:space="0" w:color="D9D9D9"/>
            </w:tcBorders>
          </w:tcPr>
          <w:p w14:paraId="0F2C5760" w14:textId="0AF783E9" w:rsidR="001C2E1B" w:rsidRPr="00B25012" w:rsidRDefault="009B4D68" w:rsidP="001C7AB1">
            <w:pPr>
              <w:pStyle w:val="Tableheading"/>
              <w:spacing w:before="60" w:after="60" w:line="216" w:lineRule="auto"/>
              <w:rPr>
                <w:color w:val="00707E" w:themeColor="accent5" w:themeShade="BF"/>
                <w:sz w:val="18"/>
                <w:szCs w:val="18"/>
              </w:rPr>
            </w:pPr>
            <w:r w:rsidRPr="00B25012">
              <w:rPr>
                <w:color w:val="00707E" w:themeColor="accent5" w:themeShade="BF"/>
                <w:sz w:val="18"/>
                <w:szCs w:val="18"/>
              </w:rPr>
              <w:t>Issue</w:t>
            </w:r>
          </w:p>
        </w:tc>
        <w:tc>
          <w:tcPr>
            <w:tcW w:w="4110" w:type="pct"/>
            <w:tcBorders>
              <w:top w:val="single" w:sz="24" w:space="0" w:color="0097A9" w:themeColor="accent5"/>
              <w:bottom w:val="single" w:sz="8" w:space="0" w:color="D9D9D9"/>
            </w:tcBorders>
          </w:tcPr>
          <w:p w14:paraId="75AB73F7" w14:textId="548C2B61" w:rsidR="001C2E1B" w:rsidRPr="00B25012" w:rsidRDefault="009B4D68" w:rsidP="001C7AB1">
            <w:pPr>
              <w:pStyle w:val="Tableheading"/>
              <w:spacing w:before="60" w:after="60" w:line="216" w:lineRule="auto"/>
              <w:rPr>
                <w:color w:val="00707E" w:themeColor="accent5" w:themeShade="BF"/>
                <w:sz w:val="18"/>
                <w:szCs w:val="18"/>
              </w:rPr>
            </w:pPr>
            <w:r w:rsidRPr="00B25012">
              <w:rPr>
                <w:color w:val="00707E" w:themeColor="accent5" w:themeShade="BF"/>
                <w:sz w:val="18"/>
                <w:szCs w:val="18"/>
              </w:rPr>
              <w:t>Comment</w:t>
            </w:r>
          </w:p>
        </w:tc>
      </w:tr>
      <w:tr w:rsidR="003B6D78" w:rsidRPr="00C0090D" w14:paraId="307BE08C" w14:textId="77777777" w:rsidTr="00B90341">
        <w:tc>
          <w:tcPr>
            <w:tcW w:w="890" w:type="pct"/>
            <w:tcBorders>
              <w:top w:val="single" w:sz="8" w:space="0" w:color="D9D9D9"/>
              <w:left w:val="nil"/>
              <w:bottom w:val="single" w:sz="8" w:space="0" w:color="D9D9D9"/>
              <w:right w:val="nil"/>
            </w:tcBorders>
          </w:tcPr>
          <w:p w14:paraId="584E2562" w14:textId="3D76A86A" w:rsidR="003B6D78" w:rsidRPr="004D4D13" w:rsidRDefault="00BD544D" w:rsidP="001C7AB1">
            <w:pPr>
              <w:pStyle w:val="TabletextLeft"/>
              <w:spacing w:before="60" w:after="60" w:line="216" w:lineRule="auto"/>
              <w:rPr>
                <w:sz w:val="18"/>
                <w:szCs w:val="18"/>
              </w:rPr>
            </w:pPr>
            <w:r w:rsidRPr="004D4D13">
              <w:rPr>
                <w:sz w:val="18"/>
                <w:szCs w:val="18"/>
              </w:rPr>
              <w:t>‘Grandfathering’ of services at particular hospitals</w:t>
            </w:r>
          </w:p>
        </w:tc>
        <w:tc>
          <w:tcPr>
            <w:tcW w:w="4110" w:type="pct"/>
            <w:tcBorders>
              <w:top w:val="single" w:sz="8" w:space="0" w:color="D9D9D9"/>
              <w:left w:val="nil"/>
              <w:bottom w:val="single" w:sz="8" w:space="0" w:color="D9D9D9"/>
              <w:right w:val="nil"/>
            </w:tcBorders>
            <w:shd w:val="clear" w:color="auto" w:fill="auto"/>
          </w:tcPr>
          <w:p w14:paraId="48FD1783" w14:textId="02252852" w:rsidR="003B6D78" w:rsidRPr="004D4D13" w:rsidRDefault="00BD544D" w:rsidP="00020D8C">
            <w:pPr>
              <w:pStyle w:val="TabletextLeft"/>
              <w:spacing w:before="60" w:after="60" w:line="216" w:lineRule="auto"/>
              <w:ind w:left="63"/>
              <w:rPr>
                <w:sz w:val="18"/>
                <w:szCs w:val="18"/>
              </w:rPr>
            </w:pPr>
            <w:r w:rsidRPr="004D4D13">
              <w:rPr>
                <w:sz w:val="18"/>
                <w:szCs w:val="18"/>
              </w:rPr>
              <w:t>Clause A24 in conjunction with Clause A17 enables ‘grandfathering’ of services at particular hospitals so they are eligible for Commonwealth funding. This is because of pre-NHRA arrangements that permitted them to be funded as public hospital services. This embeds a level of inequity between jurisdictions and between LHNs within jurisdictions.</w:t>
            </w:r>
            <w:r w:rsidR="004D4D13" w:rsidRPr="004D4D13">
              <w:rPr>
                <w:sz w:val="18"/>
                <w:szCs w:val="18"/>
              </w:rPr>
              <w:t xml:space="preserve"> A review of its application and consistency is required</w:t>
            </w:r>
            <w:r w:rsidR="00E925CE">
              <w:rPr>
                <w:sz w:val="18"/>
                <w:szCs w:val="18"/>
              </w:rPr>
              <w:t xml:space="preserve"> (</w:t>
            </w:r>
            <w:r w:rsidR="000775F7">
              <w:rPr>
                <w:sz w:val="18"/>
                <w:szCs w:val="18"/>
              </w:rPr>
              <w:t>links to Recommendation 12)</w:t>
            </w:r>
            <w:r w:rsidR="004D4D13" w:rsidRPr="004D4D13">
              <w:rPr>
                <w:sz w:val="18"/>
                <w:szCs w:val="18"/>
              </w:rPr>
              <w:t xml:space="preserve">. </w:t>
            </w:r>
          </w:p>
        </w:tc>
      </w:tr>
      <w:tr w:rsidR="006F6A20" w:rsidRPr="00C0090D" w14:paraId="7D2C7B20" w14:textId="77777777" w:rsidTr="00B90341">
        <w:tc>
          <w:tcPr>
            <w:tcW w:w="890" w:type="pct"/>
            <w:tcBorders>
              <w:top w:val="single" w:sz="8" w:space="0" w:color="D9D9D9"/>
              <w:left w:val="nil"/>
              <w:bottom w:val="single" w:sz="8" w:space="0" w:color="D9D9D9"/>
              <w:right w:val="nil"/>
            </w:tcBorders>
          </w:tcPr>
          <w:p w14:paraId="2085C2B8" w14:textId="3FCB7AEE" w:rsidR="006F6A20" w:rsidRPr="00716C4D" w:rsidRDefault="006F6A20" w:rsidP="001C7AB1">
            <w:pPr>
              <w:pStyle w:val="TabletextLeft"/>
              <w:spacing w:before="60" w:after="60" w:line="216" w:lineRule="auto"/>
              <w:rPr>
                <w:sz w:val="18"/>
                <w:szCs w:val="18"/>
              </w:rPr>
            </w:pPr>
            <w:r w:rsidRPr="00716C4D">
              <w:rPr>
                <w:sz w:val="18"/>
                <w:szCs w:val="18"/>
              </w:rPr>
              <w:t>Nationally Funded Centres</w:t>
            </w:r>
            <w:r w:rsidR="00F907B4" w:rsidRPr="00716C4D">
              <w:rPr>
                <w:sz w:val="18"/>
                <w:szCs w:val="18"/>
              </w:rPr>
              <w:t xml:space="preserve"> (NFCs)</w:t>
            </w:r>
          </w:p>
        </w:tc>
        <w:tc>
          <w:tcPr>
            <w:tcW w:w="4110" w:type="pct"/>
            <w:tcBorders>
              <w:top w:val="single" w:sz="8" w:space="0" w:color="D9D9D9"/>
              <w:left w:val="nil"/>
              <w:bottom w:val="single" w:sz="8" w:space="0" w:color="D9D9D9"/>
              <w:right w:val="nil"/>
            </w:tcBorders>
            <w:shd w:val="clear" w:color="auto" w:fill="auto"/>
          </w:tcPr>
          <w:p w14:paraId="468BD30D" w14:textId="28FCA55F" w:rsidR="007B1814" w:rsidRPr="00716C4D" w:rsidRDefault="00315998" w:rsidP="00020D8C">
            <w:pPr>
              <w:pStyle w:val="TabletextLeft"/>
              <w:spacing w:before="60" w:after="60" w:line="216" w:lineRule="auto"/>
              <w:ind w:left="63"/>
              <w:rPr>
                <w:sz w:val="18"/>
                <w:szCs w:val="18"/>
              </w:rPr>
            </w:pPr>
            <w:r w:rsidRPr="00716C4D">
              <w:rPr>
                <w:sz w:val="18"/>
                <w:szCs w:val="18"/>
              </w:rPr>
              <w:t xml:space="preserve">Clause </w:t>
            </w:r>
            <w:r w:rsidR="00F05927" w:rsidRPr="00716C4D">
              <w:rPr>
                <w:sz w:val="18"/>
                <w:szCs w:val="18"/>
              </w:rPr>
              <w:t xml:space="preserve">A187 and </w:t>
            </w:r>
            <w:r w:rsidR="00F907B4" w:rsidRPr="00716C4D">
              <w:rPr>
                <w:sz w:val="18"/>
                <w:szCs w:val="18"/>
              </w:rPr>
              <w:t>NFCs</w:t>
            </w:r>
            <w:r w:rsidR="007E38BB" w:rsidRPr="00716C4D">
              <w:rPr>
                <w:sz w:val="18"/>
                <w:szCs w:val="18"/>
              </w:rPr>
              <w:t xml:space="preserve"> was not identified as a high priority concern by stakeholders</w:t>
            </w:r>
            <w:r w:rsidR="005F4B3D" w:rsidRPr="00716C4D">
              <w:rPr>
                <w:sz w:val="18"/>
                <w:szCs w:val="18"/>
              </w:rPr>
              <w:t xml:space="preserve"> (among the other items identified)</w:t>
            </w:r>
            <w:r w:rsidR="007E38BB" w:rsidRPr="00716C4D">
              <w:rPr>
                <w:sz w:val="18"/>
                <w:szCs w:val="18"/>
              </w:rPr>
              <w:t xml:space="preserve">, however some stakeholders </w:t>
            </w:r>
            <w:r w:rsidR="009C5C67" w:rsidRPr="00716C4D">
              <w:rPr>
                <w:sz w:val="18"/>
                <w:szCs w:val="18"/>
              </w:rPr>
              <w:t>stated its operation and arrangements</w:t>
            </w:r>
            <w:r w:rsidR="00F05927" w:rsidRPr="00716C4D">
              <w:rPr>
                <w:sz w:val="18"/>
                <w:szCs w:val="18"/>
              </w:rPr>
              <w:t xml:space="preserve"> remain</w:t>
            </w:r>
            <w:r w:rsidR="009C5C67" w:rsidRPr="00716C4D">
              <w:rPr>
                <w:sz w:val="18"/>
                <w:szCs w:val="18"/>
              </w:rPr>
              <w:t>ed</w:t>
            </w:r>
            <w:r w:rsidR="00F05927" w:rsidRPr="00716C4D">
              <w:rPr>
                <w:sz w:val="18"/>
                <w:szCs w:val="18"/>
              </w:rPr>
              <w:t xml:space="preserve"> unresolved many years later despite significant investigation of the issue</w:t>
            </w:r>
            <w:r w:rsidR="009C5C67" w:rsidRPr="00716C4D">
              <w:rPr>
                <w:sz w:val="18"/>
                <w:szCs w:val="18"/>
              </w:rPr>
              <w:t>.</w:t>
            </w:r>
            <w:r w:rsidR="00F907B4" w:rsidRPr="00716C4D">
              <w:rPr>
                <w:sz w:val="18"/>
                <w:szCs w:val="18"/>
              </w:rPr>
              <w:t xml:space="preserve"> S</w:t>
            </w:r>
            <w:r w:rsidR="00FC77E7" w:rsidRPr="00716C4D">
              <w:rPr>
                <w:sz w:val="18"/>
                <w:szCs w:val="18"/>
              </w:rPr>
              <w:t>ervices</w:t>
            </w:r>
            <w:r w:rsidR="005F4B3D" w:rsidRPr="00716C4D">
              <w:rPr>
                <w:sz w:val="18"/>
                <w:szCs w:val="18"/>
              </w:rPr>
              <w:t xml:space="preserve"> such as NFCs</w:t>
            </w:r>
            <w:r w:rsidR="008417EF" w:rsidRPr="00716C4D">
              <w:rPr>
                <w:sz w:val="18"/>
                <w:szCs w:val="18"/>
              </w:rPr>
              <w:t xml:space="preserve"> </w:t>
            </w:r>
            <w:r w:rsidR="00FC77E7" w:rsidRPr="00716C4D">
              <w:rPr>
                <w:sz w:val="18"/>
                <w:szCs w:val="18"/>
              </w:rPr>
              <w:t>are at risk of systematic under-pricing through the existing national pricing model</w:t>
            </w:r>
            <w:r w:rsidR="00205C99" w:rsidRPr="00716C4D">
              <w:rPr>
                <w:sz w:val="18"/>
                <w:szCs w:val="18"/>
              </w:rPr>
              <w:t xml:space="preserve">. </w:t>
            </w:r>
            <w:r w:rsidR="00086536" w:rsidRPr="00716C4D">
              <w:rPr>
                <w:sz w:val="18"/>
                <w:szCs w:val="18"/>
              </w:rPr>
              <w:t>It may</w:t>
            </w:r>
            <w:r w:rsidR="007B1814" w:rsidRPr="00716C4D">
              <w:rPr>
                <w:sz w:val="18"/>
                <w:szCs w:val="18"/>
              </w:rPr>
              <w:t xml:space="preserve"> require additional data collections and feasibility studies</w:t>
            </w:r>
            <w:r w:rsidR="00086536" w:rsidRPr="00716C4D">
              <w:rPr>
                <w:sz w:val="18"/>
                <w:szCs w:val="18"/>
              </w:rPr>
              <w:t xml:space="preserve"> to assess </w:t>
            </w:r>
            <w:r w:rsidR="00733A52" w:rsidRPr="00716C4D">
              <w:rPr>
                <w:sz w:val="18"/>
                <w:szCs w:val="18"/>
              </w:rPr>
              <w:t xml:space="preserve">and </w:t>
            </w:r>
            <w:r w:rsidR="00CF4F7C" w:rsidRPr="00716C4D">
              <w:rPr>
                <w:sz w:val="18"/>
                <w:szCs w:val="18"/>
              </w:rPr>
              <w:t>determine</w:t>
            </w:r>
            <w:r w:rsidR="00733A52" w:rsidRPr="00716C4D">
              <w:rPr>
                <w:sz w:val="18"/>
                <w:szCs w:val="18"/>
              </w:rPr>
              <w:t xml:space="preserve"> an </w:t>
            </w:r>
            <w:r w:rsidR="00CF4F7C" w:rsidRPr="00716C4D">
              <w:rPr>
                <w:sz w:val="18"/>
                <w:szCs w:val="18"/>
              </w:rPr>
              <w:t>agreed way forward</w:t>
            </w:r>
            <w:r w:rsidR="007B1814" w:rsidRPr="00716C4D">
              <w:rPr>
                <w:sz w:val="18"/>
                <w:szCs w:val="18"/>
              </w:rPr>
              <w:t>, in which case</w:t>
            </w:r>
            <w:r w:rsidR="00C0208E" w:rsidRPr="00716C4D">
              <w:rPr>
                <w:sz w:val="18"/>
                <w:szCs w:val="18"/>
              </w:rPr>
              <w:t xml:space="preserve"> </w:t>
            </w:r>
            <w:r w:rsidR="007B1814" w:rsidRPr="00716C4D">
              <w:rPr>
                <w:sz w:val="18"/>
                <w:szCs w:val="18"/>
              </w:rPr>
              <w:t>obligations on Parties to support and enable development of new models would be required</w:t>
            </w:r>
            <w:r w:rsidR="00716C4D" w:rsidRPr="00716C4D">
              <w:rPr>
                <w:sz w:val="18"/>
                <w:szCs w:val="18"/>
              </w:rPr>
              <w:t>.</w:t>
            </w:r>
          </w:p>
        </w:tc>
      </w:tr>
      <w:tr w:rsidR="00411768" w:rsidRPr="00C0090D" w14:paraId="0857BAA2" w14:textId="77777777" w:rsidTr="00B90341">
        <w:tc>
          <w:tcPr>
            <w:tcW w:w="890" w:type="pct"/>
            <w:tcBorders>
              <w:top w:val="single" w:sz="8" w:space="0" w:color="D9D9D9"/>
              <w:left w:val="nil"/>
              <w:bottom w:val="single" w:sz="8" w:space="0" w:color="D9D9D9"/>
              <w:right w:val="nil"/>
            </w:tcBorders>
          </w:tcPr>
          <w:p w14:paraId="2855B057" w14:textId="5C35FA03" w:rsidR="00411768" w:rsidRPr="005607E8" w:rsidRDefault="00FD0FF2" w:rsidP="001C7AB1">
            <w:pPr>
              <w:pStyle w:val="TabletextLeft"/>
              <w:spacing w:before="60" w:after="60" w:line="216" w:lineRule="auto"/>
              <w:rPr>
                <w:sz w:val="18"/>
                <w:szCs w:val="18"/>
                <w:highlight w:val="yellow"/>
              </w:rPr>
            </w:pPr>
            <w:r>
              <w:rPr>
                <w:sz w:val="18"/>
                <w:szCs w:val="18"/>
              </w:rPr>
              <w:t>P</w:t>
            </w:r>
            <w:r w:rsidRPr="00FD0FF2">
              <w:rPr>
                <w:sz w:val="18"/>
                <w:szCs w:val="18"/>
              </w:rPr>
              <w:t xml:space="preserve">eople who do not reside in one of the eight self-governing </w:t>
            </w:r>
            <w:r>
              <w:rPr>
                <w:sz w:val="18"/>
                <w:szCs w:val="18"/>
              </w:rPr>
              <w:t>S</w:t>
            </w:r>
            <w:r w:rsidRPr="00FD0FF2">
              <w:rPr>
                <w:sz w:val="18"/>
                <w:szCs w:val="18"/>
              </w:rPr>
              <w:t xml:space="preserve">tates or </w:t>
            </w:r>
            <w:r>
              <w:rPr>
                <w:sz w:val="18"/>
                <w:szCs w:val="18"/>
              </w:rPr>
              <w:t>T</w:t>
            </w:r>
            <w:r w:rsidRPr="00FD0FF2">
              <w:rPr>
                <w:sz w:val="18"/>
                <w:szCs w:val="18"/>
              </w:rPr>
              <w:t>erritories</w:t>
            </w:r>
          </w:p>
        </w:tc>
        <w:tc>
          <w:tcPr>
            <w:tcW w:w="4110" w:type="pct"/>
            <w:tcBorders>
              <w:top w:val="single" w:sz="8" w:space="0" w:color="D9D9D9"/>
              <w:left w:val="nil"/>
              <w:bottom w:val="single" w:sz="8" w:space="0" w:color="D9D9D9"/>
              <w:right w:val="nil"/>
            </w:tcBorders>
            <w:shd w:val="clear" w:color="auto" w:fill="auto"/>
          </w:tcPr>
          <w:p w14:paraId="7A5ACC2C" w14:textId="56E277F1" w:rsidR="00411768" w:rsidRPr="000651D0" w:rsidRDefault="00AB46D4" w:rsidP="00020D8C">
            <w:pPr>
              <w:pStyle w:val="TabletextLeft"/>
              <w:spacing w:before="60" w:after="60" w:line="216" w:lineRule="auto"/>
              <w:ind w:left="63"/>
              <w:rPr>
                <w:sz w:val="18"/>
                <w:szCs w:val="18"/>
              </w:rPr>
            </w:pPr>
            <w:r>
              <w:rPr>
                <w:sz w:val="18"/>
                <w:szCs w:val="18"/>
              </w:rPr>
              <w:t>Review the i</w:t>
            </w:r>
            <w:r w:rsidR="00411768" w:rsidRPr="00411768">
              <w:rPr>
                <w:sz w:val="18"/>
                <w:szCs w:val="18"/>
              </w:rPr>
              <w:t xml:space="preserve">ncomplete and inconsistent categorisation of some cohorts of patients, such as people who do not </w:t>
            </w:r>
            <w:r w:rsidR="00411768" w:rsidRPr="000651D0">
              <w:rPr>
                <w:sz w:val="18"/>
                <w:szCs w:val="18"/>
              </w:rPr>
              <w:t xml:space="preserve">reside in one of the eight self-governing </w:t>
            </w:r>
            <w:r w:rsidR="000651D0" w:rsidRPr="000651D0">
              <w:rPr>
                <w:sz w:val="18"/>
                <w:szCs w:val="18"/>
              </w:rPr>
              <w:t>S</w:t>
            </w:r>
            <w:r w:rsidR="00411768" w:rsidRPr="000651D0">
              <w:rPr>
                <w:sz w:val="18"/>
                <w:szCs w:val="18"/>
              </w:rPr>
              <w:t xml:space="preserve">tates or </w:t>
            </w:r>
            <w:r w:rsidR="000651D0" w:rsidRPr="000651D0">
              <w:rPr>
                <w:sz w:val="18"/>
                <w:szCs w:val="18"/>
              </w:rPr>
              <w:t>T</w:t>
            </w:r>
            <w:r w:rsidR="00411768" w:rsidRPr="000651D0">
              <w:rPr>
                <w:sz w:val="18"/>
                <w:szCs w:val="18"/>
              </w:rPr>
              <w:t>erritories</w:t>
            </w:r>
            <w:r w:rsidR="000651D0" w:rsidRPr="000651D0">
              <w:rPr>
                <w:sz w:val="18"/>
                <w:szCs w:val="18"/>
              </w:rPr>
              <w:t>.</w:t>
            </w:r>
            <w:r>
              <w:rPr>
                <w:sz w:val="18"/>
                <w:szCs w:val="18"/>
              </w:rPr>
              <w:t xml:space="preserve"> </w:t>
            </w:r>
            <w:r w:rsidR="00B7289D">
              <w:rPr>
                <w:sz w:val="18"/>
                <w:szCs w:val="18"/>
              </w:rPr>
              <w:t>F</w:t>
            </w:r>
            <w:r>
              <w:rPr>
                <w:sz w:val="18"/>
                <w:szCs w:val="18"/>
              </w:rPr>
              <w:t xml:space="preserve">urther understanding </w:t>
            </w:r>
            <w:r w:rsidR="00B7289D">
              <w:rPr>
                <w:sz w:val="18"/>
                <w:szCs w:val="18"/>
              </w:rPr>
              <w:t xml:space="preserve">is needed </w:t>
            </w:r>
            <w:r>
              <w:rPr>
                <w:sz w:val="18"/>
                <w:szCs w:val="18"/>
              </w:rPr>
              <w:t>of</w:t>
            </w:r>
            <w:r>
              <w:t xml:space="preserve"> </w:t>
            </w:r>
            <w:r w:rsidRPr="00AB46D4">
              <w:rPr>
                <w:sz w:val="18"/>
                <w:szCs w:val="18"/>
              </w:rPr>
              <w:t>how many p</w:t>
            </w:r>
            <w:r w:rsidR="001E2BEC">
              <w:rPr>
                <w:sz w:val="18"/>
                <w:szCs w:val="18"/>
              </w:rPr>
              <w:t xml:space="preserve">atients </w:t>
            </w:r>
            <w:r w:rsidRPr="00AB46D4">
              <w:rPr>
                <w:sz w:val="18"/>
                <w:szCs w:val="18"/>
              </w:rPr>
              <w:t>this relates to, their circumstances and impact to public hospital services</w:t>
            </w:r>
            <w:r w:rsidR="001E2BEC">
              <w:rPr>
                <w:sz w:val="18"/>
                <w:szCs w:val="18"/>
              </w:rPr>
              <w:t>.</w:t>
            </w:r>
          </w:p>
        </w:tc>
      </w:tr>
      <w:tr w:rsidR="00A4240C" w:rsidRPr="00C0090D" w14:paraId="48F20CA0" w14:textId="77777777" w:rsidTr="00B90341">
        <w:tc>
          <w:tcPr>
            <w:tcW w:w="890" w:type="pct"/>
            <w:tcBorders>
              <w:top w:val="single" w:sz="8" w:space="0" w:color="D9D9D9"/>
              <w:left w:val="nil"/>
              <w:bottom w:val="single" w:sz="8" w:space="0" w:color="D9D9D9"/>
              <w:right w:val="nil"/>
            </w:tcBorders>
          </w:tcPr>
          <w:p w14:paraId="0DDFFF40" w14:textId="21695D9F" w:rsidR="00A4240C" w:rsidRDefault="00A4240C" w:rsidP="001C7AB1">
            <w:pPr>
              <w:pStyle w:val="TabletextLeft"/>
              <w:spacing w:before="60" w:after="60" w:line="216" w:lineRule="auto"/>
              <w:rPr>
                <w:sz w:val="18"/>
                <w:szCs w:val="18"/>
              </w:rPr>
            </w:pPr>
            <w:r>
              <w:rPr>
                <w:sz w:val="18"/>
                <w:szCs w:val="18"/>
              </w:rPr>
              <w:t xml:space="preserve">Consistent </w:t>
            </w:r>
            <w:r w:rsidR="007770FD">
              <w:rPr>
                <w:sz w:val="18"/>
                <w:szCs w:val="18"/>
              </w:rPr>
              <w:t xml:space="preserve">definition of </w:t>
            </w:r>
            <w:r w:rsidRPr="00A4240C">
              <w:rPr>
                <w:sz w:val="18"/>
                <w:szCs w:val="18"/>
              </w:rPr>
              <w:t xml:space="preserve">compensable patients </w:t>
            </w:r>
          </w:p>
        </w:tc>
        <w:tc>
          <w:tcPr>
            <w:tcW w:w="4110" w:type="pct"/>
            <w:tcBorders>
              <w:top w:val="single" w:sz="8" w:space="0" w:color="D9D9D9"/>
              <w:left w:val="nil"/>
              <w:bottom w:val="single" w:sz="8" w:space="0" w:color="D9D9D9"/>
              <w:right w:val="nil"/>
            </w:tcBorders>
            <w:shd w:val="clear" w:color="auto" w:fill="auto"/>
          </w:tcPr>
          <w:p w14:paraId="654FFEE2" w14:textId="3788CC53" w:rsidR="00A4240C" w:rsidRPr="00A4240C" w:rsidRDefault="00A4240C" w:rsidP="00020D8C">
            <w:pPr>
              <w:pStyle w:val="TabletextLeft"/>
              <w:spacing w:before="60" w:after="60" w:line="216" w:lineRule="auto"/>
              <w:ind w:left="63"/>
              <w:rPr>
                <w:sz w:val="18"/>
                <w:szCs w:val="18"/>
              </w:rPr>
            </w:pPr>
            <w:r w:rsidRPr="00A4240C">
              <w:rPr>
                <w:sz w:val="18"/>
                <w:szCs w:val="18"/>
              </w:rPr>
              <w:t xml:space="preserve">“Compensable patients” </w:t>
            </w:r>
            <w:r>
              <w:rPr>
                <w:sz w:val="18"/>
                <w:szCs w:val="18"/>
              </w:rPr>
              <w:t>is</w:t>
            </w:r>
            <w:r w:rsidRPr="00A4240C">
              <w:rPr>
                <w:sz w:val="18"/>
                <w:szCs w:val="18"/>
              </w:rPr>
              <w:t xml:space="preserve"> not defined in Commonwealth legislation but instead </w:t>
            </w:r>
            <w:r w:rsidR="007770FD">
              <w:rPr>
                <w:sz w:val="18"/>
                <w:szCs w:val="18"/>
              </w:rPr>
              <w:t>there are</w:t>
            </w:r>
            <w:r w:rsidRPr="00A4240C">
              <w:rPr>
                <w:sz w:val="18"/>
                <w:szCs w:val="18"/>
              </w:rPr>
              <w:t xml:space="preserve"> </w:t>
            </w:r>
            <w:r>
              <w:rPr>
                <w:sz w:val="18"/>
                <w:szCs w:val="18"/>
              </w:rPr>
              <w:t>S</w:t>
            </w:r>
            <w:r w:rsidRPr="00A4240C">
              <w:rPr>
                <w:sz w:val="18"/>
                <w:szCs w:val="18"/>
              </w:rPr>
              <w:t xml:space="preserve">tate and </w:t>
            </w:r>
            <w:r>
              <w:rPr>
                <w:sz w:val="18"/>
                <w:szCs w:val="18"/>
              </w:rPr>
              <w:t>T</w:t>
            </w:r>
            <w:r w:rsidRPr="00A4240C">
              <w:rPr>
                <w:sz w:val="18"/>
                <w:szCs w:val="18"/>
              </w:rPr>
              <w:t xml:space="preserve">erritory-specific definitions (for example, some </w:t>
            </w:r>
            <w:r>
              <w:rPr>
                <w:sz w:val="18"/>
                <w:szCs w:val="18"/>
              </w:rPr>
              <w:t>S</w:t>
            </w:r>
            <w:r w:rsidRPr="00A4240C">
              <w:rPr>
                <w:sz w:val="18"/>
                <w:szCs w:val="18"/>
              </w:rPr>
              <w:t xml:space="preserve">tates and </w:t>
            </w:r>
            <w:r>
              <w:rPr>
                <w:sz w:val="18"/>
                <w:szCs w:val="18"/>
              </w:rPr>
              <w:t>T</w:t>
            </w:r>
            <w:r w:rsidRPr="00A4240C">
              <w:rPr>
                <w:sz w:val="18"/>
                <w:szCs w:val="18"/>
              </w:rPr>
              <w:t>erritories consider Australian Defence Force personnel to be compensable patients).</w:t>
            </w:r>
            <w:r>
              <w:rPr>
                <w:sz w:val="18"/>
                <w:szCs w:val="18"/>
              </w:rPr>
              <w:t xml:space="preserve"> Consisten</w:t>
            </w:r>
            <w:r w:rsidR="007770FD">
              <w:rPr>
                <w:sz w:val="18"/>
                <w:szCs w:val="18"/>
              </w:rPr>
              <w:t>cy</w:t>
            </w:r>
            <w:r>
              <w:rPr>
                <w:sz w:val="18"/>
                <w:szCs w:val="18"/>
              </w:rPr>
              <w:t xml:space="preserve"> and clarity is required for </w:t>
            </w:r>
            <w:r w:rsidR="00005151">
              <w:rPr>
                <w:sz w:val="18"/>
                <w:szCs w:val="18"/>
              </w:rPr>
              <w:t xml:space="preserve">a national funding basis. </w:t>
            </w:r>
          </w:p>
        </w:tc>
      </w:tr>
      <w:tr w:rsidR="00CC0BD1" w:rsidRPr="00C0090D" w14:paraId="3BBE7975" w14:textId="77777777" w:rsidTr="00B90341">
        <w:tc>
          <w:tcPr>
            <w:tcW w:w="890" w:type="pct"/>
            <w:tcBorders>
              <w:top w:val="single" w:sz="8" w:space="0" w:color="D9D9D9"/>
              <w:left w:val="nil"/>
              <w:bottom w:val="single" w:sz="8" w:space="0" w:color="D9D9D9"/>
              <w:right w:val="nil"/>
            </w:tcBorders>
          </w:tcPr>
          <w:p w14:paraId="3768D7B6" w14:textId="69190C3A" w:rsidR="00CC0BD1" w:rsidRDefault="00211916" w:rsidP="001C7AB1">
            <w:pPr>
              <w:pStyle w:val="TabletextLeft"/>
              <w:spacing w:before="60" w:after="60" w:line="216" w:lineRule="auto"/>
              <w:rPr>
                <w:sz w:val="18"/>
                <w:szCs w:val="18"/>
              </w:rPr>
            </w:pPr>
            <w:r>
              <w:rPr>
                <w:sz w:val="18"/>
                <w:szCs w:val="18"/>
              </w:rPr>
              <w:t>Patient policies</w:t>
            </w:r>
          </w:p>
        </w:tc>
        <w:tc>
          <w:tcPr>
            <w:tcW w:w="4110" w:type="pct"/>
            <w:tcBorders>
              <w:top w:val="single" w:sz="8" w:space="0" w:color="D9D9D9"/>
              <w:left w:val="nil"/>
              <w:bottom w:val="single" w:sz="8" w:space="0" w:color="D9D9D9"/>
              <w:right w:val="nil"/>
            </w:tcBorders>
            <w:shd w:val="clear" w:color="auto" w:fill="auto"/>
          </w:tcPr>
          <w:p w14:paraId="4C28291F" w14:textId="2FB545D6" w:rsidR="00CC0BD1" w:rsidRPr="00A4240C" w:rsidRDefault="00CC0BD1" w:rsidP="00020D8C">
            <w:pPr>
              <w:pStyle w:val="TabletextLeft"/>
              <w:spacing w:before="60" w:after="60" w:line="216" w:lineRule="auto"/>
              <w:ind w:left="63"/>
              <w:rPr>
                <w:sz w:val="18"/>
                <w:szCs w:val="18"/>
              </w:rPr>
            </w:pPr>
            <w:r w:rsidRPr="00CC0BD1">
              <w:rPr>
                <w:sz w:val="18"/>
                <w:szCs w:val="18"/>
              </w:rPr>
              <w:t xml:space="preserve">Given the legacy of differing policy interpretation and practice, consideration </w:t>
            </w:r>
            <w:r w:rsidR="007770FD">
              <w:rPr>
                <w:sz w:val="18"/>
                <w:szCs w:val="18"/>
              </w:rPr>
              <w:t>could</w:t>
            </w:r>
            <w:r w:rsidRPr="00CC0BD1">
              <w:rPr>
                <w:sz w:val="18"/>
                <w:szCs w:val="18"/>
              </w:rPr>
              <w:t xml:space="preserve"> be given to how the NHRA and its Business Rules, could better reflect a shared </w:t>
            </w:r>
            <w:r w:rsidRPr="00670D0D">
              <w:rPr>
                <w:sz w:val="18"/>
                <w:szCs w:val="18"/>
              </w:rPr>
              <w:t xml:space="preserve">understanding of the intent of the operation of </w:t>
            </w:r>
            <w:r w:rsidR="003407EB">
              <w:rPr>
                <w:sz w:val="18"/>
                <w:szCs w:val="18"/>
              </w:rPr>
              <w:t>certain</w:t>
            </w:r>
            <w:r w:rsidR="00E84673">
              <w:rPr>
                <w:sz w:val="18"/>
                <w:szCs w:val="18"/>
              </w:rPr>
              <w:t xml:space="preserve"> items such as t</w:t>
            </w:r>
            <w:r w:rsidRPr="00670D0D">
              <w:rPr>
                <w:sz w:val="18"/>
                <w:szCs w:val="18"/>
              </w:rPr>
              <w:t xml:space="preserve">he circumstances under which patient charges can be levied and the operation of Clause G21 (non-admitted services provided by </w:t>
            </w:r>
            <w:r w:rsidR="00E84673">
              <w:rPr>
                <w:sz w:val="18"/>
                <w:szCs w:val="18"/>
              </w:rPr>
              <w:t>GPs</w:t>
            </w:r>
            <w:r w:rsidRPr="00CC0BD1">
              <w:rPr>
                <w:sz w:val="18"/>
                <w:szCs w:val="18"/>
              </w:rPr>
              <w:t xml:space="preserve"> to private patient</w:t>
            </w:r>
            <w:r w:rsidR="00E84673">
              <w:rPr>
                <w:sz w:val="18"/>
                <w:szCs w:val="18"/>
              </w:rPr>
              <w:t>s).</w:t>
            </w:r>
          </w:p>
        </w:tc>
      </w:tr>
    </w:tbl>
    <w:p w14:paraId="50926268" w14:textId="77777777" w:rsidR="00C81037" w:rsidRPr="003A16BC" w:rsidRDefault="00C81037" w:rsidP="003A16BC"/>
    <w:p w14:paraId="4030BEC8" w14:textId="77777777" w:rsidR="007D6E50" w:rsidRDefault="007D6E50" w:rsidP="009D6E74">
      <w:pPr>
        <w:sectPr w:rsidR="007D6E50" w:rsidSect="0053360F">
          <w:headerReference w:type="even" r:id="rId110"/>
          <w:headerReference w:type="default" r:id="rId111"/>
          <w:headerReference w:type="first" r:id="rId112"/>
          <w:pgSz w:w="11906" w:h="16838" w:code="9"/>
          <w:pgMar w:top="1276" w:right="720" w:bottom="720" w:left="720" w:header="680" w:footer="425" w:gutter="0"/>
          <w:cols w:space="284"/>
          <w:docGrid w:linePitch="360"/>
        </w:sectPr>
      </w:pPr>
    </w:p>
    <w:p w14:paraId="23014BA6" w14:textId="289C0A78" w:rsidR="002D34EC" w:rsidRDefault="00961312" w:rsidP="007B5BDB">
      <w:pPr>
        <w:pStyle w:val="Heading1"/>
      </w:pPr>
      <w:bookmarkStart w:id="357" w:name="_Toc143291703"/>
      <w:bookmarkStart w:id="358" w:name="_Ref144209819"/>
      <w:bookmarkStart w:id="359" w:name="_Toc148968354"/>
      <w:r>
        <w:t>Future directions roadmap</w:t>
      </w:r>
      <w:bookmarkEnd w:id="357"/>
      <w:bookmarkEnd w:id="358"/>
      <w:bookmarkEnd w:id="359"/>
    </w:p>
    <w:p w14:paraId="0F09143A" w14:textId="46787782" w:rsidR="00FB72DF" w:rsidRPr="00D47C58" w:rsidRDefault="00FB72DF" w:rsidP="00FB72DF">
      <w:pPr>
        <w:pStyle w:val="Sectionintro"/>
      </w:pPr>
      <w:r>
        <w:t xml:space="preserve">This chapter </w:t>
      </w:r>
      <w:r w:rsidR="00696433">
        <w:t xml:space="preserve">provides </w:t>
      </w:r>
      <w:r w:rsidR="00696433" w:rsidRPr="00696433">
        <w:t xml:space="preserve">a pathway to reform with </w:t>
      </w:r>
      <w:r w:rsidR="007C735C">
        <w:t xml:space="preserve">a </w:t>
      </w:r>
      <w:r w:rsidR="00696433" w:rsidRPr="00696433">
        <w:t xml:space="preserve">horizon </w:t>
      </w:r>
      <w:r w:rsidR="007C735C">
        <w:t xml:space="preserve">timeframe </w:t>
      </w:r>
      <w:r w:rsidR="00696433" w:rsidRPr="00696433">
        <w:t xml:space="preserve">of </w:t>
      </w:r>
      <w:r w:rsidR="007C735C">
        <w:t>next</w:t>
      </w:r>
      <w:r w:rsidR="00696433" w:rsidRPr="00696433">
        <w:t xml:space="preserve"> steps</w:t>
      </w:r>
      <w:r w:rsidRPr="00D47C58">
        <w:t xml:space="preserve">. </w:t>
      </w:r>
    </w:p>
    <w:p w14:paraId="32350EDA" w14:textId="77777777" w:rsidR="002F0986" w:rsidRPr="002F0986" w:rsidRDefault="002F0986" w:rsidP="002F0986">
      <w:r w:rsidRPr="002F0986">
        <w:t>The Review, conducted at the mid-point of the 2020-2025 NHRA Addendum, has developed a set of recommendations intended both to inform and guide the remainder of the Addendum period as well as present options for future reform and Agreements.</w:t>
      </w:r>
    </w:p>
    <w:p w14:paraId="03BFD5A2" w14:textId="2E83EFD2" w:rsidR="00FE1782" w:rsidRDefault="002F0986" w:rsidP="002F0986">
      <w:r w:rsidRPr="002F0986">
        <w:t xml:space="preserve">At a broad level, the Review’s </w:t>
      </w:r>
      <w:r w:rsidRPr="00650E28">
        <w:t>forty-</w:t>
      </w:r>
      <w:r w:rsidR="0090010A" w:rsidRPr="0090010A">
        <w:t>five</w:t>
      </w:r>
      <w:r w:rsidRPr="0090010A">
        <w:t xml:space="preserve"> </w:t>
      </w:r>
      <w:r w:rsidRPr="002F0986">
        <w:t>recommendations can be grouped into five streams of activity as detailed in</w:t>
      </w:r>
      <w:r w:rsidR="00DB569F">
        <w:t xml:space="preserve"> </w:t>
      </w:r>
      <w:r w:rsidR="00DB569F">
        <w:fldChar w:fldCharType="begin" w:fldLock="1"/>
      </w:r>
      <w:r w:rsidR="00DB569F">
        <w:instrText xml:space="preserve"> REF _Ref147398542 \h </w:instrText>
      </w:r>
      <w:r w:rsidR="00DB569F">
        <w:fldChar w:fldCharType="separate"/>
      </w:r>
      <w:r w:rsidR="00FA10A4">
        <w:t xml:space="preserve">Figure </w:t>
      </w:r>
      <w:r w:rsidR="00FA10A4">
        <w:rPr>
          <w:noProof/>
        </w:rPr>
        <w:t>41</w:t>
      </w:r>
      <w:r w:rsidR="00DB569F">
        <w:fldChar w:fldCharType="end"/>
      </w:r>
      <w:r w:rsidRPr="002F0986">
        <w:t>, spanning governance, models of care, funding reform, performance and enablers.</w:t>
      </w:r>
    </w:p>
    <w:p w14:paraId="64C305A8" w14:textId="25E33A6C" w:rsidR="002F0986" w:rsidRDefault="006731EB" w:rsidP="002F0986">
      <w:pPr>
        <w:pStyle w:val="Reference"/>
        <w:rPr>
          <w:rFonts w:eastAsiaTheme="minorHAnsi" w:cs="Calibri"/>
        </w:rPr>
      </w:pPr>
      <w:r>
        <w:rPr>
          <w:rFonts w:eastAsiaTheme="minorHAnsi" w:cs="Calibri"/>
          <w:noProof/>
        </w:rPr>
        <w:drawing>
          <wp:inline distT="0" distB="0" distL="0" distR="0" wp14:anchorId="11205C85" wp14:editId="613EC555">
            <wp:extent cx="6661362" cy="3042775"/>
            <wp:effectExtent l="0" t="0" r="6350" b="5715"/>
            <wp:docPr id="28" name="Picture 28" descr="P25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2515#yIS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693768" cy="3057577"/>
                    </a:xfrm>
                    <a:prstGeom prst="rect">
                      <a:avLst/>
                    </a:prstGeom>
                    <a:noFill/>
                  </pic:spPr>
                </pic:pic>
              </a:graphicData>
            </a:graphic>
          </wp:inline>
        </w:drawing>
      </w:r>
    </w:p>
    <w:p w14:paraId="3ACA794D" w14:textId="7643CBD9" w:rsidR="009F5CDF" w:rsidRDefault="009F5CDF" w:rsidP="00C2024B">
      <w:pPr>
        <w:pStyle w:val="Caption"/>
      </w:pPr>
      <w:bookmarkStart w:id="360" w:name="_Ref147398542"/>
      <w:bookmarkStart w:id="361" w:name="_Toc148968419"/>
      <w:r>
        <w:t xml:space="preserve">Figure </w:t>
      </w:r>
      <w:r>
        <w:fldChar w:fldCharType="begin"/>
      </w:r>
      <w:r>
        <w:instrText xml:space="preserve"> SEQ Figure \* ARABIC </w:instrText>
      </w:r>
      <w:r>
        <w:fldChar w:fldCharType="separate"/>
      </w:r>
      <w:r w:rsidR="003F5D51">
        <w:rPr>
          <w:noProof/>
        </w:rPr>
        <w:t>41</w:t>
      </w:r>
      <w:r>
        <w:rPr>
          <w:noProof/>
        </w:rPr>
        <w:fldChar w:fldCharType="end"/>
      </w:r>
      <w:bookmarkEnd w:id="360"/>
      <w:r>
        <w:t xml:space="preserve">: </w:t>
      </w:r>
      <w:r w:rsidR="00DB569F" w:rsidRPr="00DB569F">
        <w:t>Overarching strategic implementation</w:t>
      </w:r>
      <w:bookmarkEnd w:id="361"/>
    </w:p>
    <w:p w14:paraId="6CECC0B9" w14:textId="5AADB3E2" w:rsidR="009B38E2" w:rsidRDefault="009B38E2" w:rsidP="009B38E2">
      <w:pPr>
        <w:rPr>
          <w:rFonts w:ascii="Times New Roman" w:hAnsi="Times New Roman" w:cs="Times New Roman"/>
        </w:rPr>
      </w:pPr>
      <w:r>
        <w:t>While initiatives across each of these streams will take time to develop and implement, it is important that this work begins as soon as possible, to enable a new Agreement to be fully operational from its commencement date, in particular:</w:t>
      </w:r>
    </w:p>
    <w:p w14:paraId="51AA72AA" w14:textId="5C57165C" w:rsidR="009B38E2" w:rsidRDefault="009B38E2" w:rsidP="009B38E2">
      <w:pPr>
        <w:pStyle w:val="ListBullet"/>
        <w:ind w:left="709"/>
      </w:pPr>
      <w:r>
        <w:t xml:space="preserve">establishing the governance settings and framing of a new </w:t>
      </w:r>
      <w:r w:rsidR="00826D12">
        <w:t>w</w:t>
      </w:r>
      <w:r>
        <w:t xml:space="preserve">hole of </w:t>
      </w:r>
      <w:r w:rsidR="00826D12">
        <w:t>H</w:t>
      </w:r>
      <w:r>
        <w:t xml:space="preserve">ealth </w:t>
      </w:r>
      <w:r w:rsidR="00826D12">
        <w:t>S</w:t>
      </w:r>
      <w:r>
        <w:t xml:space="preserve">ystem </w:t>
      </w:r>
      <w:r w:rsidR="00826D12">
        <w:t>A</w:t>
      </w:r>
      <w:r>
        <w:t>greement</w:t>
      </w:r>
    </w:p>
    <w:p w14:paraId="12FDCE89" w14:textId="03DBB191" w:rsidR="009B38E2" w:rsidRDefault="009B38E2" w:rsidP="009B38E2">
      <w:pPr>
        <w:pStyle w:val="ListBullet"/>
        <w:ind w:left="709"/>
      </w:pPr>
      <w:r>
        <w:t>conducting early work on developing new models of care and the National Health Funding and Payments Framework</w:t>
      </w:r>
      <w:r w:rsidR="00826D12">
        <w:t>, and</w:t>
      </w:r>
    </w:p>
    <w:p w14:paraId="2DE90B07" w14:textId="77777777" w:rsidR="009B38E2" w:rsidRDefault="009B38E2" w:rsidP="009B38E2">
      <w:pPr>
        <w:pStyle w:val="ListParagraph"/>
        <w:numPr>
          <w:ilvl w:val="0"/>
          <w:numId w:val="119"/>
        </w:numPr>
        <w:spacing w:after="160" w:line="256" w:lineRule="auto"/>
      </w:pPr>
      <w:r>
        <w:t>agreeing a new performance framework that can take effect from the start of a new Agreement.</w:t>
      </w:r>
    </w:p>
    <w:p w14:paraId="6058DA4A" w14:textId="14019C52" w:rsidR="009B38E2" w:rsidRDefault="009B38E2" w:rsidP="009B38E2">
      <w:r>
        <w:t>Further</w:t>
      </w:r>
      <w:r w:rsidR="00826D12">
        <w:t>,</w:t>
      </w:r>
      <w:r>
        <w:t xml:space="preserve"> there are recommendations that would enhance the operation of the current Agreement while negotiations are underway, notably:</w:t>
      </w:r>
    </w:p>
    <w:p w14:paraId="4BBB456A" w14:textId="14604FC9" w:rsidR="009B38E2" w:rsidRDefault="009B38E2" w:rsidP="00826D12">
      <w:pPr>
        <w:pStyle w:val="ListBullet"/>
        <w:ind w:left="709"/>
      </w:pPr>
      <w:r>
        <w:t>agreeing a recovery plan for ongoing impacts of COVID-19</w:t>
      </w:r>
      <w:r w:rsidR="00826D12">
        <w:t>,</w:t>
      </w:r>
      <w:r>
        <w:t xml:space="preserve"> and</w:t>
      </w:r>
    </w:p>
    <w:p w14:paraId="6A62C900" w14:textId="77777777" w:rsidR="009B38E2" w:rsidRDefault="009B38E2" w:rsidP="00826D12">
      <w:pPr>
        <w:pStyle w:val="ListBullet"/>
        <w:spacing w:after="120"/>
        <w:ind w:left="709"/>
        <w:contextualSpacing w:val="0"/>
      </w:pPr>
      <w:r>
        <w:t>putting in place short term arrangements to expedite transition of older patients and NDIS participants from the acute setting once their clinical episode is complete.</w:t>
      </w:r>
    </w:p>
    <w:p w14:paraId="45757F18" w14:textId="46D46FF8" w:rsidR="009B38E2" w:rsidRDefault="00792D34" w:rsidP="009B38E2">
      <w:r>
        <w:fldChar w:fldCharType="begin" w:fldLock="1"/>
      </w:r>
      <w:r>
        <w:instrText xml:space="preserve"> REF _Ref147398758 \h </w:instrText>
      </w:r>
      <w:r>
        <w:fldChar w:fldCharType="separate"/>
      </w:r>
      <w:r w:rsidR="00FA10A4">
        <w:t xml:space="preserve">Figure </w:t>
      </w:r>
      <w:r w:rsidR="00FA10A4">
        <w:rPr>
          <w:noProof/>
        </w:rPr>
        <w:t>42</w:t>
      </w:r>
      <w:r>
        <w:fldChar w:fldCharType="end"/>
      </w:r>
      <w:r>
        <w:t xml:space="preserve"> on the following page </w:t>
      </w:r>
      <w:r w:rsidR="009B38E2">
        <w:t xml:space="preserve">sets out a proposed implementation roadmap for all recommendations across </w:t>
      </w:r>
      <w:r w:rsidR="00711F51">
        <w:t xml:space="preserve">these five work streams in </w:t>
      </w:r>
      <w:r w:rsidR="009B38E2">
        <w:t>three time horizons: to the end of the current Addendum where there is potential for quick wins and preparatory work; and two tranches of a new Agreement (early and later). The roadmap differentiates between the requirement for development work and proposed timing of implementation.</w:t>
      </w:r>
    </w:p>
    <w:p w14:paraId="7F1A6F78" w14:textId="77777777" w:rsidR="00CA6DB5" w:rsidRDefault="00CA6DB5" w:rsidP="009B38E2"/>
    <w:p w14:paraId="7EE453EE" w14:textId="77777777" w:rsidR="00E026F3" w:rsidRDefault="00E026F3" w:rsidP="009B38E2">
      <w:pPr>
        <w:sectPr w:rsidR="00E026F3" w:rsidSect="0053360F">
          <w:headerReference w:type="even" r:id="rId114"/>
          <w:headerReference w:type="default" r:id="rId115"/>
          <w:headerReference w:type="first" r:id="rId116"/>
          <w:pgSz w:w="11906" w:h="16838" w:code="9"/>
          <w:pgMar w:top="1276" w:right="720" w:bottom="720" w:left="720" w:header="680" w:footer="425" w:gutter="0"/>
          <w:cols w:space="284"/>
          <w:docGrid w:linePitch="360"/>
        </w:sectPr>
      </w:pPr>
    </w:p>
    <w:p w14:paraId="418AE0C4" w14:textId="73F99143" w:rsidR="00792D34" w:rsidRDefault="00792D34" w:rsidP="009B38E2">
      <w:pPr>
        <w:rPr>
          <w:noProof/>
        </w:rPr>
      </w:pPr>
    </w:p>
    <w:p w14:paraId="4846AC61" w14:textId="7DA23760" w:rsidR="004706A4" w:rsidRDefault="003E6625" w:rsidP="009B38E2">
      <w:r>
        <w:rPr>
          <w:noProof/>
        </w:rPr>
        <w:drawing>
          <wp:inline distT="0" distB="0" distL="0" distR="0" wp14:anchorId="044A44CF" wp14:editId="41BD1C07">
            <wp:extent cx="9530715" cy="5273213"/>
            <wp:effectExtent l="0" t="0" r="0" b="3810"/>
            <wp:docPr id="55" name="Picture 55" descr="P25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2528#yIS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548909" cy="5283279"/>
                    </a:xfrm>
                    <a:prstGeom prst="rect">
                      <a:avLst/>
                    </a:prstGeom>
                    <a:noFill/>
                  </pic:spPr>
                </pic:pic>
              </a:graphicData>
            </a:graphic>
          </wp:inline>
        </w:drawing>
      </w:r>
    </w:p>
    <w:p w14:paraId="550C8C3A" w14:textId="22777570" w:rsidR="00792D34" w:rsidRPr="00C0090D" w:rsidRDefault="00792D34" w:rsidP="00C2024B">
      <w:pPr>
        <w:pStyle w:val="Caption"/>
      </w:pPr>
      <w:bookmarkStart w:id="362" w:name="_Ref147398758"/>
      <w:bookmarkStart w:id="363" w:name="_Toc148968420"/>
      <w:r>
        <w:t xml:space="preserve">Figure </w:t>
      </w:r>
      <w:r>
        <w:fldChar w:fldCharType="begin"/>
      </w:r>
      <w:r>
        <w:instrText xml:space="preserve"> SEQ Figure \* ARABIC </w:instrText>
      </w:r>
      <w:r>
        <w:fldChar w:fldCharType="separate"/>
      </w:r>
      <w:r w:rsidR="003F5D51">
        <w:rPr>
          <w:noProof/>
        </w:rPr>
        <w:t>42</w:t>
      </w:r>
      <w:r>
        <w:rPr>
          <w:noProof/>
        </w:rPr>
        <w:fldChar w:fldCharType="end"/>
      </w:r>
      <w:bookmarkEnd w:id="362"/>
      <w:r>
        <w:t>: Recommendation implementation timeline</w:t>
      </w:r>
      <w:bookmarkEnd w:id="363"/>
    </w:p>
    <w:p w14:paraId="71734F69" w14:textId="77777777" w:rsidR="002D34EC" w:rsidRPr="00C0090D" w:rsidRDefault="002D34EC" w:rsidP="002C1140">
      <w:pPr>
        <w:pStyle w:val="Reference"/>
        <w:sectPr w:rsidR="002D34EC" w:rsidRPr="00C0090D" w:rsidSect="00650E28">
          <w:pgSz w:w="16838" w:h="11906" w:orient="landscape" w:code="9"/>
          <w:pgMar w:top="720" w:right="1276" w:bottom="720" w:left="720" w:header="680" w:footer="425" w:gutter="0"/>
          <w:cols w:space="284"/>
          <w:docGrid w:linePitch="360"/>
        </w:sectPr>
      </w:pPr>
    </w:p>
    <w:p w14:paraId="5AC7FF7A" w14:textId="5FC0096B" w:rsidR="000010CD" w:rsidRPr="0057185D" w:rsidRDefault="000010CD" w:rsidP="0057185D">
      <w:pPr>
        <w:pStyle w:val="Appendixheading"/>
      </w:pPr>
      <w:bookmarkStart w:id="364" w:name="_Toc462313127"/>
      <w:bookmarkStart w:id="365" w:name="_Toc462317836"/>
      <w:bookmarkStart w:id="366" w:name="_Toc462397801"/>
      <w:bookmarkStart w:id="367" w:name="_Toc463002428"/>
      <w:bookmarkStart w:id="368" w:name="_Toc472586340"/>
      <w:bookmarkStart w:id="369" w:name="_Toc482168118"/>
      <w:bookmarkStart w:id="370" w:name="_Toc482174905"/>
      <w:bookmarkStart w:id="371" w:name="_Toc33430643"/>
      <w:bookmarkStart w:id="372" w:name="_Toc143291704"/>
      <w:bookmarkStart w:id="373" w:name="_Toc148968355"/>
      <w:bookmarkStart w:id="374" w:name="_Ref109808228"/>
      <w:bookmarkStart w:id="375" w:name="_Ref141782797"/>
      <w:r w:rsidRPr="0057185D">
        <w:t>Glossary</w:t>
      </w:r>
      <w:bookmarkEnd w:id="364"/>
      <w:bookmarkEnd w:id="365"/>
      <w:bookmarkEnd w:id="366"/>
      <w:bookmarkEnd w:id="367"/>
      <w:bookmarkEnd w:id="368"/>
      <w:bookmarkEnd w:id="369"/>
      <w:bookmarkEnd w:id="370"/>
      <w:bookmarkEnd w:id="371"/>
      <w:bookmarkEnd w:id="372"/>
      <w:bookmarkEnd w:id="373"/>
    </w:p>
    <w:p w14:paraId="66B2DD35" w14:textId="2D5AF169" w:rsidR="00377E34" w:rsidRDefault="00377E34" w:rsidP="00C2024B">
      <w:pPr>
        <w:pStyle w:val="Caption"/>
      </w:pPr>
      <w:bookmarkStart w:id="376" w:name="_Toc148968370"/>
      <w:r>
        <w:t xml:space="preserve">Table </w:t>
      </w:r>
      <w:r>
        <w:fldChar w:fldCharType="begin"/>
      </w:r>
      <w:r>
        <w:instrText xml:space="preserve"> SEQ Table \* ARABIC </w:instrText>
      </w:r>
      <w:r>
        <w:fldChar w:fldCharType="separate"/>
      </w:r>
      <w:r w:rsidR="003F5D51">
        <w:rPr>
          <w:noProof/>
        </w:rPr>
        <w:t>6</w:t>
      </w:r>
      <w:r>
        <w:rPr>
          <w:noProof/>
        </w:rPr>
        <w:fldChar w:fldCharType="end"/>
      </w:r>
      <w:r>
        <w:t>: Glossary</w:t>
      </w:r>
      <w:bookmarkEnd w:id="376"/>
    </w:p>
    <w:tbl>
      <w:tblPr>
        <w:tblStyle w:val="Deloittetable"/>
        <w:tblW w:w="5000" w:type="pct"/>
        <w:tblLook w:val="04A0" w:firstRow="1" w:lastRow="0" w:firstColumn="1" w:lastColumn="0" w:noHBand="0" w:noVBand="1"/>
      </w:tblPr>
      <w:tblGrid>
        <w:gridCol w:w="1218"/>
        <w:gridCol w:w="3965"/>
        <w:gridCol w:w="21"/>
        <w:gridCol w:w="789"/>
        <w:gridCol w:w="4473"/>
      </w:tblGrid>
      <w:tr w:rsidR="00B25012" w:rsidRPr="00B25012" w14:paraId="556746BF" w14:textId="7CC503C8" w:rsidTr="00F17643">
        <w:trPr>
          <w:cnfStyle w:val="100000000000" w:firstRow="1" w:lastRow="0" w:firstColumn="0" w:lastColumn="0" w:oddVBand="0" w:evenVBand="0" w:oddHBand="0" w:evenHBand="0" w:firstRowFirstColumn="0" w:firstRowLastColumn="0" w:lastRowFirstColumn="0" w:lastRowLastColumn="0"/>
          <w:tblHeader/>
        </w:trPr>
        <w:tc>
          <w:tcPr>
            <w:tcW w:w="581" w:type="pct"/>
            <w:tcBorders>
              <w:top w:val="single" w:sz="24" w:space="0" w:color="0097A9" w:themeColor="accent5"/>
              <w:bottom w:val="single" w:sz="8" w:space="0" w:color="D9D9D9"/>
            </w:tcBorders>
          </w:tcPr>
          <w:p w14:paraId="451FD767" w14:textId="77777777" w:rsidR="00FA25A2" w:rsidRPr="00B25012" w:rsidRDefault="00FA25A2" w:rsidP="00B1718C">
            <w:pPr>
              <w:pStyle w:val="Tableheading"/>
              <w:rPr>
                <w:color w:val="00707E" w:themeColor="accent5" w:themeShade="BF"/>
                <w:sz w:val="18"/>
                <w:szCs w:val="18"/>
              </w:rPr>
            </w:pPr>
            <w:r w:rsidRPr="00B25012">
              <w:rPr>
                <w:color w:val="00707E" w:themeColor="accent5" w:themeShade="BF"/>
                <w:sz w:val="18"/>
                <w:szCs w:val="18"/>
              </w:rPr>
              <w:t>Acronym</w:t>
            </w:r>
          </w:p>
        </w:tc>
        <w:tc>
          <w:tcPr>
            <w:tcW w:w="1904" w:type="pct"/>
            <w:gridSpan w:val="2"/>
            <w:tcBorders>
              <w:top w:val="single" w:sz="24" w:space="0" w:color="0097A9" w:themeColor="accent5"/>
              <w:bottom w:val="single" w:sz="8" w:space="0" w:color="D9D9D9"/>
            </w:tcBorders>
          </w:tcPr>
          <w:p w14:paraId="71975365" w14:textId="77777777" w:rsidR="00FA25A2" w:rsidRPr="00B25012" w:rsidRDefault="00FA25A2" w:rsidP="00B1718C">
            <w:pPr>
              <w:pStyle w:val="Tableheading"/>
              <w:rPr>
                <w:color w:val="00707E" w:themeColor="accent5" w:themeShade="BF"/>
                <w:sz w:val="18"/>
                <w:szCs w:val="18"/>
              </w:rPr>
            </w:pPr>
            <w:r w:rsidRPr="00B25012">
              <w:rPr>
                <w:color w:val="00707E" w:themeColor="accent5" w:themeShade="BF"/>
                <w:sz w:val="18"/>
                <w:szCs w:val="18"/>
              </w:rPr>
              <w:t>Full name</w:t>
            </w:r>
          </w:p>
        </w:tc>
        <w:tc>
          <w:tcPr>
            <w:tcW w:w="377" w:type="pct"/>
            <w:tcBorders>
              <w:top w:val="single" w:sz="24" w:space="0" w:color="0097A9" w:themeColor="accent5"/>
              <w:bottom w:val="single" w:sz="8" w:space="0" w:color="D9D9D9"/>
            </w:tcBorders>
          </w:tcPr>
          <w:p w14:paraId="2CA6EDDA" w14:textId="1DBBA022" w:rsidR="00FA25A2" w:rsidRPr="00B25012" w:rsidRDefault="00FA25A2" w:rsidP="00B1718C">
            <w:pPr>
              <w:pStyle w:val="Tableheading"/>
              <w:rPr>
                <w:color w:val="00707E" w:themeColor="accent5" w:themeShade="BF"/>
                <w:sz w:val="18"/>
                <w:szCs w:val="18"/>
              </w:rPr>
            </w:pPr>
            <w:r w:rsidRPr="00B25012">
              <w:rPr>
                <w:color w:val="00707E" w:themeColor="accent5" w:themeShade="BF"/>
                <w:sz w:val="18"/>
                <w:szCs w:val="18"/>
              </w:rPr>
              <w:t>Acronym</w:t>
            </w:r>
          </w:p>
        </w:tc>
        <w:tc>
          <w:tcPr>
            <w:tcW w:w="2137" w:type="pct"/>
            <w:tcBorders>
              <w:top w:val="single" w:sz="24" w:space="0" w:color="0097A9" w:themeColor="accent5"/>
              <w:bottom w:val="single" w:sz="8" w:space="0" w:color="D9D9D9"/>
            </w:tcBorders>
          </w:tcPr>
          <w:p w14:paraId="2D2F0BAA" w14:textId="41FB03A8" w:rsidR="00FA25A2" w:rsidRPr="00B25012" w:rsidRDefault="00FA25A2" w:rsidP="00B1718C">
            <w:pPr>
              <w:pStyle w:val="Tableheading"/>
              <w:rPr>
                <w:color w:val="00707E" w:themeColor="accent5" w:themeShade="BF"/>
                <w:sz w:val="18"/>
                <w:szCs w:val="18"/>
              </w:rPr>
            </w:pPr>
            <w:r w:rsidRPr="00B25012">
              <w:rPr>
                <w:color w:val="00707E" w:themeColor="accent5" w:themeShade="BF"/>
                <w:sz w:val="18"/>
                <w:szCs w:val="18"/>
              </w:rPr>
              <w:t>Full name</w:t>
            </w:r>
          </w:p>
        </w:tc>
      </w:tr>
      <w:tr w:rsidR="00203770" w:rsidRPr="00C0090D" w14:paraId="3A6CD673" w14:textId="14654970" w:rsidTr="00F17643">
        <w:tc>
          <w:tcPr>
            <w:tcW w:w="581" w:type="pct"/>
            <w:tcBorders>
              <w:top w:val="single" w:sz="8" w:space="0" w:color="D9D9D9"/>
              <w:left w:val="nil"/>
              <w:bottom w:val="single" w:sz="8" w:space="0" w:color="D9D9D9"/>
              <w:right w:val="nil"/>
            </w:tcBorders>
            <w:shd w:val="clear" w:color="auto" w:fill="auto"/>
            <w:vAlign w:val="center"/>
          </w:tcPr>
          <w:p w14:paraId="7611ED5E" w14:textId="77777777" w:rsidR="00203770" w:rsidRPr="00196D8A" w:rsidRDefault="00203770" w:rsidP="008E70B8">
            <w:pPr>
              <w:pStyle w:val="TabletextLeft"/>
              <w:ind w:left="0" w:firstLine="142"/>
              <w:rPr>
                <w:sz w:val="18"/>
                <w:szCs w:val="18"/>
              </w:rPr>
            </w:pPr>
            <w:r w:rsidRPr="00196D8A">
              <w:rPr>
                <w:sz w:val="18"/>
                <w:szCs w:val="18"/>
              </w:rPr>
              <w:t>ABF</w:t>
            </w:r>
          </w:p>
        </w:tc>
        <w:tc>
          <w:tcPr>
            <w:tcW w:w="1904" w:type="pct"/>
            <w:gridSpan w:val="2"/>
            <w:tcBorders>
              <w:top w:val="single" w:sz="8" w:space="0" w:color="D9D9D9"/>
              <w:left w:val="nil"/>
              <w:bottom w:val="single" w:sz="8" w:space="0" w:color="D9D9D9"/>
              <w:right w:val="nil"/>
            </w:tcBorders>
            <w:shd w:val="clear" w:color="auto" w:fill="auto"/>
            <w:vAlign w:val="center"/>
          </w:tcPr>
          <w:p w14:paraId="28CC2324" w14:textId="77777777" w:rsidR="00203770" w:rsidRPr="00196D8A" w:rsidRDefault="00203770" w:rsidP="00203770">
            <w:pPr>
              <w:pStyle w:val="TabletextLeft"/>
              <w:rPr>
                <w:sz w:val="18"/>
                <w:szCs w:val="18"/>
              </w:rPr>
            </w:pPr>
            <w:r w:rsidRPr="00196D8A">
              <w:rPr>
                <w:sz w:val="18"/>
                <w:szCs w:val="18"/>
              </w:rPr>
              <w:t>Activity Based Funding</w:t>
            </w:r>
          </w:p>
        </w:tc>
        <w:tc>
          <w:tcPr>
            <w:tcW w:w="377" w:type="pct"/>
            <w:tcBorders>
              <w:top w:val="single" w:sz="8" w:space="0" w:color="D9D9D9"/>
              <w:left w:val="nil"/>
              <w:bottom w:val="single" w:sz="8" w:space="0" w:color="D9D9D9"/>
              <w:right w:val="nil"/>
            </w:tcBorders>
            <w:vAlign w:val="center"/>
          </w:tcPr>
          <w:p w14:paraId="49FE2AC5" w14:textId="46BD195F" w:rsidR="00203770" w:rsidRPr="00196D8A" w:rsidRDefault="00203770" w:rsidP="008E70B8">
            <w:pPr>
              <w:pStyle w:val="TabletextLeft"/>
              <w:ind w:left="158"/>
              <w:rPr>
                <w:sz w:val="18"/>
                <w:szCs w:val="18"/>
              </w:rPr>
            </w:pPr>
            <w:r>
              <w:rPr>
                <w:sz w:val="18"/>
                <w:szCs w:val="18"/>
              </w:rPr>
              <w:t>HAC</w:t>
            </w:r>
          </w:p>
        </w:tc>
        <w:tc>
          <w:tcPr>
            <w:tcW w:w="2137" w:type="pct"/>
            <w:tcBorders>
              <w:top w:val="single" w:sz="8" w:space="0" w:color="D9D9D9"/>
              <w:left w:val="nil"/>
              <w:bottom w:val="single" w:sz="8" w:space="0" w:color="D9D9D9"/>
              <w:right w:val="nil"/>
            </w:tcBorders>
            <w:vAlign w:val="center"/>
          </w:tcPr>
          <w:p w14:paraId="0CBF045A" w14:textId="5F833B3C" w:rsidR="00203770" w:rsidRPr="00196D8A" w:rsidRDefault="00203770" w:rsidP="00203770">
            <w:pPr>
              <w:pStyle w:val="TabletextLeft"/>
              <w:rPr>
                <w:sz w:val="18"/>
                <w:szCs w:val="18"/>
              </w:rPr>
            </w:pPr>
            <w:r w:rsidRPr="00D066D8">
              <w:rPr>
                <w:sz w:val="18"/>
                <w:szCs w:val="18"/>
              </w:rPr>
              <w:t>Hospital Acquired Complications</w:t>
            </w:r>
          </w:p>
        </w:tc>
      </w:tr>
      <w:tr w:rsidR="00203770" w:rsidRPr="00C0090D" w14:paraId="2445079A" w14:textId="77777777" w:rsidTr="00F17643">
        <w:tc>
          <w:tcPr>
            <w:tcW w:w="581" w:type="pct"/>
            <w:tcBorders>
              <w:top w:val="single" w:sz="8" w:space="0" w:color="D9D9D9"/>
              <w:left w:val="nil"/>
              <w:bottom w:val="single" w:sz="8" w:space="0" w:color="D9D9D9"/>
              <w:right w:val="nil"/>
            </w:tcBorders>
            <w:shd w:val="clear" w:color="auto" w:fill="auto"/>
            <w:vAlign w:val="center"/>
          </w:tcPr>
          <w:p w14:paraId="0D0123B3" w14:textId="5B78872A" w:rsidR="00203770" w:rsidRDefault="00203770" w:rsidP="008E70B8">
            <w:pPr>
              <w:pStyle w:val="TabletextLeft"/>
              <w:ind w:left="0" w:firstLine="142"/>
              <w:rPr>
                <w:sz w:val="18"/>
                <w:szCs w:val="18"/>
              </w:rPr>
            </w:pPr>
            <w:r>
              <w:rPr>
                <w:sz w:val="18"/>
                <w:szCs w:val="18"/>
              </w:rPr>
              <w:t>ABS</w:t>
            </w:r>
          </w:p>
        </w:tc>
        <w:tc>
          <w:tcPr>
            <w:tcW w:w="1904" w:type="pct"/>
            <w:gridSpan w:val="2"/>
            <w:tcBorders>
              <w:top w:val="single" w:sz="8" w:space="0" w:color="D9D9D9"/>
              <w:left w:val="nil"/>
              <w:bottom w:val="single" w:sz="8" w:space="0" w:color="D9D9D9"/>
              <w:right w:val="nil"/>
            </w:tcBorders>
            <w:shd w:val="clear" w:color="auto" w:fill="auto"/>
            <w:vAlign w:val="center"/>
          </w:tcPr>
          <w:p w14:paraId="7FC33DB9" w14:textId="39E65004" w:rsidR="00203770" w:rsidRDefault="00203770" w:rsidP="00203770">
            <w:pPr>
              <w:pStyle w:val="TabletextLeft"/>
              <w:rPr>
                <w:sz w:val="18"/>
                <w:szCs w:val="18"/>
              </w:rPr>
            </w:pPr>
            <w:r>
              <w:rPr>
                <w:sz w:val="18"/>
                <w:szCs w:val="18"/>
              </w:rPr>
              <w:t>Australian Bureau of Statistics</w:t>
            </w:r>
          </w:p>
        </w:tc>
        <w:tc>
          <w:tcPr>
            <w:tcW w:w="377" w:type="pct"/>
            <w:tcBorders>
              <w:top w:val="single" w:sz="8" w:space="0" w:color="D9D9D9"/>
              <w:left w:val="nil"/>
              <w:bottom w:val="single" w:sz="8" w:space="0" w:color="D9D9D9"/>
              <w:right w:val="nil"/>
            </w:tcBorders>
            <w:vAlign w:val="center"/>
          </w:tcPr>
          <w:p w14:paraId="0023EF27" w14:textId="488451F3" w:rsidR="00203770" w:rsidRPr="00196D8A" w:rsidRDefault="00203770" w:rsidP="008E70B8">
            <w:pPr>
              <w:pStyle w:val="TabletextLeft"/>
              <w:ind w:left="158"/>
              <w:rPr>
                <w:sz w:val="18"/>
                <w:szCs w:val="18"/>
              </w:rPr>
            </w:pPr>
            <w:r>
              <w:rPr>
                <w:sz w:val="18"/>
                <w:szCs w:val="18"/>
              </w:rPr>
              <w:t>HAT</w:t>
            </w:r>
          </w:p>
        </w:tc>
        <w:tc>
          <w:tcPr>
            <w:tcW w:w="2137" w:type="pct"/>
            <w:tcBorders>
              <w:top w:val="single" w:sz="8" w:space="0" w:color="D9D9D9"/>
              <w:left w:val="nil"/>
              <w:bottom w:val="single" w:sz="8" w:space="0" w:color="D9D9D9"/>
              <w:right w:val="nil"/>
            </w:tcBorders>
            <w:vAlign w:val="center"/>
          </w:tcPr>
          <w:p w14:paraId="7D9A51E7" w14:textId="1748B95C" w:rsidR="00203770" w:rsidRPr="00196D8A" w:rsidRDefault="00203770" w:rsidP="00203770">
            <w:pPr>
              <w:pStyle w:val="TabletextLeft"/>
              <w:rPr>
                <w:sz w:val="18"/>
                <w:szCs w:val="18"/>
              </w:rPr>
            </w:pPr>
            <w:r>
              <w:rPr>
                <w:sz w:val="18"/>
                <w:szCs w:val="18"/>
              </w:rPr>
              <w:t>Hospital Access Target</w:t>
            </w:r>
          </w:p>
        </w:tc>
      </w:tr>
      <w:tr w:rsidR="00203770" w:rsidRPr="00C0090D" w14:paraId="6BFCAB2B" w14:textId="77777777" w:rsidTr="00F17643">
        <w:tc>
          <w:tcPr>
            <w:tcW w:w="581" w:type="pct"/>
            <w:tcBorders>
              <w:top w:val="single" w:sz="8" w:space="0" w:color="D9D9D9"/>
              <w:left w:val="nil"/>
              <w:bottom w:val="single" w:sz="8" w:space="0" w:color="D9D9D9"/>
              <w:right w:val="nil"/>
            </w:tcBorders>
            <w:shd w:val="clear" w:color="auto" w:fill="auto"/>
            <w:vAlign w:val="center"/>
          </w:tcPr>
          <w:p w14:paraId="79ED4184" w14:textId="539889A9" w:rsidR="00203770" w:rsidRPr="00196D8A" w:rsidRDefault="00203770" w:rsidP="008E70B8">
            <w:pPr>
              <w:pStyle w:val="TabletextLeft"/>
              <w:ind w:left="0" w:firstLine="142"/>
              <w:rPr>
                <w:sz w:val="18"/>
                <w:szCs w:val="18"/>
              </w:rPr>
            </w:pPr>
            <w:r>
              <w:rPr>
                <w:sz w:val="18"/>
                <w:szCs w:val="18"/>
              </w:rPr>
              <w:t>ACAT</w:t>
            </w:r>
          </w:p>
        </w:tc>
        <w:tc>
          <w:tcPr>
            <w:tcW w:w="1904" w:type="pct"/>
            <w:gridSpan w:val="2"/>
            <w:tcBorders>
              <w:top w:val="single" w:sz="8" w:space="0" w:color="D9D9D9"/>
              <w:left w:val="nil"/>
              <w:bottom w:val="single" w:sz="8" w:space="0" w:color="D9D9D9"/>
              <w:right w:val="nil"/>
            </w:tcBorders>
            <w:shd w:val="clear" w:color="auto" w:fill="auto"/>
            <w:vAlign w:val="center"/>
          </w:tcPr>
          <w:p w14:paraId="1DF75FFD" w14:textId="1DE5FAED" w:rsidR="00203770" w:rsidRPr="00196D8A" w:rsidRDefault="00203770" w:rsidP="00203770">
            <w:pPr>
              <w:pStyle w:val="TabletextLeft"/>
              <w:rPr>
                <w:sz w:val="18"/>
                <w:szCs w:val="18"/>
              </w:rPr>
            </w:pPr>
            <w:r w:rsidRPr="00FB5CE9">
              <w:rPr>
                <w:sz w:val="18"/>
                <w:szCs w:val="18"/>
              </w:rPr>
              <w:t>Aged Care Assessment Team</w:t>
            </w:r>
          </w:p>
        </w:tc>
        <w:tc>
          <w:tcPr>
            <w:tcW w:w="377" w:type="pct"/>
            <w:tcBorders>
              <w:top w:val="single" w:sz="8" w:space="0" w:color="D9D9D9"/>
              <w:left w:val="nil"/>
              <w:bottom w:val="single" w:sz="8" w:space="0" w:color="D9D9D9"/>
              <w:right w:val="nil"/>
            </w:tcBorders>
            <w:vAlign w:val="center"/>
          </w:tcPr>
          <w:p w14:paraId="362A2A47" w14:textId="5BFBCF58" w:rsidR="00203770" w:rsidRPr="00196D8A" w:rsidRDefault="00203770" w:rsidP="008E70B8">
            <w:pPr>
              <w:pStyle w:val="TabletextLeft"/>
              <w:ind w:left="158"/>
              <w:rPr>
                <w:sz w:val="18"/>
                <w:szCs w:val="18"/>
              </w:rPr>
            </w:pPr>
            <w:r w:rsidRPr="00196D8A">
              <w:rPr>
                <w:sz w:val="18"/>
                <w:szCs w:val="18"/>
              </w:rPr>
              <w:t>HCEF</w:t>
            </w:r>
          </w:p>
        </w:tc>
        <w:tc>
          <w:tcPr>
            <w:tcW w:w="2137" w:type="pct"/>
            <w:tcBorders>
              <w:top w:val="single" w:sz="8" w:space="0" w:color="D9D9D9"/>
              <w:left w:val="nil"/>
              <w:bottom w:val="single" w:sz="8" w:space="0" w:color="D9D9D9"/>
              <w:right w:val="nil"/>
            </w:tcBorders>
            <w:vAlign w:val="center"/>
          </w:tcPr>
          <w:p w14:paraId="0AA4B692" w14:textId="664E4366" w:rsidR="00203770" w:rsidRPr="00196D8A" w:rsidRDefault="00203770" w:rsidP="00203770">
            <w:pPr>
              <w:pStyle w:val="TabletextLeft"/>
              <w:rPr>
                <w:sz w:val="18"/>
                <w:szCs w:val="18"/>
              </w:rPr>
            </w:pPr>
            <w:r w:rsidRPr="00196D8A">
              <w:rPr>
                <w:sz w:val="18"/>
                <w:szCs w:val="18"/>
              </w:rPr>
              <w:t>Health Chief Executives Forum</w:t>
            </w:r>
          </w:p>
        </w:tc>
      </w:tr>
      <w:tr w:rsidR="00203770" w:rsidRPr="00C0090D" w14:paraId="350001F5" w14:textId="77777777" w:rsidTr="00F17643">
        <w:tc>
          <w:tcPr>
            <w:tcW w:w="581" w:type="pct"/>
            <w:tcBorders>
              <w:top w:val="single" w:sz="8" w:space="0" w:color="D9D9D9"/>
              <w:left w:val="nil"/>
              <w:bottom w:val="single" w:sz="8" w:space="0" w:color="D9D9D9"/>
              <w:right w:val="nil"/>
            </w:tcBorders>
            <w:shd w:val="clear" w:color="auto" w:fill="auto"/>
            <w:vAlign w:val="center"/>
          </w:tcPr>
          <w:p w14:paraId="25F9137D" w14:textId="1AD82A78" w:rsidR="00203770" w:rsidRPr="00F46FB9" w:rsidRDefault="00203770" w:rsidP="008E70B8">
            <w:pPr>
              <w:pStyle w:val="TabletextLeft"/>
              <w:ind w:left="0" w:firstLine="142"/>
              <w:rPr>
                <w:sz w:val="18"/>
                <w:szCs w:val="18"/>
              </w:rPr>
            </w:pPr>
            <w:r w:rsidRPr="00F46FB9">
              <w:rPr>
                <w:sz w:val="18"/>
                <w:szCs w:val="18"/>
              </w:rPr>
              <w:t>ACCHO</w:t>
            </w:r>
          </w:p>
        </w:tc>
        <w:tc>
          <w:tcPr>
            <w:tcW w:w="1904" w:type="pct"/>
            <w:gridSpan w:val="2"/>
            <w:tcBorders>
              <w:top w:val="single" w:sz="8" w:space="0" w:color="D9D9D9"/>
              <w:left w:val="nil"/>
              <w:bottom w:val="single" w:sz="8" w:space="0" w:color="D9D9D9"/>
              <w:right w:val="nil"/>
            </w:tcBorders>
            <w:shd w:val="clear" w:color="auto" w:fill="auto"/>
            <w:vAlign w:val="center"/>
          </w:tcPr>
          <w:p w14:paraId="5F6D79B3" w14:textId="71E2054C" w:rsidR="00203770" w:rsidRPr="00F46FB9" w:rsidRDefault="00203770" w:rsidP="00203770">
            <w:pPr>
              <w:pStyle w:val="TabletextLeft"/>
              <w:rPr>
                <w:sz w:val="18"/>
                <w:szCs w:val="18"/>
              </w:rPr>
            </w:pPr>
            <w:r w:rsidRPr="00F46FB9">
              <w:rPr>
                <w:sz w:val="18"/>
                <w:szCs w:val="18"/>
              </w:rPr>
              <w:t>Aboriginal Community Controlled Health Organisation</w:t>
            </w:r>
          </w:p>
        </w:tc>
        <w:tc>
          <w:tcPr>
            <w:tcW w:w="377" w:type="pct"/>
            <w:tcBorders>
              <w:top w:val="single" w:sz="8" w:space="0" w:color="D9D9D9"/>
              <w:left w:val="nil"/>
              <w:bottom w:val="single" w:sz="8" w:space="0" w:color="D9D9D9"/>
              <w:right w:val="nil"/>
            </w:tcBorders>
            <w:vAlign w:val="center"/>
          </w:tcPr>
          <w:p w14:paraId="05E2B953" w14:textId="637C977D" w:rsidR="00203770" w:rsidRPr="00EA1A63" w:rsidRDefault="00203770" w:rsidP="008E70B8">
            <w:pPr>
              <w:pStyle w:val="TabletextLeft"/>
              <w:ind w:left="158"/>
              <w:rPr>
                <w:sz w:val="18"/>
                <w:szCs w:val="18"/>
              </w:rPr>
            </w:pPr>
            <w:r>
              <w:rPr>
                <w:sz w:val="18"/>
                <w:szCs w:val="18"/>
              </w:rPr>
              <w:t>HIE</w:t>
            </w:r>
          </w:p>
        </w:tc>
        <w:tc>
          <w:tcPr>
            <w:tcW w:w="2137" w:type="pct"/>
            <w:tcBorders>
              <w:top w:val="single" w:sz="8" w:space="0" w:color="D9D9D9"/>
              <w:left w:val="nil"/>
              <w:bottom w:val="single" w:sz="8" w:space="0" w:color="D9D9D9"/>
              <w:right w:val="nil"/>
            </w:tcBorders>
            <w:vAlign w:val="center"/>
          </w:tcPr>
          <w:p w14:paraId="65EC4AD7" w14:textId="3DCC84C8" w:rsidR="00203770" w:rsidRPr="00EA1A63" w:rsidRDefault="00203770" w:rsidP="00203770">
            <w:pPr>
              <w:pStyle w:val="TabletextLeft"/>
              <w:rPr>
                <w:sz w:val="18"/>
                <w:szCs w:val="18"/>
              </w:rPr>
            </w:pPr>
            <w:r w:rsidRPr="00791DB1">
              <w:rPr>
                <w:sz w:val="18"/>
                <w:szCs w:val="18"/>
              </w:rPr>
              <w:t>Health Information Exchange</w:t>
            </w:r>
          </w:p>
        </w:tc>
      </w:tr>
      <w:tr w:rsidR="00203770" w:rsidRPr="00C0090D" w14:paraId="637F2485" w14:textId="77777777" w:rsidTr="00F17643">
        <w:tc>
          <w:tcPr>
            <w:tcW w:w="581" w:type="pct"/>
            <w:tcBorders>
              <w:top w:val="single" w:sz="8" w:space="0" w:color="D9D9D9"/>
              <w:left w:val="nil"/>
              <w:bottom w:val="single" w:sz="8" w:space="0" w:color="D9D9D9"/>
              <w:right w:val="nil"/>
            </w:tcBorders>
            <w:shd w:val="clear" w:color="auto" w:fill="auto"/>
            <w:vAlign w:val="center"/>
          </w:tcPr>
          <w:p w14:paraId="62E850C4" w14:textId="06F22E4C" w:rsidR="00203770" w:rsidRDefault="00203770" w:rsidP="008E70B8">
            <w:pPr>
              <w:pStyle w:val="TabletextLeft"/>
              <w:ind w:left="0" w:firstLine="142"/>
              <w:rPr>
                <w:sz w:val="18"/>
                <w:szCs w:val="18"/>
              </w:rPr>
            </w:pPr>
            <w:r>
              <w:rPr>
                <w:sz w:val="18"/>
                <w:szCs w:val="18"/>
              </w:rPr>
              <w:t>ACCPA</w:t>
            </w:r>
          </w:p>
        </w:tc>
        <w:tc>
          <w:tcPr>
            <w:tcW w:w="1904" w:type="pct"/>
            <w:gridSpan w:val="2"/>
            <w:tcBorders>
              <w:top w:val="single" w:sz="8" w:space="0" w:color="D9D9D9"/>
              <w:left w:val="nil"/>
              <w:bottom w:val="single" w:sz="8" w:space="0" w:color="D9D9D9"/>
              <w:right w:val="nil"/>
            </w:tcBorders>
            <w:shd w:val="clear" w:color="auto" w:fill="auto"/>
            <w:vAlign w:val="center"/>
          </w:tcPr>
          <w:p w14:paraId="056F5C27" w14:textId="13E6CC7D" w:rsidR="00203770" w:rsidRDefault="00203770" w:rsidP="00203770">
            <w:pPr>
              <w:pStyle w:val="TabletextLeft"/>
              <w:rPr>
                <w:sz w:val="18"/>
                <w:szCs w:val="18"/>
              </w:rPr>
            </w:pPr>
            <w:r w:rsidRPr="00FB311A">
              <w:rPr>
                <w:sz w:val="18"/>
                <w:szCs w:val="18"/>
              </w:rPr>
              <w:t>Aged and Community Care Providers Association</w:t>
            </w:r>
          </w:p>
        </w:tc>
        <w:tc>
          <w:tcPr>
            <w:tcW w:w="377" w:type="pct"/>
            <w:tcBorders>
              <w:top w:val="single" w:sz="8" w:space="0" w:color="D9D9D9"/>
              <w:left w:val="nil"/>
              <w:bottom w:val="single" w:sz="8" w:space="0" w:color="D9D9D9"/>
              <w:right w:val="nil"/>
            </w:tcBorders>
            <w:vAlign w:val="center"/>
          </w:tcPr>
          <w:p w14:paraId="1C2EFBB1" w14:textId="6A0EB57C" w:rsidR="00203770" w:rsidRPr="00196D8A" w:rsidRDefault="00203770" w:rsidP="008E70B8">
            <w:pPr>
              <w:pStyle w:val="TabletextLeft"/>
              <w:ind w:left="158"/>
              <w:rPr>
                <w:sz w:val="18"/>
                <w:szCs w:val="18"/>
              </w:rPr>
            </w:pPr>
            <w:r>
              <w:rPr>
                <w:sz w:val="18"/>
                <w:szCs w:val="18"/>
              </w:rPr>
              <w:t>HIV</w:t>
            </w:r>
          </w:p>
        </w:tc>
        <w:tc>
          <w:tcPr>
            <w:tcW w:w="2137" w:type="pct"/>
            <w:tcBorders>
              <w:top w:val="single" w:sz="8" w:space="0" w:color="D9D9D9"/>
              <w:left w:val="nil"/>
              <w:bottom w:val="single" w:sz="8" w:space="0" w:color="D9D9D9"/>
              <w:right w:val="nil"/>
            </w:tcBorders>
            <w:vAlign w:val="center"/>
          </w:tcPr>
          <w:p w14:paraId="517A7FA1" w14:textId="5155452A" w:rsidR="00203770" w:rsidRPr="00196D8A" w:rsidRDefault="00203770" w:rsidP="00203770">
            <w:pPr>
              <w:pStyle w:val="TabletextLeft"/>
              <w:rPr>
                <w:sz w:val="18"/>
                <w:szCs w:val="18"/>
              </w:rPr>
            </w:pPr>
            <w:r w:rsidRPr="00B4479E">
              <w:rPr>
                <w:sz w:val="18"/>
                <w:szCs w:val="18"/>
              </w:rPr>
              <w:t>Human Immunodeficiency Virus</w:t>
            </w:r>
          </w:p>
        </w:tc>
      </w:tr>
      <w:tr w:rsidR="00203770" w:rsidRPr="00C0090D" w14:paraId="4F70D022" w14:textId="77777777" w:rsidTr="00F17643">
        <w:tc>
          <w:tcPr>
            <w:tcW w:w="581" w:type="pct"/>
            <w:tcBorders>
              <w:top w:val="single" w:sz="8" w:space="0" w:color="D9D9D9"/>
              <w:left w:val="nil"/>
              <w:bottom w:val="single" w:sz="8" w:space="0" w:color="D9D9D9"/>
              <w:right w:val="nil"/>
            </w:tcBorders>
            <w:shd w:val="clear" w:color="auto" w:fill="auto"/>
            <w:vAlign w:val="center"/>
          </w:tcPr>
          <w:p w14:paraId="1D247270" w14:textId="183F97B4" w:rsidR="00203770" w:rsidRPr="00F46FB9" w:rsidRDefault="00203770" w:rsidP="008E70B8">
            <w:pPr>
              <w:pStyle w:val="TabletextLeft"/>
              <w:ind w:left="0" w:firstLine="142"/>
              <w:rPr>
                <w:sz w:val="18"/>
                <w:szCs w:val="18"/>
              </w:rPr>
            </w:pPr>
            <w:r>
              <w:rPr>
                <w:sz w:val="18"/>
                <w:szCs w:val="18"/>
              </w:rPr>
              <w:t>ACRRM</w:t>
            </w:r>
          </w:p>
        </w:tc>
        <w:tc>
          <w:tcPr>
            <w:tcW w:w="1904" w:type="pct"/>
            <w:gridSpan w:val="2"/>
            <w:tcBorders>
              <w:top w:val="single" w:sz="8" w:space="0" w:color="D9D9D9"/>
              <w:left w:val="nil"/>
              <w:bottom w:val="single" w:sz="8" w:space="0" w:color="D9D9D9"/>
              <w:right w:val="nil"/>
            </w:tcBorders>
            <w:shd w:val="clear" w:color="auto" w:fill="auto"/>
            <w:vAlign w:val="center"/>
          </w:tcPr>
          <w:p w14:paraId="1A46F41A" w14:textId="4F4B4468" w:rsidR="00203770" w:rsidRPr="00F46FB9" w:rsidRDefault="00203770" w:rsidP="00203770">
            <w:pPr>
              <w:pStyle w:val="TabletextLeft"/>
              <w:rPr>
                <w:sz w:val="18"/>
                <w:szCs w:val="18"/>
              </w:rPr>
            </w:pPr>
            <w:r w:rsidRPr="0086609B">
              <w:rPr>
                <w:sz w:val="18"/>
                <w:szCs w:val="18"/>
              </w:rPr>
              <w:t xml:space="preserve">Australian College </w:t>
            </w:r>
            <w:r>
              <w:rPr>
                <w:sz w:val="18"/>
                <w:szCs w:val="18"/>
              </w:rPr>
              <w:t>o</w:t>
            </w:r>
            <w:r w:rsidRPr="0086609B">
              <w:rPr>
                <w:sz w:val="18"/>
                <w:szCs w:val="18"/>
              </w:rPr>
              <w:t xml:space="preserve">f Rural </w:t>
            </w:r>
            <w:r>
              <w:rPr>
                <w:sz w:val="18"/>
                <w:szCs w:val="18"/>
              </w:rPr>
              <w:t>a</w:t>
            </w:r>
            <w:r w:rsidRPr="0086609B">
              <w:rPr>
                <w:sz w:val="18"/>
                <w:szCs w:val="18"/>
              </w:rPr>
              <w:t>nd Remote Medicine</w:t>
            </w:r>
          </w:p>
        </w:tc>
        <w:tc>
          <w:tcPr>
            <w:tcW w:w="377" w:type="pct"/>
            <w:tcBorders>
              <w:top w:val="single" w:sz="8" w:space="0" w:color="D9D9D9"/>
              <w:left w:val="nil"/>
              <w:bottom w:val="single" w:sz="8" w:space="0" w:color="D9D9D9"/>
              <w:right w:val="nil"/>
            </w:tcBorders>
            <w:vAlign w:val="center"/>
          </w:tcPr>
          <w:p w14:paraId="2F0F52E0" w14:textId="158C360E" w:rsidR="00203770" w:rsidRPr="00EA1A63" w:rsidRDefault="00203770" w:rsidP="008E70B8">
            <w:pPr>
              <w:pStyle w:val="TabletextLeft"/>
              <w:ind w:left="158"/>
              <w:rPr>
                <w:sz w:val="18"/>
                <w:szCs w:val="18"/>
              </w:rPr>
            </w:pPr>
            <w:r w:rsidRPr="00196D8A">
              <w:rPr>
                <w:sz w:val="18"/>
                <w:szCs w:val="18"/>
              </w:rPr>
              <w:t>HMM</w:t>
            </w:r>
          </w:p>
        </w:tc>
        <w:tc>
          <w:tcPr>
            <w:tcW w:w="2137" w:type="pct"/>
            <w:tcBorders>
              <w:top w:val="single" w:sz="8" w:space="0" w:color="D9D9D9"/>
              <w:left w:val="nil"/>
              <w:bottom w:val="single" w:sz="8" w:space="0" w:color="D9D9D9"/>
              <w:right w:val="nil"/>
            </w:tcBorders>
            <w:vAlign w:val="center"/>
          </w:tcPr>
          <w:p w14:paraId="79EB3583" w14:textId="5D73A8D1" w:rsidR="00203770" w:rsidRPr="00EA1A63" w:rsidRDefault="00203770" w:rsidP="00203770">
            <w:pPr>
              <w:pStyle w:val="TabletextLeft"/>
              <w:rPr>
                <w:sz w:val="18"/>
                <w:szCs w:val="18"/>
              </w:rPr>
            </w:pPr>
            <w:r w:rsidRPr="00196D8A">
              <w:rPr>
                <w:sz w:val="18"/>
                <w:szCs w:val="18"/>
              </w:rPr>
              <w:t>Health Ministers Meeting</w:t>
            </w:r>
          </w:p>
        </w:tc>
      </w:tr>
      <w:tr w:rsidR="00203770" w:rsidRPr="00C0090D" w14:paraId="7561A59A" w14:textId="77777777" w:rsidTr="00F17643">
        <w:tc>
          <w:tcPr>
            <w:tcW w:w="581" w:type="pct"/>
            <w:tcBorders>
              <w:top w:val="single" w:sz="8" w:space="0" w:color="D9D9D9"/>
              <w:left w:val="nil"/>
              <w:bottom w:val="single" w:sz="8" w:space="0" w:color="D9D9D9"/>
              <w:right w:val="nil"/>
            </w:tcBorders>
            <w:shd w:val="clear" w:color="auto" w:fill="auto"/>
            <w:vAlign w:val="center"/>
          </w:tcPr>
          <w:p w14:paraId="416E10C0" w14:textId="00A7EB69" w:rsidR="00203770" w:rsidRPr="00F46FB9" w:rsidRDefault="00203770" w:rsidP="008E70B8">
            <w:pPr>
              <w:pStyle w:val="TabletextLeft"/>
              <w:ind w:left="0" w:firstLine="142"/>
              <w:rPr>
                <w:sz w:val="18"/>
                <w:szCs w:val="18"/>
              </w:rPr>
            </w:pPr>
            <w:r w:rsidRPr="00196D8A">
              <w:rPr>
                <w:sz w:val="18"/>
                <w:szCs w:val="18"/>
              </w:rPr>
              <w:t>ACSQHC</w:t>
            </w:r>
          </w:p>
        </w:tc>
        <w:tc>
          <w:tcPr>
            <w:tcW w:w="1904" w:type="pct"/>
            <w:gridSpan w:val="2"/>
            <w:tcBorders>
              <w:top w:val="single" w:sz="8" w:space="0" w:color="D9D9D9"/>
              <w:left w:val="nil"/>
              <w:bottom w:val="single" w:sz="8" w:space="0" w:color="D9D9D9"/>
              <w:right w:val="nil"/>
            </w:tcBorders>
            <w:shd w:val="clear" w:color="auto" w:fill="auto"/>
            <w:vAlign w:val="center"/>
          </w:tcPr>
          <w:p w14:paraId="36857117" w14:textId="44FEDCB5" w:rsidR="00203770" w:rsidRPr="00F46FB9" w:rsidRDefault="00203770" w:rsidP="00203770">
            <w:pPr>
              <w:pStyle w:val="TabletextLeft"/>
              <w:rPr>
                <w:sz w:val="18"/>
                <w:szCs w:val="18"/>
              </w:rPr>
            </w:pPr>
            <w:r w:rsidRPr="00196D8A">
              <w:rPr>
                <w:sz w:val="18"/>
                <w:szCs w:val="18"/>
              </w:rPr>
              <w:t>Australian Commission on Safety and Quality in Health Care</w:t>
            </w:r>
          </w:p>
        </w:tc>
        <w:tc>
          <w:tcPr>
            <w:tcW w:w="377" w:type="pct"/>
            <w:tcBorders>
              <w:top w:val="single" w:sz="8" w:space="0" w:color="D9D9D9"/>
              <w:left w:val="nil"/>
              <w:bottom w:val="single" w:sz="8" w:space="0" w:color="D9D9D9"/>
              <w:right w:val="nil"/>
            </w:tcBorders>
            <w:vAlign w:val="center"/>
          </w:tcPr>
          <w:p w14:paraId="385042F1" w14:textId="39203796" w:rsidR="00203770" w:rsidRPr="00EA1A63" w:rsidRDefault="00203770" w:rsidP="008E70B8">
            <w:pPr>
              <w:pStyle w:val="TabletextLeft"/>
              <w:ind w:left="158"/>
              <w:rPr>
                <w:sz w:val="18"/>
                <w:szCs w:val="18"/>
              </w:rPr>
            </w:pPr>
            <w:r>
              <w:rPr>
                <w:sz w:val="18"/>
                <w:szCs w:val="18"/>
              </w:rPr>
              <w:t>HSD</w:t>
            </w:r>
          </w:p>
        </w:tc>
        <w:tc>
          <w:tcPr>
            <w:tcW w:w="2137" w:type="pct"/>
            <w:tcBorders>
              <w:top w:val="single" w:sz="8" w:space="0" w:color="D9D9D9"/>
              <w:left w:val="nil"/>
              <w:bottom w:val="single" w:sz="8" w:space="0" w:color="D9D9D9"/>
              <w:right w:val="nil"/>
            </w:tcBorders>
            <w:vAlign w:val="center"/>
          </w:tcPr>
          <w:p w14:paraId="7A24EB3E" w14:textId="286AD287" w:rsidR="00203770" w:rsidRPr="00EA1A63" w:rsidRDefault="00203770" w:rsidP="00203770">
            <w:pPr>
              <w:pStyle w:val="TabletextLeft"/>
              <w:rPr>
                <w:sz w:val="18"/>
                <w:szCs w:val="18"/>
              </w:rPr>
            </w:pPr>
            <w:r w:rsidRPr="00046C48">
              <w:rPr>
                <w:sz w:val="18"/>
                <w:szCs w:val="18"/>
              </w:rPr>
              <w:t>Highly Specialised Drug</w:t>
            </w:r>
            <w:r w:rsidR="00DE67B4">
              <w:rPr>
                <w:sz w:val="18"/>
                <w:szCs w:val="18"/>
              </w:rPr>
              <w:t>s</w:t>
            </w:r>
          </w:p>
        </w:tc>
      </w:tr>
      <w:tr w:rsidR="00203770" w:rsidRPr="00C0090D" w14:paraId="65EB0C1A" w14:textId="089A620B" w:rsidTr="00F17643">
        <w:tc>
          <w:tcPr>
            <w:tcW w:w="581" w:type="pct"/>
            <w:tcBorders>
              <w:top w:val="single" w:sz="8" w:space="0" w:color="D9D9D9"/>
              <w:left w:val="nil"/>
              <w:bottom w:val="single" w:sz="8" w:space="0" w:color="D9D9D9"/>
              <w:right w:val="nil"/>
            </w:tcBorders>
            <w:shd w:val="clear" w:color="auto" w:fill="auto"/>
            <w:vAlign w:val="center"/>
          </w:tcPr>
          <w:p w14:paraId="7C6BC05B" w14:textId="1D575030" w:rsidR="00203770" w:rsidRPr="00196D8A" w:rsidRDefault="00203770" w:rsidP="008E70B8">
            <w:pPr>
              <w:pStyle w:val="TabletextLeft"/>
              <w:ind w:left="0" w:firstLine="142"/>
              <w:rPr>
                <w:sz w:val="18"/>
                <w:szCs w:val="18"/>
              </w:rPr>
            </w:pPr>
            <w:r>
              <w:rPr>
                <w:sz w:val="18"/>
                <w:szCs w:val="18"/>
              </w:rPr>
              <w:t>Administrator</w:t>
            </w:r>
          </w:p>
        </w:tc>
        <w:tc>
          <w:tcPr>
            <w:tcW w:w="1904" w:type="pct"/>
            <w:gridSpan w:val="2"/>
            <w:tcBorders>
              <w:top w:val="single" w:sz="8" w:space="0" w:color="D9D9D9"/>
              <w:left w:val="nil"/>
              <w:bottom w:val="single" w:sz="8" w:space="0" w:color="D9D9D9"/>
              <w:right w:val="nil"/>
            </w:tcBorders>
            <w:shd w:val="clear" w:color="auto" w:fill="auto"/>
            <w:vAlign w:val="center"/>
          </w:tcPr>
          <w:p w14:paraId="4CBF674E" w14:textId="39ABFC8F" w:rsidR="00203770" w:rsidRPr="00196D8A" w:rsidRDefault="00203770" w:rsidP="00203770">
            <w:pPr>
              <w:pStyle w:val="TabletextLeft"/>
              <w:rPr>
                <w:sz w:val="18"/>
                <w:szCs w:val="18"/>
              </w:rPr>
            </w:pPr>
            <w:r>
              <w:rPr>
                <w:sz w:val="18"/>
                <w:szCs w:val="18"/>
              </w:rPr>
              <w:t>Administrator of the National Health Funding Pool</w:t>
            </w:r>
          </w:p>
        </w:tc>
        <w:tc>
          <w:tcPr>
            <w:tcW w:w="377" w:type="pct"/>
            <w:tcBorders>
              <w:top w:val="single" w:sz="8" w:space="0" w:color="D9D9D9"/>
              <w:left w:val="nil"/>
              <w:bottom w:val="single" w:sz="8" w:space="0" w:color="D9D9D9"/>
              <w:right w:val="nil"/>
            </w:tcBorders>
            <w:vAlign w:val="center"/>
          </w:tcPr>
          <w:p w14:paraId="3C3D8F3E" w14:textId="6197FE30" w:rsidR="00203770" w:rsidRPr="00196D8A" w:rsidRDefault="00203770" w:rsidP="008E70B8">
            <w:pPr>
              <w:pStyle w:val="TabletextLeft"/>
              <w:ind w:left="158"/>
              <w:rPr>
                <w:sz w:val="18"/>
                <w:szCs w:val="18"/>
              </w:rPr>
            </w:pPr>
            <w:r>
              <w:rPr>
                <w:sz w:val="18"/>
                <w:szCs w:val="18"/>
              </w:rPr>
              <w:t>HSPA</w:t>
            </w:r>
          </w:p>
        </w:tc>
        <w:tc>
          <w:tcPr>
            <w:tcW w:w="2137" w:type="pct"/>
            <w:tcBorders>
              <w:top w:val="single" w:sz="8" w:space="0" w:color="D9D9D9"/>
              <w:left w:val="nil"/>
              <w:bottom w:val="single" w:sz="8" w:space="0" w:color="D9D9D9"/>
              <w:right w:val="nil"/>
            </w:tcBorders>
            <w:vAlign w:val="center"/>
          </w:tcPr>
          <w:p w14:paraId="25AFE935" w14:textId="1EFF58C6" w:rsidR="00203770" w:rsidRPr="00196D8A" w:rsidRDefault="00203770" w:rsidP="00203770">
            <w:pPr>
              <w:pStyle w:val="TabletextLeft"/>
              <w:rPr>
                <w:sz w:val="18"/>
                <w:szCs w:val="18"/>
              </w:rPr>
            </w:pPr>
            <w:r w:rsidRPr="00046C48">
              <w:rPr>
                <w:sz w:val="18"/>
                <w:szCs w:val="18"/>
              </w:rPr>
              <w:t>Health System Performance Assessment</w:t>
            </w:r>
          </w:p>
        </w:tc>
      </w:tr>
      <w:tr w:rsidR="00203770" w:rsidRPr="00C0090D" w14:paraId="08F7BCE2" w14:textId="77777777" w:rsidTr="00F17643">
        <w:tc>
          <w:tcPr>
            <w:tcW w:w="581" w:type="pct"/>
            <w:tcBorders>
              <w:top w:val="single" w:sz="8" w:space="0" w:color="D9D9D9"/>
              <w:left w:val="nil"/>
              <w:bottom w:val="single" w:sz="8" w:space="0" w:color="D9D9D9"/>
              <w:right w:val="nil"/>
            </w:tcBorders>
            <w:shd w:val="clear" w:color="auto" w:fill="auto"/>
            <w:vAlign w:val="center"/>
          </w:tcPr>
          <w:p w14:paraId="1BD23C87" w14:textId="1604C7E1" w:rsidR="00203770" w:rsidRDefault="00203770" w:rsidP="008E70B8">
            <w:pPr>
              <w:pStyle w:val="TabletextLeft"/>
              <w:ind w:left="0" w:firstLine="142"/>
              <w:rPr>
                <w:sz w:val="18"/>
                <w:szCs w:val="18"/>
              </w:rPr>
            </w:pPr>
            <w:r>
              <w:rPr>
                <w:sz w:val="18"/>
                <w:szCs w:val="18"/>
              </w:rPr>
              <w:t>AGPT</w:t>
            </w:r>
          </w:p>
        </w:tc>
        <w:tc>
          <w:tcPr>
            <w:tcW w:w="1904" w:type="pct"/>
            <w:gridSpan w:val="2"/>
            <w:tcBorders>
              <w:top w:val="single" w:sz="8" w:space="0" w:color="D9D9D9"/>
              <w:left w:val="nil"/>
              <w:bottom w:val="single" w:sz="8" w:space="0" w:color="D9D9D9"/>
              <w:right w:val="nil"/>
            </w:tcBorders>
            <w:shd w:val="clear" w:color="auto" w:fill="auto"/>
            <w:vAlign w:val="center"/>
          </w:tcPr>
          <w:p w14:paraId="6B68C229" w14:textId="5074B29E" w:rsidR="00203770" w:rsidRDefault="00203770" w:rsidP="00203770">
            <w:pPr>
              <w:pStyle w:val="TabletextLeft"/>
              <w:rPr>
                <w:sz w:val="18"/>
                <w:szCs w:val="18"/>
              </w:rPr>
            </w:pPr>
            <w:r w:rsidRPr="00771198">
              <w:rPr>
                <w:sz w:val="18"/>
                <w:szCs w:val="18"/>
              </w:rPr>
              <w:t>Australian General Practice Training Program</w:t>
            </w:r>
          </w:p>
        </w:tc>
        <w:tc>
          <w:tcPr>
            <w:tcW w:w="377" w:type="pct"/>
            <w:tcBorders>
              <w:top w:val="single" w:sz="8" w:space="0" w:color="D9D9D9"/>
              <w:left w:val="nil"/>
              <w:bottom w:val="single" w:sz="8" w:space="0" w:color="D9D9D9"/>
              <w:right w:val="nil"/>
            </w:tcBorders>
            <w:vAlign w:val="center"/>
          </w:tcPr>
          <w:p w14:paraId="2CED84CC" w14:textId="44FD5588" w:rsidR="00203770" w:rsidRPr="00196D8A" w:rsidRDefault="00203770" w:rsidP="008E70B8">
            <w:pPr>
              <w:pStyle w:val="TabletextLeft"/>
              <w:ind w:left="158"/>
              <w:rPr>
                <w:sz w:val="18"/>
                <w:szCs w:val="18"/>
              </w:rPr>
            </w:pPr>
            <w:r>
              <w:rPr>
                <w:sz w:val="18"/>
                <w:szCs w:val="18"/>
              </w:rPr>
              <w:t>HTA</w:t>
            </w:r>
          </w:p>
        </w:tc>
        <w:tc>
          <w:tcPr>
            <w:tcW w:w="2137" w:type="pct"/>
            <w:tcBorders>
              <w:top w:val="single" w:sz="8" w:space="0" w:color="D9D9D9"/>
              <w:left w:val="nil"/>
              <w:bottom w:val="single" w:sz="8" w:space="0" w:color="D9D9D9"/>
              <w:right w:val="nil"/>
            </w:tcBorders>
            <w:vAlign w:val="center"/>
          </w:tcPr>
          <w:p w14:paraId="2F0C6126" w14:textId="45C725B0" w:rsidR="00203770" w:rsidRPr="00196D8A" w:rsidRDefault="00203770" w:rsidP="00203770">
            <w:pPr>
              <w:pStyle w:val="TabletextLeft"/>
              <w:rPr>
                <w:sz w:val="18"/>
                <w:szCs w:val="18"/>
              </w:rPr>
            </w:pPr>
            <w:r>
              <w:rPr>
                <w:sz w:val="18"/>
                <w:szCs w:val="18"/>
              </w:rPr>
              <w:t>Health Technology Assessment</w:t>
            </w:r>
          </w:p>
        </w:tc>
      </w:tr>
      <w:tr w:rsidR="00203770" w:rsidRPr="00C0090D" w14:paraId="1BF72D71" w14:textId="77777777" w:rsidTr="00F17643">
        <w:tc>
          <w:tcPr>
            <w:tcW w:w="581" w:type="pct"/>
            <w:tcBorders>
              <w:top w:val="single" w:sz="8" w:space="0" w:color="D9D9D9"/>
              <w:left w:val="nil"/>
              <w:bottom w:val="single" w:sz="8" w:space="0" w:color="D9D9D9"/>
              <w:right w:val="nil"/>
            </w:tcBorders>
            <w:shd w:val="clear" w:color="auto" w:fill="auto"/>
            <w:vAlign w:val="center"/>
          </w:tcPr>
          <w:p w14:paraId="5858242B" w14:textId="27F533DD" w:rsidR="00203770" w:rsidRDefault="00203770" w:rsidP="008E70B8">
            <w:pPr>
              <w:pStyle w:val="TabletextLeft"/>
              <w:ind w:left="0" w:firstLine="142"/>
              <w:rPr>
                <w:sz w:val="18"/>
                <w:szCs w:val="18"/>
              </w:rPr>
            </w:pPr>
            <w:r w:rsidRPr="00196D8A">
              <w:rPr>
                <w:sz w:val="18"/>
                <w:szCs w:val="18"/>
              </w:rPr>
              <w:t>A</w:t>
            </w:r>
            <w:r>
              <w:rPr>
                <w:sz w:val="18"/>
                <w:szCs w:val="18"/>
              </w:rPr>
              <w:t>greement</w:t>
            </w:r>
          </w:p>
        </w:tc>
        <w:tc>
          <w:tcPr>
            <w:tcW w:w="1904" w:type="pct"/>
            <w:gridSpan w:val="2"/>
            <w:tcBorders>
              <w:top w:val="single" w:sz="8" w:space="0" w:color="D9D9D9"/>
              <w:left w:val="nil"/>
              <w:bottom w:val="single" w:sz="8" w:space="0" w:color="D9D9D9"/>
              <w:right w:val="nil"/>
            </w:tcBorders>
            <w:shd w:val="clear" w:color="auto" w:fill="auto"/>
            <w:vAlign w:val="center"/>
          </w:tcPr>
          <w:p w14:paraId="487078C9" w14:textId="04D35E4F" w:rsidR="00203770" w:rsidRDefault="00203770" w:rsidP="00203770">
            <w:pPr>
              <w:pStyle w:val="TabletextLeft"/>
              <w:rPr>
                <w:sz w:val="18"/>
                <w:szCs w:val="18"/>
              </w:rPr>
            </w:pPr>
            <w:r w:rsidRPr="00196D8A">
              <w:rPr>
                <w:sz w:val="18"/>
                <w:szCs w:val="18"/>
              </w:rPr>
              <w:t>National Health Reform Agreement</w:t>
            </w:r>
          </w:p>
        </w:tc>
        <w:tc>
          <w:tcPr>
            <w:tcW w:w="377" w:type="pct"/>
            <w:tcBorders>
              <w:top w:val="single" w:sz="8" w:space="0" w:color="D9D9D9"/>
              <w:left w:val="nil"/>
              <w:bottom w:val="single" w:sz="8" w:space="0" w:color="D9D9D9"/>
              <w:right w:val="nil"/>
            </w:tcBorders>
            <w:vAlign w:val="center"/>
          </w:tcPr>
          <w:p w14:paraId="1DD697D4" w14:textId="03FD9E44" w:rsidR="00203770" w:rsidRPr="00196D8A" w:rsidRDefault="00203770" w:rsidP="008E70B8">
            <w:pPr>
              <w:pStyle w:val="TabletextLeft"/>
              <w:ind w:left="158"/>
              <w:rPr>
                <w:sz w:val="18"/>
                <w:szCs w:val="18"/>
              </w:rPr>
            </w:pPr>
            <w:r>
              <w:rPr>
                <w:sz w:val="18"/>
                <w:szCs w:val="18"/>
              </w:rPr>
              <w:t>ICT</w:t>
            </w:r>
          </w:p>
        </w:tc>
        <w:tc>
          <w:tcPr>
            <w:tcW w:w="2137" w:type="pct"/>
            <w:tcBorders>
              <w:top w:val="single" w:sz="8" w:space="0" w:color="D9D9D9"/>
              <w:left w:val="nil"/>
              <w:bottom w:val="single" w:sz="8" w:space="0" w:color="D9D9D9"/>
              <w:right w:val="nil"/>
            </w:tcBorders>
            <w:vAlign w:val="center"/>
          </w:tcPr>
          <w:p w14:paraId="4C8B6D91" w14:textId="33AD5B90" w:rsidR="00203770" w:rsidRPr="00196D8A" w:rsidRDefault="00203770" w:rsidP="00203770">
            <w:pPr>
              <w:pStyle w:val="TabletextLeft"/>
              <w:rPr>
                <w:sz w:val="18"/>
                <w:szCs w:val="18"/>
              </w:rPr>
            </w:pPr>
            <w:r>
              <w:rPr>
                <w:sz w:val="18"/>
                <w:szCs w:val="18"/>
              </w:rPr>
              <w:t>Information and communications technology</w:t>
            </w:r>
          </w:p>
        </w:tc>
      </w:tr>
      <w:tr w:rsidR="00203770" w:rsidRPr="00C0090D" w14:paraId="0BD3F3F6" w14:textId="1DB79930" w:rsidTr="00F17643">
        <w:tc>
          <w:tcPr>
            <w:tcW w:w="581" w:type="pct"/>
            <w:tcBorders>
              <w:top w:val="single" w:sz="8" w:space="0" w:color="D9D9D9"/>
              <w:left w:val="nil"/>
              <w:bottom w:val="single" w:sz="8" w:space="0" w:color="D9D9D9"/>
              <w:right w:val="nil"/>
            </w:tcBorders>
            <w:shd w:val="clear" w:color="auto" w:fill="auto"/>
            <w:vAlign w:val="center"/>
          </w:tcPr>
          <w:p w14:paraId="18D3014C" w14:textId="3BD5B8F1" w:rsidR="00203770" w:rsidRPr="00196D8A" w:rsidRDefault="00203770" w:rsidP="008E70B8">
            <w:pPr>
              <w:pStyle w:val="TabletextLeft"/>
              <w:ind w:left="0" w:firstLine="142"/>
              <w:rPr>
                <w:sz w:val="18"/>
                <w:szCs w:val="18"/>
              </w:rPr>
            </w:pPr>
            <w:r w:rsidRPr="00196D8A">
              <w:rPr>
                <w:sz w:val="18"/>
                <w:szCs w:val="18"/>
              </w:rPr>
              <w:t>AHDA</w:t>
            </w:r>
          </w:p>
        </w:tc>
        <w:tc>
          <w:tcPr>
            <w:tcW w:w="1904" w:type="pct"/>
            <w:gridSpan w:val="2"/>
            <w:tcBorders>
              <w:top w:val="single" w:sz="8" w:space="0" w:color="D9D9D9"/>
              <w:left w:val="nil"/>
              <w:bottom w:val="single" w:sz="8" w:space="0" w:color="D9D9D9"/>
              <w:right w:val="nil"/>
            </w:tcBorders>
            <w:shd w:val="clear" w:color="auto" w:fill="auto"/>
            <w:vAlign w:val="center"/>
          </w:tcPr>
          <w:p w14:paraId="71E57C06" w14:textId="1124D0E4" w:rsidR="00203770" w:rsidRPr="00196D8A" w:rsidRDefault="00203770" w:rsidP="00203770">
            <w:pPr>
              <w:pStyle w:val="TabletextLeft"/>
              <w:rPr>
                <w:sz w:val="18"/>
                <w:szCs w:val="18"/>
              </w:rPr>
            </w:pPr>
            <w:r w:rsidRPr="00196D8A">
              <w:rPr>
                <w:sz w:val="18"/>
                <w:szCs w:val="18"/>
              </w:rPr>
              <w:t xml:space="preserve">The Australian Digital Health Agency </w:t>
            </w:r>
          </w:p>
        </w:tc>
        <w:tc>
          <w:tcPr>
            <w:tcW w:w="377" w:type="pct"/>
            <w:tcBorders>
              <w:top w:val="single" w:sz="8" w:space="0" w:color="D9D9D9"/>
              <w:left w:val="nil"/>
              <w:bottom w:val="single" w:sz="8" w:space="0" w:color="D9D9D9"/>
              <w:right w:val="nil"/>
            </w:tcBorders>
            <w:vAlign w:val="center"/>
          </w:tcPr>
          <w:p w14:paraId="1B9C1E06" w14:textId="1C9E7A62" w:rsidR="00203770" w:rsidRDefault="00203770" w:rsidP="008E70B8">
            <w:pPr>
              <w:pStyle w:val="TabletextLeft"/>
              <w:ind w:left="158"/>
              <w:rPr>
                <w:sz w:val="18"/>
                <w:szCs w:val="18"/>
              </w:rPr>
            </w:pPr>
            <w:r>
              <w:rPr>
                <w:sz w:val="18"/>
                <w:szCs w:val="18"/>
              </w:rPr>
              <w:t>IDEAS</w:t>
            </w:r>
          </w:p>
        </w:tc>
        <w:tc>
          <w:tcPr>
            <w:tcW w:w="2137" w:type="pct"/>
            <w:tcBorders>
              <w:top w:val="single" w:sz="8" w:space="0" w:color="D9D9D9"/>
              <w:left w:val="nil"/>
              <w:bottom w:val="single" w:sz="8" w:space="0" w:color="D9D9D9"/>
              <w:right w:val="nil"/>
            </w:tcBorders>
            <w:vAlign w:val="center"/>
          </w:tcPr>
          <w:p w14:paraId="277C81EF" w14:textId="06C9B7A1" w:rsidR="00203770" w:rsidRDefault="00203770" w:rsidP="00203770">
            <w:pPr>
              <w:pStyle w:val="TabletextLeft"/>
              <w:rPr>
                <w:sz w:val="18"/>
                <w:szCs w:val="18"/>
              </w:rPr>
            </w:pPr>
            <w:r w:rsidRPr="008B4FF0">
              <w:rPr>
                <w:sz w:val="18"/>
                <w:szCs w:val="18"/>
              </w:rPr>
              <w:t>Integrated Diabetes Education and Assessment Service</w:t>
            </w:r>
          </w:p>
        </w:tc>
      </w:tr>
      <w:tr w:rsidR="00203770" w:rsidRPr="00C0090D" w14:paraId="558A715B" w14:textId="77777777" w:rsidTr="00F17643">
        <w:tc>
          <w:tcPr>
            <w:tcW w:w="581" w:type="pct"/>
            <w:tcBorders>
              <w:top w:val="single" w:sz="8" w:space="0" w:color="D9D9D9"/>
              <w:left w:val="nil"/>
              <w:bottom w:val="single" w:sz="8" w:space="0" w:color="D9D9D9"/>
              <w:right w:val="nil"/>
            </w:tcBorders>
            <w:shd w:val="clear" w:color="auto" w:fill="auto"/>
            <w:vAlign w:val="center"/>
          </w:tcPr>
          <w:p w14:paraId="7CC8AC4B" w14:textId="4DD621A4" w:rsidR="00203770" w:rsidRPr="00196D8A" w:rsidRDefault="00203770" w:rsidP="008E70B8">
            <w:pPr>
              <w:pStyle w:val="TabletextLeft"/>
              <w:ind w:left="0" w:firstLine="142"/>
              <w:rPr>
                <w:sz w:val="18"/>
                <w:szCs w:val="18"/>
              </w:rPr>
            </w:pPr>
            <w:r w:rsidRPr="00196D8A">
              <w:rPr>
                <w:sz w:val="18"/>
                <w:szCs w:val="18"/>
              </w:rPr>
              <w:t>AHMAC</w:t>
            </w:r>
          </w:p>
        </w:tc>
        <w:tc>
          <w:tcPr>
            <w:tcW w:w="1904" w:type="pct"/>
            <w:gridSpan w:val="2"/>
            <w:tcBorders>
              <w:top w:val="single" w:sz="8" w:space="0" w:color="D9D9D9"/>
              <w:left w:val="nil"/>
              <w:bottom w:val="single" w:sz="8" w:space="0" w:color="D9D9D9"/>
              <w:right w:val="nil"/>
            </w:tcBorders>
            <w:shd w:val="clear" w:color="auto" w:fill="auto"/>
            <w:vAlign w:val="center"/>
          </w:tcPr>
          <w:p w14:paraId="3986B2EE" w14:textId="2AD55C68" w:rsidR="00203770" w:rsidRPr="00196D8A" w:rsidRDefault="00203770" w:rsidP="00203770">
            <w:pPr>
              <w:pStyle w:val="TabletextLeft"/>
              <w:rPr>
                <w:sz w:val="18"/>
                <w:szCs w:val="18"/>
              </w:rPr>
            </w:pPr>
            <w:r w:rsidRPr="00196D8A">
              <w:rPr>
                <w:sz w:val="18"/>
                <w:szCs w:val="18"/>
              </w:rPr>
              <w:t xml:space="preserve">Australian Health Ministers Advisory Committee </w:t>
            </w:r>
          </w:p>
        </w:tc>
        <w:tc>
          <w:tcPr>
            <w:tcW w:w="377" w:type="pct"/>
            <w:tcBorders>
              <w:top w:val="single" w:sz="8" w:space="0" w:color="D9D9D9"/>
              <w:left w:val="nil"/>
              <w:bottom w:val="single" w:sz="8" w:space="0" w:color="D9D9D9"/>
              <w:right w:val="nil"/>
            </w:tcBorders>
            <w:vAlign w:val="center"/>
          </w:tcPr>
          <w:p w14:paraId="7F8B2DB2" w14:textId="03964D8B" w:rsidR="00203770" w:rsidRPr="00196D8A" w:rsidRDefault="00203770" w:rsidP="008E70B8">
            <w:pPr>
              <w:pStyle w:val="TabletextLeft"/>
              <w:ind w:left="158"/>
              <w:rPr>
                <w:sz w:val="18"/>
                <w:szCs w:val="18"/>
              </w:rPr>
            </w:pPr>
            <w:r>
              <w:rPr>
                <w:sz w:val="18"/>
                <w:szCs w:val="18"/>
              </w:rPr>
              <w:t>IGA</w:t>
            </w:r>
          </w:p>
        </w:tc>
        <w:tc>
          <w:tcPr>
            <w:tcW w:w="2137" w:type="pct"/>
            <w:tcBorders>
              <w:top w:val="single" w:sz="8" w:space="0" w:color="D9D9D9"/>
              <w:left w:val="nil"/>
              <w:bottom w:val="single" w:sz="8" w:space="0" w:color="D9D9D9"/>
              <w:right w:val="nil"/>
            </w:tcBorders>
            <w:vAlign w:val="center"/>
          </w:tcPr>
          <w:p w14:paraId="196512AF" w14:textId="38298DDC" w:rsidR="00203770" w:rsidRPr="00196D8A" w:rsidRDefault="00203770" w:rsidP="00203770">
            <w:pPr>
              <w:pStyle w:val="TabletextLeft"/>
              <w:rPr>
                <w:sz w:val="18"/>
                <w:szCs w:val="18"/>
              </w:rPr>
            </w:pPr>
            <w:r>
              <w:rPr>
                <w:sz w:val="18"/>
                <w:szCs w:val="18"/>
              </w:rPr>
              <w:t xml:space="preserve">Intergovernmental Agreement </w:t>
            </w:r>
          </w:p>
        </w:tc>
      </w:tr>
      <w:tr w:rsidR="00203770" w:rsidRPr="00C0090D" w14:paraId="4364D443" w14:textId="2F9DF2DE" w:rsidTr="00F17643">
        <w:tc>
          <w:tcPr>
            <w:tcW w:w="581" w:type="pct"/>
            <w:tcBorders>
              <w:top w:val="single" w:sz="8" w:space="0" w:color="D9D9D9"/>
              <w:left w:val="nil"/>
              <w:bottom w:val="single" w:sz="8" w:space="0" w:color="D9D9D9"/>
              <w:right w:val="nil"/>
            </w:tcBorders>
            <w:shd w:val="clear" w:color="auto" w:fill="auto"/>
            <w:vAlign w:val="center"/>
          </w:tcPr>
          <w:p w14:paraId="0CD5E5F9" w14:textId="5646D4BA" w:rsidR="00203770" w:rsidRPr="00196D8A" w:rsidRDefault="00203770" w:rsidP="008E70B8">
            <w:pPr>
              <w:pStyle w:val="TabletextLeft"/>
              <w:ind w:left="0" w:firstLine="142"/>
              <w:rPr>
                <w:sz w:val="18"/>
                <w:szCs w:val="18"/>
              </w:rPr>
            </w:pPr>
            <w:r>
              <w:rPr>
                <w:sz w:val="18"/>
                <w:szCs w:val="18"/>
              </w:rPr>
              <w:t>AHPF</w:t>
            </w:r>
          </w:p>
        </w:tc>
        <w:tc>
          <w:tcPr>
            <w:tcW w:w="1904" w:type="pct"/>
            <w:gridSpan w:val="2"/>
            <w:tcBorders>
              <w:top w:val="single" w:sz="8" w:space="0" w:color="D9D9D9"/>
              <w:left w:val="nil"/>
              <w:bottom w:val="single" w:sz="8" w:space="0" w:color="D9D9D9"/>
              <w:right w:val="nil"/>
            </w:tcBorders>
            <w:shd w:val="clear" w:color="auto" w:fill="auto"/>
            <w:vAlign w:val="center"/>
          </w:tcPr>
          <w:p w14:paraId="04E43F80" w14:textId="765BC054" w:rsidR="00203770" w:rsidRPr="00196D8A" w:rsidRDefault="00203770" w:rsidP="00203770">
            <w:pPr>
              <w:pStyle w:val="TabletextLeft"/>
              <w:rPr>
                <w:sz w:val="18"/>
                <w:szCs w:val="18"/>
              </w:rPr>
            </w:pPr>
            <w:r>
              <w:rPr>
                <w:sz w:val="18"/>
                <w:szCs w:val="18"/>
              </w:rPr>
              <w:t>Australian Health Performance Framework</w:t>
            </w:r>
          </w:p>
        </w:tc>
        <w:tc>
          <w:tcPr>
            <w:tcW w:w="377" w:type="pct"/>
            <w:tcBorders>
              <w:top w:val="single" w:sz="8" w:space="0" w:color="D9D9D9"/>
              <w:left w:val="nil"/>
              <w:bottom w:val="single" w:sz="8" w:space="0" w:color="D9D9D9"/>
              <w:right w:val="nil"/>
            </w:tcBorders>
            <w:vAlign w:val="center"/>
          </w:tcPr>
          <w:p w14:paraId="1436412F" w14:textId="2D340BE3" w:rsidR="00203770" w:rsidRPr="00196D8A" w:rsidRDefault="00203770" w:rsidP="008E70B8">
            <w:pPr>
              <w:pStyle w:val="TabletextLeft"/>
              <w:ind w:left="158"/>
              <w:rPr>
                <w:sz w:val="18"/>
                <w:szCs w:val="18"/>
              </w:rPr>
            </w:pPr>
            <w:r w:rsidRPr="00196D8A">
              <w:rPr>
                <w:sz w:val="18"/>
                <w:szCs w:val="18"/>
              </w:rPr>
              <w:t>IHACPA</w:t>
            </w:r>
          </w:p>
        </w:tc>
        <w:tc>
          <w:tcPr>
            <w:tcW w:w="2137" w:type="pct"/>
            <w:tcBorders>
              <w:top w:val="single" w:sz="8" w:space="0" w:color="D9D9D9"/>
              <w:left w:val="nil"/>
              <w:bottom w:val="single" w:sz="8" w:space="0" w:color="D9D9D9"/>
              <w:right w:val="nil"/>
            </w:tcBorders>
            <w:vAlign w:val="center"/>
          </w:tcPr>
          <w:p w14:paraId="597B0138" w14:textId="0C402B58" w:rsidR="00203770" w:rsidRPr="00196D8A" w:rsidRDefault="00203770" w:rsidP="00203770">
            <w:pPr>
              <w:pStyle w:val="TabletextLeft"/>
              <w:rPr>
                <w:sz w:val="18"/>
                <w:szCs w:val="18"/>
              </w:rPr>
            </w:pPr>
            <w:r w:rsidRPr="00196D8A">
              <w:rPr>
                <w:sz w:val="18"/>
                <w:szCs w:val="18"/>
              </w:rPr>
              <w:t>Independent Hospital and Aged Care Pricing Authority</w:t>
            </w:r>
          </w:p>
        </w:tc>
      </w:tr>
      <w:tr w:rsidR="00203770" w:rsidRPr="00C0090D" w14:paraId="049E0B88" w14:textId="4F52AA5F" w:rsidTr="00F17643">
        <w:tc>
          <w:tcPr>
            <w:tcW w:w="581" w:type="pct"/>
            <w:tcBorders>
              <w:top w:val="single" w:sz="8" w:space="0" w:color="D9D9D9"/>
              <w:left w:val="nil"/>
              <w:bottom w:val="single" w:sz="8" w:space="0" w:color="D9D9D9"/>
              <w:right w:val="nil"/>
            </w:tcBorders>
            <w:shd w:val="clear" w:color="auto" w:fill="auto"/>
            <w:vAlign w:val="center"/>
          </w:tcPr>
          <w:p w14:paraId="053C2973" w14:textId="38EE51C6" w:rsidR="00203770" w:rsidRPr="00196D8A" w:rsidRDefault="00203770" w:rsidP="008E70B8">
            <w:pPr>
              <w:pStyle w:val="TabletextLeft"/>
              <w:ind w:left="0" w:firstLine="142"/>
              <w:rPr>
                <w:sz w:val="18"/>
                <w:szCs w:val="18"/>
              </w:rPr>
            </w:pPr>
            <w:r>
              <w:rPr>
                <w:sz w:val="18"/>
                <w:szCs w:val="18"/>
              </w:rPr>
              <w:t>AHPRA</w:t>
            </w:r>
          </w:p>
        </w:tc>
        <w:tc>
          <w:tcPr>
            <w:tcW w:w="1904" w:type="pct"/>
            <w:gridSpan w:val="2"/>
            <w:tcBorders>
              <w:top w:val="single" w:sz="8" w:space="0" w:color="D9D9D9"/>
              <w:left w:val="nil"/>
              <w:bottom w:val="single" w:sz="8" w:space="0" w:color="D9D9D9"/>
              <w:right w:val="nil"/>
            </w:tcBorders>
            <w:shd w:val="clear" w:color="auto" w:fill="auto"/>
            <w:vAlign w:val="center"/>
          </w:tcPr>
          <w:p w14:paraId="700ED8BF" w14:textId="29C3EB21" w:rsidR="00203770" w:rsidRPr="00196D8A" w:rsidRDefault="00203770" w:rsidP="00203770">
            <w:pPr>
              <w:pStyle w:val="TabletextLeft"/>
              <w:rPr>
                <w:sz w:val="18"/>
                <w:szCs w:val="18"/>
              </w:rPr>
            </w:pPr>
            <w:r w:rsidRPr="00D56602">
              <w:rPr>
                <w:sz w:val="18"/>
                <w:szCs w:val="18"/>
              </w:rPr>
              <w:t>Australian Health Practitioner Regulation Agency</w:t>
            </w:r>
          </w:p>
        </w:tc>
        <w:tc>
          <w:tcPr>
            <w:tcW w:w="377" w:type="pct"/>
            <w:tcBorders>
              <w:top w:val="single" w:sz="8" w:space="0" w:color="D9D9D9"/>
              <w:left w:val="nil"/>
              <w:bottom w:val="single" w:sz="8" w:space="0" w:color="D9D9D9"/>
              <w:right w:val="nil"/>
            </w:tcBorders>
            <w:vAlign w:val="center"/>
          </w:tcPr>
          <w:p w14:paraId="132BDAE3" w14:textId="14CB7C74" w:rsidR="00203770" w:rsidRPr="00196D8A" w:rsidRDefault="00203770" w:rsidP="008E70B8">
            <w:pPr>
              <w:pStyle w:val="TabletextLeft"/>
              <w:ind w:left="158"/>
              <w:rPr>
                <w:sz w:val="18"/>
                <w:szCs w:val="18"/>
              </w:rPr>
            </w:pPr>
            <w:r w:rsidRPr="00196D8A">
              <w:rPr>
                <w:sz w:val="18"/>
                <w:szCs w:val="18"/>
              </w:rPr>
              <w:t>IHPA</w:t>
            </w:r>
          </w:p>
        </w:tc>
        <w:tc>
          <w:tcPr>
            <w:tcW w:w="2137" w:type="pct"/>
            <w:tcBorders>
              <w:top w:val="single" w:sz="8" w:space="0" w:color="D9D9D9"/>
              <w:left w:val="nil"/>
              <w:bottom w:val="single" w:sz="8" w:space="0" w:color="D9D9D9"/>
              <w:right w:val="nil"/>
            </w:tcBorders>
            <w:vAlign w:val="center"/>
          </w:tcPr>
          <w:p w14:paraId="315EECF5" w14:textId="5D722B6E" w:rsidR="00203770" w:rsidRPr="00196D8A" w:rsidRDefault="00203770" w:rsidP="00203770">
            <w:pPr>
              <w:pStyle w:val="TabletextLeft"/>
              <w:rPr>
                <w:sz w:val="18"/>
                <w:szCs w:val="18"/>
              </w:rPr>
            </w:pPr>
            <w:r w:rsidRPr="00196D8A">
              <w:rPr>
                <w:sz w:val="18"/>
                <w:szCs w:val="18"/>
              </w:rPr>
              <w:t>Independent Hospital Pricing Authority (now IHACPA)</w:t>
            </w:r>
          </w:p>
        </w:tc>
      </w:tr>
      <w:tr w:rsidR="00203770" w:rsidRPr="00C0090D" w14:paraId="6B6C8287" w14:textId="77777777" w:rsidTr="00F17643">
        <w:tc>
          <w:tcPr>
            <w:tcW w:w="581" w:type="pct"/>
            <w:tcBorders>
              <w:top w:val="single" w:sz="8" w:space="0" w:color="D9D9D9"/>
              <w:left w:val="nil"/>
              <w:bottom w:val="single" w:sz="8" w:space="0" w:color="D9D9D9"/>
              <w:right w:val="nil"/>
            </w:tcBorders>
            <w:shd w:val="clear" w:color="auto" w:fill="auto"/>
            <w:vAlign w:val="center"/>
          </w:tcPr>
          <w:p w14:paraId="0184A740" w14:textId="5C200E6E" w:rsidR="00203770" w:rsidRPr="00196D8A" w:rsidRDefault="00203770" w:rsidP="008E70B8">
            <w:pPr>
              <w:pStyle w:val="TabletextLeft"/>
              <w:ind w:left="0" w:firstLine="142"/>
              <w:rPr>
                <w:sz w:val="18"/>
                <w:szCs w:val="18"/>
              </w:rPr>
            </w:pPr>
            <w:r w:rsidRPr="00196D8A">
              <w:rPr>
                <w:sz w:val="18"/>
                <w:szCs w:val="18"/>
              </w:rPr>
              <w:t>AIH</w:t>
            </w:r>
            <w:r>
              <w:rPr>
                <w:sz w:val="18"/>
                <w:szCs w:val="18"/>
              </w:rPr>
              <w:t>W</w:t>
            </w:r>
          </w:p>
        </w:tc>
        <w:tc>
          <w:tcPr>
            <w:tcW w:w="1904" w:type="pct"/>
            <w:gridSpan w:val="2"/>
            <w:tcBorders>
              <w:top w:val="single" w:sz="8" w:space="0" w:color="D9D9D9"/>
              <w:left w:val="nil"/>
              <w:bottom w:val="single" w:sz="8" w:space="0" w:color="D9D9D9"/>
              <w:right w:val="nil"/>
            </w:tcBorders>
            <w:shd w:val="clear" w:color="auto" w:fill="auto"/>
            <w:vAlign w:val="center"/>
          </w:tcPr>
          <w:p w14:paraId="5910E923" w14:textId="54D669B3" w:rsidR="00203770" w:rsidRPr="00196D8A" w:rsidRDefault="00203770" w:rsidP="00203770">
            <w:pPr>
              <w:pStyle w:val="TabletextLeft"/>
              <w:rPr>
                <w:sz w:val="18"/>
                <w:szCs w:val="18"/>
              </w:rPr>
            </w:pPr>
            <w:r w:rsidRPr="00196D8A">
              <w:rPr>
                <w:sz w:val="18"/>
                <w:szCs w:val="18"/>
              </w:rPr>
              <w:t>Australian Institute of Health and Welfare</w:t>
            </w:r>
          </w:p>
        </w:tc>
        <w:tc>
          <w:tcPr>
            <w:tcW w:w="377" w:type="pct"/>
            <w:tcBorders>
              <w:top w:val="single" w:sz="8" w:space="0" w:color="D9D9D9"/>
              <w:left w:val="nil"/>
              <w:bottom w:val="single" w:sz="8" w:space="0" w:color="D9D9D9"/>
              <w:right w:val="nil"/>
            </w:tcBorders>
            <w:vAlign w:val="center"/>
          </w:tcPr>
          <w:p w14:paraId="78CCC7F8" w14:textId="7FF90B20" w:rsidR="00203770" w:rsidRPr="00196D8A" w:rsidRDefault="00203770" w:rsidP="008E70B8">
            <w:pPr>
              <w:pStyle w:val="TabletextLeft"/>
              <w:ind w:left="158"/>
              <w:rPr>
                <w:sz w:val="18"/>
                <w:szCs w:val="18"/>
              </w:rPr>
            </w:pPr>
            <w:r>
              <w:rPr>
                <w:sz w:val="18"/>
                <w:szCs w:val="18"/>
              </w:rPr>
              <w:t>IMOC</w:t>
            </w:r>
          </w:p>
        </w:tc>
        <w:tc>
          <w:tcPr>
            <w:tcW w:w="2137" w:type="pct"/>
            <w:tcBorders>
              <w:top w:val="single" w:sz="8" w:space="0" w:color="D9D9D9"/>
              <w:left w:val="nil"/>
              <w:bottom w:val="single" w:sz="8" w:space="0" w:color="D9D9D9"/>
              <w:right w:val="nil"/>
            </w:tcBorders>
            <w:vAlign w:val="center"/>
          </w:tcPr>
          <w:p w14:paraId="63205BBE" w14:textId="102CC79C" w:rsidR="00203770" w:rsidRPr="00196D8A" w:rsidRDefault="00203770" w:rsidP="00203770">
            <w:pPr>
              <w:pStyle w:val="TabletextLeft"/>
              <w:rPr>
                <w:sz w:val="18"/>
                <w:szCs w:val="18"/>
              </w:rPr>
            </w:pPr>
            <w:r w:rsidRPr="00E83161">
              <w:rPr>
                <w:sz w:val="18"/>
                <w:szCs w:val="18"/>
              </w:rPr>
              <w:t>Innovative Models of Care</w:t>
            </w:r>
          </w:p>
        </w:tc>
      </w:tr>
      <w:tr w:rsidR="00203770" w:rsidRPr="00C0090D" w14:paraId="127226A9" w14:textId="77777777" w:rsidTr="00F17643">
        <w:tc>
          <w:tcPr>
            <w:tcW w:w="581" w:type="pct"/>
            <w:tcBorders>
              <w:top w:val="single" w:sz="8" w:space="0" w:color="D9D9D9"/>
              <w:left w:val="nil"/>
              <w:bottom w:val="single" w:sz="8" w:space="0" w:color="D9D9D9"/>
              <w:right w:val="nil"/>
            </w:tcBorders>
            <w:shd w:val="clear" w:color="auto" w:fill="auto"/>
            <w:vAlign w:val="center"/>
          </w:tcPr>
          <w:p w14:paraId="2A3C0B34" w14:textId="1AE67358" w:rsidR="00203770" w:rsidRPr="00196D8A" w:rsidRDefault="00203770" w:rsidP="008E70B8">
            <w:pPr>
              <w:pStyle w:val="TabletextLeft"/>
              <w:ind w:left="0" w:firstLine="142"/>
              <w:rPr>
                <w:sz w:val="18"/>
                <w:szCs w:val="18"/>
              </w:rPr>
            </w:pPr>
            <w:r>
              <w:rPr>
                <w:sz w:val="18"/>
                <w:szCs w:val="18"/>
              </w:rPr>
              <w:t>AIR</w:t>
            </w:r>
          </w:p>
        </w:tc>
        <w:tc>
          <w:tcPr>
            <w:tcW w:w="1904" w:type="pct"/>
            <w:gridSpan w:val="2"/>
            <w:tcBorders>
              <w:top w:val="single" w:sz="8" w:space="0" w:color="D9D9D9"/>
              <w:left w:val="nil"/>
              <w:bottom w:val="single" w:sz="8" w:space="0" w:color="D9D9D9"/>
              <w:right w:val="nil"/>
            </w:tcBorders>
            <w:shd w:val="clear" w:color="auto" w:fill="auto"/>
            <w:vAlign w:val="center"/>
          </w:tcPr>
          <w:p w14:paraId="5C86A3E1" w14:textId="15E3A9FF" w:rsidR="00203770" w:rsidRPr="00196D8A" w:rsidRDefault="00203770" w:rsidP="00203770">
            <w:pPr>
              <w:pStyle w:val="TabletextLeft"/>
              <w:rPr>
                <w:sz w:val="18"/>
                <w:szCs w:val="18"/>
              </w:rPr>
            </w:pPr>
            <w:r w:rsidRPr="008D3226">
              <w:rPr>
                <w:sz w:val="18"/>
                <w:szCs w:val="18"/>
              </w:rPr>
              <w:t>Australian Immunisation Register</w:t>
            </w:r>
          </w:p>
        </w:tc>
        <w:tc>
          <w:tcPr>
            <w:tcW w:w="377" w:type="pct"/>
            <w:tcBorders>
              <w:top w:val="single" w:sz="8" w:space="0" w:color="D9D9D9"/>
              <w:left w:val="nil"/>
              <w:bottom w:val="single" w:sz="8" w:space="0" w:color="D9D9D9"/>
              <w:right w:val="nil"/>
            </w:tcBorders>
            <w:vAlign w:val="center"/>
          </w:tcPr>
          <w:p w14:paraId="3449CE59" w14:textId="20F25E40" w:rsidR="00203770" w:rsidRPr="00196D8A" w:rsidRDefault="00203770" w:rsidP="008E70B8">
            <w:pPr>
              <w:pStyle w:val="TabletextLeft"/>
              <w:ind w:left="158"/>
              <w:rPr>
                <w:sz w:val="18"/>
                <w:szCs w:val="18"/>
              </w:rPr>
            </w:pPr>
            <w:r>
              <w:rPr>
                <w:sz w:val="18"/>
                <w:szCs w:val="18"/>
              </w:rPr>
              <w:t>KPI</w:t>
            </w:r>
          </w:p>
        </w:tc>
        <w:tc>
          <w:tcPr>
            <w:tcW w:w="2137" w:type="pct"/>
            <w:tcBorders>
              <w:top w:val="single" w:sz="8" w:space="0" w:color="D9D9D9"/>
              <w:left w:val="nil"/>
              <w:bottom w:val="single" w:sz="8" w:space="0" w:color="D9D9D9"/>
              <w:right w:val="nil"/>
            </w:tcBorders>
            <w:vAlign w:val="center"/>
          </w:tcPr>
          <w:p w14:paraId="0E7DFD7C" w14:textId="0D168808" w:rsidR="00203770" w:rsidRPr="00196D8A" w:rsidRDefault="00203770" w:rsidP="00203770">
            <w:pPr>
              <w:pStyle w:val="TabletextLeft"/>
              <w:rPr>
                <w:sz w:val="18"/>
                <w:szCs w:val="18"/>
              </w:rPr>
            </w:pPr>
            <w:r>
              <w:rPr>
                <w:sz w:val="18"/>
                <w:szCs w:val="18"/>
              </w:rPr>
              <w:t>Key Performance Indicator</w:t>
            </w:r>
          </w:p>
        </w:tc>
      </w:tr>
      <w:tr w:rsidR="00203770" w:rsidRPr="00C0090D" w14:paraId="315A3552" w14:textId="77777777" w:rsidTr="00F17643">
        <w:tc>
          <w:tcPr>
            <w:tcW w:w="581" w:type="pct"/>
            <w:tcBorders>
              <w:top w:val="single" w:sz="8" w:space="0" w:color="D9D9D9"/>
              <w:left w:val="nil"/>
              <w:bottom w:val="single" w:sz="8" w:space="0" w:color="D9D9D9"/>
              <w:right w:val="nil"/>
            </w:tcBorders>
            <w:shd w:val="clear" w:color="auto" w:fill="auto"/>
            <w:vAlign w:val="center"/>
          </w:tcPr>
          <w:p w14:paraId="57308EDA" w14:textId="789FD68F" w:rsidR="00203770" w:rsidRDefault="00203770" w:rsidP="008E70B8">
            <w:pPr>
              <w:pStyle w:val="TabletextLeft"/>
              <w:ind w:left="0" w:firstLine="142"/>
              <w:rPr>
                <w:sz w:val="18"/>
                <w:szCs w:val="18"/>
              </w:rPr>
            </w:pPr>
            <w:r>
              <w:rPr>
                <w:sz w:val="18"/>
                <w:szCs w:val="18"/>
              </w:rPr>
              <w:t>AN-ACC</w:t>
            </w:r>
          </w:p>
        </w:tc>
        <w:tc>
          <w:tcPr>
            <w:tcW w:w="1894" w:type="pct"/>
            <w:tcBorders>
              <w:top w:val="single" w:sz="8" w:space="0" w:color="D9D9D9"/>
              <w:left w:val="nil"/>
              <w:bottom w:val="single" w:sz="8" w:space="0" w:color="D9D9D9"/>
              <w:right w:val="nil"/>
            </w:tcBorders>
            <w:shd w:val="clear" w:color="auto" w:fill="auto"/>
            <w:vAlign w:val="center"/>
          </w:tcPr>
          <w:p w14:paraId="7CE530AF" w14:textId="1AA30FEF" w:rsidR="00203770" w:rsidRPr="00265162" w:rsidRDefault="00203770" w:rsidP="008E70B8">
            <w:pPr>
              <w:pStyle w:val="TabletextLeft"/>
              <w:ind w:left="0" w:firstLine="142"/>
              <w:rPr>
                <w:sz w:val="18"/>
                <w:szCs w:val="18"/>
              </w:rPr>
            </w:pPr>
            <w:r w:rsidRPr="00F60097">
              <w:rPr>
                <w:sz w:val="18"/>
                <w:szCs w:val="18"/>
              </w:rPr>
              <w:t>Australian National Aged Care Classification</w:t>
            </w:r>
          </w:p>
        </w:tc>
        <w:tc>
          <w:tcPr>
            <w:tcW w:w="387" w:type="pct"/>
            <w:gridSpan w:val="2"/>
            <w:tcBorders>
              <w:top w:val="single" w:sz="8" w:space="0" w:color="D9D9D9"/>
              <w:left w:val="nil"/>
              <w:bottom w:val="single" w:sz="8" w:space="0" w:color="D9D9D9"/>
              <w:right w:val="nil"/>
            </w:tcBorders>
            <w:vAlign w:val="center"/>
          </w:tcPr>
          <w:p w14:paraId="7F89B490" w14:textId="3CBD2B66" w:rsidR="00203770" w:rsidRDefault="00203770" w:rsidP="008E70B8">
            <w:pPr>
              <w:pStyle w:val="TabletextLeft"/>
              <w:ind w:left="158"/>
              <w:rPr>
                <w:sz w:val="18"/>
                <w:szCs w:val="18"/>
              </w:rPr>
            </w:pPr>
            <w:r>
              <w:rPr>
                <w:sz w:val="18"/>
                <w:szCs w:val="18"/>
              </w:rPr>
              <w:t>LHD</w:t>
            </w:r>
          </w:p>
        </w:tc>
        <w:tc>
          <w:tcPr>
            <w:tcW w:w="2137" w:type="pct"/>
            <w:tcBorders>
              <w:top w:val="single" w:sz="8" w:space="0" w:color="D9D9D9"/>
              <w:left w:val="nil"/>
              <w:bottom w:val="single" w:sz="8" w:space="0" w:color="D9D9D9"/>
              <w:right w:val="nil"/>
            </w:tcBorders>
            <w:vAlign w:val="center"/>
          </w:tcPr>
          <w:p w14:paraId="60E0F66A" w14:textId="4036BC20" w:rsidR="00203770" w:rsidRPr="008D2C6D" w:rsidRDefault="00203770" w:rsidP="00203770">
            <w:pPr>
              <w:pStyle w:val="TabletextLeft"/>
              <w:rPr>
                <w:sz w:val="18"/>
                <w:szCs w:val="18"/>
              </w:rPr>
            </w:pPr>
            <w:r>
              <w:rPr>
                <w:sz w:val="18"/>
                <w:szCs w:val="18"/>
              </w:rPr>
              <w:t>Local Hospital District</w:t>
            </w:r>
          </w:p>
        </w:tc>
      </w:tr>
      <w:tr w:rsidR="00203770" w:rsidRPr="00C0090D" w14:paraId="49C322DE" w14:textId="77777777" w:rsidTr="00F17643">
        <w:tc>
          <w:tcPr>
            <w:tcW w:w="581" w:type="pct"/>
            <w:tcBorders>
              <w:top w:val="single" w:sz="8" w:space="0" w:color="D9D9D9"/>
              <w:left w:val="nil"/>
              <w:bottom w:val="single" w:sz="8" w:space="0" w:color="D9D9D9"/>
              <w:right w:val="nil"/>
            </w:tcBorders>
            <w:shd w:val="clear" w:color="auto" w:fill="auto"/>
            <w:vAlign w:val="center"/>
          </w:tcPr>
          <w:p w14:paraId="5490330A" w14:textId="0447C107" w:rsidR="00203770" w:rsidRDefault="00203770" w:rsidP="008E70B8">
            <w:pPr>
              <w:pStyle w:val="TabletextLeft"/>
              <w:ind w:left="0" w:firstLine="142"/>
              <w:rPr>
                <w:sz w:val="18"/>
                <w:szCs w:val="18"/>
              </w:rPr>
            </w:pPr>
            <w:r>
              <w:rPr>
                <w:sz w:val="18"/>
                <w:szCs w:val="18"/>
              </w:rPr>
              <w:t>ANAO</w:t>
            </w:r>
          </w:p>
        </w:tc>
        <w:tc>
          <w:tcPr>
            <w:tcW w:w="1894" w:type="pct"/>
            <w:tcBorders>
              <w:top w:val="single" w:sz="8" w:space="0" w:color="D9D9D9"/>
              <w:left w:val="nil"/>
              <w:bottom w:val="single" w:sz="8" w:space="0" w:color="D9D9D9"/>
              <w:right w:val="nil"/>
            </w:tcBorders>
            <w:shd w:val="clear" w:color="auto" w:fill="auto"/>
            <w:vAlign w:val="center"/>
          </w:tcPr>
          <w:p w14:paraId="3B02F6F3" w14:textId="0342661F" w:rsidR="00203770" w:rsidRPr="008C2841" w:rsidRDefault="00203770" w:rsidP="008E70B8">
            <w:pPr>
              <w:pStyle w:val="TabletextLeft"/>
              <w:ind w:left="0" w:firstLine="142"/>
              <w:rPr>
                <w:sz w:val="18"/>
                <w:szCs w:val="18"/>
              </w:rPr>
            </w:pPr>
            <w:r w:rsidRPr="00265162">
              <w:rPr>
                <w:sz w:val="18"/>
                <w:szCs w:val="18"/>
              </w:rPr>
              <w:t>Australian National Audit Office</w:t>
            </w:r>
          </w:p>
        </w:tc>
        <w:tc>
          <w:tcPr>
            <w:tcW w:w="387" w:type="pct"/>
            <w:gridSpan w:val="2"/>
            <w:tcBorders>
              <w:top w:val="single" w:sz="8" w:space="0" w:color="D9D9D9"/>
              <w:left w:val="nil"/>
              <w:bottom w:val="single" w:sz="8" w:space="0" w:color="D9D9D9"/>
              <w:right w:val="nil"/>
            </w:tcBorders>
            <w:vAlign w:val="center"/>
          </w:tcPr>
          <w:p w14:paraId="7BC8ACD4" w14:textId="170213B8" w:rsidR="00203770" w:rsidRDefault="00203770" w:rsidP="008E70B8">
            <w:pPr>
              <w:pStyle w:val="TabletextLeft"/>
              <w:ind w:left="158"/>
              <w:rPr>
                <w:sz w:val="18"/>
                <w:szCs w:val="18"/>
              </w:rPr>
            </w:pPr>
            <w:r w:rsidRPr="00196D8A">
              <w:rPr>
                <w:sz w:val="18"/>
                <w:szCs w:val="18"/>
              </w:rPr>
              <w:t>LHN</w:t>
            </w:r>
          </w:p>
        </w:tc>
        <w:tc>
          <w:tcPr>
            <w:tcW w:w="2137" w:type="pct"/>
            <w:tcBorders>
              <w:top w:val="single" w:sz="8" w:space="0" w:color="D9D9D9"/>
              <w:left w:val="nil"/>
              <w:bottom w:val="single" w:sz="8" w:space="0" w:color="D9D9D9"/>
              <w:right w:val="nil"/>
            </w:tcBorders>
            <w:vAlign w:val="center"/>
          </w:tcPr>
          <w:p w14:paraId="5C9B3813" w14:textId="45BB2501" w:rsidR="00203770" w:rsidRPr="008D2C6D" w:rsidRDefault="00203770" w:rsidP="00203770">
            <w:pPr>
              <w:pStyle w:val="TabletextLeft"/>
              <w:rPr>
                <w:sz w:val="18"/>
                <w:szCs w:val="18"/>
              </w:rPr>
            </w:pPr>
            <w:r w:rsidRPr="00196D8A">
              <w:rPr>
                <w:sz w:val="18"/>
                <w:szCs w:val="18"/>
              </w:rPr>
              <w:t>Local H</w:t>
            </w:r>
            <w:r>
              <w:rPr>
                <w:sz w:val="18"/>
                <w:szCs w:val="18"/>
              </w:rPr>
              <w:t>ospital</w:t>
            </w:r>
            <w:r w:rsidRPr="00196D8A">
              <w:rPr>
                <w:sz w:val="18"/>
                <w:szCs w:val="18"/>
              </w:rPr>
              <w:t xml:space="preserve"> Network</w:t>
            </w:r>
          </w:p>
        </w:tc>
      </w:tr>
      <w:tr w:rsidR="00203770" w:rsidRPr="00C0090D" w14:paraId="3EB50CB0" w14:textId="7B35ED1E" w:rsidTr="00F17643">
        <w:tc>
          <w:tcPr>
            <w:tcW w:w="581" w:type="pct"/>
            <w:tcBorders>
              <w:top w:val="single" w:sz="8" w:space="0" w:color="D9D9D9"/>
              <w:left w:val="nil"/>
              <w:bottom w:val="single" w:sz="8" w:space="0" w:color="D9D9D9"/>
              <w:right w:val="nil"/>
            </w:tcBorders>
            <w:shd w:val="clear" w:color="auto" w:fill="auto"/>
            <w:vAlign w:val="center"/>
          </w:tcPr>
          <w:p w14:paraId="3E2D0280" w14:textId="59FD69DC" w:rsidR="00203770" w:rsidRPr="00196D8A" w:rsidRDefault="00203770" w:rsidP="008E70B8">
            <w:pPr>
              <w:pStyle w:val="TabletextLeft"/>
              <w:ind w:left="0" w:firstLine="142"/>
              <w:rPr>
                <w:sz w:val="18"/>
                <w:szCs w:val="18"/>
              </w:rPr>
            </w:pPr>
            <w:r>
              <w:rPr>
                <w:sz w:val="18"/>
                <w:szCs w:val="18"/>
              </w:rPr>
              <w:t>APRA</w:t>
            </w:r>
          </w:p>
        </w:tc>
        <w:tc>
          <w:tcPr>
            <w:tcW w:w="1904" w:type="pct"/>
            <w:gridSpan w:val="2"/>
            <w:tcBorders>
              <w:top w:val="single" w:sz="8" w:space="0" w:color="D9D9D9"/>
              <w:left w:val="nil"/>
              <w:bottom w:val="single" w:sz="8" w:space="0" w:color="D9D9D9"/>
              <w:right w:val="nil"/>
            </w:tcBorders>
            <w:shd w:val="clear" w:color="auto" w:fill="auto"/>
            <w:vAlign w:val="center"/>
          </w:tcPr>
          <w:p w14:paraId="5FC5B4C6" w14:textId="69D30F09" w:rsidR="00203770" w:rsidRPr="00196D8A" w:rsidRDefault="00203770" w:rsidP="00203770">
            <w:pPr>
              <w:pStyle w:val="TabletextLeft"/>
              <w:rPr>
                <w:sz w:val="18"/>
                <w:szCs w:val="18"/>
              </w:rPr>
            </w:pPr>
            <w:r w:rsidRPr="008C2841">
              <w:rPr>
                <w:sz w:val="18"/>
                <w:szCs w:val="18"/>
              </w:rPr>
              <w:t>Australian Prudential Regulation Authority</w:t>
            </w:r>
          </w:p>
        </w:tc>
        <w:tc>
          <w:tcPr>
            <w:tcW w:w="377" w:type="pct"/>
            <w:tcBorders>
              <w:top w:val="single" w:sz="8" w:space="0" w:color="D9D9D9"/>
              <w:left w:val="nil"/>
              <w:bottom w:val="single" w:sz="8" w:space="0" w:color="D9D9D9"/>
              <w:right w:val="nil"/>
            </w:tcBorders>
            <w:vAlign w:val="center"/>
          </w:tcPr>
          <w:p w14:paraId="543D65A9" w14:textId="346D5906" w:rsidR="00203770" w:rsidRPr="00196D8A" w:rsidRDefault="00203770" w:rsidP="008E70B8">
            <w:pPr>
              <w:pStyle w:val="TabletextLeft"/>
              <w:ind w:left="158"/>
              <w:rPr>
                <w:sz w:val="18"/>
                <w:szCs w:val="18"/>
              </w:rPr>
            </w:pPr>
            <w:r>
              <w:rPr>
                <w:sz w:val="18"/>
                <w:szCs w:val="18"/>
              </w:rPr>
              <w:t>LSOP</w:t>
            </w:r>
          </w:p>
        </w:tc>
        <w:tc>
          <w:tcPr>
            <w:tcW w:w="2137" w:type="pct"/>
            <w:tcBorders>
              <w:top w:val="single" w:sz="8" w:space="0" w:color="D9D9D9"/>
              <w:left w:val="nil"/>
              <w:bottom w:val="single" w:sz="8" w:space="0" w:color="D9D9D9"/>
              <w:right w:val="nil"/>
            </w:tcBorders>
            <w:vAlign w:val="center"/>
          </w:tcPr>
          <w:p w14:paraId="5ED680A6" w14:textId="61FD04E8" w:rsidR="00203770" w:rsidRPr="00196D8A" w:rsidRDefault="00203770" w:rsidP="00203770">
            <w:pPr>
              <w:pStyle w:val="TabletextLeft"/>
              <w:rPr>
                <w:sz w:val="18"/>
                <w:szCs w:val="18"/>
              </w:rPr>
            </w:pPr>
            <w:r>
              <w:rPr>
                <w:sz w:val="18"/>
                <w:szCs w:val="18"/>
              </w:rPr>
              <w:t>L</w:t>
            </w:r>
            <w:r w:rsidRPr="00E748AD">
              <w:rPr>
                <w:sz w:val="18"/>
                <w:szCs w:val="18"/>
              </w:rPr>
              <w:t>ong stay older patients</w:t>
            </w:r>
          </w:p>
        </w:tc>
      </w:tr>
      <w:tr w:rsidR="00C12AEC" w:rsidRPr="00C0090D" w14:paraId="4A89C046" w14:textId="77777777" w:rsidTr="00F17643">
        <w:tc>
          <w:tcPr>
            <w:tcW w:w="581" w:type="pct"/>
            <w:tcBorders>
              <w:top w:val="single" w:sz="8" w:space="0" w:color="D9D9D9"/>
              <w:left w:val="nil"/>
              <w:bottom w:val="single" w:sz="8" w:space="0" w:color="D9D9D9"/>
              <w:right w:val="nil"/>
            </w:tcBorders>
            <w:shd w:val="clear" w:color="auto" w:fill="auto"/>
            <w:vAlign w:val="center"/>
          </w:tcPr>
          <w:p w14:paraId="7C0444AB" w14:textId="60F4BE9C" w:rsidR="00C12AEC" w:rsidRPr="00196D8A" w:rsidRDefault="00C12AEC" w:rsidP="008E70B8">
            <w:pPr>
              <w:pStyle w:val="TabletextLeft"/>
              <w:ind w:left="0" w:firstLine="142"/>
              <w:rPr>
                <w:sz w:val="18"/>
                <w:szCs w:val="18"/>
              </w:rPr>
            </w:pPr>
            <w:r>
              <w:rPr>
                <w:sz w:val="18"/>
                <w:szCs w:val="18"/>
              </w:rPr>
              <w:t>ATTC</w:t>
            </w:r>
          </w:p>
        </w:tc>
        <w:tc>
          <w:tcPr>
            <w:tcW w:w="1904" w:type="pct"/>
            <w:gridSpan w:val="2"/>
            <w:tcBorders>
              <w:top w:val="single" w:sz="8" w:space="0" w:color="D9D9D9"/>
              <w:left w:val="nil"/>
              <w:bottom w:val="single" w:sz="8" w:space="0" w:color="D9D9D9"/>
              <w:right w:val="nil"/>
            </w:tcBorders>
            <w:shd w:val="clear" w:color="auto" w:fill="auto"/>
            <w:vAlign w:val="center"/>
          </w:tcPr>
          <w:p w14:paraId="4ACB5346" w14:textId="2841478E" w:rsidR="00C12AEC" w:rsidRPr="00196D8A" w:rsidRDefault="00C12AEC" w:rsidP="00C12AEC">
            <w:pPr>
              <w:pStyle w:val="TabletextLeft"/>
              <w:rPr>
                <w:sz w:val="18"/>
                <w:szCs w:val="18"/>
              </w:rPr>
            </w:pPr>
            <w:r w:rsidRPr="00BF3A89">
              <w:rPr>
                <w:sz w:val="18"/>
                <w:szCs w:val="18"/>
              </w:rPr>
              <w:t>Australian Teaching and Training Classification</w:t>
            </w:r>
          </w:p>
        </w:tc>
        <w:tc>
          <w:tcPr>
            <w:tcW w:w="377" w:type="pct"/>
            <w:tcBorders>
              <w:top w:val="single" w:sz="8" w:space="0" w:color="D9D9D9"/>
              <w:left w:val="nil"/>
              <w:bottom w:val="single" w:sz="8" w:space="0" w:color="D9D9D9"/>
              <w:right w:val="nil"/>
            </w:tcBorders>
            <w:vAlign w:val="center"/>
          </w:tcPr>
          <w:p w14:paraId="754687B5" w14:textId="42B22E4B" w:rsidR="00C12AEC" w:rsidRPr="00196D8A" w:rsidRDefault="00C12AEC" w:rsidP="008E70B8">
            <w:pPr>
              <w:pStyle w:val="TabletextLeft"/>
              <w:ind w:left="158"/>
              <w:rPr>
                <w:sz w:val="18"/>
                <w:szCs w:val="18"/>
              </w:rPr>
            </w:pPr>
            <w:r w:rsidRPr="00196D8A">
              <w:rPr>
                <w:sz w:val="18"/>
                <w:szCs w:val="18"/>
              </w:rPr>
              <w:t>LTR</w:t>
            </w:r>
          </w:p>
        </w:tc>
        <w:tc>
          <w:tcPr>
            <w:tcW w:w="2137" w:type="pct"/>
            <w:tcBorders>
              <w:top w:val="single" w:sz="8" w:space="0" w:color="D9D9D9"/>
              <w:left w:val="nil"/>
              <w:bottom w:val="single" w:sz="8" w:space="0" w:color="D9D9D9"/>
              <w:right w:val="nil"/>
            </w:tcBorders>
            <w:vAlign w:val="center"/>
          </w:tcPr>
          <w:p w14:paraId="2DD11E72" w14:textId="48A6D04F" w:rsidR="00C12AEC" w:rsidRPr="00196D8A" w:rsidRDefault="00C12AEC" w:rsidP="00C12AEC">
            <w:pPr>
              <w:pStyle w:val="TabletextLeft"/>
              <w:rPr>
                <w:sz w:val="18"/>
                <w:szCs w:val="18"/>
              </w:rPr>
            </w:pPr>
            <w:r w:rsidRPr="00196D8A">
              <w:rPr>
                <w:sz w:val="18"/>
                <w:szCs w:val="18"/>
              </w:rPr>
              <w:t xml:space="preserve">Long Term (Health) Reform </w:t>
            </w:r>
          </w:p>
        </w:tc>
      </w:tr>
      <w:tr w:rsidR="00C12AEC" w:rsidRPr="00C0090D" w14:paraId="6013E68A" w14:textId="77777777" w:rsidTr="00F17643">
        <w:tc>
          <w:tcPr>
            <w:tcW w:w="581" w:type="pct"/>
            <w:tcBorders>
              <w:top w:val="single" w:sz="8" w:space="0" w:color="D9D9D9"/>
              <w:left w:val="nil"/>
              <w:bottom w:val="single" w:sz="8" w:space="0" w:color="D9D9D9"/>
              <w:right w:val="nil"/>
            </w:tcBorders>
            <w:shd w:val="clear" w:color="auto" w:fill="auto"/>
            <w:vAlign w:val="center"/>
          </w:tcPr>
          <w:p w14:paraId="36CA8E47" w14:textId="6B62E71A" w:rsidR="00C12AEC" w:rsidRDefault="00C12AEC" w:rsidP="008E70B8">
            <w:pPr>
              <w:pStyle w:val="TabletextLeft"/>
              <w:ind w:left="0" w:firstLine="142"/>
              <w:rPr>
                <w:sz w:val="18"/>
                <w:szCs w:val="18"/>
              </w:rPr>
            </w:pPr>
            <w:r>
              <w:rPr>
                <w:sz w:val="18"/>
                <w:szCs w:val="18"/>
              </w:rPr>
              <w:t>BEACH</w:t>
            </w:r>
          </w:p>
        </w:tc>
        <w:tc>
          <w:tcPr>
            <w:tcW w:w="1904" w:type="pct"/>
            <w:gridSpan w:val="2"/>
            <w:tcBorders>
              <w:top w:val="single" w:sz="8" w:space="0" w:color="D9D9D9"/>
              <w:left w:val="nil"/>
              <w:bottom w:val="single" w:sz="8" w:space="0" w:color="D9D9D9"/>
              <w:right w:val="nil"/>
            </w:tcBorders>
            <w:shd w:val="clear" w:color="auto" w:fill="auto"/>
            <w:vAlign w:val="center"/>
          </w:tcPr>
          <w:p w14:paraId="13C110F0" w14:textId="4C48CC74" w:rsidR="00C12AEC" w:rsidRDefault="00C12AEC" w:rsidP="00C12AEC">
            <w:pPr>
              <w:pStyle w:val="TabletextLeft"/>
              <w:rPr>
                <w:sz w:val="18"/>
                <w:szCs w:val="18"/>
              </w:rPr>
            </w:pPr>
            <w:r w:rsidRPr="008472D4">
              <w:rPr>
                <w:sz w:val="18"/>
                <w:szCs w:val="18"/>
              </w:rPr>
              <w:t>Bettering the Evaluation and Care or Health</w:t>
            </w:r>
          </w:p>
        </w:tc>
        <w:tc>
          <w:tcPr>
            <w:tcW w:w="377" w:type="pct"/>
            <w:tcBorders>
              <w:top w:val="single" w:sz="8" w:space="0" w:color="D9D9D9"/>
              <w:left w:val="nil"/>
              <w:bottom w:val="single" w:sz="8" w:space="0" w:color="D9D9D9"/>
              <w:right w:val="nil"/>
            </w:tcBorders>
            <w:vAlign w:val="center"/>
          </w:tcPr>
          <w:p w14:paraId="70B3842D" w14:textId="4292311A" w:rsidR="00C12AEC" w:rsidRPr="00196D8A" w:rsidRDefault="00C12AEC" w:rsidP="008E70B8">
            <w:pPr>
              <w:pStyle w:val="TabletextLeft"/>
              <w:ind w:left="158"/>
              <w:rPr>
                <w:sz w:val="18"/>
                <w:szCs w:val="18"/>
              </w:rPr>
            </w:pPr>
            <w:r>
              <w:rPr>
                <w:sz w:val="18"/>
                <w:szCs w:val="18"/>
              </w:rPr>
              <w:t>MABEL</w:t>
            </w:r>
          </w:p>
        </w:tc>
        <w:tc>
          <w:tcPr>
            <w:tcW w:w="2137" w:type="pct"/>
            <w:tcBorders>
              <w:top w:val="single" w:sz="8" w:space="0" w:color="D9D9D9"/>
              <w:left w:val="nil"/>
              <w:bottom w:val="single" w:sz="8" w:space="0" w:color="D9D9D9"/>
              <w:right w:val="nil"/>
            </w:tcBorders>
            <w:vAlign w:val="center"/>
          </w:tcPr>
          <w:p w14:paraId="31E2AD02" w14:textId="7D729A71" w:rsidR="00C12AEC" w:rsidRPr="00196D8A" w:rsidRDefault="00C12AEC" w:rsidP="00C12AEC">
            <w:pPr>
              <w:pStyle w:val="TabletextLeft"/>
              <w:rPr>
                <w:sz w:val="18"/>
                <w:szCs w:val="18"/>
              </w:rPr>
            </w:pPr>
            <w:r w:rsidRPr="00090F0C">
              <w:rPr>
                <w:sz w:val="18"/>
                <w:szCs w:val="18"/>
              </w:rPr>
              <w:t>Medicine in Australia – Balancing Employment and Life</w:t>
            </w:r>
          </w:p>
        </w:tc>
      </w:tr>
      <w:tr w:rsidR="00C12AEC" w:rsidRPr="00C0090D" w14:paraId="50A0B2F0" w14:textId="40DF486C" w:rsidTr="00F17643">
        <w:tc>
          <w:tcPr>
            <w:tcW w:w="581" w:type="pct"/>
            <w:tcBorders>
              <w:top w:val="single" w:sz="8" w:space="0" w:color="D9D9D9"/>
              <w:left w:val="nil"/>
              <w:bottom w:val="single" w:sz="8" w:space="0" w:color="D9D9D9"/>
              <w:right w:val="nil"/>
            </w:tcBorders>
            <w:shd w:val="clear" w:color="auto" w:fill="auto"/>
            <w:vAlign w:val="center"/>
          </w:tcPr>
          <w:p w14:paraId="42B47FF9" w14:textId="1FD8494C" w:rsidR="00C12AEC" w:rsidRPr="00196D8A" w:rsidRDefault="00C12AEC" w:rsidP="008E70B8">
            <w:pPr>
              <w:pStyle w:val="TabletextLeft"/>
              <w:ind w:left="0" w:firstLine="142"/>
              <w:rPr>
                <w:sz w:val="18"/>
                <w:szCs w:val="18"/>
              </w:rPr>
            </w:pPr>
            <w:r>
              <w:rPr>
                <w:sz w:val="18"/>
                <w:szCs w:val="18"/>
              </w:rPr>
              <w:t>BRAMS</w:t>
            </w:r>
          </w:p>
        </w:tc>
        <w:tc>
          <w:tcPr>
            <w:tcW w:w="1904" w:type="pct"/>
            <w:gridSpan w:val="2"/>
            <w:tcBorders>
              <w:top w:val="single" w:sz="8" w:space="0" w:color="D9D9D9"/>
              <w:left w:val="nil"/>
              <w:bottom w:val="single" w:sz="8" w:space="0" w:color="D9D9D9"/>
              <w:right w:val="nil"/>
            </w:tcBorders>
            <w:shd w:val="clear" w:color="auto" w:fill="auto"/>
            <w:vAlign w:val="center"/>
          </w:tcPr>
          <w:p w14:paraId="219E4A9A" w14:textId="4780A334" w:rsidR="00C12AEC" w:rsidRPr="00196D8A" w:rsidRDefault="00C12AEC" w:rsidP="00C12AEC">
            <w:pPr>
              <w:pStyle w:val="TabletextLeft"/>
              <w:rPr>
                <w:sz w:val="18"/>
                <w:szCs w:val="18"/>
              </w:rPr>
            </w:pPr>
            <w:r w:rsidRPr="0003104B">
              <w:rPr>
                <w:sz w:val="18"/>
                <w:szCs w:val="18"/>
              </w:rPr>
              <w:t>Broome Regional Medical Service</w:t>
            </w:r>
          </w:p>
        </w:tc>
        <w:tc>
          <w:tcPr>
            <w:tcW w:w="377" w:type="pct"/>
            <w:tcBorders>
              <w:top w:val="single" w:sz="8" w:space="0" w:color="D9D9D9"/>
              <w:left w:val="nil"/>
              <w:bottom w:val="single" w:sz="8" w:space="0" w:color="D9D9D9"/>
              <w:right w:val="nil"/>
            </w:tcBorders>
            <w:vAlign w:val="center"/>
          </w:tcPr>
          <w:p w14:paraId="41DE18D6" w14:textId="309BE5C0" w:rsidR="00C12AEC" w:rsidRPr="00196D8A" w:rsidRDefault="00C12AEC" w:rsidP="008E70B8">
            <w:pPr>
              <w:pStyle w:val="TabletextLeft"/>
              <w:ind w:left="158"/>
              <w:rPr>
                <w:sz w:val="18"/>
                <w:szCs w:val="18"/>
              </w:rPr>
            </w:pPr>
            <w:r w:rsidRPr="00EA1A63">
              <w:rPr>
                <w:sz w:val="18"/>
                <w:szCs w:val="18"/>
              </w:rPr>
              <w:t>MADIP</w:t>
            </w:r>
          </w:p>
        </w:tc>
        <w:tc>
          <w:tcPr>
            <w:tcW w:w="2137" w:type="pct"/>
            <w:tcBorders>
              <w:top w:val="single" w:sz="8" w:space="0" w:color="D9D9D9"/>
              <w:left w:val="nil"/>
              <w:bottom w:val="single" w:sz="8" w:space="0" w:color="D9D9D9"/>
              <w:right w:val="nil"/>
            </w:tcBorders>
            <w:vAlign w:val="center"/>
          </w:tcPr>
          <w:p w14:paraId="50EA3FD5" w14:textId="67C9C499" w:rsidR="00C12AEC" w:rsidRPr="00196D8A" w:rsidRDefault="00C12AEC" w:rsidP="00C12AEC">
            <w:pPr>
              <w:pStyle w:val="TabletextLeft"/>
              <w:rPr>
                <w:sz w:val="18"/>
                <w:szCs w:val="18"/>
              </w:rPr>
            </w:pPr>
            <w:r w:rsidRPr="00EA1A63">
              <w:rPr>
                <w:sz w:val="18"/>
                <w:szCs w:val="18"/>
              </w:rPr>
              <w:t xml:space="preserve">Multi-Agency Data Integration Project </w:t>
            </w:r>
          </w:p>
        </w:tc>
      </w:tr>
      <w:tr w:rsidR="00C12AEC" w:rsidRPr="00C0090D" w14:paraId="70DF3A3D" w14:textId="77777777" w:rsidTr="00F17643">
        <w:tc>
          <w:tcPr>
            <w:tcW w:w="581" w:type="pct"/>
            <w:tcBorders>
              <w:top w:val="single" w:sz="8" w:space="0" w:color="D9D9D9"/>
              <w:left w:val="nil"/>
              <w:bottom w:val="single" w:sz="8" w:space="0" w:color="D9D9D9"/>
              <w:right w:val="nil"/>
            </w:tcBorders>
            <w:shd w:val="clear" w:color="auto" w:fill="auto"/>
            <w:vAlign w:val="center"/>
          </w:tcPr>
          <w:p w14:paraId="02AD5192" w14:textId="2D01DD61" w:rsidR="00C12AEC" w:rsidRDefault="00C12AEC" w:rsidP="008E70B8">
            <w:pPr>
              <w:pStyle w:val="TabletextLeft"/>
              <w:ind w:left="0" w:firstLine="142"/>
              <w:rPr>
                <w:sz w:val="18"/>
                <w:szCs w:val="18"/>
              </w:rPr>
            </w:pPr>
            <w:r>
              <w:rPr>
                <w:sz w:val="18"/>
                <w:szCs w:val="18"/>
              </w:rPr>
              <w:t>CALD</w:t>
            </w:r>
          </w:p>
        </w:tc>
        <w:tc>
          <w:tcPr>
            <w:tcW w:w="1904" w:type="pct"/>
            <w:gridSpan w:val="2"/>
            <w:tcBorders>
              <w:top w:val="single" w:sz="8" w:space="0" w:color="D9D9D9"/>
              <w:left w:val="nil"/>
              <w:bottom w:val="single" w:sz="8" w:space="0" w:color="D9D9D9"/>
              <w:right w:val="nil"/>
            </w:tcBorders>
            <w:shd w:val="clear" w:color="auto" w:fill="auto"/>
            <w:vAlign w:val="center"/>
          </w:tcPr>
          <w:p w14:paraId="4E1EFB25" w14:textId="05D011A4" w:rsidR="00C12AEC" w:rsidRPr="008D3226" w:rsidRDefault="008E70B8" w:rsidP="00C12AEC">
            <w:pPr>
              <w:pStyle w:val="TabletextLeft"/>
              <w:rPr>
                <w:sz w:val="18"/>
                <w:szCs w:val="18"/>
              </w:rPr>
            </w:pPr>
            <w:r>
              <w:rPr>
                <w:sz w:val="18"/>
                <w:szCs w:val="18"/>
              </w:rPr>
              <w:t>C</w:t>
            </w:r>
            <w:r w:rsidRPr="005C111E">
              <w:rPr>
                <w:sz w:val="18"/>
                <w:szCs w:val="18"/>
              </w:rPr>
              <w:t xml:space="preserve">ulturally </w:t>
            </w:r>
            <w:r w:rsidR="00C12AEC" w:rsidRPr="005C111E">
              <w:rPr>
                <w:sz w:val="18"/>
                <w:szCs w:val="18"/>
              </w:rPr>
              <w:t>and linguistically diverse</w:t>
            </w:r>
          </w:p>
        </w:tc>
        <w:tc>
          <w:tcPr>
            <w:tcW w:w="377" w:type="pct"/>
            <w:tcBorders>
              <w:top w:val="single" w:sz="8" w:space="0" w:color="D9D9D9"/>
              <w:left w:val="nil"/>
              <w:bottom w:val="single" w:sz="8" w:space="0" w:color="D9D9D9"/>
              <w:right w:val="nil"/>
            </w:tcBorders>
            <w:vAlign w:val="center"/>
          </w:tcPr>
          <w:p w14:paraId="1595A19F" w14:textId="42881738" w:rsidR="00C12AEC" w:rsidRDefault="00C12AEC" w:rsidP="008E70B8">
            <w:pPr>
              <w:pStyle w:val="TabletextLeft"/>
              <w:ind w:left="158"/>
              <w:rPr>
                <w:sz w:val="18"/>
                <w:szCs w:val="18"/>
              </w:rPr>
            </w:pPr>
            <w:r w:rsidRPr="00196D8A">
              <w:rPr>
                <w:sz w:val="18"/>
                <w:szCs w:val="18"/>
              </w:rPr>
              <w:t>MBS</w:t>
            </w:r>
          </w:p>
        </w:tc>
        <w:tc>
          <w:tcPr>
            <w:tcW w:w="2137" w:type="pct"/>
            <w:tcBorders>
              <w:top w:val="single" w:sz="8" w:space="0" w:color="D9D9D9"/>
              <w:left w:val="nil"/>
              <w:bottom w:val="single" w:sz="8" w:space="0" w:color="D9D9D9"/>
              <w:right w:val="nil"/>
            </w:tcBorders>
            <w:vAlign w:val="center"/>
          </w:tcPr>
          <w:p w14:paraId="28661FD0" w14:textId="79EF9FEC" w:rsidR="00C12AEC" w:rsidRPr="008D2C6D" w:rsidRDefault="00C12AEC" w:rsidP="00C12AEC">
            <w:pPr>
              <w:pStyle w:val="TabletextLeft"/>
              <w:rPr>
                <w:sz w:val="18"/>
                <w:szCs w:val="18"/>
              </w:rPr>
            </w:pPr>
            <w:r w:rsidRPr="00196D8A">
              <w:rPr>
                <w:sz w:val="18"/>
                <w:szCs w:val="18"/>
              </w:rPr>
              <w:t>Medicare Benefits Schedule</w:t>
            </w:r>
          </w:p>
        </w:tc>
      </w:tr>
      <w:tr w:rsidR="00C12AEC" w:rsidRPr="00C0090D" w14:paraId="29C7EA11" w14:textId="77777777" w:rsidTr="00F17643">
        <w:tc>
          <w:tcPr>
            <w:tcW w:w="581" w:type="pct"/>
            <w:tcBorders>
              <w:top w:val="single" w:sz="8" w:space="0" w:color="D9D9D9"/>
              <w:left w:val="nil"/>
              <w:bottom w:val="single" w:sz="8" w:space="0" w:color="D9D9D9"/>
              <w:right w:val="nil"/>
            </w:tcBorders>
            <w:shd w:val="clear" w:color="auto" w:fill="auto"/>
            <w:vAlign w:val="center"/>
          </w:tcPr>
          <w:p w14:paraId="25CAD50A" w14:textId="4E765A9E" w:rsidR="00C12AEC" w:rsidRDefault="00C12AEC" w:rsidP="008E70B8">
            <w:pPr>
              <w:pStyle w:val="TabletextLeft"/>
              <w:ind w:left="0" w:firstLine="142"/>
              <w:rPr>
                <w:sz w:val="18"/>
                <w:szCs w:val="18"/>
              </w:rPr>
            </w:pPr>
            <w:r w:rsidRPr="00196D8A">
              <w:rPr>
                <w:sz w:val="18"/>
                <w:szCs w:val="18"/>
              </w:rPr>
              <w:t>CCM</w:t>
            </w:r>
          </w:p>
        </w:tc>
        <w:tc>
          <w:tcPr>
            <w:tcW w:w="1904" w:type="pct"/>
            <w:gridSpan w:val="2"/>
            <w:tcBorders>
              <w:top w:val="single" w:sz="8" w:space="0" w:color="D9D9D9"/>
              <w:left w:val="nil"/>
              <w:bottom w:val="single" w:sz="8" w:space="0" w:color="D9D9D9"/>
              <w:right w:val="nil"/>
            </w:tcBorders>
            <w:shd w:val="clear" w:color="auto" w:fill="auto"/>
            <w:vAlign w:val="center"/>
          </w:tcPr>
          <w:p w14:paraId="715BA3B1" w14:textId="2D7F4DD8" w:rsidR="00C12AEC" w:rsidRPr="008D3226" w:rsidRDefault="00C12AEC" w:rsidP="00C12AEC">
            <w:pPr>
              <w:pStyle w:val="TabletextLeft"/>
              <w:rPr>
                <w:sz w:val="18"/>
                <w:szCs w:val="18"/>
              </w:rPr>
            </w:pPr>
            <w:r w:rsidRPr="00196D8A">
              <w:rPr>
                <w:sz w:val="18"/>
                <w:szCs w:val="18"/>
              </w:rPr>
              <w:t>Commonwealth Contribution Model</w:t>
            </w:r>
          </w:p>
        </w:tc>
        <w:tc>
          <w:tcPr>
            <w:tcW w:w="377" w:type="pct"/>
            <w:tcBorders>
              <w:top w:val="single" w:sz="8" w:space="0" w:color="D9D9D9"/>
              <w:left w:val="nil"/>
              <w:bottom w:val="single" w:sz="8" w:space="0" w:color="D9D9D9"/>
              <w:right w:val="nil"/>
            </w:tcBorders>
            <w:vAlign w:val="center"/>
          </w:tcPr>
          <w:p w14:paraId="63A3ACF1" w14:textId="78D7261B" w:rsidR="00C12AEC" w:rsidRDefault="00C12AEC" w:rsidP="008E70B8">
            <w:pPr>
              <w:pStyle w:val="TabletextLeft"/>
              <w:ind w:left="158"/>
              <w:rPr>
                <w:sz w:val="18"/>
                <w:szCs w:val="18"/>
              </w:rPr>
            </w:pPr>
            <w:r>
              <w:rPr>
                <w:sz w:val="18"/>
                <w:szCs w:val="18"/>
              </w:rPr>
              <w:t>MFG</w:t>
            </w:r>
          </w:p>
        </w:tc>
        <w:tc>
          <w:tcPr>
            <w:tcW w:w="2137" w:type="pct"/>
            <w:tcBorders>
              <w:top w:val="single" w:sz="8" w:space="0" w:color="D9D9D9"/>
              <w:left w:val="nil"/>
              <w:bottom w:val="single" w:sz="8" w:space="0" w:color="D9D9D9"/>
              <w:right w:val="nil"/>
            </w:tcBorders>
            <w:vAlign w:val="center"/>
          </w:tcPr>
          <w:p w14:paraId="192E8C45" w14:textId="70DDBFEF" w:rsidR="00C12AEC" w:rsidRDefault="00C12AEC" w:rsidP="00C12AEC">
            <w:pPr>
              <w:pStyle w:val="TabletextLeft"/>
              <w:rPr>
                <w:sz w:val="18"/>
                <w:szCs w:val="18"/>
              </w:rPr>
            </w:pPr>
            <w:r w:rsidRPr="00AD2222">
              <w:rPr>
                <w:sz w:val="18"/>
                <w:szCs w:val="18"/>
              </w:rPr>
              <w:t>Minimum Funding Guarantee</w:t>
            </w:r>
          </w:p>
        </w:tc>
      </w:tr>
      <w:tr w:rsidR="00C12AEC" w:rsidRPr="00C0090D" w14:paraId="00361295" w14:textId="77777777" w:rsidTr="00F17643">
        <w:tc>
          <w:tcPr>
            <w:tcW w:w="581" w:type="pct"/>
            <w:tcBorders>
              <w:top w:val="single" w:sz="8" w:space="0" w:color="D9D9D9"/>
              <w:left w:val="nil"/>
              <w:bottom w:val="single" w:sz="8" w:space="0" w:color="D9D9D9"/>
              <w:right w:val="nil"/>
            </w:tcBorders>
            <w:shd w:val="clear" w:color="auto" w:fill="auto"/>
            <w:vAlign w:val="center"/>
          </w:tcPr>
          <w:p w14:paraId="161D3538" w14:textId="6A3B3732" w:rsidR="00C12AEC" w:rsidRPr="00196D8A" w:rsidRDefault="00C12AEC" w:rsidP="008E70B8">
            <w:pPr>
              <w:pStyle w:val="TabletextLeft"/>
              <w:ind w:left="0" w:firstLine="142"/>
              <w:rPr>
                <w:sz w:val="18"/>
                <w:szCs w:val="18"/>
              </w:rPr>
            </w:pPr>
            <w:r w:rsidRPr="00196D8A">
              <w:rPr>
                <w:sz w:val="18"/>
                <w:szCs w:val="18"/>
              </w:rPr>
              <w:t>CCR</w:t>
            </w:r>
          </w:p>
        </w:tc>
        <w:tc>
          <w:tcPr>
            <w:tcW w:w="1904" w:type="pct"/>
            <w:gridSpan w:val="2"/>
            <w:tcBorders>
              <w:top w:val="single" w:sz="8" w:space="0" w:color="D9D9D9"/>
              <w:left w:val="nil"/>
              <w:bottom w:val="single" w:sz="8" w:space="0" w:color="D9D9D9"/>
              <w:right w:val="nil"/>
            </w:tcBorders>
            <w:shd w:val="clear" w:color="auto" w:fill="auto"/>
            <w:vAlign w:val="center"/>
          </w:tcPr>
          <w:p w14:paraId="798F6E9F" w14:textId="7CC169A1" w:rsidR="00C12AEC" w:rsidRPr="00196D8A" w:rsidRDefault="00C12AEC" w:rsidP="00C12AEC">
            <w:pPr>
              <w:pStyle w:val="TabletextLeft"/>
              <w:rPr>
                <w:sz w:val="18"/>
                <w:szCs w:val="18"/>
              </w:rPr>
            </w:pPr>
            <w:r w:rsidRPr="00196D8A">
              <w:rPr>
                <w:sz w:val="18"/>
                <w:szCs w:val="18"/>
              </w:rPr>
              <w:t>Commonwealth Contribution Rate</w:t>
            </w:r>
          </w:p>
        </w:tc>
        <w:tc>
          <w:tcPr>
            <w:tcW w:w="377" w:type="pct"/>
            <w:tcBorders>
              <w:top w:val="single" w:sz="8" w:space="0" w:color="D9D9D9"/>
              <w:left w:val="nil"/>
              <w:bottom w:val="single" w:sz="8" w:space="0" w:color="D9D9D9"/>
              <w:right w:val="nil"/>
            </w:tcBorders>
            <w:vAlign w:val="center"/>
          </w:tcPr>
          <w:p w14:paraId="0E93BC55" w14:textId="061923D9" w:rsidR="00C12AEC" w:rsidRPr="00196D8A" w:rsidRDefault="00C12AEC" w:rsidP="008E70B8">
            <w:pPr>
              <w:pStyle w:val="TabletextLeft"/>
              <w:ind w:left="158"/>
              <w:rPr>
                <w:sz w:val="18"/>
                <w:szCs w:val="18"/>
              </w:rPr>
            </w:pPr>
            <w:r>
              <w:rPr>
                <w:sz w:val="18"/>
                <w:szCs w:val="18"/>
              </w:rPr>
              <w:t>MSAC</w:t>
            </w:r>
          </w:p>
        </w:tc>
        <w:tc>
          <w:tcPr>
            <w:tcW w:w="2137" w:type="pct"/>
            <w:tcBorders>
              <w:top w:val="single" w:sz="8" w:space="0" w:color="D9D9D9"/>
              <w:left w:val="nil"/>
              <w:bottom w:val="single" w:sz="8" w:space="0" w:color="D9D9D9"/>
              <w:right w:val="nil"/>
            </w:tcBorders>
            <w:vAlign w:val="center"/>
          </w:tcPr>
          <w:p w14:paraId="54ACB203" w14:textId="0D80DE3A" w:rsidR="00C12AEC" w:rsidRPr="00196D8A" w:rsidRDefault="00C12AEC" w:rsidP="00C12AEC">
            <w:pPr>
              <w:pStyle w:val="TabletextLeft"/>
              <w:rPr>
                <w:sz w:val="18"/>
                <w:szCs w:val="18"/>
              </w:rPr>
            </w:pPr>
            <w:r w:rsidRPr="00A32ED5">
              <w:rPr>
                <w:sz w:val="18"/>
                <w:szCs w:val="18"/>
              </w:rPr>
              <w:t>Medical Services Advisory Committe</w:t>
            </w:r>
            <w:r>
              <w:rPr>
                <w:sz w:val="18"/>
                <w:szCs w:val="18"/>
              </w:rPr>
              <w:t>e</w:t>
            </w:r>
          </w:p>
        </w:tc>
      </w:tr>
      <w:tr w:rsidR="00C12AEC" w:rsidRPr="00C0090D" w14:paraId="6B9081BF" w14:textId="77777777" w:rsidTr="00F17643">
        <w:tc>
          <w:tcPr>
            <w:tcW w:w="581" w:type="pct"/>
            <w:tcBorders>
              <w:top w:val="single" w:sz="8" w:space="0" w:color="D9D9D9"/>
              <w:left w:val="nil"/>
              <w:bottom w:val="single" w:sz="8" w:space="0" w:color="D9D9D9"/>
              <w:right w:val="nil"/>
            </w:tcBorders>
            <w:shd w:val="clear" w:color="auto" w:fill="auto"/>
            <w:vAlign w:val="center"/>
          </w:tcPr>
          <w:p w14:paraId="585F88A2" w14:textId="22FE37FB" w:rsidR="00C12AEC" w:rsidRDefault="00C12AEC" w:rsidP="008E70B8">
            <w:pPr>
              <w:pStyle w:val="TabletextLeft"/>
              <w:ind w:left="0" w:firstLine="142"/>
              <w:rPr>
                <w:sz w:val="18"/>
                <w:szCs w:val="18"/>
              </w:rPr>
            </w:pPr>
            <w:r>
              <w:rPr>
                <w:sz w:val="18"/>
                <w:szCs w:val="18"/>
              </w:rPr>
              <w:t>CDC</w:t>
            </w:r>
          </w:p>
        </w:tc>
        <w:tc>
          <w:tcPr>
            <w:tcW w:w="1904" w:type="pct"/>
            <w:gridSpan w:val="2"/>
            <w:tcBorders>
              <w:top w:val="single" w:sz="8" w:space="0" w:color="D9D9D9"/>
              <w:left w:val="nil"/>
              <w:bottom w:val="single" w:sz="8" w:space="0" w:color="D9D9D9"/>
              <w:right w:val="nil"/>
            </w:tcBorders>
            <w:shd w:val="clear" w:color="auto" w:fill="auto"/>
            <w:vAlign w:val="center"/>
          </w:tcPr>
          <w:p w14:paraId="64099B6C" w14:textId="0DB660A5" w:rsidR="00C12AEC" w:rsidRPr="008D3226" w:rsidRDefault="00C12AEC" w:rsidP="00C12AEC">
            <w:pPr>
              <w:pStyle w:val="TabletextLeft"/>
              <w:rPr>
                <w:sz w:val="18"/>
                <w:szCs w:val="18"/>
              </w:rPr>
            </w:pPr>
            <w:r w:rsidRPr="00B4479E">
              <w:rPr>
                <w:sz w:val="18"/>
                <w:szCs w:val="18"/>
              </w:rPr>
              <w:t>Centre for Disease Control</w:t>
            </w:r>
          </w:p>
        </w:tc>
        <w:tc>
          <w:tcPr>
            <w:tcW w:w="377" w:type="pct"/>
            <w:tcBorders>
              <w:top w:val="single" w:sz="8" w:space="0" w:color="D9D9D9"/>
              <w:left w:val="nil"/>
              <w:bottom w:val="single" w:sz="8" w:space="0" w:color="D9D9D9"/>
              <w:right w:val="nil"/>
            </w:tcBorders>
            <w:vAlign w:val="center"/>
          </w:tcPr>
          <w:p w14:paraId="5F9C5FA4" w14:textId="23DA18DC" w:rsidR="00C12AEC" w:rsidRPr="00196D8A" w:rsidRDefault="00C12AEC" w:rsidP="008E70B8">
            <w:pPr>
              <w:pStyle w:val="TabletextLeft"/>
              <w:ind w:left="158"/>
              <w:rPr>
                <w:sz w:val="18"/>
                <w:szCs w:val="18"/>
              </w:rPr>
            </w:pPr>
            <w:r w:rsidRPr="00196D8A">
              <w:rPr>
                <w:sz w:val="18"/>
                <w:szCs w:val="18"/>
              </w:rPr>
              <w:t>NDIS</w:t>
            </w:r>
          </w:p>
        </w:tc>
        <w:tc>
          <w:tcPr>
            <w:tcW w:w="2137" w:type="pct"/>
            <w:tcBorders>
              <w:top w:val="single" w:sz="8" w:space="0" w:color="D9D9D9"/>
              <w:left w:val="nil"/>
              <w:bottom w:val="single" w:sz="8" w:space="0" w:color="D9D9D9"/>
              <w:right w:val="nil"/>
            </w:tcBorders>
            <w:vAlign w:val="center"/>
          </w:tcPr>
          <w:p w14:paraId="0D0DF584" w14:textId="00F875D6" w:rsidR="00C12AEC" w:rsidRPr="00196D8A" w:rsidRDefault="00C12AEC" w:rsidP="00C12AEC">
            <w:pPr>
              <w:pStyle w:val="TabletextLeft"/>
              <w:rPr>
                <w:sz w:val="18"/>
                <w:szCs w:val="18"/>
              </w:rPr>
            </w:pPr>
            <w:r w:rsidRPr="00196D8A">
              <w:rPr>
                <w:sz w:val="18"/>
                <w:szCs w:val="18"/>
              </w:rPr>
              <w:t>National Disability Insurance Scheme</w:t>
            </w:r>
          </w:p>
        </w:tc>
      </w:tr>
      <w:tr w:rsidR="00C12AEC" w:rsidRPr="00C0090D" w14:paraId="6FF754D1" w14:textId="77777777" w:rsidTr="00F17643">
        <w:tc>
          <w:tcPr>
            <w:tcW w:w="581" w:type="pct"/>
            <w:tcBorders>
              <w:top w:val="single" w:sz="8" w:space="0" w:color="D9D9D9"/>
              <w:left w:val="nil"/>
              <w:bottom w:val="single" w:sz="8" w:space="0" w:color="D9D9D9"/>
              <w:right w:val="nil"/>
            </w:tcBorders>
            <w:shd w:val="clear" w:color="auto" w:fill="auto"/>
            <w:vAlign w:val="center"/>
          </w:tcPr>
          <w:p w14:paraId="4EDB6C4A" w14:textId="28A63FDB" w:rsidR="00C12AEC" w:rsidRDefault="00C12AEC" w:rsidP="008E70B8">
            <w:pPr>
              <w:pStyle w:val="TabletextLeft"/>
              <w:ind w:left="0" w:firstLine="142"/>
              <w:rPr>
                <w:sz w:val="18"/>
                <w:szCs w:val="18"/>
              </w:rPr>
            </w:pPr>
            <w:r>
              <w:rPr>
                <w:sz w:val="18"/>
                <w:szCs w:val="18"/>
              </w:rPr>
              <w:t>CEO</w:t>
            </w:r>
          </w:p>
        </w:tc>
        <w:tc>
          <w:tcPr>
            <w:tcW w:w="1904" w:type="pct"/>
            <w:gridSpan w:val="2"/>
            <w:tcBorders>
              <w:top w:val="single" w:sz="8" w:space="0" w:color="D9D9D9"/>
              <w:left w:val="nil"/>
              <w:bottom w:val="single" w:sz="8" w:space="0" w:color="D9D9D9"/>
              <w:right w:val="nil"/>
            </w:tcBorders>
            <w:shd w:val="clear" w:color="auto" w:fill="auto"/>
            <w:vAlign w:val="center"/>
          </w:tcPr>
          <w:p w14:paraId="52D63916" w14:textId="0CEC8AF4" w:rsidR="00C12AEC" w:rsidRPr="008472D4" w:rsidRDefault="00C12AEC" w:rsidP="00C12AEC">
            <w:pPr>
              <w:pStyle w:val="TabletextLeft"/>
              <w:rPr>
                <w:sz w:val="18"/>
                <w:szCs w:val="18"/>
              </w:rPr>
            </w:pPr>
            <w:r>
              <w:rPr>
                <w:sz w:val="18"/>
                <w:szCs w:val="18"/>
              </w:rPr>
              <w:t>Chief Executive Officer</w:t>
            </w:r>
          </w:p>
        </w:tc>
        <w:tc>
          <w:tcPr>
            <w:tcW w:w="377" w:type="pct"/>
            <w:tcBorders>
              <w:top w:val="single" w:sz="8" w:space="0" w:color="D9D9D9"/>
              <w:left w:val="nil"/>
              <w:bottom w:val="single" w:sz="8" w:space="0" w:color="D9D9D9"/>
              <w:right w:val="nil"/>
            </w:tcBorders>
            <w:vAlign w:val="center"/>
          </w:tcPr>
          <w:p w14:paraId="7F58D189" w14:textId="56CD31E9" w:rsidR="00C12AEC" w:rsidRDefault="00C12AEC" w:rsidP="008E70B8">
            <w:pPr>
              <w:pStyle w:val="TabletextLeft"/>
              <w:ind w:left="158"/>
              <w:rPr>
                <w:sz w:val="18"/>
                <w:szCs w:val="18"/>
              </w:rPr>
            </w:pPr>
            <w:r w:rsidRPr="00196D8A">
              <w:rPr>
                <w:sz w:val="18"/>
                <w:szCs w:val="18"/>
              </w:rPr>
              <w:t>NEC</w:t>
            </w:r>
          </w:p>
        </w:tc>
        <w:tc>
          <w:tcPr>
            <w:tcW w:w="2137" w:type="pct"/>
            <w:tcBorders>
              <w:top w:val="single" w:sz="8" w:space="0" w:color="D9D9D9"/>
              <w:left w:val="nil"/>
              <w:bottom w:val="single" w:sz="8" w:space="0" w:color="D9D9D9"/>
              <w:right w:val="nil"/>
            </w:tcBorders>
            <w:vAlign w:val="center"/>
          </w:tcPr>
          <w:p w14:paraId="0D6B7F17" w14:textId="1900A711" w:rsidR="00C12AEC" w:rsidRDefault="00C12AEC" w:rsidP="00C12AEC">
            <w:pPr>
              <w:pStyle w:val="TabletextLeft"/>
              <w:rPr>
                <w:sz w:val="18"/>
                <w:szCs w:val="18"/>
              </w:rPr>
            </w:pPr>
            <w:r w:rsidRPr="00196D8A">
              <w:rPr>
                <w:sz w:val="18"/>
                <w:szCs w:val="18"/>
              </w:rPr>
              <w:t>National Efficient Cost</w:t>
            </w:r>
          </w:p>
        </w:tc>
      </w:tr>
      <w:tr w:rsidR="00C12AEC" w:rsidRPr="00C0090D" w14:paraId="792CA42F" w14:textId="77777777" w:rsidTr="00F17643">
        <w:tc>
          <w:tcPr>
            <w:tcW w:w="581" w:type="pct"/>
            <w:tcBorders>
              <w:top w:val="single" w:sz="8" w:space="0" w:color="D9D9D9"/>
              <w:left w:val="nil"/>
              <w:bottom w:val="single" w:sz="8" w:space="0" w:color="D9D9D9"/>
              <w:right w:val="nil"/>
            </w:tcBorders>
            <w:shd w:val="clear" w:color="auto" w:fill="auto"/>
            <w:vAlign w:val="center"/>
          </w:tcPr>
          <w:p w14:paraId="0F92B0AA" w14:textId="699B76AC" w:rsidR="00C12AEC" w:rsidRDefault="00C12AEC" w:rsidP="008E70B8">
            <w:pPr>
              <w:pStyle w:val="TabletextLeft"/>
              <w:ind w:left="0" w:firstLine="142"/>
              <w:rPr>
                <w:sz w:val="18"/>
                <w:szCs w:val="18"/>
              </w:rPr>
            </w:pPr>
            <w:r w:rsidRPr="00196D8A">
              <w:rPr>
                <w:sz w:val="18"/>
                <w:szCs w:val="18"/>
              </w:rPr>
              <w:t>CHC</w:t>
            </w:r>
          </w:p>
        </w:tc>
        <w:tc>
          <w:tcPr>
            <w:tcW w:w="1904" w:type="pct"/>
            <w:gridSpan w:val="2"/>
            <w:tcBorders>
              <w:top w:val="single" w:sz="8" w:space="0" w:color="D9D9D9"/>
              <w:left w:val="nil"/>
              <w:bottom w:val="single" w:sz="8" w:space="0" w:color="D9D9D9"/>
              <w:right w:val="nil"/>
            </w:tcBorders>
            <w:shd w:val="clear" w:color="auto" w:fill="auto"/>
            <w:vAlign w:val="center"/>
          </w:tcPr>
          <w:p w14:paraId="09903151" w14:textId="0C24A1FE" w:rsidR="00C12AEC" w:rsidRPr="008C2841" w:rsidRDefault="00C12AEC" w:rsidP="00C12AEC">
            <w:pPr>
              <w:pStyle w:val="TabletextLeft"/>
              <w:rPr>
                <w:sz w:val="18"/>
                <w:szCs w:val="18"/>
              </w:rPr>
            </w:pPr>
            <w:r w:rsidRPr="00196D8A">
              <w:rPr>
                <w:sz w:val="18"/>
                <w:szCs w:val="18"/>
              </w:rPr>
              <w:t>COAG Health Council</w:t>
            </w:r>
          </w:p>
        </w:tc>
        <w:tc>
          <w:tcPr>
            <w:tcW w:w="377" w:type="pct"/>
            <w:tcBorders>
              <w:top w:val="single" w:sz="8" w:space="0" w:color="D9D9D9"/>
              <w:left w:val="nil"/>
              <w:bottom w:val="single" w:sz="8" w:space="0" w:color="D9D9D9"/>
              <w:right w:val="nil"/>
            </w:tcBorders>
            <w:vAlign w:val="center"/>
          </w:tcPr>
          <w:p w14:paraId="7BC0B5CE" w14:textId="4915F9F0" w:rsidR="00C12AEC" w:rsidRDefault="00C12AEC" w:rsidP="008E70B8">
            <w:pPr>
              <w:pStyle w:val="TabletextLeft"/>
              <w:ind w:left="158"/>
              <w:rPr>
                <w:sz w:val="18"/>
                <w:szCs w:val="18"/>
              </w:rPr>
            </w:pPr>
            <w:r w:rsidRPr="00196D8A">
              <w:rPr>
                <w:sz w:val="18"/>
                <w:szCs w:val="18"/>
              </w:rPr>
              <w:t>NEP</w:t>
            </w:r>
          </w:p>
        </w:tc>
        <w:tc>
          <w:tcPr>
            <w:tcW w:w="2137" w:type="pct"/>
            <w:tcBorders>
              <w:top w:val="single" w:sz="8" w:space="0" w:color="D9D9D9"/>
              <w:left w:val="nil"/>
              <w:bottom w:val="single" w:sz="8" w:space="0" w:color="D9D9D9"/>
              <w:right w:val="nil"/>
            </w:tcBorders>
            <w:vAlign w:val="center"/>
          </w:tcPr>
          <w:p w14:paraId="2B0BA7AF" w14:textId="6B223FF4" w:rsidR="00C12AEC" w:rsidRDefault="00C12AEC" w:rsidP="00C12AEC">
            <w:pPr>
              <w:pStyle w:val="TabletextLeft"/>
              <w:rPr>
                <w:sz w:val="18"/>
                <w:szCs w:val="18"/>
              </w:rPr>
            </w:pPr>
            <w:r w:rsidRPr="00196D8A">
              <w:rPr>
                <w:sz w:val="18"/>
                <w:szCs w:val="18"/>
              </w:rPr>
              <w:t>National Efficient Price</w:t>
            </w:r>
          </w:p>
        </w:tc>
      </w:tr>
      <w:tr w:rsidR="00C12AEC" w:rsidRPr="00C0090D" w14:paraId="577BA413" w14:textId="77777777" w:rsidTr="00F17643">
        <w:tc>
          <w:tcPr>
            <w:tcW w:w="581" w:type="pct"/>
            <w:tcBorders>
              <w:top w:val="single" w:sz="8" w:space="0" w:color="D9D9D9"/>
              <w:left w:val="nil"/>
              <w:bottom w:val="single" w:sz="8" w:space="0" w:color="D9D9D9"/>
              <w:right w:val="nil"/>
            </w:tcBorders>
            <w:shd w:val="clear" w:color="auto" w:fill="auto"/>
            <w:vAlign w:val="center"/>
          </w:tcPr>
          <w:p w14:paraId="2B60C9C1" w14:textId="03CBC2A3" w:rsidR="00C12AEC" w:rsidRDefault="00C12AEC" w:rsidP="008E70B8">
            <w:pPr>
              <w:pStyle w:val="TabletextLeft"/>
              <w:ind w:left="0" w:firstLine="142"/>
              <w:rPr>
                <w:sz w:val="18"/>
                <w:szCs w:val="18"/>
              </w:rPr>
            </w:pPr>
            <w:r w:rsidRPr="00196D8A">
              <w:rPr>
                <w:sz w:val="18"/>
                <w:szCs w:val="18"/>
              </w:rPr>
              <w:t>COAG</w:t>
            </w:r>
          </w:p>
        </w:tc>
        <w:tc>
          <w:tcPr>
            <w:tcW w:w="1904" w:type="pct"/>
            <w:gridSpan w:val="2"/>
            <w:tcBorders>
              <w:top w:val="single" w:sz="8" w:space="0" w:color="D9D9D9"/>
              <w:left w:val="nil"/>
              <w:bottom w:val="single" w:sz="8" w:space="0" w:color="D9D9D9"/>
              <w:right w:val="nil"/>
            </w:tcBorders>
            <w:shd w:val="clear" w:color="auto" w:fill="auto"/>
            <w:vAlign w:val="center"/>
          </w:tcPr>
          <w:p w14:paraId="3B28AEB5" w14:textId="3AF6A7A7" w:rsidR="00C12AEC" w:rsidRPr="005C111E" w:rsidRDefault="00C12AEC" w:rsidP="00C12AEC">
            <w:pPr>
              <w:pStyle w:val="TabletextLeft"/>
              <w:rPr>
                <w:sz w:val="18"/>
                <w:szCs w:val="18"/>
              </w:rPr>
            </w:pPr>
            <w:r w:rsidRPr="00196D8A">
              <w:rPr>
                <w:sz w:val="18"/>
                <w:szCs w:val="18"/>
              </w:rPr>
              <w:t>Council of Australian Governments</w:t>
            </w:r>
          </w:p>
        </w:tc>
        <w:tc>
          <w:tcPr>
            <w:tcW w:w="377" w:type="pct"/>
            <w:tcBorders>
              <w:top w:val="single" w:sz="8" w:space="0" w:color="D9D9D9"/>
              <w:left w:val="nil"/>
              <w:bottom w:val="single" w:sz="8" w:space="0" w:color="D9D9D9"/>
              <w:right w:val="nil"/>
            </w:tcBorders>
            <w:vAlign w:val="center"/>
          </w:tcPr>
          <w:p w14:paraId="22C32092" w14:textId="3F62324D" w:rsidR="00C12AEC" w:rsidRDefault="00C12AEC" w:rsidP="008E70B8">
            <w:pPr>
              <w:pStyle w:val="TabletextLeft"/>
              <w:ind w:left="158"/>
              <w:rPr>
                <w:sz w:val="18"/>
                <w:szCs w:val="18"/>
              </w:rPr>
            </w:pPr>
            <w:r>
              <w:rPr>
                <w:sz w:val="18"/>
                <w:szCs w:val="18"/>
              </w:rPr>
              <w:t>NFC</w:t>
            </w:r>
          </w:p>
        </w:tc>
        <w:tc>
          <w:tcPr>
            <w:tcW w:w="2137" w:type="pct"/>
            <w:tcBorders>
              <w:top w:val="single" w:sz="8" w:space="0" w:color="D9D9D9"/>
              <w:left w:val="nil"/>
              <w:bottom w:val="single" w:sz="8" w:space="0" w:color="D9D9D9"/>
              <w:right w:val="nil"/>
            </w:tcBorders>
            <w:vAlign w:val="center"/>
          </w:tcPr>
          <w:p w14:paraId="32C555DC" w14:textId="233E906B" w:rsidR="00C12AEC" w:rsidRPr="002C3BF9" w:rsidRDefault="00C12AEC" w:rsidP="00C12AEC">
            <w:pPr>
              <w:pStyle w:val="TabletextLeft"/>
              <w:rPr>
                <w:sz w:val="18"/>
                <w:szCs w:val="18"/>
              </w:rPr>
            </w:pPr>
            <w:r>
              <w:rPr>
                <w:sz w:val="18"/>
                <w:szCs w:val="18"/>
              </w:rPr>
              <w:t>Nationally Funded Centre</w:t>
            </w:r>
          </w:p>
        </w:tc>
      </w:tr>
      <w:tr w:rsidR="00C12AEC" w:rsidRPr="00C0090D" w14:paraId="093243F1" w14:textId="77777777" w:rsidTr="00F17643">
        <w:tc>
          <w:tcPr>
            <w:tcW w:w="581" w:type="pct"/>
            <w:tcBorders>
              <w:top w:val="single" w:sz="8" w:space="0" w:color="D9D9D9"/>
              <w:left w:val="nil"/>
              <w:bottom w:val="single" w:sz="8" w:space="0" w:color="D9D9D9"/>
              <w:right w:val="nil"/>
            </w:tcBorders>
            <w:shd w:val="clear" w:color="auto" w:fill="auto"/>
            <w:vAlign w:val="center"/>
          </w:tcPr>
          <w:p w14:paraId="32217B41" w14:textId="03B79772" w:rsidR="00C12AEC" w:rsidRPr="00196D8A" w:rsidRDefault="00C12AEC" w:rsidP="008E70B8">
            <w:pPr>
              <w:pStyle w:val="TabletextLeft"/>
              <w:ind w:left="0" w:firstLine="142"/>
              <w:rPr>
                <w:sz w:val="18"/>
                <w:szCs w:val="18"/>
              </w:rPr>
            </w:pPr>
            <w:r>
              <w:rPr>
                <w:sz w:val="18"/>
                <w:szCs w:val="18"/>
              </w:rPr>
              <w:t>COPD</w:t>
            </w:r>
          </w:p>
        </w:tc>
        <w:tc>
          <w:tcPr>
            <w:tcW w:w="1904" w:type="pct"/>
            <w:gridSpan w:val="2"/>
            <w:tcBorders>
              <w:top w:val="single" w:sz="8" w:space="0" w:color="D9D9D9"/>
              <w:left w:val="nil"/>
              <w:bottom w:val="single" w:sz="8" w:space="0" w:color="D9D9D9"/>
              <w:right w:val="nil"/>
            </w:tcBorders>
            <w:shd w:val="clear" w:color="auto" w:fill="auto"/>
            <w:vAlign w:val="center"/>
          </w:tcPr>
          <w:p w14:paraId="49823D9C" w14:textId="3539AFBB" w:rsidR="00C12AEC" w:rsidRPr="00196D8A" w:rsidRDefault="00C12AEC" w:rsidP="00C12AEC">
            <w:pPr>
              <w:pStyle w:val="TabletextLeft"/>
              <w:rPr>
                <w:sz w:val="18"/>
                <w:szCs w:val="18"/>
              </w:rPr>
            </w:pPr>
            <w:r w:rsidRPr="00F02163">
              <w:rPr>
                <w:sz w:val="18"/>
                <w:szCs w:val="18"/>
              </w:rPr>
              <w:t>chronic obstructive pulmonary disease</w:t>
            </w:r>
          </w:p>
        </w:tc>
        <w:tc>
          <w:tcPr>
            <w:tcW w:w="377" w:type="pct"/>
            <w:tcBorders>
              <w:top w:val="single" w:sz="8" w:space="0" w:color="D9D9D9"/>
              <w:left w:val="nil"/>
              <w:bottom w:val="single" w:sz="8" w:space="0" w:color="D9D9D9"/>
              <w:right w:val="nil"/>
            </w:tcBorders>
            <w:vAlign w:val="center"/>
          </w:tcPr>
          <w:p w14:paraId="24827113" w14:textId="32371244" w:rsidR="00C12AEC" w:rsidRPr="00196D8A" w:rsidRDefault="00C12AEC" w:rsidP="008E70B8">
            <w:pPr>
              <w:pStyle w:val="TabletextLeft"/>
              <w:ind w:left="158"/>
              <w:rPr>
                <w:sz w:val="18"/>
                <w:szCs w:val="18"/>
              </w:rPr>
            </w:pPr>
            <w:r>
              <w:rPr>
                <w:sz w:val="18"/>
                <w:szCs w:val="18"/>
              </w:rPr>
              <w:t>NHCDC</w:t>
            </w:r>
          </w:p>
        </w:tc>
        <w:tc>
          <w:tcPr>
            <w:tcW w:w="2137" w:type="pct"/>
            <w:tcBorders>
              <w:top w:val="single" w:sz="8" w:space="0" w:color="D9D9D9"/>
              <w:left w:val="nil"/>
              <w:bottom w:val="single" w:sz="8" w:space="0" w:color="D9D9D9"/>
              <w:right w:val="nil"/>
            </w:tcBorders>
            <w:vAlign w:val="center"/>
          </w:tcPr>
          <w:p w14:paraId="3B38B2DB" w14:textId="624CA11D" w:rsidR="00C12AEC" w:rsidRPr="00196D8A" w:rsidRDefault="00C12AEC" w:rsidP="00C12AEC">
            <w:pPr>
              <w:pStyle w:val="TabletextLeft"/>
              <w:rPr>
                <w:sz w:val="18"/>
                <w:szCs w:val="18"/>
              </w:rPr>
            </w:pPr>
            <w:r w:rsidRPr="00F1419D">
              <w:rPr>
                <w:sz w:val="18"/>
                <w:szCs w:val="18"/>
              </w:rPr>
              <w:t>National Hospital Cost Data Collection</w:t>
            </w:r>
          </w:p>
        </w:tc>
      </w:tr>
      <w:tr w:rsidR="00C12AEC" w:rsidRPr="00C0090D" w14:paraId="460B90CA" w14:textId="77777777" w:rsidTr="00F17643">
        <w:tc>
          <w:tcPr>
            <w:tcW w:w="581" w:type="pct"/>
            <w:tcBorders>
              <w:top w:val="single" w:sz="8" w:space="0" w:color="D9D9D9"/>
              <w:left w:val="nil"/>
              <w:bottom w:val="single" w:sz="8" w:space="0" w:color="D9D9D9"/>
              <w:right w:val="nil"/>
            </w:tcBorders>
            <w:shd w:val="clear" w:color="auto" w:fill="auto"/>
            <w:vAlign w:val="center"/>
          </w:tcPr>
          <w:p w14:paraId="4C421105" w14:textId="01175F12" w:rsidR="00C12AEC" w:rsidRPr="00196D8A" w:rsidRDefault="00C12AEC" w:rsidP="008E70B8">
            <w:pPr>
              <w:pStyle w:val="TabletextLeft"/>
              <w:ind w:left="0" w:firstLine="142"/>
              <w:rPr>
                <w:sz w:val="18"/>
                <w:szCs w:val="18"/>
              </w:rPr>
            </w:pPr>
            <w:r>
              <w:rPr>
                <w:sz w:val="18"/>
                <w:szCs w:val="18"/>
              </w:rPr>
              <w:t>CQRs</w:t>
            </w:r>
          </w:p>
        </w:tc>
        <w:tc>
          <w:tcPr>
            <w:tcW w:w="1904" w:type="pct"/>
            <w:gridSpan w:val="2"/>
            <w:tcBorders>
              <w:top w:val="single" w:sz="8" w:space="0" w:color="D9D9D9"/>
              <w:left w:val="nil"/>
              <w:bottom w:val="single" w:sz="8" w:space="0" w:color="D9D9D9"/>
              <w:right w:val="nil"/>
            </w:tcBorders>
            <w:shd w:val="clear" w:color="auto" w:fill="auto"/>
            <w:vAlign w:val="center"/>
          </w:tcPr>
          <w:p w14:paraId="1D93D9D7" w14:textId="78A6E99C" w:rsidR="00C12AEC" w:rsidRPr="00196D8A" w:rsidRDefault="00C12AEC" w:rsidP="00C12AEC">
            <w:pPr>
              <w:pStyle w:val="TabletextLeft"/>
              <w:rPr>
                <w:sz w:val="18"/>
                <w:szCs w:val="18"/>
              </w:rPr>
            </w:pPr>
            <w:r>
              <w:rPr>
                <w:sz w:val="18"/>
                <w:szCs w:val="18"/>
              </w:rPr>
              <w:t>C</w:t>
            </w:r>
            <w:r w:rsidRPr="00BF3A89">
              <w:rPr>
                <w:sz w:val="18"/>
                <w:szCs w:val="18"/>
              </w:rPr>
              <w:t>linical quality registri</w:t>
            </w:r>
            <w:r>
              <w:rPr>
                <w:sz w:val="18"/>
                <w:szCs w:val="18"/>
              </w:rPr>
              <w:t>es</w:t>
            </w:r>
          </w:p>
        </w:tc>
        <w:tc>
          <w:tcPr>
            <w:tcW w:w="377" w:type="pct"/>
            <w:tcBorders>
              <w:top w:val="single" w:sz="8" w:space="0" w:color="D9D9D9"/>
              <w:left w:val="nil"/>
              <w:bottom w:val="single" w:sz="8" w:space="0" w:color="D9D9D9"/>
              <w:right w:val="nil"/>
            </w:tcBorders>
            <w:vAlign w:val="center"/>
          </w:tcPr>
          <w:p w14:paraId="4C18CB98" w14:textId="30CDC15C" w:rsidR="00C12AEC" w:rsidRPr="00196D8A" w:rsidRDefault="00C12AEC" w:rsidP="008E70B8">
            <w:pPr>
              <w:pStyle w:val="TabletextLeft"/>
              <w:ind w:left="158"/>
              <w:rPr>
                <w:sz w:val="18"/>
                <w:szCs w:val="18"/>
              </w:rPr>
            </w:pPr>
            <w:r w:rsidRPr="00196D8A">
              <w:rPr>
                <w:sz w:val="18"/>
                <w:szCs w:val="18"/>
              </w:rPr>
              <w:t>NHFB</w:t>
            </w:r>
          </w:p>
        </w:tc>
        <w:tc>
          <w:tcPr>
            <w:tcW w:w="2137" w:type="pct"/>
            <w:tcBorders>
              <w:top w:val="single" w:sz="8" w:space="0" w:color="D9D9D9"/>
              <w:left w:val="nil"/>
              <w:bottom w:val="single" w:sz="8" w:space="0" w:color="D9D9D9"/>
              <w:right w:val="nil"/>
            </w:tcBorders>
            <w:vAlign w:val="center"/>
          </w:tcPr>
          <w:p w14:paraId="6E4772CA" w14:textId="607FA882" w:rsidR="00C12AEC" w:rsidRPr="00196D8A" w:rsidRDefault="00C12AEC" w:rsidP="00C12AEC">
            <w:pPr>
              <w:pStyle w:val="TabletextLeft"/>
              <w:rPr>
                <w:sz w:val="18"/>
                <w:szCs w:val="18"/>
              </w:rPr>
            </w:pPr>
            <w:r w:rsidRPr="00196D8A">
              <w:rPr>
                <w:sz w:val="18"/>
                <w:szCs w:val="18"/>
              </w:rPr>
              <w:t>National Health Funding Body</w:t>
            </w:r>
          </w:p>
        </w:tc>
      </w:tr>
      <w:tr w:rsidR="00C12AEC" w:rsidRPr="00C0090D" w14:paraId="3C833C6B" w14:textId="77777777" w:rsidTr="00F17643">
        <w:tc>
          <w:tcPr>
            <w:tcW w:w="581" w:type="pct"/>
            <w:tcBorders>
              <w:top w:val="single" w:sz="8" w:space="0" w:color="D9D9D9"/>
              <w:left w:val="nil"/>
              <w:bottom w:val="single" w:sz="8" w:space="0" w:color="D9D9D9"/>
              <w:right w:val="nil"/>
            </w:tcBorders>
            <w:shd w:val="clear" w:color="auto" w:fill="auto"/>
            <w:vAlign w:val="center"/>
          </w:tcPr>
          <w:p w14:paraId="46BAF359" w14:textId="365D0F18" w:rsidR="00C12AEC" w:rsidRPr="00196D8A" w:rsidRDefault="00C12AEC" w:rsidP="008E70B8">
            <w:pPr>
              <w:pStyle w:val="TabletextLeft"/>
              <w:ind w:left="0" w:firstLine="142"/>
              <w:rPr>
                <w:sz w:val="18"/>
                <w:szCs w:val="18"/>
              </w:rPr>
            </w:pPr>
            <w:r>
              <w:rPr>
                <w:sz w:val="18"/>
                <w:szCs w:val="18"/>
              </w:rPr>
              <w:t>ED</w:t>
            </w:r>
          </w:p>
        </w:tc>
        <w:tc>
          <w:tcPr>
            <w:tcW w:w="1904" w:type="pct"/>
            <w:gridSpan w:val="2"/>
            <w:tcBorders>
              <w:top w:val="single" w:sz="8" w:space="0" w:color="D9D9D9"/>
              <w:left w:val="nil"/>
              <w:bottom w:val="single" w:sz="8" w:space="0" w:color="D9D9D9"/>
              <w:right w:val="nil"/>
            </w:tcBorders>
            <w:shd w:val="clear" w:color="auto" w:fill="auto"/>
            <w:vAlign w:val="center"/>
          </w:tcPr>
          <w:p w14:paraId="0D16760D" w14:textId="2B18CFAE" w:rsidR="00C12AEC" w:rsidRPr="00196D8A" w:rsidRDefault="00C12AEC" w:rsidP="00C12AEC">
            <w:pPr>
              <w:pStyle w:val="TabletextLeft"/>
              <w:rPr>
                <w:sz w:val="18"/>
                <w:szCs w:val="18"/>
              </w:rPr>
            </w:pPr>
            <w:r>
              <w:rPr>
                <w:sz w:val="18"/>
                <w:szCs w:val="18"/>
              </w:rPr>
              <w:t>Emergency Department</w:t>
            </w:r>
          </w:p>
        </w:tc>
        <w:tc>
          <w:tcPr>
            <w:tcW w:w="377" w:type="pct"/>
            <w:tcBorders>
              <w:top w:val="single" w:sz="8" w:space="0" w:color="D9D9D9"/>
              <w:left w:val="nil"/>
              <w:bottom w:val="single" w:sz="8" w:space="0" w:color="D9D9D9"/>
              <w:right w:val="nil"/>
            </w:tcBorders>
            <w:vAlign w:val="center"/>
          </w:tcPr>
          <w:p w14:paraId="31BB8699" w14:textId="1C706503" w:rsidR="00C12AEC" w:rsidRPr="00196D8A" w:rsidRDefault="00C12AEC" w:rsidP="008E70B8">
            <w:pPr>
              <w:pStyle w:val="TabletextLeft"/>
              <w:ind w:left="158"/>
              <w:rPr>
                <w:sz w:val="18"/>
                <w:szCs w:val="18"/>
              </w:rPr>
            </w:pPr>
            <w:r w:rsidRPr="00196D8A">
              <w:rPr>
                <w:sz w:val="18"/>
                <w:szCs w:val="18"/>
              </w:rPr>
              <w:t>NHFP</w:t>
            </w:r>
          </w:p>
        </w:tc>
        <w:tc>
          <w:tcPr>
            <w:tcW w:w="2137" w:type="pct"/>
            <w:tcBorders>
              <w:top w:val="single" w:sz="8" w:space="0" w:color="D9D9D9"/>
              <w:left w:val="nil"/>
              <w:bottom w:val="single" w:sz="8" w:space="0" w:color="D9D9D9"/>
              <w:right w:val="nil"/>
            </w:tcBorders>
            <w:vAlign w:val="center"/>
          </w:tcPr>
          <w:p w14:paraId="02276611" w14:textId="1EDFD924" w:rsidR="00C12AEC" w:rsidRPr="00196D8A" w:rsidRDefault="00C12AEC" w:rsidP="00C12AEC">
            <w:pPr>
              <w:pStyle w:val="TabletextLeft"/>
              <w:rPr>
                <w:sz w:val="18"/>
                <w:szCs w:val="18"/>
              </w:rPr>
            </w:pPr>
            <w:r w:rsidRPr="00196D8A">
              <w:rPr>
                <w:sz w:val="18"/>
                <w:szCs w:val="18"/>
              </w:rPr>
              <w:t>National Health Funding Pool</w:t>
            </w:r>
            <w:r>
              <w:rPr>
                <w:sz w:val="18"/>
                <w:szCs w:val="18"/>
              </w:rPr>
              <w:t xml:space="preserve"> </w:t>
            </w:r>
          </w:p>
        </w:tc>
      </w:tr>
      <w:tr w:rsidR="00C12AEC" w:rsidRPr="00C0090D" w14:paraId="27D9114D" w14:textId="19DE02B0" w:rsidTr="00F17643">
        <w:tc>
          <w:tcPr>
            <w:tcW w:w="581" w:type="pct"/>
            <w:tcBorders>
              <w:top w:val="single" w:sz="8" w:space="0" w:color="D9D9D9"/>
              <w:left w:val="nil"/>
              <w:bottom w:val="single" w:sz="8" w:space="0" w:color="D9D9D9"/>
              <w:right w:val="nil"/>
            </w:tcBorders>
            <w:shd w:val="clear" w:color="auto" w:fill="auto"/>
            <w:vAlign w:val="center"/>
          </w:tcPr>
          <w:p w14:paraId="64F3EBCE" w14:textId="3453C69C" w:rsidR="00C12AEC" w:rsidRPr="00196D8A" w:rsidRDefault="00C12AEC" w:rsidP="008E70B8">
            <w:pPr>
              <w:pStyle w:val="TabletextLeft"/>
              <w:ind w:left="0" w:firstLine="142"/>
              <w:rPr>
                <w:sz w:val="18"/>
                <w:szCs w:val="18"/>
              </w:rPr>
            </w:pPr>
            <w:r>
              <w:rPr>
                <w:sz w:val="18"/>
                <w:szCs w:val="18"/>
              </w:rPr>
              <w:t>EMR</w:t>
            </w:r>
          </w:p>
        </w:tc>
        <w:tc>
          <w:tcPr>
            <w:tcW w:w="1904" w:type="pct"/>
            <w:gridSpan w:val="2"/>
            <w:tcBorders>
              <w:top w:val="single" w:sz="8" w:space="0" w:color="D9D9D9"/>
              <w:left w:val="nil"/>
              <w:bottom w:val="single" w:sz="8" w:space="0" w:color="D9D9D9"/>
              <w:right w:val="nil"/>
            </w:tcBorders>
            <w:shd w:val="clear" w:color="auto" w:fill="auto"/>
            <w:vAlign w:val="center"/>
          </w:tcPr>
          <w:p w14:paraId="7CAA2EF9" w14:textId="0CF7225F" w:rsidR="00C12AEC" w:rsidRPr="00196D8A" w:rsidRDefault="00C12AEC" w:rsidP="00C12AEC">
            <w:pPr>
              <w:pStyle w:val="TabletextLeft"/>
              <w:rPr>
                <w:sz w:val="18"/>
                <w:szCs w:val="18"/>
              </w:rPr>
            </w:pPr>
            <w:r w:rsidRPr="008D3226">
              <w:rPr>
                <w:sz w:val="18"/>
                <w:szCs w:val="18"/>
              </w:rPr>
              <w:t>Electronic Medical Records</w:t>
            </w:r>
          </w:p>
        </w:tc>
        <w:tc>
          <w:tcPr>
            <w:tcW w:w="377" w:type="pct"/>
            <w:tcBorders>
              <w:top w:val="single" w:sz="8" w:space="0" w:color="D9D9D9"/>
              <w:left w:val="nil"/>
              <w:bottom w:val="single" w:sz="8" w:space="0" w:color="D9D9D9"/>
              <w:right w:val="nil"/>
            </w:tcBorders>
            <w:vAlign w:val="center"/>
          </w:tcPr>
          <w:p w14:paraId="6FADB4C4" w14:textId="0C9A04A3" w:rsidR="00C12AEC" w:rsidRPr="00196D8A" w:rsidRDefault="00C12AEC" w:rsidP="008E70B8">
            <w:pPr>
              <w:pStyle w:val="TabletextLeft"/>
              <w:ind w:left="158"/>
              <w:rPr>
                <w:sz w:val="18"/>
                <w:szCs w:val="18"/>
              </w:rPr>
            </w:pPr>
            <w:r w:rsidRPr="00196D8A">
              <w:rPr>
                <w:sz w:val="18"/>
                <w:szCs w:val="18"/>
              </w:rPr>
              <w:t xml:space="preserve">NHPA </w:t>
            </w:r>
          </w:p>
        </w:tc>
        <w:tc>
          <w:tcPr>
            <w:tcW w:w="2137" w:type="pct"/>
            <w:tcBorders>
              <w:top w:val="single" w:sz="8" w:space="0" w:color="D9D9D9"/>
              <w:left w:val="nil"/>
              <w:bottom w:val="single" w:sz="8" w:space="0" w:color="D9D9D9"/>
              <w:right w:val="nil"/>
            </w:tcBorders>
            <w:vAlign w:val="center"/>
          </w:tcPr>
          <w:p w14:paraId="7519E96F" w14:textId="0BB08A6E" w:rsidR="00C12AEC" w:rsidRPr="00196D8A" w:rsidRDefault="00C12AEC" w:rsidP="00C12AEC">
            <w:pPr>
              <w:pStyle w:val="TabletextLeft"/>
              <w:rPr>
                <w:sz w:val="18"/>
                <w:szCs w:val="18"/>
              </w:rPr>
            </w:pPr>
            <w:r w:rsidRPr="00196D8A">
              <w:rPr>
                <w:sz w:val="18"/>
                <w:szCs w:val="18"/>
              </w:rPr>
              <w:t>National Health Performance Authority</w:t>
            </w:r>
          </w:p>
        </w:tc>
      </w:tr>
      <w:tr w:rsidR="00C12AEC" w:rsidRPr="00C0090D" w14:paraId="77527907" w14:textId="77777777" w:rsidTr="00F17643">
        <w:tc>
          <w:tcPr>
            <w:tcW w:w="581" w:type="pct"/>
            <w:tcBorders>
              <w:top w:val="single" w:sz="8" w:space="0" w:color="D9D9D9"/>
              <w:left w:val="nil"/>
              <w:bottom w:val="single" w:sz="8" w:space="0" w:color="D9D9D9"/>
              <w:right w:val="nil"/>
            </w:tcBorders>
            <w:shd w:val="clear" w:color="auto" w:fill="auto"/>
            <w:vAlign w:val="center"/>
          </w:tcPr>
          <w:p w14:paraId="03704E4E" w14:textId="7FEE45DD" w:rsidR="00C12AEC" w:rsidRPr="00196D8A" w:rsidRDefault="00C12AEC" w:rsidP="008E70B8">
            <w:pPr>
              <w:pStyle w:val="TabletextLeft"/>
              <w:ind w:left="0" w:firstLine="142"/>
              <w:rPr>
                <w:sz w:val="18"/>
                <w:szCs w:val="18"/>
              </w:rPr>
            </w:pPr>
            <w:r>
              <w:rPr>
                <w:sz w:val="18"/>
                <w:szCs w:val="18"/>
              </w:rPr>
              <w:t>GDP</w:t>
            </w:r>
          </w:p>
        </w:tc>
        <w:tc>
          <w:tcPr>
            <w:tcW w:w="1904" w:type="pct"/>
            <w:gridSpan w:val="2"/>
            <w:tcBorders>
              <w:top w:val="single" w:sz="8" w:space="0" w:color="D9D9D9"/>
              <w:left w:val="nil"/>
              <w:bottom w:val="single" w:sz="8" w:space="0" w:color="D9D9D9"/>
              <w:right w:val="nil"/>
            </w:tcBorders>
            <w:shd w:val="clear" w:color="auto" w:fill="auto"/>
            <w:vAlign w:val="center"/>
          </w:tcPr>
          <w:p w14:paraId="0678BE63" w14:textId="72FB27B1" w:rsidR="00C12AEC" w:rsidRPr="00196D8A" w:rsidRDefault="00C12AEC" w:rsidP="00C12AEC">
            <w:pPr>
              <w:pStyle w:val="TabletextLeft"/>
              <w:rPr>
                <w:sz w:val="18"/>
                <w:szCs w:val="18"/>
              </w:rPr>
            </w:pPr>
            <w:r>
              <w:rPr>
                <w:sz w:val="18"/>
                <w:szCs w:val="18"/>
              </w:rPr>
              <w:t>Gross Domestic Product</w:t>
            </w:r>
          </w:p>
        </w:tc>
        <w:tc>
          <w:tcPr>
            <w:tcW w:w="377" w:type="pct"/>
            <w:tcBorders>
              <w:top w:val="single" w:sz="8" w:space="0" w:color="D9D9D9"/>
              <w:left w:val="nil"/>
              <w:bottom w:val="single" w:sz="8" w:space="0" w:color="D9D9D9"/>
              <w:right w:val="nil"/>
            </w:tcBorders>
            <w:vAlign w:val="center"/>
          </w:tcPr>
          <w:p w14:paraId="612C8A58" w14:textId="0EBB4DB2" w:rsidR="00C12AEC" w:rsidRDefault="00C12AEC" w:rsidP="008E70B8">
            <w:pPr>
              <w:pStyle w:val="TabletextLeft"/>
              <w:ind w:left="158"/>
              <w:rPr>
                <w:sz w:val="18"/>
                <w:szCs w:val="18"/>
              </w:rPr>
            </w:pPr>
            <w:r w:rsidRPr="00196D8A">
              <w:rPr>
                <w:sz w:val="18"/>
                <w:szCs w:val="18"/>
              </w:rPr>
              <w:t>NHRA</w:t>
            </w:r>
          </w:p>
        </w:tc>
        <w:tc>
          <w:tcPr>
            <w:tcW w:w="2137" w:type="pct"/>
            <w:tcBorders>
              <w:top w:val="single" w:sz="8" w:space="0" w:color="D9D9D9"/>
              <w:left w:val="nil"/>
              <w:bottom w:val="single" w:sz="8" w:space="0" w:color="D9D9D9"/>
              <w:right w:val="nil"/>
            </w:tcBorders>
            <w:vAlign w:val="center"/>
          </w:tcPr>
          <w:p w14:paraId="04C43C85" w14:textId="42A04DD3" w:rsidR="00C12AEC" w:rsidRDefault="00C12AEC" w:rsidP="00C12AEC">
            <w:pPr>
              <w:pStyle w:val="TabletextLeft"/>
              <w:rPr>
                <w:sz w:val="18"/>
                <w:szCs w:val="18"/>
              </w:rPr>
            </w:pPr>
            <w:r w:rsidRPr="00196D8A">
              <w:rPr>
                <w:sz w:val="18"/>
                <w:szCs w:val="18"/>
              </w:rPr>
              <w:t>National Health Reform Agreement</w:t>
            </w:r>
          </w:p>
        </w:tc>
      </w:tr>
      <w:tr w:rsidR="00C12AEC" w:rsidRPr="00C0090D" w14:paraId="56844B95" w14:textId="60043A94" w:rsidTr="00F17643">
        <w:tc>
          <w:tcPr>
            <w:tcW w:w="581" w:type="pct"/>
            <w:tcBorders>
              <w:top w:val="single" w:sz="8" w:space="0" w:color="D9D9D9"/>
              <w:left w:val="nil"/>
              <w:bottom w:val="single" w:sz="8" w:space="0" w:color="D9D9D9"/>
              <w:right w:val="nil"/>
            </w:tcBorders>
            <w:shd w:val="clear" w:color="auto" w:fill="auto"/>
            <w:vAlign w:val="center"/>
          </w:tcPr>
          <w:p w14:paraId="4D7980C7" w14:textId="171021E8" w:rsidR="00C12AEC" w:rsidRPr="00196D8A" w:rsidRDefault="00C12AEC" w:rsidP="008E70B8">
            <w:pPr>
              <w:pStyle w:val="TabletextLeft"/>
              <w:ind w:left="0" w:firstLine="142"/>
              <w:rPr>
                <w:sz w:val="18"/>
                <w:szCs w:val="18"/>
              </w:rPr>
            </w:pPr>
            <w:r>
              <w:rPr>
                <w:sz w:val="18"/>
                <w:szCs w:val="18"/>
              </w:rPr>
              <w:t>GP</w:t>
            </w:r>
          </w:p>
        </w:tc>
        <w:tc>
          <w:tcPr>
            <w:tcW w:w="1904" w:type="pct"/>
            <w:gridSpan w:val="2"/>
            <w:tcBorders>
              <w:top w:val="single" w:sz="8" w:space="0" w:color="D9D9D9"/>
              <w:left w:val="nil"/>
              <w:bottom w:val="single" w:sz="8" w:space="0" w:color="D9D9D9"/>
              <w:right w:val="nil"/>
            </w:tcBorders>
            <w:shd w:val="clear" w:color="auto" w:fill="auto"/>
            <w:vAlign w:val="center"/>
          </w:tcPr>
          <w:p w14:paraId="494E28E9" w14:textId="60F18B02" w:rsidR="00C12AEC" w:rsidRPr="00196D8A" w:rsidRDefault="00C12AEC" w:rsidP="00C12AEC">
            <w:pPr>
              <w:pStyle w:val="TabletextLeft"/>
              <w:rPr>
                <w:sz w:val="18"/>
                <w:szCs w:val="18"/>
              </w:rPr>
            </w:pPr>
            <w:r>
              <w:rPr>
                <w:sz w:val="18"/>
                <w:szCs w:val="18"/>
              </w:rPr>
              <w:t>General Practice</w:t>
            </w:r>
          </w:p>
        </w:tc>
        <w:tc>
          <w:tcPr>
            <w:tcW w:w="377" w:type="pct"/>
            <w:tcBorders>
              <w:top w:val="single" w:sz="8" w:space="0" w:color="D9D9D9"/>
              <w:left w:val="nil"/>
              <w:bottom w:val="single" w:sz="8" w:space="0" w:color="D9D9D9"/>
              <w:right w:val="nil"/>
            </w:tcBorders>
            <w:vAlign w:val="center"/>
          </w:tcPr>
          <w:p w14:paraId="7219BEE8" w14:textId="1AD67F48" w:rsidR="00C12AEC" w:rsidRPr="00196D8A" w:rsidRDefault="00C12AEC" w:rsidP="008E70B8">
            <w:pPr>
              <w:pStyle w:val="TabletextLeft"/>
              <w:ind w:left="158"/>
              <w:rPr>
                <w:sz w:val="18"/>
                <w:szCs w:val="18"/>
              </w:rPr>
            </w:pPr>
            <w:r>
              <w:rPr>
                <w:sz w:val="18"/>
                <w:szCs w:val="18"/>
              </w:rPr>
              <w:t>NHS</w:t>
            </w:r>
          </w:p>
        </w:tc>
        <w:tc>
          <w:tcPr>
            <w:tcW w:w="2137" w:type="pct"/>
            <w:tcBorders>
              <w:top w:val="single" w:sz="8" w:space="0" w:color="D9D9D9"/>
              <w:left w:val="nil"/>
              <w:bottom w:val="single" w:sz="8" w:space="0" w:color="D9D9D9"/>
              <w:right w:val="nil"/>
            </w:tcBorders>
            <w:vAlign w:val="center"/>
          </w:tcPr>
          <w:p w14:paraId="1D482C1D" w14:textId="31DDA8A7" w:rsidR="00C12AEC" w:rsidRPr="00196D8A" w:rsidRDefault="00C12AEC" w:rsidP="00C12AEC">
            <w:pPr>
              <w:pStyle w:val="TabletextLeft"/>
              <w:rPr>
                <w:sz w:val="18"/>
                <w:szCs w:val="18"/>
              </w:rPr>
            </w:pPr>
            <w:r w:rsidRPr="003F60F5">
              <w:rPr>
                <w:sz w:val="18"/>
                <w:szCs w:val="18"/>
              </w:rPr>
              <w:t>National Health Service</w:t>
            </w:r>
          </w:p>
        </w:tc>
      </w:tr>
      <w:tr w:rsidR="00B4522D" w:rsidRPr="00C0090D" w14:paraId="0CC60C30" w14:textId="77777777" w:rsidTr="00F17643">
        <w:tc>
          <w:tcPr>
            <w:tcW w:w="581" w:type="pct"/>
            <w:tcBorders>
              <w:top w:val="single" w:sz="8" w:space="0" w:color="D9D9D9"/>
              <w:left w:val="nil"/>
              <w:bottom w:val="single" w:sz="8" w:space="0" w:color="D9D9D9"/>
              <w:right w:val="nil"/>
            </w:tcBorders>
            <w:shd w:val="clear" w:color="auto" w:fill="auto"/>
            <w:vAlign w:val="center"/>
          </w:tcPr>
          <w:p w14:paraId="653CD61C" w14:textId="1F9BCAB0" w:rsidR="00B4522D" w:rsidRDefault="00B4522D" w:rsidP="00B4522D">
            <w:pPr>
              <w:pStyle w:val="TabletextLeft"/>
              <w:rPr>
                <w:sz w:val="18"/>
                <w:szCs w:val="18"/>
              </w:rPr>
            </w:pPr>
            <w:r>
              <w:rPr>
                <w:sz w:val="18"/>
                <w:szCs w:val="18"/>
              </w:rPr>
              <w:t>NMP</w:t>
            </w:r>
          </w:p>
        </w:tc>
        <w:tc>
          <w:tcPr>
            <w:tcW w:w="1904" w:type="pct"/>
            <w:gridSpan w:val="2"/>
            <w:tcBorders>
              <w:top w:val="single" w:sz="8" w:space="0" w:color="D9D9D9"/>
              <w:left w:val="nil"/>
              <w:bottom w:val="single" w:sz="8" w:space="0" w:color="D9D9D9"/>
              <w:right w:val="nil"/>
            </w:tcBorders>
            <w:shd w:val="clear" w:color="auto" w:fill="auto"/>
            <w:vAlign w:val="center"/>
          </w:tcPr>
          <w:p w14:paraId="69EED83F" w14:textId="36BB885F" w:rsidR="00B4522D" w:rsidRDefault="00B4522D" w:rsidP="00B4522D">
            <w:pPr>
              <w:pStyle w:val="TabletextLeft"/>
              <w:rPr>
                <w:sz w:val="18"/>
                <w:szCs w:val="18"/>
              </w:rPr>
            </w:pPr>
            <w:r w:rsidRPr="008D2C6D">
              <w:rPr>
                <w:sz w:val="18"/>
                <w:szCs w:val="18"/>
              </w:rPr>
              <w:t>National Medicines Policy</w:t>
            </w:r>
          </w:p>
        </w:tc>
        <w:tc>
          <w:tcPr>
            <w:tcW w:w="377" w:type="pct"/>
            <w:tcBorders>
              <w:top w:val="single" w:sz="8" w:space="0" w:color="D9D9D9"/>
              <w:left w:val="nil"/>
              <w:bottom w:val="single" w:sz="8" w:space="0" w:color="D9D9D9"/>
              <w:right w:val="nil"/>
            </w:tcBorders>
            <w:vAlign w:val="center"/>
          </w:tcPr>
          <w:p w14:paraId="0AEACE31" w14:textId="536B7476" w:rsidR="00B4522D" w:rsidRPr="00196D8A" w:rsidRDefault="00B4522D" w:rsidP="00B4522D">
            <w:pPr>
              <w:pStyle w:val="TabletextLeft"/>
              <w:rPr>
                <w:sz w:val="18"/>
                <w:szCs w:val="18"/>
              </w:rPr>
            </w:pPr>
            <w:r>
              <w:rPr>
                <w:sz w:val="18"/>
                <w:szCs w:val="18"/>
              </w:rPr>
              <w:t>RADAR RR</w:t>
            </w:r>
          </w:p>
        </w:tc>
        <w:tc>
          <w:tcPr>
            <w:tcW w:w="2137" w:type="pct"/>
            <w:tcBorders>
              <w:top w:val="single" w:sz="8" w:space="0" w:color="D9D9D9"/>
              <w:left w:val="nil"/>
              <w:bottom w:val="single" w:sz="8" w:space="0" w:color="D9D9D9"/>
              <w:right w:val="nil"/>
            </w:tcBorders>
            <w:vAlign w:val="center"/>
          </w:tcPr>
          <w:p w14:paraId="6CF4F774" w14:textId="5C5FA570" w:rsidR="00B4522D" w:rsidRPr="00196D8A" w:rsidRDefault="00B4522D" w:rsidP="00B4522D">
            <w:pPr>
              <w:pStyle w:val="TabletextLeft"/>
              <w:rPr>
                <w:sz w:val="18"/>
                <w:szCs w:val="18"/>
              </w:rPr>
            </w:pPr>
            <w:r w:rsidRPr="001A1984">
              <w:rPr>
                <w:sz w:val="18"/>
                <w:szCs w:val="18"/>
              </w:rPr>
              <w:t>Residential Aged Care District Assessment and Referral Rapid Response</w:t>
            </w:r>
          </w:p>
        </w:tc>
      </w:tr>
      <w:tr w:rsidR="00B4522D" w:rsidRPr="00C0090D" w14:paraId="4EA43909" w14:textId="77777777" w:rsidTr="00F17643">
        <w:tc>
          <w:tcPr>
            <w:tcW w:w="581" w:type="pct"/>
            <w:tcBorders>
              <w:top w:val="single" w:sz="8" w:space="0" w:color="D9D9D9"/>
              <w:left w:val="nil"/>
              <w:bottom w:val="single" w:sz="8" w:space="0" w:color="D9D9D9"/>
              <w:right w:val="nil"/>
            </w:tcBorders>
            <w:shd w:val="clear" w:color="auto" w:fill="auto"/>
            <w:vAlign w:val="center"/>
          </w:tcPr>
          <w:p w14:paraId="12A2AC5F" w14:textId="5C5A99F8" w:rsidR="00B4522D" w:rsidRPr="00196D8A" w:rsidRDefault="00B4522D" w:rsidP="00B4522D">
            <w:pPr>
              <w:pStyle w:val="TabletextLeft"/>
              <w:rPr>
                <w:sz w:val="18"/>
                <w:szCs w:val="18"/>
              </w:rPr>
            </w:pPr>
            <w:r>
              <w:rPr>
                <w:sz w:val="18"/>
                <w:szCs w:val="18"/>
              </w:rPr>
              <w:t>NPA</w:t>
            </w:r>
          </w:p>
        </w:tc>
        <w:tc>
          <w:tcPr>
            <w:tcW w:w="1904" w:type="pct"/>
            <w:gridSpan w:val="2"/>
            <w:tcBorders>
              <w:top w:val="single" w:sz="8" w:space="0" w:color="D9D9D9"/>
              <w:left w:val="nil"/>
              <w:bottom w:val="single" w:sz="8" w:space="0" w:color="D9D9D9"/>
              <w:right w:val="nil"/>
            </w:tcBorders>
            <w:shd w:val="clear" w:color="auto" w:fill="auto"/>
            <w:vAlign w:val="center"/>
          </w:tcPr>
          <w:p w14:paraId="05BB63AD" w14:textId="1AD1A898" w:rsidR="00B4522D" w:rsidRPr="00196D8A" w:rsidRDefault="00B4522D" w:rsidP="00B4522D">
            <w:pPr>
              <w:pStyle w:val="TabletextLeft"/>
              <w:rPr>
                <w:sz w:val="18"/>
                <w:szCs w:val="18"/>
              </w:rPr>
            </w:pPr>
            <w:r>
              <w:rPr>
                <w:sz w:val="18"/>
                <w:szCs w:val="18"/>
              </w:rPr>
              <w:t>National Partnership Agreement</w:t>
            </w:r>
          </w:p>
        </w:tc>
        <w:tc>
          <w:tcPr>
            <w:tcW w:w="377" w:type="pct"/>
            <w:tcBorders>
              <w:top w:val="single" w:sz="8" w:space="0" w:color="D9D9D9"/>
              <w:left w:val="nil"/>
              <w:bottom w:val="single" w:sz="8" w:space="0" w:color="D9D9D9"/>
              <w:right w:val="nil"/>
            </w:tcBorders>
            <w:vAlign w:val="center"/>
          </w:tcPr>
          <w:p w14:paraId="00EB88F1" w14:textId="783D9F77" w:rsidR="00B4522D" w:rsidRPr="00196D8A" w:rsidRDefault="00B4522D" w:rsidP="00B4522D">
            <w:pPr>
              <w:pStyle w:val="TabletextLeft"/>
              <w:rPr>
                <w:sz w:val="18"/>
                <w:szCs w:val="18"/>
              </w:rPr>
            </w:pPr>
            <w:r>
              <w:rPr>
                <w:sz w:val="18"/>
                <w:szCs w:val="18"/>
              </w:rPr>
              <w:t>Review</w:t>
            </w:r>
          </w:p>
        </w:tc>
        <w:tc>
          <w:tcPr>
            <w:tcW w:w="2137" w:type="pct"/>
            <w:tcBorders>
              <w:top w:val="single" w:sz="8" w:space="0" w:color="D9D9D9"/>
              <w:left w:val="nil"/>
              <w:bottom w:val="single" w:sz="8" w:space="0" w:color="D9D9D9"/>
              <w:right w:val="nil"/>
            </w:tcBorders>
            <w:vAlign w:val="center"/>
          </w:tcPr>
          <w:p w14:paraId="66F135A7" w14:textId="767E417E" w:rsidR="00B4522D" w:rsidRPr="00196D8A" w:rsidRDefault="00B4522D" w:rsidP="00B4522D">
            <w:pPr>
              <w:pStyle w:val="TabletextLeft"/>
              <w:rPr>
                <w:sz w:val="18"/>
                <w:szCs w:val="18"/>
              </w:rPr>
            </w:pPr>
            <w:r>
              <w:rPr>
                <w:sz w:val="18"/>
                <w:szCs w:val="18"/>
              </w:rPr>
              <w:t>Mid</w:t>
            </w:r>
            <w:r w:rsidR="00046733">
              <w:rPr>
                <w:sz w:val="18"/>
                <w:szCs w:val="18"/>
              </w:rPr>
              <w:t>-</w:t>
            </w:r>
            <w:r>
              <w:rPr>
                <w:sz w:val="18"/>
                <w:szCs w:val="18"/>
              </w:rPr>
              <w:t>Term Review</w:t>
            </w:r>
          </w:p>
        </w:tc>
      </w:tr>
      <w:tr w:rsidR="00B4522D" w:rsidRPr="00C0090D" w14:paraId="1523D797" w14:textId="49F935B6" w:rsidTr="00F17643">
        <w:tc>
          <w:tcPr>
            <w:tcW w:w="581" w:type="pct"/>
            <w:tcBorders>
              <w:top w:val="single" w:sz="8" w:space="0" w:color="D9D9D9"/>
              <w:left w:val="nil"/>
              <w:bottom w:val="single" w:sz="8" w:space="0" w:color="D9D9D9"/>
              <w:right w:val="nil"/>
            </w:tcBorders>
            <w:shd w:val="clear" w:color="auto" w:fill="auto"/>
            <w:vAlign w:val="center"/>
          </w:tcPr>
          <w:p w14:paraId="2C548446" w14:textId="0E0A6ACD" w:rsidR="00B4522D" w:rsidRPr="00196D8A" w:rsidRDefault="00B4522D" w:rsidP="00B4522D">
            <w:pPr>
              <w:pStyle w:val="TabletextLeft"/>
              <w:rPr>
                <w:sz w:val="18"/>
                <w:szCs w:val="18"/>
              </w:rPr>
            </w:pPr>
            <w:r>
              <w:rPr>
                <w:sz w:val="18"/>
                <w:szCs w:val="18"/>
              </w:rPr>
              <w:t>NWAU</w:t>
            </w:r>
          </w:p>
        </w:tc>
        <w:tc>
          <w:tcPr>
            <w:tcW w:w="1904" w:type="pct"/>
            <w:gridSpan w:val="2"/>
            <w:tcBorders>
              <w:top w:val="single" w:sz="8" w:space="0" w:color="D9D9D9"/>
              <w:left w:val="nil"/>
              <w:bottom w:val="single" w:sz="8" w:space="0" w:color="D9D9D9"/>
              <w:right w:val="nil"/>
            </w:tcBorders>
            <w:shd w:val="clear" w:color="auto" w:fill="auto"/>
            <w:vAlign w:val="center"/>
          </w:tcPr>
          <w:p w14:paraId="41632F8C" w14:textId="40AFE6C1" w:rsidR="00B4522D" w:rsidRPr="00196D8A" w:rsidRDefault="00B4522D" w:rsidP="00B4522D">
            <w:pPr>
              <w:pStyle w:val="TabletextLeft"/>
              <w:rPr>
                <w:sz w:val="18"/>
                <w:szCs w:val="18"/>
              </w:rPr>
            </w:pPr>
            <w:r>
              <w:rPr>
                <w:sz w:val="18"/>
                <w:szCs w:val="18"/>
              </w:rPr>
              <w:t>National Weighted Activity Unit</w:t>
            </w:r>
          </w:p>
        </w:tc>
        <w:tc>
          <w:tcPr>
            <w:tcW w:w="377" w:type="pct"/>
            <w:tcBorders>
              <w:top w:val="single" w:sz="8" w:space="0" w:color="D9D9D9"/>
              <w:left w:val="nil"/>
              <w:bottom w:val="single" w:sz="8" w:space="0" w:color="D9D9D9"/>
              <w:right w:val="nil"/>
            </w:tcBorders>
            <w:vAlign w:val="center"/>
          </w:tcPr>
          <w:p w14:paraId="574E1296" w14:textId="3734615E" w:rsidR="00B4522D" w:rsidRPr="00196D8A" w:rsidRDefault="00B4522D" w:rsidP="00B4522D">
            <w:pPr>
              <w:pStyle w:val="TabletextLeft"/>
              <w:rPr>
                <w:sz w:val="18"/>
                <w:szCs w:val="18"/>
              </w:rPr>
            </w:pPr>
            <w:r>
              <w:rPr>
                <w:sz w:val="18"/>
                <w:szCs w:val="18"/>
              </w:rPr>
              <w:t>RG</w:t>
            </w:r>
          </w:p>
        </w:tc>
        <w:tc>
          <w:tcPr>
            <w:tcW w:w="2137" w:type="pct"/>
            <w:tcBorders>
              <w:top w:val="single" w:sz="8" w:space="0" w:color="D9D9D9"/>
              <w:left w:val="nil"/>
              <w:bottom w:val="single" w:sz="8" w:space="0" w:color="D9D9D9"/>
              <w:right w:val="nil"/>
            </w:tcBorders>
            <w:vAlign w:val="center"/>
          </w:tcPr>
          <w:p w14:paraId="788E5F61" w14:textId="6F881229" w:rsidR="00B4522D" w:rsidRPr="00196D8A" w:rsidRDefault="00B4522D" w:rsidP="00B4522D">
            <w:pPr>
              <w:pStyle w:val="TabletextLeft"/>
              <w:rPr>
                <w:sz w:val="18"/>
                <w:szCs w:val="18"/>
              </w:rPr>
            </w:pPr>
            <w:r>
              <w:rPr>
                <w:sz w:val="18"/>
                <w:szCs w:val="18"/>
              </w:rPr>
              <w:t>Rural Generalist</w:t>
            </w:r>
          </w:p>
        </w:tc>
      </w:tr>
      <w:tr w:rsidR="00B4522D" w:rsidRPr="00C0090D" w14:paraId="3BCFCB72" w14:textId="77777777" w:rsidTr="00F17643">
        <w:tc>
          <w:tcPr>
            <w:tcW w:w="581" w:type="pct"/>
            <w:tcBorders>
              <w:top w:val="single" w:sz="8" w:space="0" w:color="D9D9D9"/>
              <w:left w:val="nil"/>
              <w:bottom w:val="single" w:sz="8" w:space="0" w:color="D9D9D9"/>
              <w:right w:val="nil"/>
            </w:tcBorders>
            <w:shd w:val="clear" w:color="auto" w:fill="auto"/>
            <w:vAlign w:val="center"/>
          </w:tcPr>
          <w:p w14:paraId="4C3705B6" w14:textId="522DA5E1" w:rsidR="00B4522D" w:rsidRPr="00196D8A" w:rsidRDefault="00B4522D" w:rsidP="00B4522D">
            <w:pPr>
              <w:pStyle w:val="TabletextLeft"/>
              <w:rPr>
                <w:sz w:val="18"/>
                <w:szCs w:val="18"/>
              </w:rPr>
            </w:pPr>
            <w:r>
              <w:rPr>
                <w:sz w:val="18"/>
                <w:szCs w:val="18"/>
              </w:rPr>
              <w:t>OECD</w:t>
            </w:r>
          </w:p>
        </w:tc>
        <w:tc>
          <w:tcPr>
            <w:tcW w:w="1904" w:type="pct"/>
            <w:gridSpan w:val="2"/>
            <w:tcBorders>
              <w:top w:val="single" w:sz="8" w:space="0" w:color="D9D9D9"/>
              <w:left w:val="nil"/>
              <w:bottom w:val="single" w:sz="8" w:space="0" w:color="D9D9D9"/>
              <w:right w:val="nil"/>
            </w:tcBorders>
            <w:shd w:val="clear" w:color="auto" w:fill="auto"/>
            <w:vAlign w:val="center"/>
          </w:tcPr>
          <w:p w14:paraId="75E2F7FF" w14:textId="3C4193A9" w:rsidR="00B4522D" w:rsidRPr="00196D8A" w:rsidRDefault="00B4522D" w:rsidP="00B4522D">
            <w:pPr>
              <w:pStyle w:val="TabletextLeft"/>
              <w:rPr>
                <w:sz w:val="18"/>
                <w:szCs w:val="18"/>
              </w:rPr>
            </w:pPr>
            <w:r w:rsidRPr="002C3BF9">
              <w:rPr>
                <w:sz w:val="18"/>
                <w:szCs w:val="18"/>
              </w:rPr>
              <w:t>Organisation for Economic Co-operation and Development</w:t>
            </w:r>
          </w:p>
        </w:tc>
        <w:tc>
          <w:tcPr>
            <w:tcW w:w="377" w:type="pct"/>
            <w:tcBorders>
              <w:top w:val="single" w:sz="8" w:space="0" w:color="D9D9D9"/>
              <w:left w:val="nil"/>
              <w:bottom w:val="single" w:sz="8" w:space="0" w:color="D9D9D9"/>
              <w:right w:val="nil"/>
            </w:tcBorders>
            <w:vAlign w:val="center"/>
          </w:tcPr>
          <w:p w14:paraId="1F50EC85" w14:textId="3ACA9BF4" w:rsidR="00B4522D" w:rsidRDefault="00B4522D" w:rsidP="00B4522D">
            <w:pPr>
              <w:pStyle w:val="TabletextLeft"/>
              <w:rPr>
                <w:sz w:val="18"/>
                <w:szCs w:val="18"/>
              </w:rPr>
            </w:pPr>
            <w:r w:rsidRPr="00196D8A">
              <w:rPr>
                <w:sz w:val="18"/>
                <w:szCs w:val="18"/>
              </w:rPr>
              <w:t>RIG</w:t>
            </w:r>
          </w:p>
        </w:tc>
        <w:tc>
          <w:tcPr>
            <w:tcW w:w="2137" w:type="pct"/>
            <w:tcBorders>
              <w:top w:val="single" w:sz="8" w:space="0" w:color="D9D9D9"/>
              <w:left w:val="nil"/>
              <w:bottom w:val="single" w:sz="8" w:space="0" w:color="D9D9D9"/>
              <w:right w:val="nil"/>
            </w:tcBorders>
            <w:vAlign w:val="center"/>
          </w:tcPr>
          <w:p w14:paraId="7E8E7FF5" w14:textId="09CDA627" w:rsidR="00B4522D" w:rsidRPr="00FB5CE9" w:rsidRDefault="00B4522D" w:rsidP="00B4522D">
            <w:pPr>
              <w:pStyle w:val="TabletextLeft"/>
              <w:rPr>
                <w:sz w:val="18"/>
                <w:szCs w:val="18"/>
              </w:rPr>
            </w:pPr>
            <w:r w:rsidRPr="00196D8A">
              <w:rPr>
                <w:sz w:val="18"/>
                <w:szCs w:val="18"/>
              </w:rPr>
              <w:t>Reform Implementation Group</w:t>
            </w:r>
          </w:p>
        </w:tc>
      </w:tr>
      <w:tr w:rsidR="00F17643" w:rsidRPr="00C0090D" w14:paraId="724A3FD4" w14:textId="77777777" w:rsidTr="00F17643">
        <w:tc>
          <w:tcPr>
            <w:tcW w:w="581" w:type="pct"/>
            <w:tcBorders>
              <w:top w:val="single" w:sz="8" w:space="0" w:color="D9D9D9"/>
              <w:left w:val="nil"/>
              <w:bottom w:val="single" w:sz="8" w:space="0" w:color="D9D9D9"/>
              <w:right w:val="nil"/>
            </w:tcBorders>
            <w:shd w:val="clear" w:color="auto" w:fill="auto"/>
            <w:vAlign w:val="center"/>
          </w:tcPr>
          <w:p w14:paraId="2F71FD1F" w14:textId="2A006B95" w:rsidR="00F17643" w:rsidRDefault="00F17643" w:rsidP="00F17643">
            <w:pPr>
              <w:pStyle w:val="TabletextLeft"/>
              <w:rPr>
                <w:sz w:val="18"/>
                <w:szCs w:val="18"/>
              </w:rPr>
            </w:pPr>
            <w:r>
              <w:rPr>
                <w:sz w:val="18"/>
                <w:szCs w:val="18"/>
              </w:rPr>
              <w:t>OTDA</w:t>
            </w:r>
          </w:p>
        </w:tc>
        <w:tc>
          <w:tcPr>
            <w:tcW w:w="1904" w:type="pct"/>
            <w:gridSpan w:val="2"/>
            <w:tcBorders>
              <w:top w:val="single" w:sz="8" w:space="0" w:color="D9D9D9"/>
              <w:left w:val="nil"/>
              <w:bottom w:val="single" w:sz="8" w:space="0" w:color="D9D9D9"/>
              <w:right w:val="nil"/>
            </w:tcBorders>
            <w:shd w:val="clear" w:color="auto" w:fill="auto"/>
            <w:vAlign w:val="center"/>
          </w:tcPr>
          <w:p w14:paraId="4308609C" w14:textId="2534902F" w:rsidR="00F17643" w:rsidRPr="001D511A" w:rsidRDefault="008D7840" w:rsidP="00F17643">
            <w:pPr>
              <w:pStyle w:val="TabletextLeft"/>
              <w:rPr>
                <w:sz w:val="18"/>
                <w:szCs w:val="18"/>
              </w:rPr>
            </w:pPr>
            <w:r w:rsidRPr="008D7840">
              <w:rPr>
                <w:sz w:val="18"/>
                <w:szCs w:val="18"/>
              </w:rPr>
              <w:t>Organ and Tissue Donation Authority</w:t>
            </w:r>
          </w:p>
        </w:tc>
        <w:tc>
          <w:tcPr>
            <w:tcW w:w="377" w:type="pct"/>
            <w:tcBorders>
              <w:top w:val="single" w:sz="8" w:space="0" w:color="D9D9D9"/>
              <w:left w:val="nil"/>
              <w:bottom w:val="single" w:sz="8" w:space="0" w:color="D9D9D9"/>
              <w:right w:val="nil"/>
            </w:tcBorders>
            <w:vAlign w:val="center"/>
          </w:tcPr>
          <w:p w14:paraId="336F0C0D" w14:textId="0342E4A4" w:rsidR="00F17643" w:rsidRDefault="00F17643" w:rsidP="00F17643">
            <w:pPr>
              <w:pStyle w:val="TabletextLeft"/>
              <w:rPr>
                <w:sz w:val="18"/>
                <w:szCs w:val="18"/>
              </w:rPr>
            </w:pPr>
            <w:r>
              <w:rPr>
                <w:sz w:val="18"/>
                <w:szCs w:val="18"/>
              </w:rPr>
              <w:t>RWA</w:t>
            </w:r>
          </w:p>
        </w:tc>
        <w:tc>
          <w:tcPr>
            <w:tcW w:w="2137" w:type="pct"/>
            <w:tcBorders>
              <w:top w:val="single" w:sz="8" w:space="0" w:color="D9D9D9"/>
              <w:left w:val="nil"/>
              <w:bottom w:val="single" w:sz="8" w:space="0" w:color="D9D9D9"/>
              <w:right w:val="nil"/>
            </w:tcBorders>
            <w:vAlign w:val="center"/>
          </w:tcPr>
          <w:p w14:paraId="462E1E39" w14:textId="384A07DF" w:rsidR="00F17643" w:rsidRPr="00090F0C" w:rsidRDefault="00F17643" w:rsidP="00F17643">
            <w:pPr>
              <w:pStyle w:val="TabletextLeft"/>
              <w:rPr>
                <w:sz w:val="18"/>
                <w:szCs w:val="18"/>
              </w:rPr>
            </w:pPr>
            <w:r w:rsidRPr="00090F0C">
              <w:rPr>
                <w:sz w:val="18"/>
                <w:szCs w:val="18"/>
              </w:rPr>
              <w:t>Rural Workforce Agencies</w:t>
            </w:r>
          </w:p>
        </w:tc>
      </w:tr>
      <w:tr w:rsidR="00F17643" w:rsidRPr="00C0090D" w14:paraId="00B8EDD5" w14:textId="77777777" w:rsidTr="00F17643">
        <w:tc>
          <w:tcPr>
            <w:tcW w:w="581" w:type="pct"/>
            <w:tcBorders>
              <w:top w:val="single" w:sz="8" w:space="0" w:color="D9D9D9"/>
              <w:left w:val="nil"/>
              <w:bottom w:val="single" w:sz="8" w:space="0" w:color="D9D9D9"/>
              <w:right w:val="nil"/>
            </w:tcBorders>
            <w:shd w:val="clear" w:color="auto" w:fill="auto"/>
            <w:vAlign w:val="center"/>
          </w:tcPr>
          <w:p w14:paraId="347F67FA" w14:textId="316BD6B9" w:rsidR="00F17643" w:rsidRPr="00196D8A" w:rsidRDefault="00F17643" w:rsidP="00F17643">
            <w:pPr>
              <w:pStyle w:val="TabletextLeft"/>
              <w:rPr>
                <w:sz w:val="18"/>
                <w:szCs w:val="18"/>
              </w:rPr>
            </w:pPr>
            <w:r>
              <w:rPr>
                <w:sz w:val="18"/>
                <w:szCs w:val="18"/>
              </w:rPr>
              <w:t>PaRIS</w:t>
            </w:r>
          </w:p>
        </w:tc>
        <w:tc>
          <w:tcPr>
            <w:tcW w:w="1904" w:type="pct"/>
            <w:gridSpan w:val="2"/>
            <w:tcBorders>
              <w:top w:val="single" w:sz="8" w:space="0" w:color="D9D9D9"/>
              <w:left w:val="nil"/>
              <w:bottom w:val="single" w:sz="8" w:space="0" w:color="D9D9D9"/>
              <w:right w:val="nil"/>
            </w:tcBorders>
            <w:shd w:val="clear" w:color="auto" w:fill="auto"/>
            <w:vAlign w:val="center"/>
          </w:tcPr>
          <w:p w14:paraId="16C4A3FC" w14:textId="111945A9" w:rsidR="00F17643" w:rsidRPr="00196D8A" w:rsidRDefault="00F17643" w:rsidP="00F17643">
            <w:pPr>
              <w:pStyle w:val="TabletextLeft"/>
              <w:rPr>
                <w:sz w:val="18"/>
                <w:szCs w:val="18"/>
              </w:rPr>
            </w:pPr>
            <w:r w:rsidRPr="001D511A">
              <w:rPr>
                <w:sz w:val="18"/>
                <w:szCs w:val="18"/>
              </w:rPr>
              <w:t>Patient Reported Indicator Survey</w:t>
            </w:r>
          </w:p>
        </w:tc>
        <w:tc>
          <w:tcPr>
            <w:tcW w:w="377" w:type="pct"/>
            <w:tcBorders>
              <w:top w:val="single" w:sz="8" w:space="0" w:color="D9D9D9"/>
              <w:left w:val="nil"/>
              <w:bottom w:val="single" w:sz="8" w:space="0" w:color="D9D9D9"/>
              <w:right w:val="nil"/>
            </w:tcBorders>
            <w:vAlign w:val="center"/>
          </w:tcPr>
          <w:p w14:paraId="10D3BCF0" w14:textId="0B1CDADF" w:rsidR="00F17643" w:rsidRDefault="00F17643" w:rsidP="00F17643">
            <w:pPr>
              <w:pStyle w:val="TabletextLeft"/>
              <w:rPr>
                <w:sz w:val="18"/>
                <w:szCs w:val="18"/>
              </w:rPr>
            </w:pPr>
            <w:r>
              <w:rPr>
                <w:sz w:val="18"/>
                <w:szCs w:val="18"/>
              </w:rPr>
              <w:t>SAVCS</w:t>
            </w:r>
          </w:p>
        </w:tc>
        <w:tc>
          <w:tcPr>
            <w:tcW w:w="2137" w:type="pct"/>
            <w:tcBorders>
              <w:top w:val="single" w:sz="8" w:space="0" w:color="D9D9D9"/>
              <w:left w:val="nil"/>
              <w:bottom w:val="single" w:sz="8" w:space="0" w:color="D9D9D9"/>
              <w:right w:val="nil"/>
            </w:tcBorders>
            <w:vAlign w:val="center"/>
          </w:tcPr>
          <w:p w14:paraId="2603F41E" w14:textId="6D0553DB" w:rsidR="00F17643" w:rsidRPr="00FB5CE9" w:rsidRDefault="00F17643" w:rsidP="00F17643">
            <w:pPr>
              <w:pStyle w:val="TabletextLeft"/>
              <w:rPr>
                <w:sz w:val="18"/>
                <w:szCs w:val="18"/>
              </w:rPr>
            </w:pPr>
            <w:r w:rsidRPr="00791DB1">
              <w:rPr>
                <w:sz w:val="18"/>
                <w:szCs w:val="18"/>
              </w:rPr>
              <w:t>South Australian Virtual Care Services</w:t>
            </w:r>
          </w:p>
        </w:tc>
      </w:tr>
      <w:tr w:rsidR="00F17643" w:rsidRPr="00C0090D" w14:paraId="3AF22107" w14:textId="77777777" w:rsidTr="00F17643">
        <w:tc>
          <w:tcPr>
            <w:tcW w:w="581" w:type="pct"/>
            <w:tcBorders>
              <w:top w:val="single" w:sz="8" w:space="0" w:color="D9D9D9"/>
              <w:left w:val="nil"/>
              <w:bottom w:val="single" w:sz="8" w:space="0" w:color="D9D9D9"/>
              <w:right w:val="nil"/>
            </w:tcBorders>
            <w:shd w:val="clear" w:color="auto" w:fill="auto"/>
            <w:vAlign w:val="center"/>
          </w:tcPr>
          <w:p w14:paraId="73281C98" w14:textId="5A919203" w:rsidR="00F17643" w:rsidRPr="00196D8A" w:rsidRDefault="00F17643" w:rsidP="00F17643">
            <w:pPr>
              <w:pStyle w:val="TabletextLeft"/>
              <w:rPr>
                <w:sz w:val="18"/>
                <w:szCs w:val="18"/>
              </w:rPr>
            </w:pPr>
            <w:r>
              <w:rPr>
                <w:sz w:val="18"/>
                <w:szCs w:val="18"/>
              </w:rPr>
              <w:t>PBAC</w:t>
            </w:r>
          </w:p>
        </w:tc>
        <w:tc>
          <w:tcPr>
            <w:tcW w:w="1904" w:type="pct"/>
            <w:gridSpan w:val="2"/>
            <w:tcBorders>
              <w:top w:val="single" w:sz="8" w:space="0" w:color="D9D9D9"/>
              <w:left w:val="nil"/>
              <w:bottom w:val="single" w:sz="8" w:space="0" w:color="D9D9D9"/>
              <w:right w:val="nil"/>
            </w:tcBorders>
            <w:shd w:val="clear" w:color="auto" w:fill="auto"/>
            <w:vAlign w:val="center"/>
          </w:tcPr>
          <w:p w14:paraId="64DDDBF7" w14:textId="1D9B6D69" w:rsidR="00F17643" w:rsidRPr="00196D8A" w:rsidRDefault="00F17643" w:rsidP="00F17643">
            <w:pPr>
              <w:pStyle w:val="TabletextLeft"/>
              <w:rPr>
                <w:sz w:val="18"/>
                <w:szCs w:val="18"/>
              </w:rPr>
            </w:pPr>
            <w:r w:rsidRPr="00486A4C">
              <w:rPr>
                <w:sz w:val="18"/>
                <w:szCs w:val="18"/>
              </w:rPr>
              <w:t>Pharmaceutical Benefits Advisory Committee</w:t>
            </w:r>
          </w:p>
        </w:tc>
        <w:tc>
          <w:tcPr>
            <w:tcW w:w="377" w:type="pct"/>
            <w:tcBorders>
              <w:top w:val="single" w:sz="8" w:space="0" w:color="D9D9D9"/>
              <w:left w:val="nil"/>
              <w:bottom w:val="single" w:sz="8" w:space="0" w:color="D9D9D9"/>
              <w:right w:val="nil"/>
            </w:tcBorders>
            <w:vAlign w:val="center"/>
          </w:tcPr>
          <w:p w14:paraId="2E4C9089" w14:textId="006EF744" w:rsidR="00F17643" w:rsidRPr="00196D8A" w:rsidRDefault="00F17643" w:rsidP="00F17643">
            <w:pPr>
              <w:pStyle w:val="TabletextLeft"/>
              <w:rPr>
                <w:sz w:val="18"/>
                <w:szCs w:val="18"/>
              </w:rPr>
            </w:pPr>
            <w:r>
              <w:rPr>
                <w:sz w:val="18"/>
                <w:szCs w:val="18"/>
              </w:rPr>
              <w:t>SEM</w:t>
            </w:r>
          </w:p>
        </w:tc>
        <w:tc>
          <w:tcPr>
            <w:tcW w:w="2137" w:type="pct"/>
            <w:tcBorders>
              <w:top w:val="single" w:sz="8" w:space="0" w:color="D9D9D9"/>
              <w:left w:val="nil"/>
              <w:bottom w:val="single" w:sz="8" w:space="0" w:color="D9D9D9"/>
              <w:right w:val="nil"/>
            </w:tcBorders>
            <w:vAlign w:val="center"/>
          </w:tcPr>
          <w:p w14:paraId="4A51B0A2" w14:textId="3C10A52C" w:rsidR="00F17643" w:rsidRPr="00196D8A" w:rsidRDefault="00F17643" w:rsidP="00F17643">
            <w:pPr>
              <w:pStyle w:val="TabletextLeft"/>
              <w:rPr>
                <w:sz w:val="18"/>
                <w:szCs w:val="18"/>
              </w:rPr>
            </w:pPr>
            <w:r>
              <w:rPr>
                <w:sz w:val="18"/>
                <w:szCs w:val="18"/>
              </w:rPr>
              <w:t>Single Employer Model</w:t>
            </w:r>
          </w:p>
        </w:tc>
      </w:tr>
      <w:tr w:rsidR="00F17643" w:rsidRPr="00C0090D" w14:paraId="6A35CD57" w14:textId="77777777" w:rsidTr="00F17643">
        <w:tc>
          <w:tcPr>
            <w:tcW w:w="581" w:type="pct"/>
            <w:tcBorders>
              <w:top w:val="single" w:sz="8" w:space="0" w:color="D9D9D9"/>
              <w:left w:val="nil"/>
              <w:bottom w:val="single" w:sz="8" w:space="0" w:color="D9D9D9"/>
              <w:right w:val="nil"/>
            </w:tcBorders>
            <w:shd w:val="clear" w:color="auto" w:fill="auto"/>
            <w:vAlign w:val="center"/>
          </w:tcPr>
          <w:p w14:paraId="40405F2C" w14:textId="355F4B93" w:rsidR="00F17643" w:rsidRPr="00196D8A" w:rsidRDefault="00F17643" w:rsidP="00F17643">
            <w:pPr>
              <w:pStyle w:val="TabletextLeft"/>
              <w:rPr>
                <w:sz w:val="18"/>
                <w:szCs w:val="18"/>
              </w:rPr>
            </w:pPr>
            <w:r w:rsidRPr="00196D8A">
              <w:rPr>
                <w:sz w:val="18"/>
                <w:szCs w:val="18"/>
              </w:rPr>
              <w:t>PBS</w:t>
            </w:r>
          </w:p>
        </w:tc>
        <w:tc>
          <w:tcPr>
            <w:tcW w:w="1904" w:type="pct"/>
            <w:gridSpan w:val="2"/>
            <w:tcBorders>
              <w:top w:val="single" w:sz="8" w:space="0" w:color="D9D9D9"/>
              <w:left w:val="nil"/>
              <w:bottom w:val="single" w:sz="8" w:space="0" w:color="D9D9D9"/>
              <w:right w:val="nil"/>
            </w:tcBorders>
            <w:shd w:val="clear" w:color="auto" w:fill="auto"/>
            <w:vAlign w:val="center"/>
          </w:tcPr>
          <w:p w14:paraId="009002EA" w14:textId="23E316F4" w:rsidR="00F17643" w:rsidRPr="00196D8A" w:rsidRDefault="00F17643" w:rsidP="00F17643">
            <w:pPr>
              <w:pStyle w:val="TabletextLeft"/>
              <w:rPr>
                <w:sz w:val="18"/>
                <w:szCs w:val="18"/>
              </w:rPr>
            </w:pPr>
            <w:r w:rsidRPr="00196D8A">
              <w:rPr>
                <w:sz w:val="18"/>
                <w:szCs w:val="18"/>
              </w:rPr>
              <w:t>Pharmaceutical Benefits Scheme</w:t>
            </w:r>
          </w:p>
        </w:tc>
        <w:tc>
          <w:tcPr>
            <w:tcW w:w="377" w:type="pct"/>
            <w:tcBorders>
              <w:top w:val="single" w:sz="8" w:space="0" w:color="D9D9D9"/>
              <w:left w:val="nil"/>
              <w:bottom w:val="single" w:sz="8" w:space="0" w:color="D9D9D9"/>
              <w:right w:val="nil"/>
            </w:tcBorders>
            <w:vAlign w:val="center"/>
          </w:tcPr>
          <w:p w14:paraId="2FCC7C03" w14:textId="659D6F09" w:rsidR="00F17643" w:rsidRDefault="00F17643" w:rsidP="00F17643">
            <w:pPr>
              <w:pStyle w:val="TabletextLeft"/>
              <w:rPr>
                <w:sz w:val="18"/>
                <w:szCs w:val="18"/>
              </w:rPr>
            </w:pPr>
            <w:r w:rsidRPr="00196D8A">
              <w:rPr>
                <w:sz w:val="18"/>
                <w:szCs w:val="18"/>
              </w:rPr>
              <w:t>SMF</w:t>
            </w:r>
          </w:p>
        </w:tc>
        <w:tc>
          <w:tcPr>
            <w:tcW w:w="2137" w:type="pct"/>
            <w:tcBorders>
              <w:top w:val="single" w:sz="8" w:space="0" w:color="D9D9D9"/>
              <w:left w:val="nil"/>
              <w:bottom w:val="single" w:sz="8" w:space="0" w:color="D9D9D9"/>
              <w:right w:val="nil"/>
            </w:tcBorders>
            <w:vAlign w:val="center"/>
          </w:tcPr>
          <w:p w14:paraId="52BE50FD" w14:textId="63B9A0B5" w:rsidR="00F17643" w:rsidRPr="00190AFA" w:rsidRDefault="00F17643" w:rsidP="00F17643">
            <w:pPr>
              <w:pStyle w:val="TabletextLeft"/>
              <w:rPr>
                <w:sz w:val="18"/>
                <w:szCs w:val="18"/>
              </w:rPr>
            </w:pPr>
            <w:r w:rsidRPr="00196D8A">
              <w:rPr>
                <w:sz w:val="18"/>
                <w:szCs w:val="18"/>
              </w:rPr>
              <w:t>State Managed Fund</w:t>
            </w:r>
          </w:p>
        </w:tc>
      </w:tr>
      <w:tr w:rsidR="00F17643" w:rsidRPr="00C0090D" w14:paraId="5B51890A" w14:textId="77777777" w:rsidTr="00F17643">
        <w:tc>
          <w:tcPr>
            <w:tcW w:w="581" w:type="pct"/>
            <w:tcBorders>
              <w:top w:val="single" w:sz="8" w:space="0" w:color="D9D9D9"/>
              <w:left w:val="nil"/>
              <w:bottom w:val="single" w:sz="8" w:space="0" w:color="D9D9D9"/>
              <w:right w:val="nil"/>
            </w:tcBorders>
            <w:shd w:val="clear" w:color="auto" w:fill="auto"/>
            <w:vAlign w:val="center"/>
          </w:tcPr>
          <w:p w14:paraId="4F37B6D6" w14:textId="5CF073AB" w:rsidR="00F17643" w:rsidRPr="00196D8A" w:rsidRDefault="00F17643" w:rsidP="00F17643">
            <w:pPr>
              <w:pStyle w:val="TabletextLeft"/>
              <w:rPr>
                <w:sz w:val="18"/>
                <w:szCs w:val="18"/>
              </w:rPr>
            </w:pPr>
            <w:r>
              <w:rPr>
                <w:sz w:val="18"/>
                <w:szCs w:val="18"/>
              </w:rPr>
              <w:t xml:space="preserve">PHC </w:t>
            </w:r>
          </w:p>
        </w:tc>
        <w:tc>
          <w:tcPr>
            <w:tcW w:w="1904" w:type="pct"/>
            <w:gridSpan w:val="2"/>
            <w:tcBorders>
              <w:top w:val="single" w:sz="8" w:space="0" w:color="D9D9D9"/>
              <w:left w:val="nil"/>
              <w:bottom w:val="single" w:sz="8" w:space="0" w:color="D9D9D9"/>
              <w:right w:val="nil"/>
            </w:tcBorders>
            <w:shd w:val="clear" w:color="auto" w:fill="auto"/>
            <w:vAlign w:val="center"/>
          </w:tcPr>
          <w:p w14:paraId="276E1D5D" w14:textId="0F924190" w:rsidR="00F17643" w:rsidRPr="00196D8A" w:rsidRDefault="00F17643" w:rsidP="00F17643">
            <w:pPr>
              <w:pStyle w:val="TabletextLeft"/>
              <w:rPr>
                <w:sz w:val="18"/>
                <w:szCs w:val="18"/>
              </w:rPr>
            </w:pPr>
            <w:r w:rsidRPr="00841231">
              <w:rPr>
                <w:sz w:val="18"/>
                <w:szCs w:val="18"/>
              </w:rPr>
              <w:t>Primary Health Care</w:t>
            </w:r>
          </w:p>
        </w:tc>
        <w:tc>
          <w:tcPr>
            <w:tcW w:w="377" w:type="pct"/>
            <w:tcBorders>
              <w:top w:val="single" w:sz="8" w:space="0" w:color="D9D9D9"/>
              <w:left w:val="nil"/>
              <w:bottom w:val="single" w:sz="8" w:space="0" w:color="D9D9D9"/>
              <w:right w:val="nil"/>
            </w:tcBorders>
            <w:vAlign w:val="center"/>
          </w:tcPr>
          <w:p w14:paraId="466948A9" w14:textId="635723EE" w:rsidR="00F17643" w:rsidRPr="00196D8A" w:rsidRDefault="00F17643" w:rsidP="00F17643">
            <w:pPr>
              <w:pStyle w:val="TabletextLeft"/>
              <w:rPr>
                <w:sz w:val="18"/>
                <w:szCs w:val="18"/>
              </w:rPr>
            </w:pPr>
            <w:r>
              <w:rPr>
                <w:sz w:val="18"/>
                <w:szCs w:val="18"/>
              </w:rPr>
              <w:t>SPP</w:t>
            </w:r>
          </w:p>
        </w:tc>
        <w:tc>
          <w:tcPr>
            <w:tcW w:w="2137" w:type="pct"/>
            <w:tcBorders>
              <w:top w:val="single" w:sz="8" w:space="0" w:color="D9D9D9"/>
              <w:left w:val="nil"/>
              <w:bottom w:val="single" w:sz="8" w:space="0" w:color="D9D9D9"/>
              <w:right w:val="nil"/>
            </w:tcBorders>
            <w:vAlign w:val="center"/>
          </w:tcPr>
          <w:p w14:paraId="501546FF" w14:textId="210A5C0C" w:rsidR="00F17643" w:rsidRPr="00196D8A" w:rsidRDefault="00F17643" w:rsidP="00F17643">
            <w:pPr>
              <w:pStyle w:val="TabletextLeft"/>
              <w:rPr>
                <w:sz w:val="18"/>
                <w:szCs w:val="18"/>
              </w:rPr>
            </w:pPr>
            <w:r>
              <w:rPr>
                <w:sz w:val="18"/>
                <w:szCs w:val="18"/>
              </w:rPr>
              <w:t>Specific Purpose Payment</w:t>
            </w:r>
          </w:p>
        </w:tc>
      </w:tr>
      <w:tr w:rsidR="00F17643" w:rsidRPr="00C0090D" w14:paraId="64563E80" w14:textId="0D63D400" w:rsidTr="00F17643">
        <w:tc>
          <w:tcPr>
            <w:tcW w:w="581" w:type="pct"/>
            <w:tcBorders>
              <w:top w:val="single" w:sz="8" w:space="0" w:color="D9D9D9"/>
              <w:left w:val="nil"/>
              <w:bottom w:val="single" w:sz="8" w:space="0" w:color="D9D9D9"/>
              <w:right w:val="nil"/>
            </w:tcBorders>
            <w:shd w:val="clear" w:color="auto" w:fill="auto"/>
            <w:vAlign w:val="center"/>
          </w:tcPr>
          <w:p w14:paraId="1B128B82" w14:textId="0DA7EC5C" w:rsidR="00F17643" w:rsidRPr="00196D8A" w:rsidRDefault="00F17643" w:rsidP="00F17643">
            <w:pPr>
              <w:pStyle w:val="TabletextLeft"/>
              <w:rPr>
                <w:sz w:val="18"/>
                <w:szCs w:val="18"/>
              </w:rPr>
            </w:pPr>
            <w:r>
              <w:rPr>
                <w:sz w:val="18"/>
                <w:szCs w:val="18"/>
              </w:rPr>
              <w:t>PHI</w:t>
            </w:r>
          </w:p>
        </w:tc>
        <w:tc>
          <w:tcPr>
            <w:tcW w:w="1904" w:type="pct"/>
            <w:gridSpan w:val="2"/>
            <w:tcBorders>
              <w:top w:val="single" w:sz="8" w:space="0" w:color="D9D9D9"/>
              <w:left w:val="nil"/>
              <w:bottom w:val="single" w:sz="8" w:space="0" w:color="D9D9D9"/>
              <w:right w:val="nil"/>
            </w:tcBorders>
            <w:shd w:val="clear" w:color="auto" w:fill="auto"/>
            <w:vAlign w:val="center"/>
          </w:tcPr>
          <w:p w14:paraId="317EB0ED" w14:textId="7E2341E3" w:rsidR="00F17643" w:rsidRPr="00196D8A" w:rsidRDefault="00F17643" w:rsidP="00F17643">
            <w:pPr>
              <w:pStyle w:val="TabletextLeft"/>
              <w:rPr>
                <w:sz w:val="18"/>
                <w:szCs w:val="18"/>
              </w:rPr>
            </w:pPr>
            <w:r>
              <w:rPr>
                <w:sz w:val="18"/>
                <w:szCs w:val="18"/>
              </w:rPr>
              <w:t>Private Health Insurance</w:t>
            </w:r>
          </w:p>
        </w:tc>
        <w:tc>
          <w:tcPr>
            <w:tcW w:w="377" w:type="pct"/>
            <w:tcBorders>
              <w:top w:val="single" w:sz="8" w:space="0" w:color="D9D9D9"/>
              <w:left w:val="nil"/>
              <w:bottom w:val="single" w:sz="8" w:space="0" w:color="D9D9D9"/>
              <w:right w:val="nil"/>
            </w:tcBorders>
            <w:vAlign w:val="center"/>
          </w:tcPr>
          <w:p w14:paraId="5D257A77" w14:textId="2579F222" w:rsidR="00F17643" w:rsidRPr="00196D8A" w:rsidRDefault="00F17643" w:rsidP="00F17643">
            <w:pPr>
              <w:pStyle w:val="TabletextLeft"/>
              <w:rPr>
                <w:sz w:val="18"/>
                <w:szCs w:val="18"/>
              </w:rPr>
            </w:pPr>
            <w:r>
              <w:rPr>
                <w:sz w:val="18"/>
                <w:szCs w:val="18"/>
              </w:rPr>
              <w:t>TCP</w:t>
            </w:r>
          </w:p>
        </w:tc>
        <w:tc>
          <w:tcPr>
            <w:tcW w:w="2137" w:type="pct"/>
            <w:tcBorders>
              <w:top w:val="single" w:sz="8" w:space="0" w:color="D9D9D9"/>
              <w:left w:val="nil"/>
              <w:bottom w:val="single" w:sz="8" w:space="0" w:color="D9D9D9"/>
              <w:right w:val="nil"/>
            </w:tcBorders>
            <w:vAlign w:val="center"/>
          </w:tcPr>
          <w:p w14:paraId="49C8C8DC" w14:textId="524AB78D" w:rsidR="00F17643" w:rsidRPr="00196D8A" w:rsidRDefault="00F17643" w:rsidP="00F17643">
            <w:pPr>
              <w:pStyle w:val="TabletextLeft"/>
              <w:rPr>
                <w:sz w:val="18"/>
                <w:szCs w:val="18"/>
              </w:rPr>
            </w:pPr>
            <w:r w:rsidRPr="001D511A">
              <w:rPr>
                <w:sz w:val="18"/>
                <w:szCs w:val="18"/>
              </w:rPr>
              <w:t>Transition Care Program</w:t>
            </w:r>
          </w:p>
        </w:tc>
      </w:tr>
      <w:tr w:rsidR="00F17643" w:rsidRPr="00C0090D" w14:paraId="563F6395" w14:textId="77777777" w:rsidTr="00F17643">
        <w:tc>
          <w:tcPr>
            <w:tcW w:w="581" w:type="pct"/>
            <w:tcBorders>
              <w:top w:val="single" w:sz="8" w:space="0" w:color="D9D9D9"/>
              <w:left w:val="nil"/>
              <w:bottom w:val="single" w:sz="8" w:space="0" w:color="D9D9D9"/>
              <w:right w:val="nil"/>
            </w:tcBorders>
            <w:shd w:val="clear" w:color="auto" w:fill="auto"/>
            <w:vAlign w:val="center"/>
          </w:tcPr>
          <w:p w14:paraId="1872476C" w14:textId="0AAE602B" w:rsidR="00F17643" w:rsidRDefault="00F17643" w:rsidP="00F17643">
            <w:pPr>
              <w:pStyle w:val="TabletextLeft"/>
              <w:rPr>
                <w:sz w:val="18"/>
                <w:szCs w:val="18"/>
              </w:rPr>
            </w:pPr>
            <w:r w:rsidRPr="00196D8A">
              <w:rPr>
                <w:sz w:val="18"/>
                <w:szCs w:val="18"/>
              </w:rPr>
              <w:t>PHN</w:t>
            </w:r>
          </w:p>
        </w:tc>
        <w:tc>
          <w:tcPr>
            <w:tcW w:w="1904" w:type="pct"/>
            <w:gridSpan w:val="2"/>
            <w:tcBorders>
              <w:top w:val="single" w:sz="8" w:space="0" w:color="D9D9D9"/>
              <w:left w:val="nil"/>
              <w:bottom w:val="single" w:sz="8" w:space="0" w:color="D9D9D9"/>
              <w:right w:val="nil"/>
            </w:tcBorders>
            <w:shd w:val="clear" w:color="auto" w:fill="auto"/>
            <w:vAlign w:val="center"/>
          </w:tcPr>
          <w:p w14:paraId="732AA910" w14:textId="5EAC1488" w:rsidR="00F17643" w:rsidRPr="00F02163" w:rsidRDefault="00F17643" w:rsidP="00F17643">
            <w:pPr>
              <w:pStyle w:val="TabletextLeft"/>
              <w:rPr>
                <w:sz w:val="18"/>
                <w:szCs w:val="18"/>
              </w:rPr>
            </w:pPr>
            <w:r w:rsidRPr="00196D8A">
              <w:rPr>
                <w:sz w:val="18"/>
                <w:szCs w:val="18"/>
              </w:rPr>
              <w:t>Primary Health Network</w:t>
            </w:r>
          </w:p>
        </w:tc>
        <w:tc>
          <w:tcPr>
            <w:tcW w:w="377" w:type="pct"/>
            <w:tcBorders>
              <w:top w:val="single" w:sz="8" w:space="0" w:color="D9D9D9"/>
              <w:left w:val="nil"/>
              <w:bottom w:val="single" w:sz="8" w:space="0" w:color="D9D9D9"/>
              <w:right w:val="nil"/>
            </w:tcBorders>
            <w:vAlign w:val="center"/>
          </w:tcPr>
          <w:p w14:paraId="46A4B8CF" w14:textId="177074B7" w:rsidR="00F17643" w:rsidRDefault="00F17643" w:rsidP="00F17643">
            <w:pPr>
              <w:pStyle w:val="TabletextLeft"/>
              <w:rPr>
                <w:sz w:val="18"/>
                <w:szCs w:val="18"/>
              </w:rPr>
            </w:pPr>
            <w:r>
              <w:rPr>
                <w:sz w:val="18"/>
                <w:szCs w:val="18"/>
              </w:rPr>
              <w:t>TGA</w:t>
            </w:r>
          </w:p>
        </w:tc>
        <w:tc>
          <w:tcPr>
            <w:tcW w:w="2137" w:type="pct"/>
            <w:tcBorders>
              <w:top w:val="single" w:sz="8" w:space="0" w:color="D9D9D9"/>
              <w:left w:val="nil"/>
              <w:bottom w:val="single" w:sz="8" w:space="0" w:color="D9D9D9"/>
              <w:right w:val="nil"/>
            </w:tcBorders>
            <w:vAlign w:val="center"/>
          </w:tcPr>
          <w:p w14:paraId="3852A98D" w14:textId="503A57D0" w:rsidR="00F17643" w:rsidRPr="001A1984" w:rsidRDefault="00F17643" w:rsidP="00F17643">
            <w:pPr>
              <w:pStyle w:val="TabletextLeft"/>
              <w:rPr>
                <w:sz w:val="18"/>
                <w:szCs w:val="18"/>
              </w:rPr>
            </w:pPr>
            <w:r w:rsidRPr="00486A4C">
              <w:rPr>
                <w:sz w:val="18"/>
                <w:szCs w:val="18"/>
              </w:rPr>
              <w:t>Therapeutic Goods Administration</w:t>
            </w:r>
          </w:p>
        </w:tc>
      </w:tr>
      <w:tr w:rsidR="00F17643" w:rsidRPr="00C0090D" w14:paraId="3B407A58" w14:textId="77777777" w:rsidTr="00F17643">
        <w:tc>
          <w:tcPr>
            <w:tcW w:w="581" w:type="pct"/>
            <w:tcBorders>
              <w:top w:val="single" w:sz="8" w:space="0" w:color="D9D9D9"/>
              <w:left w:val="nil"/>
              <w:bottom w:val="single" w:sz="8" w:space="0" w:color="D9D9D9"/>
              <w:right w:val="nil"/>
            </w:tcBorders>
            <w:shd w:val="clear" w:color="auto" w:fill="auto"/>
            <w:vAlign w:val="center"/>
          </w:tcPr>
          <w:p w14:paraId="3751C765" w14:textId="4B2F821B" w:rsidR="00F17643" w:rsidRDefault="00F17643" w:rsidP="00F17643">
            <w:pPr>
              <w:pStyle w:val="TabletextLeft"/>
              <w:rPr>
                <w:sz w:val="18"/>
                <w:szCs w:val="18"/>
              </w:rPr>
            </w:pPr>
            <w:r w:rsidRPr="00196D8A">
              <w:rPr>
                <w:sz w:val="18"/>
                <w:szCs w:val="18"/>
              </w:rPr>
              <w:t>P</w:t>
            </w:r>
            <w:r>
              <w:rPr>
                <w:sz w:val="18"/>
                <w:szCs w:val="18"/>
              </w:rPr>
              <w:t>ool</w:t>
            </w:r>
          </w:p>
        </w:tc>
        <w:tc>
          <w:tcPr>
            <w:tcW w:w="1904" w:type="pct"/>
            <w:gridSpan w:val="2"/>
            <w:tcBorders>
              <w:top w:val="single" w:sz="8" w:space="0" w:color="D9D9D9"/>
              <w:left w:val="nil"/>
              <w:bottom w:val="single" w:sz="8" w:space="0" w:color="D9D9D9"/>
              <w:right w:val="nil"/>
            </w:tcBorders>
            <w:shd w:val="clear" w:color="auto" w:fill="auto"/>
            <w:vAlign w:val="center"/>
          </w:tcPr>
          <w:p w14:paraId="575B3F10" w14:textId="789F11A2" w:rsidR="00F17643" w:rsidRPr="00F02163" w:rsidRDefault="00F17643" w:rsidP="00F17643">
            <w:pPr>
              <w:pStyle w:val="TabletextLeft"/>
              <w:rPr>
                <w:sz w:val="18"/>
                <w:szCs w:val="18"/>
              </w:rPr>
            </w:pPr>
            <w:r w:rsidRPr="00196D8A">
              <w:rPr>
                <w:sz w:val="18"/>
                <w:szCs w:val="18"/>
              </w:rPr>
              <w:t>National Health Funding Pool</w:t>
            </w:r>
            <w:r>
              <w:rPr>
                <w:sz w:val="18"/>
                <w:szCs w:val="18"/>
              </w:rPr>
              <w:t xml:space="preserve"> </w:t>
            </w:r>
          </w:p>
        </w:tc>
        <w:tc>
          <w:tcPr>
            <w:tcW w:w="377" w:type="pct"/>
            <w:tcBorders>
              <w:top w:val="single" w:sz="8" w:space="0" w:color="D9D9D9"/>
              <w:left w:val="nil"/>
              <w:bottom w:val="single" w:sz="8" w:space="0" w:color="D9D9D9"/>
              <w:right w:val="nil"/>
            </w:tcBorders>
            <w:vAlign w:val="center"/>
          </w:tcPr>
          <w:p w14:paraId="628F2CB1" w14:textId="69479D67" w:rsidR="00F17643" w:rsidRDefault="00F17643" w:rsidP="00F17643">
            <w:pPr>
              <w:pStyle w:val="TabletextLeft"/>
              <w:rPr>
                <w:sz w:val="18"/>
                <w:szCs w:val="18"/>
              </w:rPr>
            </w:pPr>
            <w:r>
              <w:rPr>
                <w:sz w:val="18"/>
                <w:szCs w:val="18"/>
              </w:rPr>
              <w:t>ToR</w:t>
            </w:r>
          </w:p>
        </w:tc>
        <w:tc>
          <w:tcPr>
            <w:tcW w:w="2137" w:type="pct"/>
            <w:tcBorders>
              <w:top w:val="single" w:sz="8" w:space="0" w:color="D9D9D9"/>
              <w:left w:val="nil"/>
              <w:bottom w:val="single" w:sz="8" w:space="0" w:color="D9D9D9"/>
              <w:right w:val="nil"/>
            </w:tcBorders>
            <w:vAlign w:val="center"/>
          </w:tcPr>
          <w:p w14:paraId="29B26103" w14:textId="7B6E6642" w:rsidR="00F17643" w:rsidRDefault="00F17643" w:rsidP="00F17643">
            <w:pPr>
              <w:pStyle w:val="TabletextLeft"/>
              <w:rPr>
                <w:sz w:val="18"/>
                <w:szCs w:val="18"/>
              </w:rPr>
            </w:pPr>
            <w:r>
              <w:rPr>
                <w:sz w:val="18"/>
                <w:szCs w:val="18"/>
              </w:rPr>
              <w:t>Terms of reference</w:t>
            </w:r>
          </w:p>
        </w:tc>
      </w:tr>
      <w:tr w:rsidR="00F17643" w:rsidRPr="00C0090D" w14:paraId="0EF9A369" w14:textId="77777777" w:rsidTr="00F17643">
        <w:tc>
          <w:tcPr>
            <w:tcW w:w="581" w:type="pct"/>
            <w:tcBorders>
              <w:top w:val="single" w:sz="8" w:space="0" w:color="D9D9D9"/>
              <w:left w:val="nil"/>
              <w:bottom w:val="single" w:sz="8" w:space="0" w:color="D9D9D9"/>
              <w:right w:val="nil"/>
            </w:tcBorders>
            <w:shd w:val="clear" w:color="auto" w:fill="auto"/>
            <w:vAlign w:val="center"/>
          </w:tcPr>
          <w:p w14:paraId="294BDE00" w14:textId="7718D3CB" w:rsidR="00F17643" w:rsidRPr="00196D8A" w:rsidRDefault="00F17643" w:rsidP="00F17643">
            <w:pPr>
              <w:pStyle w:val="TabletextLeft"/>
              <w:rPr>
                <w:sz w:val="18"/>
                <w:szCs w:val="18"/>
              </w:rPr>
            </w:pPr>
            <w:r>
              <w:rPr>
                <w:sz w:val="18"/>
                <w:szCs w:val="18"/>
              </w:rPr>
              <w:t>PPH</w:t>
            </w:r>
          </w:p>
        </w:tc>
        <w:tc>
          <w:tcPr>
            <w:tcW w:w="1904" w:type="pct"/>
            <w:gridSpan w:val="2"/>
            <w:tcBorders>
              <w:top w:val="single" w:sz="8" w:space="0" w:color="D9D9D9"/>
              <w:left w:val="nil"/>
              <w:bottom w:val="single" w:sz="8" w:space="0" w:color="D9D9D9"/>
              <w:right w:val="nil"/>
            </w:tcBorders>
            <w:shd w:val="clear" w:color="auto" w:fill="auto"/>
            <w:vAlign w:val="center"/>
          </w:tcPr>
          <w:p w14:paraId="5E908010" w14:textId="0E82071D" w:rsidR="00F17643" w:rsidRPr="00196D8A" w:rsidRDefault="00F17643" w:rsidP="00F17643">
            <w:pPr>
              <w:pStyle w:val="TabletextLeft"/>
              <w:rPr>
                <w:sz w:val="18"/>
                <w:szCs w:val="18"/>
              </w:rPr>
            </w:pPr>
            <w:r>
              <w:rPr>
                <w:sz w:val="18"/>
                <w:szCs w:val="18"/>
              </w:rPr>
              <w:t>P</w:t>
            </w:r>
            <w:r w:rsidRPr="00EE6000">
              <w:rPr>
                <w:sz w:val="18"/>
                <w:szCs w:val="18"/>
              </w:rPr>
              <w:t>otentially preventable hospitalisation</w:t>
            </w:r>
          </w:p>
        </w:tc>
        <w:tc>
          <w:tcPr>
            <w:tcW w:w="377" w:type="pct"/>
            <w:tcBorders>
              <w:top w:val="single" w:sz="8" w:space="0" w:color="D9D9D9"/>
              <w:left w:val="nil"/>
              <w:bottom w:val="single" w:sz="8" w:space="0" w:color="D9D9D9"/>
              <w:right w:val="nil"/>
            </w:tcBorders>
            <w:vAlign w:val="center"/>
          </w:tcPr>
          <w:p w14:paraId="688DCC63" w14:textId="5555FD1E" w:rsidR="00F17643" w:rsidRPr="00196D8A" w:rsidRDefault="00F17643" w:rsidP="00F17643">
            <w:pPr>
              <w:pStyle w:val="TabletextLeft"/>
              <w:rPr>
                <w:sz w:val="18"/>
                <w:szCs w:val="18"/>
              </w:rPr>
            </w:pPr>
            <w:r>
              <w:rPr>
                <w:sz w:val="18"/>
                <w:szCs w:val="18"/>
              </w:rPr>
              <w:t>TORCH</w:t>
            </w:r>
          </w:p>
        </w:tc>
        <w:tc>
          <w:tcPr>
            <w:tcW w:w="2137" w:type="pct"/>
            <w:tcBorders>
              <w:top w:val="single" w:sz="8" w:space="0" w:color="D9D9D9"/>
              <w:left w:val="nil"/>
              <w:bottom w:val="single" w:sz="8" w:space="0" w:color="D9D9D9"/>
              <w:right w:val="nil"/>
            </w:tcBorders>
            <w:vAlign w:val="center"/>
          </w:tcPr>
          <w:p w14:paraId="22E6E55B" w14:textId="5EDC4D93" w:rsidR="00F17643" w:rsidRPr="00196D8A" w:rsidRDefault="00F17643" w:rsidP="00F17643">
            <w:pPr>
              <w:pStyle w:val="TabletextLeft"/>
              <w:rPr>
                <w:sz w:val="18"/>
                <w:szCs w:val="18"/>
              </w:rPr>
            </w:pPr>
            <w:r w:rsidRPr="00C42088">
              <w:rPr>
                <w:sz w:val="18"/>
                <w:szCs w:val="18"/>
              </w:rPr>
              <w:t>Torres and Cape Health Care</w:t>
            </w:r>
          </w:p>
        </w:tc>
      </w:tr>
      <w:tr w:rsidR="00F17643" w:rsidRPr="00C0090D" w14:paraId="6BA73D0B" w14:textId="77777777" w:rsidTr="00F17643">
        <w:tc>
          <w:tcPr>
            <w:tcW w:w="581" w:type="pct"/>
            <w:tcBorders>
              <w:top w:val="single" w:sz="8" w:space="0" w:color="D9D9D9"/>
              <w:left w:val="nil"/>
              <w:bottom w:val="single" w:sz="8" w:space="0" w:color="D9D9D9"/>
              <w:right w:val="nil"/>
            </w:tcBorders>
            <w:shd w:val="clear" w:color="auto" w:fill="auto"/>
            <w:vAlign w:val="center"/>
          </w:tcPr>
          <w:p w14:paraId="280FE678" w14:textId="24FB5C34" w:rsidR="00F17643" w:rsidRDefault="00F17643" w:rsidP="00F17643">
            <w:pPr>
              <w:pStyle w:val="TabletextLeft"/>
              <w:rPr>
                <w:sz w:val="18"/>
                <w:szCs w:val="18"/>
              </w:rPr>
            </w:pPr>
            <w:r>
              <w:rPr>
                <w:sz w:val="18"/>
                <w:szCs w:val="18"/>
              </w:rPr>
              <w:t>PRA</w:t>
            </w:r>
          </w:p>
        </w:tc>
        <w:tc>
          <w:tcPr>
            <w:tcW w:w="1904" w:type="pct"/>
            <w:gridSpan w:val="2"/>
            <w:tcBorders>
              <w:top w:val="single" w:sz="8" w:space="0" w:color="D9D9D9"/>
              <w:left w:val="nil"/>
              <w:bottom w:val="single" w:sz="8" w:space="0" w:color="D9D9D9"/>
              <w:right w:val="nil"/>
            </w:tcBorders>
            <w:shd w:val="clear" w:color="auto" w:fill="auto"/>
            <w:vAlign w:val="center"/>
          </w:tcPr>
          <w:p w14:paraId="05095AAC" w14:textId="5A0CEFFC" w:rsidR="00F17643" w:rsidRDefault="00F17643" w:rsidP="00F17643">
            <w:pPr>
              <w:pStyle w:val="TabletextLeft"/>
              <w:rPr>
                <w:sz w:val="18"/>
                <w:szCs w:val="18"/>
              </w:rPr>
            </w:pPr>
            <w:r w:rsidRPr="00AD2222">
              <w:rPr>
                <w:sz w:val="18"/>
                <w:szCs w:val="18"/>
              </w:rPr>
              <w:t>Pharmaceutical Reform Arrangement</w:t>
            </w:r>
          </w:p>
        </w:tc>
        <w:tc>
          <w:tcPr>
            <w:tcW w:w="377" w:type="pct"/>
            <w:tcBorders>
              <w:top w:val="single" w:sz="8" w:space="0" w:color="D9D9D9"/>
              <w:left w:val="nil"/>
              <w:bottom w:val="single" w:sz="8" w:space="0" w:color="D9D9D9"/>
              <w:right w:val="nil"/>
            </w:tcBorders>
            <w:vAlign w:val="center"/>
          </w:tcPr>
          <w:p w14:paraId="52E81A20" w14:textId="4498ECE6" w:rsidR="00F17643" w:rsidRPr="00196D8A" w:rsidRDefault="00F17643" w:rsidP="00F17643">
            <w:pPr>
              <w:pStyle w:val="TabletextLeft"/>
              <w:rPr>
                <w:sz w:val="18"/>
                <w:szCs w:val="18"/>
              </w:rPr>
            </w:pPr>
            <w:r>
              <w:rPr>
                <w:sz w:val="18"/>
                <w:szCs w:val="18"/>
              </w:rPr>
              <w:t>TTR</w:t>
            </w:r>
          </w:p>
        </w:tc>
        <w:tc>
          <w:tcPr>
            <w:tcW w:w="2137" w:type="pct"/>
            <w:tcBorders>
              <w:top w:val="single" w:sz="8" w:space="0" w:color="D9D9D9"/>
              <w:left w:val="nil"/>
              <w:bottom w:val="single" w:sz="8" w:space="0" w:color="D9D9D9"/>
              <w:right w:val="nil"/>
            </w:tcBorders>
            <w:vAlign w:val="center"/>
          </w:tcPr>
          <w:p w14:paraId="2D3F2CD2" w14:textId="39C50DFE" w:rsidR="00F17643" w:rsidRPr="00196D8A" w:rsidRDefault="00F17643" w:rsidP="00F17643">
            <w:pPr>
              <w:pStyle w:val="TabletextLeft"/>
              <w:rPr>
                <w:sz w:val="18"/>
                <w:szCs w:val="18"/>
              </w:rPr>
            </w:pPr>
            <w:r>
              <w:rPr>
                <w:sz w:val="18"/>
                <w:szCs w:val="18"/>
              </w:rPr>
              <w:t>Teaching, Training and Research</w:t>
            </w:r>
          </w:p>
        </w:tc>
      </w:tr>
      <w:tr w:rsidR="00F17643" w:rsidRPr="00C0090D" w14:paraId="14098C1D" w14:textId="77777777" w:rsidTr="00F17643">
        <w:tc>
          <w:tcPr>
            <w:tcW w:w="581" w:type="pct"/>
            <w:tcBorders>
              <w:top w:val="single" w:sz="8" w:space="0" w:color="D9D9D9"/>
              <w:left w:val="nil"/>
              <w:bottom w:val="single" w:sz="8" w:space="0" w:color="D9D9D9"/>
              <w:right w:val="nil"/>
            </w:tcBorders>
            <w:shd w:val="clear" w:color="auto" w:fill="auto"/>
            <w:vAlign w:val="center"/>
          </w:tcPr>
          <w:p w14:paraId="3D41F1BA" w14:textId="3A5CBEA5" w:rsidR="00F17643" w:rsidRPr="00196D8A" w:rsidRDefault="00F17643" w:rsidP="00F17643">
            <w:pPr>
              <w:pStyle w:val="TabletextLeft"/>
              <w:rPr>
                <w:sz w:val="18"/>
                <w:szCs w:val="18"/>
              </w:rPr>
            </w:pPr>
            <w:r>
              <w:rPr>
                <w:sz w:val="18"/>
                <w:szCs w:val="18"/>
              </w:rPr>
              <w:t>PRIMM</w:t>
            </w:r>
          </w:p>
        </w:tc>
        <w:tc>
          <w:tcPr>
            <w:tcW w:w="1904" w:type="pct"/>
            <w:gridSpan w:val="2"/>
            <w:tcBorders>
              <w:top w:val="single" w:sz="8" w:space="0" w:color="D9D9D9"/>
              <w:left w:val="nil"/>
              <w:bottom w:val="single" w:sz="8" w:space="0" w:color="D9D9D9"/>
              <w:right w:val="nil"/>
            </w:tcBorders>
            <w:shd w:val="clear" w:color="auto" w:fill="auto"/>
            <w:vAlign w:val="center"/>
          </w:tcPr>
          <w:p w14:paraId="25E337CD" w14:textId="130A901E" w:rsidR="00F17643" w:rsidRPr="00196D8A" w:rsidRDefault="00F17643" w:rsidP="00F17643">
            <w:pPr>
              <w:pStyle w:val="TabletextLeft"/>
              <w:rPr>
                <w:sz w:val="18"/>
                <w:szCs w:val="18"/>
              </w:rPr>
            </w:pPr>
            <w:r w:rsidRPr="00FB5CE9">
              <w:rPr>
                <w:sz w:val="18"/>
                <w:szCs w:val="18"/>
              </w:rPr>
              <w:t>Primary Care Rural Innovative Multidisciplinary Models</w:t>
            </w:r>
          </w:p>
        </w:tc>
        <w:tc>
          <w:tcPr>
            <w:tcW w:w="377" w:type="pct"/>
            <w:tcBorders>
              <w:top w:val="single" w:sz="8" w:space="0" w:color="D9D9D9"/>
              <w:left w:val="nil"/>
              <w:bottom w:val="single" w:sz="8" w:space="0" w:color="D9D9D9"/>
              <w:right w:val="nil"/>
            </w:tcBorders>
            <w:vAlign w:val="center"/>
          </w:tcPr>
          <w:p w14:paraId="18E0750A" w14:textId="57B6AC54" w:rsidR="00F17643" w:rsidRPr="00196D8A" w:rsidRDefault="00F17643" w:rsidP="00F17643">
            <w:pPr>
              <w:pStyle w:val="TabletextLeft"/>
              <w:rPr>
                <w:sz w:val="18"/>
                <w:szCs w:val="18"/>
              </w:rPr>
            </w:pPr>
            <w:r>
              <w:rPr>
                <w:sz w:val="18"/>
                <w:szCs w:val="18"/>
              </w:rPr>
              <w:t>VC-RPM</w:t>
            </w:r>
          </w:p>
        </w:tc>
        <w:tc>
          <w:tcPr>
            <w:tcW w:w="2137" w:type="pct"/>
            <w:tcBorders>
              <w:top w:val="single" w:sz="8" w:space="0" w:color="D9D9D9"/>
              <w:left w:val="nil"/>
              <w:bottom w:val="single" w:sz="8" w:space="0" w:color="D9D9D9"/>
              <w:right w:val="nil"/>
            </w:tcBorders>
            <w:vAlign w:val="center"/>
          </w:tcPr>
          <w:p w14:paraId="75F6B1A2" w14:textId="15FDF14E" w:rsidR="00F17643" w:rsidRPr="00196D8A" w:rsidRDefault="00F17643" w:rsidP="00F17643">
            <w:pPr>
              <w:pStyle w:val="TabletextLeft"/>
              <w:rPr>
                <w:sz w:val="18"/>
                <w:szCs w:val="18"/>
              </w:rPr>
            </w:pPr>
            <w:r w:rsidRPr="00213360">
              <w:rPr>
                <w:sz w:val="18"/>
                <w:szCs w:val="18"/>
              </w:rPr>
              <w:t>Virtual Care – Remote Patient Monitoring</w:t>
            </w:r>
          </w:p>
        </w:tc>
      </w:tr>
      <w:tr w:rsidR="00F17643" w:rsidRPr="00C0090D" w14:paraId="28B5884A" w14:textId="77777777" w:rsidTr="00F17643">
        <w:tc>
          <w:tcPr>
            <w:tcW w:w="581" w:type="pct"/>
            <w:tcBorders>
              <w:top w:val="single" w:sz="8" w:space="0" w:color="D9D9D9"/>
              <w:left w:val="nil"/>
              <w:bottom w:val="single" w:sz="8" w:space="0" w:color="D9D9D9"/>
              <w:right w:val="nil"/>
            </w:tcBorders>
            <w:shd w:val="clear" w:color="auto" w:fill="auto"/>
            <w:vAlign w:val="center"/>
          </w:tcPr>
          <w:p w14:paraId="006B3119" w14:textId="73EA1259" w:rsidR="00F17643" w:rsidRDefault="00F17643" w:rsidP="00F17643">
            <w:pPr>
              <w:pStyle w:val="TabletextLeft"/>
              <w:rPr>
                <w:sz w:val="18"/>
                <w:szCs w:val="18"/>
              </w:rPr>
            </w:pPr>
            <w:r>
              <w:rPr>
                <w:sz w:val="18"/>
                <w:szCs w:val="18"/>
              </w:rPr>
              <w:t>PROMs</w:t>
            </w:r>
          </w:p>
        </w:tc>
        <w:tc>
          <w:tcPr>
            <w:tcW w:w="1904" w:type="pct"/>
            <w:gridSpan w:val="2"/>
            <w:tcBorders>
              <w:top w:val="single" w:sz="8" w:space="0" w:color="D9D9D9"/>
              <w:left w:val="nil"/>
              <w:bottom w:val="single" w:sz="8" w:space="0" w:color="D9D9D9"/>
              <w:right w:val="nil"/>
            </w:tcBorders>
            <w:shd w:val="clear" w:color="auto" w:fill="auto"/>
            <w:vAlign w:val="center"/>
          </w:tcPr>
          <w:p w14:paraId="2B474F5F" w14:textId="75CECC60" w:rsidR="00F17643" w:rsidRPr="008D3226" w:rsidRDefault="00F17643" w:rsidP="00F17643">
            <w:pPr>
              <w:pStyle w:val="TabletextLeft"/>
              <w:rPr>
                <w:sz w:val="18"/>
                <w:szCs w:val="18"/>
              </w:rPr>
            </w:pPr>
            <w:r w:rsidRPr="00440B20">
              <w:rPr>
                <w:sz w:val="18"/>
                <w:szCs w:val="18"/>
              </w:rPr>
              <w:t>Patient Reported Outcome Measures</w:t>
            </w:r>
          </w:p>
        </w:tc>
        <w:tc>
          <w:tcPr>
            <w:tcW w:w="377" w:type="pct"/>
            <w:tcBorders>
              <w:top w:val="single" w:sz="8" w:space="0" w:color="D9D9D9"/>
              <w:left w:val="nil"/>
              <w:bottom w:val="single" w:sz="8" w:space="0" w:color="D9D9D9"/>
              <w:right w:val="nil"/>
            </w:tcBorders>
            <w:vAlign w:val="center"/>
          </w:tcPr>
          <w:p w14:paraId="69BCA755" w14:textId="4A1EE832" w:rsidR="00F17643" w:rsidRPr="00196D8A" w:rsidRDefault="00F17643" w:rsidP="00F17643">
            <w:pPr>
              <w:pStyle w:val="TabletextLeft"/>
              <w:rPr>
                <w:sz w:val="18"/>
                <w:szCs w:val="18"/>
              </w:rPr>
            </w:pPr>
            <w:r>
              <w:rPr>
                <w:sz w:val="18"/>
                <w:szCs w:val="18"/>
              </w:rPr>
              <w:t>VMO</w:t>
            </w:r>
          </w:p>
        </w:tc>
        <w:tc>
          <w:tcPr>
            <w:tcW w:w="2137" w:type="pct"/>
            <w:tcBorders>
              <w:top w:val="single" w:sz="8" w:space="0" w:color="D9D9D9"/>
              <w:left w:val="nil"/>
              <w:bottom w:val="single" w:sz="8" w:space="0" w:color="D9D9D9"/>
              <w:right w:val="nil"/>
            </w:tcBorders>
            <w:vAlign w:val="center"/>
          </w:tcPr>
          <w:p w14:paraId="056C5996" w14:textId="1EBE9C1C" w:rsidR="00F17643" w:rsidRPr="00196D8A" w:rsidRDefault="00F17643" w:rsidP="00F17643">
            <w:pPr>
              <w:pStyle w:val="TabletextLeft"/>
              <w:rPr>
                <w:sz w:val="18"/>
                <w:szCs w:val="18"/>
              </w:rPr>
            </w:pPr>
            <w:r>
              <w:rPr>
                <w:sz w:val="18"/>
                <w:szCs w:val="18"/>
              </w:rPr>
              <w:t>Visiting Medical Officer</w:t>
            </w:r>
          </w:p>
        </w:tc>
      </w:tr>
      <w:tr w:rsidR="00F17643" w:rsidRPr="00C0090D" w14:paraId="20761F38" w14:textId="77777777" w:rsidTr="00F17643">
        <w:tc>
          <w:tcPr>
            <w:tcW w:w="581" w:type="pct"/>
            <w:tcBorders>
              <w:top w:val="single" w:sz="8" w:space="0" w:color="D9D9D9"/>
              <w:left w:val="nil"/>
              <w:bottom w:val="single" w:sz="8" w:space="0" w:color="D9D9D9"/>
              <w:right w:val="nil"/>
            </w:tcBorders>
            <w:shd w:val="clear" w:color="auto" w:fill="auto"/>
            <w:vAlign w:val="center"/>
          </w:tcPr>
          <w:p w14:paraId="30690991" w14:textId="24ED1363" w:rsidR="00F17643" w:rsidRDefault="00F17643" w:rsidP="00F17643">
            <w:pPr>
              <w:pStyle w:val="TabletextLeft"/>
              <w:rPr>
                <w:sz w:val="18"/>
                <w:szCs w:val="18"/>
              </w:rPr>
            </w:pPr>
            <w:r>
              <w:rPr>
                <w:sz w:val="18"/>
                <w:szCs w:val="18"/>
              </w:rPr>
              <w:t>QAS</w:t>
            </w:r>
          </w:p>
        </w:tc>
        <w:tc>
          <w:tcPr>
            <w:tcW w:w="1904" w:type="pct"/>
            <w:gridSpan w:val="2"/>
            <w:tcBorders>
              <w:top w:val="single" w:sz="8" w:space="0" w:color="D9D9D9"/>
              <w:left w:val="nil"/>
              <w:bottom w:val="single" w:sz="8" w:space="0" w:color="D9D9D9"/>
              <w:right w:val="nil"/>
            </w:tcBorders>
            <w:shd w:val="clear" w:color="auto" w:fill="auto"/>
            <w:vAlign w:val="center"/>
          </w:tcPr>
          <w:p w14:paraId="48A0D518" w14:textId="360D7995" w:rsidR="00F17643" w:rsidRPr="008D3226" w:rsidRDefault="00F17643" w:rsidP="00F17643">
            <w:pPr>
              <w:pStyle w:val="TabletextLeft"/>
              <w:rPr>
                <w:sz w:val="18"/>
                <w:szCs w:val="18"/>
              </w:rPr>
            </w:pPr>
            <w:r w:rsidRPr="00190AFA">
              <w:rPr>
                <w:sz w:val="18"/>
                <w:szCs w:val="18"/>
              </w:rPr>
              <w:t>Queensland Ambulance Service</w:t>
            </w:r>
          </w:p>
        </w:tc>
        <w:tc>
          <w:tcPr>
            <w:tcW w:w="377" w:type="pct"/>
            <w:tcBorders>
              <w:top w:val="single" w:sz="8" w:space="0" w:color="D9D9D9"/>
              <w:left w:val="nil"/>
              <w:bottom w:val="single" w:sz="8" w:space="0" w:color="D9D9D9"/>
              <w:right w:val="nil"/>
            </w:tcBorders>
            <w:vAlign w:val="center"/>
          </w:tcPr>
          <w:p w14:paraId="5D1BD641" w14:textId="11779EC3" w:rsidR="00F17643" w:rsidRDefault="00F17643" w:rsidP="00F17643">
            <w:pPr>
              <w:pStyle w:val="TabletextLeft"/>
              <w:rPr>
                <w:sz w:val="18"/>
                <w:szCs w:val="18"/>
              </w:rPr>
            </w:pPr>
            <w:r>
              <w:rPr>
                <w:sz w:val="18"/>
                <w:szCs w:val="18"/>
              </w:rPr>
              <w:t>VVED</w:t>
            </w:r>
          </w:p>
        </w:tc>
        <w:tc>
          <w:tcPr>
            <w:tcW w:w="2137" w:type="pct"/>
            <w:tcBorders>
              <w:top w:val="single" w:sz="8" w:space="0" w:color="D9D9D9"/>
              <w:left w:val="nil"/>
              <w:bottom w:val="single" w:sz="8" w:space="0" w:color="D9D9D9"/>
              <w:right w:val="nil"/>
            </w:tcBorders>
            <w:vAlign w:val="center"/>
          </w:tcPr>
          <w:p w14:paraId="0FF761F8" w14:textId="35126858" w:rsidR="00F17643" w:rsidRDefault="00F17643" w:rsidP="00F17643">
            <w:pPr>
              <w:pStyle w:val="TabletextLeft"/>
              <w:rPr>
                <w:sz w:val="18"/>
                <w:szCs w:val="18"/>
              </w:rPr>
            </w:pPr>
            <w:r w:rsidRPr="00354E5B">
              <w:rPr>
                <w:sz w:val="18"/>
                <w:szCs w:val="18"/>
              </w:rPr>
              <w:t>Victorian Virtual Emergency Department</w:t>
            </w:r>
          </w:p>
        </w:tc>
      </w:tr>
      <w:tr w:rsidR="00F17643" w:rsidRPr="00C0090D" w14:paraId="147B311A" w14:textId="77777777" w:rsidTr="00F17643">
        <w:tc>
          <w:tcPr>
            <w:tcW w:w="581" w:type="pct"/>
            <w:tcBorders>
              <w:top w:val="single" w:sz="8" w:space="0" w:color="D9D9D9"/>
              <w:left w:val="nil"/>
              <w:bottom w:val="single" w:sz="8" w:space="0" w:color="D9D9D9"/>
              <w:right w:val="nil"/>
            </w:tcBorders>
            <w:shd w:val="clear" w:color="auto" w:fill="auto"/>
            <w:vAlign w:val="center"/>
          </w:tcPr>
          <w:p w14:paraId="502985E2" w14:textId="6FC9EE8B" w:rsidR="00F17643" w:rsidRDefault="00F17643" w:rsidP="00F17643">
            <w:pPr>
              <w:pStyle w:val="TabletextLeft"/>
              <w:rPr>
                <w:sz w:val="18"/>
                <w:szCs w:val="18"/>
              </w:rPr>
            </w:pPr>
            <w:r w:rsidRPr="00196D8A">
              <w:rPr>
                <w:sz w:val="18"/>
                <w:szCs w:val="18"/>
              </w:rPr>
              <w:t>RACF</w:t>
            </w:r>
          </w:p>
        </w:tc>
        <w:tc>
          <w:tcPr>
            <w:tcW w:w="1904" w:type="pct"/>
            <w:gridSpan w:val="2"/>
            <w:tcBorders>
              <w:top w:val="single" w:sz="8" w:space="0" w:color="D9D9D9"/>
              <w:left w:val="nil"/>
              <w:bottom w:val="single" w:sz="8" w:space="0" w:color="D9D9D9"/>
              <w:right w:val="nil"/>
            </w:tcBorders>
            <w:shd w:val="clear" w:color="auto" w:fill="auto"/>
            <w:vAlign w:val="center"/>
          </w:tcPr>
          <w:p w14:paraId="64020352" w14:textId="30D134F8" w:rsidR="00F17643" w:rsidRPr="008D3226" w:rsidRDefault="00F17643" w:rsidP="00F17643">
            <w:pPr>
              <w:pStyle w:val="TabletextLeft"/>
              <w:rPr>
                <w:sz w:val="18"/>
                <w:szCs w:val="18"/>
              </w:rPr>
            </w:pPr>
            <w:r w:rsidRPr="00196D8A">
              <w:rPr>
                <w:sz w:val="18"/>
                <w:szCs w:val="18"/>
              </w:rPr>
              <w:t xml:space="preserve">Residential Aged Care Facilities </w:t>
            </w:r>
          </w:p>
        </w:tc>
        <w:tc>
          <w:tcPr>
            <w:tcW w:w="377" w:type="pct"/>
            <w:tcBorders>
              <w:top w:val="single" w:sz="8" w:space="0" w:color="D9D9D9"/>
              <w:left w:val="nil"/>
              <w:bottom w:val="single" w:sz="8" w:space="0" w:color="D9D9D9"/>
              <w:right w:val="nil"/>
            </w:tcBorders>
            <w:vAlign w:val="center"/>
          </w:tcPr>
          <w:p w14:paraId="3C4640EC" w14:textId="1E39D914" w:rsidR="00F17643" w:rsidRPr="00196D8A" w:rsidRDefault="00F17643" w:rsidP="00F17643">
            <w:pPr>
              <w:pStyle w:val="TabletextLeft"/>
              <w:rPr>
                <w:sz w:val="18"/>
                <w:szCs w:val="18"/>
              </w:rPr>
            </w:pPr>
            <w:r w:rsidRPr="008C2841">
              <w:rPr>
                <w:sz w:val="18"/>
                <w:szCs w:val="18"/>
              </w:rPr>
              <w:t>WAVED</w:t>
            </w:r>
          </w:p>
        </w:tc>
        <w:tc>
          <w:tcPr>
            <w:tcW w:w="2137" w:type="pct"/>
            <w:tcBorders>
              <w:top w:val="single" w:sz="8" w:space="0" w:color="D9D9D9"/>
              <w:left w:val="nil"/>
              <w:bottom w:val="single" w:sz="8" w:space="0" w:color="D9D9D9"/>
              <w:right w:val="nil"/>
            </w:tcBorders>
            <w:vAlign w:val="center"/>
          </w:tcPr>
          <w:p w14:paraId="6E35794B" w14:textId="2C499754" w:rsidR="00F17643" w:rsidRPr="00196D8A" w:rsidRDefault="00F17643" w:rsidP="00F17643">
            <w:pPr>
              <w:pStyle w:val="TabletextLeft"/>
              <w:rPr>
                <w:sz w:val="18"/>
                <w:szCs w:val="18"/>
              </w:rPr>
            </w:pPr>
            <w:r w:rsidRPr="008C2841">
              <w:rPr>
                <w:sz w:val="18"/>
                <w:szCs w:val="18"/>
              </w:rPr>
              <w:t xml:space="preserve">WA Virtual Emergency Department </w:t>
            </w:r>
          </w:p>
        </w:tc>
      </w:tr>
      <w:tr w:rsidR="00F17643" w:rsidRPr="00C0090D" w14:paraId="7650BD6D" w14:textId="77777777" w:rsidTr="00F17643">
        <w:tc>
          <w:tcPr>
            <w:tcW w:w="581" w:type="pct"/>
            <w:tcBorders>
              <w:top w:val="single" w:sz="8" w:space="0" w:color="D9D9D9"/>
              <w:left w:val="nil"/>
              <w:bottom w:val="single" w:sz="8" w:space="0" w:color="D9D9D9"/>
              <w:right w:val="nil"/>
            </w:tcBorders>
            <w:shd w:val="clear" w:color="auto" w:fill="auto"/>
            <w:vAlign w:val="center"/>
          </w:tcPr>
          <w:p w14:paraId="0D4C328A" w14:textId="73FC182F" w:rsidR="00F17643" w:rsidRDefault="00F17643" w:rsidP="00F17643">
            <w:pPr>
              <w:pStyle w:val="TabletextLeft"/>
              <w:rPr>
                <w:sz w:val="18"/>
                <w:szCs w:val="18"/>
              </w:rPr>
            </w:pPr>
            <w:r>
              <w:rPr>
                <w:sz w:val="18"/>
                <w:szCs w:val="18"/>
              </w:rPr>
              <w:t>RADAR</w:t>
            </w:r>
          </w:p>
        </w:tc>
        <w:tc>
          <w:tcPr>
            <w:tcW w:w="1904" w:type="pct"/>
            <w:gridSpan w:val="2"/>
            <w:tcBorders>
              <w:top w:val="single" w:sz="8" w:space="0" w:color="D9D9D9"/>
              <w:left w:val="nil"/>
              <w:bottom w:val="single" w:sz="8" w:space="0" w:color="D9D9D9"/>
              <w:right w:val="nil"/>
            </w:tcBorders>
            <w:shd w:val="clear" w:color="auto" w:fill="auto"/>
            <w:vAlign w:val="center"/>
          </w:tcPr>
          <w:p w14:paraId="3F3B8E75" w14:textId="3921A39A" w:rsidR="00F17643" w:rsidRDefault="00F17643" w:rsidP="00F17643">
            <w:pPr>
              <w:pStyle w:val="TabletextLeft"/>
              <w:rPr>
                <w:sz w:val="18"/>
                <w:szCs w:val="18"/>
              </w:rPr>
            </w:pPr>
            <w:r w:rsidRPr="001A1984">
              <w:rPr>
                <w:sz w:val="18"/>
                <w:szCs w:val="18"/>
              </w:rPr>
              <w:t xml:space="preserve">Residential Aged Care District Assessment and Referral </w:t>
            </w:r>
          </w:p>
        </w:tc>
        <w:tc>
          <w:tcPr>
            <w:tcW w:w="377" w:type="pct"/>
            <w:tcBorders>
              <w:top w:val="single" w:sz="8" w:space="0" w:color="D9D9D9"/>
              <w:left w:val="nil"/>
              <w:bottom w:val="single" w:sz="8" w:space="0" w:color="D9D9D9"/>
              <w:right w:val="nil"/>
            </w:tcBorders>
            <w:vAlign w:val="center"/>
          </w:tcPr>
          <w:p w14:paraId="6AD4EC6D" w14:textId="704E4F5E" w:rsidR="00F17643" w:rsidRPr="00196D8A" w:rsidRDefault="00F17643" w:rsidP="00F17643">
            <w:pPr>
              <w:pStyle w:val="TabletextLeft"/>
              <w:rPr>
                <w:sz w:val="18"/>
                <w:szCs w:val="18"/>
              </w:rPr>
            </w:pPr>
          </w:p>
        </w:tc>
        <w:tc>
          <w:tcPr>
            <w:tcW w:w="2137" w:type="pct"/>
            <w:tcBorders>
              <w:top w:val="single" w:sz="8" w:space="0" w:color="D9D9D9"/>
              <w:left w:val="nil"/>
              <w:bottom w:val="single" w:sz="8" w:space="0" w:color="D9D9D9"/>
              <w:right w:val="nil"/>
            </w:tcBorders>
            <w:vAlign w:val="center"/>
          </w:tcPr>
          <w:p w14:paraId="057F0E35" w14:textId="51E599E9" w:rsidR="00F17643" w:rsidRPr="00196D8A" w:rsidRDefault="00F17643" w:rsidP="00F17643">
            <w:pPr>
              <w:pStyle w:val="TabletextLeft"/>
              <w:rPr>
                <w:sz w:val="18"/>
                <w:szCs w:val="18"/>
              </w:rPr>
            </w:pPr>
          </w:p>
        </w:tc>
      </w:tr>
    </w:tbl>
    <w:p w14:paraId="2FE38540" w14:textId="77777777" w:rsidR="00982F71" w:rsidRDefault="00982F71" w:rsidP="00982F71">
      <w:bookmarkStart w:id="377" w:name="_Ref142988502"/>
      <w:bookmarkStart w:id="378" w:name="_Toc143291705"/>
    </w:p>
    <w:p w14:paraId="73D07DC2" w14:textId="5F323F9B" w:rsidR="006D1ECA" w:rsidRDefault="006D1ECA" w:rsidP="0057185D">
      <w:pPr>
        <w:pStyle w:val="Appendixheading"/>
      </w:pPr>
      <w:bookmarkStart w:id="379" w:name="_Ref148605799"/>
      <w:bookmarkStart w:id="380" w:name="_Toc148968356"/>
      <w:r>
        <w:t>Terms of Reference</w:t>
      </w:r>
      <w:bookmarkEnd w:id="374"/>
      <w:bookmarkEnd w:id="375"/>
      <w:bookmarkEnd w:id="377"/>
      <w:bookmarkEnd w:id="378"/>
      <w:bookmarkEnd w:id="379"/>
      <w:bookmarkEnd w:id="380"/>
    </w:p>
    <w:p w14:paraId="63E1988B" w14:textId="0A3777AE" w:rsidR="00C0090D" w:rsidRPr="00A97309" w:rsidRDefault="00A97309" w:rsidP="00C2024B">
      <w:pPr>
        <w:pStyle w:val="Caption"/>
      </w:pPr>
      <w:bookmarkStart w:id="381" w:name="_Toc148968371"/>
      <w:r w:rsidRPr="00A97309">
        <w:t xml:space="preserve">Table </w:t>
      </w:r>
      <w:r>
        <w:fldChar w:fldCharType="begin"/>
      </w:r>
      <w:r>
        <w:instrText xml:space="preserve"> SEQ Table \* ARABIC </w:instrText>
      </w:r>
      <w:r>
        <w:fldChar w:fldCharType="separate"/>
      </w:r>
      <w:r w:rsidR="003F5D51">
        <w:rPr>
          <w:noProof/>
        </w:rPr>
        <w:t>7</w:t>
      </w:r>
      <w:r>
        <w:rPr>
          <w:noProof/>
        </w:rPr>
        <w:fldChar w:fldCharType="end"/>
      </w:r>
      <w:r w:rsidRPr="00A97309">
        <w:t xml:space="preserve">: </w:t>
      </w:r>
      <w:r w:rsidR="00E20FEA">
        <w:t xml:space="preserve">Review’s </w:t>
      </w:r>
      <w:r w:rsidR="003E476B">
        <w:t>T</w:t>
      </w:r>
      <w:r w:rsidR="00E20FEA">
        <w:t xml:space="preserve">erms of </w:t>
      </w:r>
      <w:r w:rsidR="003E476B">
        <w:t>R</w:t>
      </w:r>
      <w:r w:rsidR="00E20FEA">
        <w:t>eference</w:t>
      </w:r>
      <w:bookmarkEnd w:id="381"/>
    </w:p>
    <w:tbl>
      <w:tblPr>
        <w:tblStyle w:val="Deloittetable"/>
        <w:tblW w:w="5000" w:type="pct"/>
        <w:tblLook w:val="04A0" w:firstRow="1" w:lastRow="0" w:firstColumn="1" w:lastColumn="0" w:noHBand="0" w:noVBand="1"/>
      </w:tblPr>
      <w:tblGrid>
        <w:gridCol w:w="2694"/>
        <w:gridCol w:w="7772"/>
      </w:tblGrid>
      <w:tr w:rsidR="00B25012" w:rsidRPr="00B25012" w14:paraId="1D2EB463" w14:textId="77777777" w:rsidTr="003A36A0">
        <w:trPr>
          <w:cnfStyle w:val="100000000000" w:firstRow="1" w:lastRow="0" w:firstColumn="0" w:lastColumn="0" w:oddVBand="0" w:evenVBand="0" w:oddHBand="0" w:evenHBand="0" w:firstRowFirstColumn="0" w:firstRowLastColumn="0" w:lastRowFirstColumn="0" w:lastRowLastColumn="0"/>
          <w:tblHeader/>
        </w:trPr>
        <w:tc>
          <w:tcPr>
            <w:tcW w:w="1287" w:type="pct"/>
            <w:tcBorders>
              <w:top w:val="single" w:sz="24" w:space="0" w:color="0097A9" w:themeColor="accent5"/>
              <w:bottom w:val="single" w:sz="4" w:space="0" w:color="BFBFBF" w:themeColor="background1" w:themeShade="BF"/>
            </w:tcBorders>
          </w:tcPr>
          <w:p w14:paraId="0174B79A" w14:textId="6DB8B6DC" w:rsidR="002C1E05" w:rsidRPr="00B25012" w:rsidRDefault="009F2807" w:rsidP="00D50025">
            <w:pPr>
              <w:pStyle w:val="TableHeadingLeft"/>
              <w:rPr>
                <w:color w:val="00707E" w:themeColor="accent5" w:themeShade="BF"/>
                <w:sz w:val="18"/>
                <w:szCs w:val="18"/>
              </w:rPr>
            </w:pPr>
            <w:r w:rsidRPr="00B25012">
              <w:rPr>
                <w:color w:val="00707E" w:themeColor="accent5" w:themeShade="BF"/>
                <w:sz w:val="18"/>
                <w:szCs w:val="18"/>
              </w:rPr>
              <w:t xml:space="preserve">Preliminary </w:t>
            </w:r>
            <w:r w:rsidR="008E2917" w:rsidRPr="00B25012">
              <w:rPr>
                <w:color w:val="00707E" w:themeColor="accent5" w:themeShade="BF"/>
                <w:sz w:val="18"/>
                <w:szCs w:val="18"/>
              </w:rPr>
              <w:t>c</w:t>
            </w:r>
            <w:r w:rsidRPr="00B25012">
              <w:rPr>
                <w:color w:val="00707E" w:themeColor="accent5" w:themeShade="BF"/>
                <w:sz w:val="18"/>
                <w:szCs w:val="18"/>
              </w:rPr>
              <w:t>lause</w:t>
            </w:r>
          </w:p>
        </w:tc>
        <w:tc>
          <w:tcPr>
            <w:tcW w:w="3713" w:type="pct"/>
            <w:tcBorders>
              <w:top w:val="single" w:sz="24" w:space="0" w:color="0097A9" w:themeColor="accent5"/>
              <w:bottom w:val="single" w:sz="4" w:space="0" w:color="BFBFBF" w:themeColor="background1" w:themeShade="BF"/>
            </w:tcBorders>
          </w:tcPr>
          <w:p w14:paraId="75B433A8" w14:textId="4E11FC90" w:rsidR="002C1E05" w:rsidRPr="00B25012" w:rsidRDefault="008F2C78" w:rsidP="00D50025">
            <w:pPr>
              <w:pStyle w:val="TableHeadingLeft"/>
              <w:rPr>
                <w:color w:val="00707E" w:themeColor="accent5" w:themeShade="BF"/>
                <w:sz w:val="18"/>
                <w:szCs w:val="18"/>
              </w:rPr>
            </w:pPr>
            <w:r w:rsidRPr="00B25012">
              <w:rPr>
                <w:color w:val="00707E" w:themeColor="accent5" w:themeShade="BF"/>
                <w:sz w:val="18"/>
                <w:szCs w:val="18"/>
              </w:rPr>
              <w:t xml:space="preserve">Inclusions </w:t>
            </w:r>
          </w:p>
        </w:tc>
      </w:tr>
      <w:tr w:rsidR="002C1E05" w:rsidRPr="005C407B" w14:paraId="0D945E3C" w14:textId="77777777" w:rsidTr="00196D8A">
        <w:tc>
          <w:tcPr>
            <w:tcW w:w="1287" w:type="pct"/>
            <w:tcBorders>
              <w:top w:val="single" w:sz="4" w:space="0" w:color="BFBFBF" w:themeColor="background1" w:themeShade="BF"/>
              <w:bottom w:val="single" w:sz="4" w:space="0" w:color="BFBFBF" w:themeColor="background1" w:themeShade="BF"/>
            </w:tcBorders>
          </w:tcPr>
          <w:p w14:paraId="23CAFED3" w14:textId="4EB239B1" w:rsidR="002C1E05" w:rsidRPr="00196D8A" w:rsidRDefault="005816DD" w:rsidP="00D50025">
            <w:pPr>
              <w:pStyle w:val="TabletextLeft"/>
              <w:rPr>
                <w:sz w:val="18"/>
                <w:szCs w:val="18"/>
              </w:rPr>
            </w:pPr>
            <w:r w:rsidRPr="00196D8A">
              <w:rPr>
                <w:sz w:val="18"/>
                <w:szCs w:val="18"/>
              </w:rPr>
              <w:t>21.a) implementation of the long-term reforms and other governance and funding arrangements, and whether practice and policy in place delivers on the objectives of the Addendum</w:t>
            </w:r>
          </w:p>
        </w:tc>
        <w:tc>
          <w:tcPr>
            <w:tcW w:w="3713" w:type="pct"/>
            <w:tcBorders>
              <w:top w:val="single" w:sz="4" w:space="0" w:color="BFBFBF" w:themeColor="background1" w:themeShade="BF"/>
              <w:bottom w:val="single" w:sz="4" w:space="0" w:color="BFBFBF" w:themeColor="background1" w:themeShade="BF"/>
            </w:tcBorders>
          </w:tcPr>
          <w:p w14:paraId="269DE21F" w14:textId="77777777" w:rsidR="005816DD" w:rsidRPr="00196D8A" w:rsidRDefault="005816DD" w:rsidP="00D170A5">
            <w:pPr>
              <w:pStyle w:val="TabletextLeft"/>
              <w:numPr>
                <w:ilvl w:val="0"/>
                <w:numId w:val="21"/>
              </w:numPr>
              <w:rPr>
                <w:sz w:val="18"/>
                <w:szCs w:val="18"/>
              </w:rPr>
            </w:pPr>
            <w:r w:rsidRPr="00196D8A">
              <w:rPr>
                <w:sz w:val="18"/>
                <w:szCs w:val="18"/>
              </w:rPr>
              <w:t xml:space="preserve">Whether health and emergency services delivered through the public hospital system are being provided consistent with the Medicare Principles of: </w:t>
            </w:r>
          </w:p>
          <w:p w14:paraId="11F895A8" w14:textId="77777777" w:rsidR="005816DD" w:rsidRPr="00196D8A" w:rsidRDefault="005816DD" w:rsidP="00A579EA">
            <w:pPr>
              <w:pStyle w:val="TabletextLeft"/>
              <w:numPr>
                <w:ilvl w:val="1"/>
                <w:numId w:val="21"/>
              </w:numPr>
              <w:tabs>
                <w:tab w:val="clear" w:pos="1440"/>
                <w:tab w:val="num" w:pos="1702"/>
              </w:tabs>
              <w:ind w:left="1276"/>
              <w:rPr>
                <w:sz w:val="18"/>
                <w:szCs w:val="18"/>
              </w:rPr>
            </w:pPr>
            <w:r w:rsidRPr="00196D8A">
              <w:rPr>
                <w:sz w:val="18"/>
                <w:szCs w:val="18"/>
              </w:rPr>
              <w:t xml:space="preserve">Eligible persons must be given the choice to receive public hospitals services free of charge as public patients; </w:t>
            </w:r>
          </w:p>
          <w:p w14:paraId="08921212" w14:textId="77777777" w:rsidR="005816DD" w:rsidRPr="00196D8A" w:rsidRDefault="005816DD" w:rsidP="00A579EA">
            <w:pPr>
              <w:pStyle w:val="TabletextLeft"/>
              <w:numPr>
                <w:ilvl w:val="1"/>
                <w:numId w:val="21"/>
              </w:numPr>
              <w:tabs>
                <w:tab w:val="clear" w:pos="1440"/>
                <w:tab w:val="num" w:pos="1702"/>
              </w:tabs>
              <w:ind w:left="1276"/>
              <w:rPr>
                <w:sz w:val="18"/>
                <w:szCs w:val="18"/>
              </w:rPr>
            </w:pPr>
            <w:r w:rsidRPr="00196D8A">
              <w:rPr>
                <w:sz w:val="18"/>
                <w:szCs w:val="18"/>
              </w:rPr>
              <w:t xml:space="preserve">Access to public hospital services is to be on the basis of clinical need and within a clinically appropriate period; </w:t>
            </w:r>
          </w:p>
          <w:p w14:paraId="66CBED51" w14:textId="77777777" w:rsidR="005816DD" w:rsidRPr="00196D8A" w:rsidRDefault="005816DD" w:rsidP="00A579EA">
            <w:pPr>
              <w:pStyle w:val="TabletextLeft"/>
              <w:numPr>
                <w:ilvl w:val="1"/>
                <w:numId w:val="21"/>
              </w:numPr>
              <w:tabs>
                <w:tab w:val="clear" w:pos="1440"/>
                <w:tab w:val="num" w:pos="1702"/>
              </w:tabs>
              <w:ind w:left="1276"/>
              <w:rPr>
                <w:sz w:val="18"/>
                <w:szCs w:val="18"/>
              </w:rPr>
            </w:pPr>
            <w:r w:rsidRPr="00196D8A">
              <w:rPr>
                <w:sz w:val="18"/>
                <w:szCs w:val="18"/>
              </w:rPr>
              <w:t xml:space="preserve">Arrangements are to be in place to ensure equitable access to such services for all eligible persons, regardless of their geographic locations </w:t>
            </w:r>
          </w:p>
          <w:p w14:paraId="385C1FC8" w14:textId="77777777" w:rsidR="005816DD" w:rsidRPr="00196D8A" w:rsidRDefault="005816DD" w:rsidP="00D170A5">
            <w:pPr>
              <w:pStyle w:val="TabletextLeft"/>
              <w:numPr>
                <w:ilvl w:val="0"/>
                <w:numId w:val="21"/>
              </w:numPr>
              <w:rPr>
                <w:sz w:val="18"/>
                <w:szCs w:val="18"/>
              </w:rPr>
            </w:pPr>
            <w:r w:rsidRPr="00196D8A">
              <w:rPr>
                <w:sz w:val="18"/>
                <w:szCs w:val="18"/>
              </w:rPr>
              <w:t xml:space="preserve">Focus and progress of the long-term reforms and systems interface reforms, including: </w:t>
            </w:r>
          </w:p>
          <w:p w14:paraId="413C0FF3" w14:textId="77777777" w:rsidR="005816DD" w:rsidRPr="00196D8A" w:rsidRDefault="005816DD" w:rsidP="00A579EA">
            <w:pPr>
              <w:pStyle w:val="TabletextLeft"/>
              <w:numPr>
                <w:ilvl w:val="1"/>
                <w:numId w:val="21"/>
              </w:numPr>
              <w:tabs>
                <w:tab w:val="clear" w:pos="1440"/>
                <w:tab w:val="num" w:pos="1702"/>
              </w:tabs>
              <w:ind w:left="1276"/>
              <w:rPr>
                <w:sz w:val="18"/>
                <w:szCs w:val="18"/>
              </w:rPr>
            </w:pPr>
            <w:r w:rsidRPr="00196D8A">
              <w:rPr>
                <w:sz w:val="18"/>
                <w:szCs w:val="18"/>
              </w:rPr>
              <w:t>changes to scope and the impact of COVID-19 on progress and reform priorities</w:t>
            </w:r>
          </w:p>
          <w:p w14:paraId="383CC461" w14:textId="77777777" w:rsidR="005816DD" w:rsidRPr="00196D8A" w:rsidRDefault="005816DD" w:rsidP="00A579EA">
            <w:pPr>
              <w:pStyle w:val="TabletextLeft"/>
              <w:numPr>
                <w:ilvl w:val="1"/>
                <w:numId w:val="21"/>
              </w:numPr>
              <w:tabs>
                <w:tab w:val="clear" w:pos="1440"/>
                <w:tab w:val="num" w:pos="1702"/>
              </w:tabs>
              <w:ind w:left="1276"/>
              <w:rPr>
                <w:sz w:val="18"/>
                <w:szCs w:val="18"/>
              </w:rPr>
            </w:pPr>
            <w:r w:rsidRPr="00196D8A">
              <w:rPr>
                <w:sz w:val="18"/>
                <w:szCs w:val="18"/>
              </w:rPr>
              <w:t xml:space="preserve">interactions with other reforms and agreements in mental health, aged care, primary care, and disability systems, and opportunities to recontextualise reform priorities </w:t>
            </w:r>
          </w:p>
          <w:p w14:paraId="0E4694AF" w14:textId="77777777" w:rsidR="005816DD" w:rsidRPr="00196D8A" w:rsidRDefault="005816DD" w:rsidP="00A579EA">
            <w:pPr>
              <w:pStyle w:val="TabletextLeft"/>
              <w:numPr>
                <w:ilvl w:val="1"/>
                <w:numId w:val="21"/>
              </w:numPr>
              <w:tabs>
                <w:tab w:val="clear" w:pos="1440"/>
                <w:tab w:val="num" w:pos="1702"/>
              </w:tabs>
              <w:ind w:left="1276"/>
              <w:rPr>
                <w:sz w:val="18"/>
                <w:szCs w:val="18"/>
              </w:rPr>
            </w:pPr>
            <w:r w:rsidRPr="00196D8A">
              <w:rPr>
                <w:sz w:val="18"/>
                <w:szCs w:val="18"/>
              </w:rPr>
              <w:t>promoting equitable access to high quality health care and reducing disadvantage for all Australians, including for Aboriginal and Torres Strait Islander people and those living in regional and remote areas</w:t>
            </w:r>
          </w:p>
          <w:p w14:paraId="44C2B013" w14:textId="77777777" w:rsidR="005816DD" w:rsidRPr="00196D8A" w:rsidRDefault="005816DD" w:rsidP="00D170A5">
            <w:pPr>
              <w:pStyle w:val="TabletextLeft"/>
              <w:numPr>
                <w:ilvl w:val="0"/>
                <w:numId w:val="21"/>
              </w:numPr>
              <w:rPr>
                <w:sz w:val="18"/>
                <w:szCs w:val="18"/>
              </w:rPr>
            </w:pPr>
            <w:r w:rsidRPr="00196D8A">
              <w:rPr>
                <w:sz w:val="18"/>
                <w:szCs w:val="18"/>
              </w:rPr>
              <w:t>Changes to national governance and the impact on governance and decision-making related to Addendum oversight and implementation</w:t>
            </w:r>
          </w:p>
          <w:p w14:paraId="7BE9B313" w14:textId="77777777" w:rsidR="005816DD" w:rsidRPr="00196D8A" w:rsidRDefault="005816DD" w:rsidP="00D170A5">
            <w:pPr>
              <w:pStyle w:val="TabletextLeft"/>
              <w:numPr>
                <w:ilvl w:val="0"/>
                <w:numId w:val="21"/>
              </w:numPr>
              <w:rPr>
                <w:sz w:val="18"/>
                <w:szCs w:val="18"/>
              </w:rPr>
            </w:pPr>
            <w:r w:rsidRPr="00196D8A">
              <w:rPr>
                <w:sz w:val="18"/>
                <w:szCs w:val="18"/>
              </w:rPr>
              <w:t xml:space="preserve">Impact and effectiveness of policy changes implemented through the Addendum </w:t>
            </w:r>
          </w:p>
          <w:p w14:paraId="4F87C880" w14:textId="77777777" w:rsidR="005816DD" w:rsidRPr="00196D8A" w:rsidRDefault="005816DD" w:rsidP="00D170A5">
            <w:pPr>
              <w:pStyle w:val="TabletextLeft"/>
              <w:numPr>
                <w:ilvl w:val="0"/>
                <w:numId w:val="21"/>
              </w:numPr>
              <w:rPr>
                <w:sz w:val="18"/>
                <w:szCs w:val="18"/>
              </w:rPr>
            </w:pPr>
            <w:r w:rsidRPr="00196D8A">
              <w:rPr>
                <w:sz w:val="18"/>
                <w:szCs w:val="18"/>
              </w:rPr>
              <w:t xml:space="preserve">Implementation of funding arrangements including: </w:t>
            </w:r>
          </w:p>
          <w:p w14:paraId="2723C638" w14:textId="77777777" w:rsidR="005816DD" w:rsidRPr="00196D8A" w:rsidRDefault="005816DD" w:rsidP="00A579EA">
            <w:pPr>
              <w:pStyle w:val="TabletextLeft"/>
              <w:numPr>
                <w:ilvl w:val="1"/>
                <w:numId w:val="21"/>
              </w:numPr>
              <w:tabs>
                <w:tab w:val="clear" w:pos="1440"/>
                <w:tab w:val="num" w:pos="1702"/>
              </w:tabs>
              <w:ind w:left="1276"/>
              <w:rPr>
                <w:sz w:val="18"/>
                <w:szCs w:val="18"/>
              </w:rPr>
            </w:pPr>
            <w:r w:rsidRPr="00196D8A">
              <w:rPr>
                <w:sz w:val="18"/>
                <w:szCs w:val="18"/>
              </w:rPr>
              <w:t xml:space="preserve">NEP, NEC, ABF price and volume setting, the national cap, data matching and the interaction with S19(2) </w:t>
            </w:r>
          </w:p>
          <w:p w14:paraId="22782584" w14:textId="77777777" w:rsidR="005816DD" w:rsidRPr="00196D8A" w:rsidRDefault="005816DD" w:rsidP="00A579EA">
            <w:pPr>
              <w:pStyle w:val="TabletextLeft"/>
              <w:numPr>
                <w:ilvl w:val="1"/>
                <w:numId w:val="21"/>
              </w:numPr>
              <w:tabs>
                <w:tab w:val="clear" w:pos="1440"/>
                <w:tab w:val="num" w:pos="1702"/>
              </w:tabs>
              <w:ind w:left="1276"/>
              <w:rPr>
                <w:sz w:val="18"/>
                <w:szCs w:val="18"/>
              </w:rPr>
            </w:pPr>
            <w:r w:rsidRPr="00196D8A">
              <w:rPr>
                <w:sz w:val="18"/>
                <w:szCs w:val="18"/>
              </w:rPr>
              <w:t>adjustments to the funding model implemented in the Addendum (including private patient neutrality), including whether adjustments added over time have enabled policy intent to be met or have otherwise impacted the purpose of each added signal</w:t>
            </w:r>
          </w:p>
          <w:p w14:paraId="76440441" w14:textId="77777777" w:rsidR="005816DD" w:rsidRPr="00196D8A" w:rsidRDefault="005816DD" w:rsidP="00A579EA">
            <w:pPr>
              <w:pStyle w:val="TabletextLeft"/>
              <w:numPr>
                <w:ilvl w:val="1"/>
                <w:numId w:val="21"/>
              </w:numPr>
              <w:tabs>
                <w:tab w:val="clear" w:pos="1440"/>
                <w:tab w:val="num" w:pos="1702"/>
              </w:tabs>
              <w:ind w:left="1276"/>
              <w:rPr>
                <w:sz w:val="18"/>
                <w:szCs w:val="18"/>
              </w:rPr>
            </w:pPr>
            <w:r w:rsidRPr="00196D8A">
              <w:rPr>
                <w:sz w:val="18"/>
                <w:szCs w:val="18"/>
              </w:rPr>
              <w:t>administrative requirements on jurisdictions to meet obligations of the funding model over time compared to impacts on efficiency and outcomes</w:t>
            </w:r>
          </w:p>
          <w:p w14:paraId="2A642082" w14:textId="77777777" w:rsidR="005816DD" w:rsidRPr="00196D8A" w:rsidRDefault="005816DD" w:rsidP="00D170A5">
            <w:pPr>
              <w:pStyle w:val="TabletextLeft"/>
              <w:numPr>
                <w:ilvl w:val="0"/>
                <w:numId w:val="21"/>
              </w:numPr>
              <w:rPr>
                <w:sz w:val="18"/>
                <w:szCs w:val="18"/>
              </w:rPr>
            </w:pPr>
            <w:r w:rsidRPr="00196D8A">
              <w:rPr>
                <w:sz w:val="18"/>
                <w:szCs w:val="18"/>
              </w:rPr>
              <w:t xml:space="preserve">Implementation of safety and quality pricing adjustments and whether they have achieved the policy intent, including whether they have a material impact on the ground, and whether there are other opportunities to achieve the policy intent </w:t>
            </w:r>
          </w:p>
          <w:p w14:paraId="5E3FEE78" w14:textId="77777777" w:rsidR="005816DD" w:rsidRPr="00196D8A" w:rsidRDefault="005816DD" w:rsidP="00D170A5">
            <w:pPr>
              <w:pStyle w:val="TabletextLeft"/>
              <w:numPr>
                <w:ilvl w:val="0"/>
                <w:numId w:val="21"/>
              </w:numPr>
              <w:rPr>
                <w:sz w:val="18"/>
                <w:szCs w:val="18"/>
              </w:rPr>
            </w:pPr>
            <w:r w:rsidRPr="00196D8A">
              <w:rPr>
                <w:sz w:val="18"/>
                <w:szCs w:val="18"/>
              </w:rPr>
              <w:t xml:space="preserve">The effectiveness of existing reporting metrics in measuring whether the Addendum is meeting its objectives, including the timeliness, transparency, and national consistency of these metrics </w:t>
            </w:r>
          </w:p>
          <w:p w14:paraId="3D9EBBB8" w14:textId="07F9D07D" w:rsidR="002C1E05" w:rsidRPr="00196D8A" w:rsidRDefault="005816DD" w:rsidP="00D170A5">
            <w:pPr>
              <w:pStyle w:val="TabletextLeft"/>
              <w:numPr>
                <w:ilvl w:val="0"/>
                <w:numId w:val="21"/>
              </w:numPr>
              <w:rPr>
                <w:sz w:val="18"/>
                <w:szCs w:val="18"/>
              </w:rPr>
            </w:pPr>
            <w:r w:rsidRPr="00196D8A">
              <w:rPr>
                <w:sz w:val="18"/>
                <w:szCs w:val="18"/>
              </w:rPr>
              <w:t>The effectiveness of mechanisms supporting PHNs and LHNs to collaborate to improve responsiveness to local community needs in accordance with the objectives of the Addendum.</w:t>
            </w:r>
          </w:p>
        </w:tc>
      </w:tr>
      <w:tr w:rsidR="002C1E05" w:rsidRPr="00C0090D" w14:paraId="371364EA" w14:textId="77777777" w:rsidTr="00196D8A">
        <w:tc>
          <w:tcPr>
            <w:tcW w:w="1287" w:type="pct"/>
            <w:tcBorders>
              <w:top w:val="single" w:sz="8" w:space="0" w:color="D9D9D9"/>
              <w:left w:val="nil"/>
              <w:bottom w:val="single" w:sz="8" w:space="0" w:color="D9D9D9"/>
              <w:right w:val="nil"/>
            </w:tcBorders>
            <w:shd w:val="clear" w:color="auto" w:fill="FFFFFF"/>
          </w:tcPr>
          <w:p w14:paraId="0FEFD5DA" w14:textId="6F88B264" w:rsidR="002C1E05" w:rsidRPr="00196D8A" w:rsidRDefault="005816DD" w:rsidP="00D50025">
            <w:pPr>
              <w:pStyle w:val="TabletextLeft"/>
              <w:rPr>
                <w:sz w:val="18"/>
                <w:szCs w:val="18"/>
              </w:rPr>
            </w:pPr>
            <w:r w:rsidRPr="00196D8A">
              <w:rPr>
                <w:sz w:val="18"/>
                <w:szCs w:val="18"/>
              </w:rPr>
              <w:t>21.b) the impact of external factors on the demand for hospital services and the flow-on effects on Addendum parameters</w:t>
            </w:r>
          </w:p>
        </w:tc>
        <w:tc>
          <w:tcPr>
            <w:tcW w:w="3713" w:type="pct"/>
            <w:tcBorders>
              <w:top w:val="single" w:sz="4" w:space="0" w:color="BFBFBF" w:themeColor="background1" w:themeShade="BF"/>
              <w:left w:val="nil"/>
              <w:bottom w:val="single" w:sz="4" w:space="0" w:color="BFBFBF" w:themeColor="background1" w:themeShade="BF"/>
            </w:tcBorders>
          </w:tcPr>
          <w:p w14:paraId="5BAF2587" w14:textId="77777777" w:rsidR="00C15B80" w:rsidRPr="00196D8A" w:rsidRDefault="00C15B80" w:rsidP="00D170A5">
            <w:pPr>
              <w:pStyle w:val="TabletextLeft"/>
              <w:numPr>
                <w:ilvl w:val="0"/>
                <w:numId w:val="22"/>
              </w:numPr>
              <w:rPr>
                <w:color w:val="000000" w:themeColor="text1"/>
                <w:sz w:val="18"/>
                <w:szCs w:val="18"/>
              </w:rPr>
            </w:pPr>
            <w:r w:rsidRPr="00196D8A">
              <w:rPr>
                <w:color w:val="000000" w:themeColor="text1"/>
                <w:sz w:val="18"/>
                <w:szCs w:val="18"/>
              </w:rPr>
              <w:t xml:space="preserve">Impact of COVID-19 on hospital demand and flow-on effects to the funding model under the Addendum, including impact on long-term trends (including transition to ‘COVID-normal’), NEP, NPCR, funding guarantee, and how flexibility and agility could be incorporated into the model and future agreements </w:t>
            </w:r>
          </w:p>
          <w:p w14:paraId="693F9DC8" w14:textId="77777777" w:rsidR="00C15B80" w:rsidRPr="00196D8A" w:rsidRDefault="00C15B80" w:rsidP="00D170A5">
            <w:pPr>
              <w:pStyle w:val="TabletextLeft"/>
              <w:numPr>
                <w:ilvl w:val="0"/>
                <w:numId w:val="22"/>
              </w:numPr>
              <w:rPr>
                <w:color w:val="000000" w:themeColor="text1"/>
                <w:sz w:val="18"/>
                <w:szCs w:val="18"/>
              </w:rPr>
            </w:pPr>
            <w:r w:rsidRPr="00196D8A">
              <w:rPr>
                <w:color w:val="000000" w:themeColor="text1"/>
                <w:sz w:val="18"/>
                <w:szCs w:val="18"/>
              </w:rPr>
              <w:t xml:space="preserve">Flow-on effect of COVID-19 on Addendum public health funding </w:t>
            </w:r>
          </w:p>
          <w:p w14:paraId="4894F785" w14:textId="77777777" w:rsidR="00C15B80" w:rsidRPr="00196D8A" w:rsidRDefault="00C15B80" w:rsidP="00D170A5">
            <w:pPr>
              <w:pStyle w:val="TabletextLeft"/>
              <w:numPr>
                <w:ilvl w:val="0"/>
                <w:numId w:val="22"/>
              </w:numPr>
              <w:rPr>
                <w:color w:val="000000" w:themeColor="text1"/>
                <w:sz w:val="18"/>
                <w:szCs w:val="18"/>
              </w:rPr>
            </w:pPr>
            <w:r w:rsidRPr="00196D8A">
              <w:rPr>
                <w:color w:val="000000" w:themeColor="text1"/>
                <w:sz w:val="18"/>
                <w:szCs w:val="18"/>
              </w:rPr>
              <w:t xml:space="preserve">Availability of services and supports outside the hospital system that impact on ongoing demand and the ability to appropriately discharge in a timely manner </w:t>
            </w:r>
          </w:p>
          <w:p w14:paraId="15E87872" w14:textId="77777777" w:rsidR="00C15B80" w:rsidRPr="00196D8A" w:rsidRDefault="00C15B80" w:rsidP="00D170A5">
            <w:pPr>
              <w:pStyle w:val="TabletextLeft"/>
              <w:numPr>
                <w:ilvl w:val="0"/>
                <w:numId w:val="22"/>
              </w:numPr>
              <w:rPr>
                <w:color w:val="000000" w:themeColor="text1"/>
                <w:sz w:val="18"/>
                <w:szCs w:val="18"/>
              </w:rPr>
            </w:pPr>
            <w:r w:rsidRPr="00196D8A">
              <w:rPr>
                <w:color w:val="000000" w:themeColor="text1"/>
                <w:sz w:val="18"/>
                <w:szCs w:val="18"/>
              </w:rPr>
              <w:t xml:space="preserve">Impact of remoteness and isolation on demand for hospital services </w:t>
            </w:r>
          </w:p>
          <w:p w14:paraId="126159B3" w14:textId="77777777" w:rsidR="00C15B80" w:rsidRPr="00196D8A" w:rsidRDefault="00C15B80" w:rsidP="00D170A5">
            <w:pPr>
              <w:pStyle w:val="TabletextLeft"/>
              <w:numPr>
                <w:ilvl w:val="0"/>
                <w:numId w:val="22"/>
              </w:numPr>
              <w:rPr>
                <w:color w:val="000000" w:themeColor="text1"/>
                <w:sz w:val="18"/>
                <w:szCs w:val="18"/>
              </w:rPr>
            </w:pPr>
            <w:r w:rsidRPr="00196D8A">
              <w:rPr>
                <w:color w:val="000000" w:themeColor="text1"/>
                <w:sz w:val="18"/>
                <w:szCs w:val="18"/>
              </w:rPr>
              <w:t xml:space="preserve">Changes in primary care reform and with primary care demand, capacity and capability over time, and any impact on the Addendum meetings its objectives </w:t>
            </w:r>
          </w:p>
          <w:p w14:paraId="3BBAE8EA" w14:textId="77777777" w:rsidR="00C15B80" w:rsidRPr="00196D8A" w:rsidRDefault="00C15B80" w:rsidP="00D170A5">
            <w:pPr>
              <w:pStyle w:val="TabletextLeft"/>
              <w:numPr>
                <w:ilvl w:val="0"/>
                <w:numId w:val="22"/>
              </w:numPr>
              <w:rPr>
                <w:color w:val="000000" w:themeColor="text1"/>
                <w:sz w:val="18"/>
                <w:szCs w:val="18"/>
              </w:rPr>
            </w:pPr>
            <w:r w:rsidRPr="00196D8A">
              <w:rPr>
                <w:color w:val="000000" w:themeColor="text1"/>
                <w:sz w:val="18"/>
                <w:szCs w:val="18"/>
              </w:rPr>
              <w:t xml:space="preserve">Changes in the aged care and disability sectors over time, and any impact on the Addendum meetings its objectives </w:t>
            </w:r>
          </w:p>
          <w:p w14:paraId="0C863E64" w14:textId="77777777" w:rsidR="00C15B80" w:rsidRPr="00196D8A" w:rsidRDefault="00C15B80" w:rsidP="00D170A5">
            <w:pPr>
              <w:pStyle w:val="TabletextLeft"/>
              <w:numPr>
                <w:ilvl w:val="0"/>
                <w:numId w:val="22"/>
              </w:numPr>
              <w:rPr>
                <w:color w:val="000000" w:themeColor="text1"/>
                <w:sz w:val="18"/>
                <w:szCs w:val="18"/>
              </w:rPr>
            </w:pPr>
            <w:r w:rsidRPr="00196D8A">
              <w:rPr>
                <w:color w:val="000000" w:themeColor="text1"/>
                <w:sz w:val="18"/>
                <w:szCs w:val="18"/>
              </w:rPr>
              <w:t xml:space="preserve">Changes in the health workforce over time, and any impact on the Addendum meetings its objectives </w:t>
            </w:r>
          </w:p>
          <w:p w14:paraId="15142C97" w14:textId="77777777" w:rsidR="00C15B80" w:rsidRPr="00196D8A" w:rsidRDefault="00C15B80" w:rsidP="00D170A5">
            <w:pPr>
              <w:pStyle w:val="TabletextLeft"/>
              <w:numPr>
                <w:ilvl w:val="0"/>
                <w:numId w:val="22"/>
              </w:numPr>
              <w:rPr>
                <w:color w:val="000000" w:themeColor="text1"/>
                <w:sz w:val="18"/>
                <w:szCs w:val="18"/>
              </w:rPr>
            </w:pPr>
            <w:r w:rsidRPr="00196D8A">
              <w:rPr>
                <w:color w:val="000000" w:themeColor="text1"/>
                <w:sz w:val="18"/>
                <w:szCs w:val="18"/>
              </w:rPr>
              <w:t xml:space="preserve">Changes in other parts of the health care sector, such as public health and mental health, or other sectors that may impact on the Addendum meetings its objectives </w:t>
            </w:r>
          </w:p>
          <w:p w14:paraId="7EEBCC8E" w14:textId="283D41BE" w:rsidR="002C1E05" w:rsidRPr="00196D8A" w:rsidRDefault="00C15B80" w:rsidP="00D170A5">
            <w:pPr>
              <w:pStyle w:val="TabletextLeft"/>
              <w:numPr>
                <w:ilvl w:val="0"/>
                <w:numId w:val="22"/>
              </w:numPr>
              <w:rPr>
                <w:color w:val="000000" w:themeColor="text1"/>
                <w:sz w:val="18"/>
                <w:szCs w:val="18"/>
              </w:rPr>
            </w:pPr>
            <w:r w:rsidRPr="00196D8A">
              <w:rPr>
                <w:color w:val="000000" w:themeColor="text1"/>
                <w:sz w:val="18"/>
                <w:szCs w:val="18"/>
              </w:rPr>
              <w:t>Consideration of risk sharing between the Commonwealth</w:t>
            </w:r>
            <w:r w:rsidR="00050D37">
              <w:rPr>
                <w:color w:val="000000" w:themeColor="text1"/>
                <w:sz w:val="18"/>
                <w:szCs w:val="18"/>
              </w:rPr>
              <w:t>,</w:t>
            </w:r>
            <w:r w:rsidRPr="00196D8A">
              <w:rPr>
                <w:color w:val="000000" w:themeColor="text1"/>
                <w:sz w:val="18"/>
                <w:szCs w:val="18"/>
              </w:rPr>
              <w:t xml:space="preserve"> States</w:t>
            </w:r>
            <w:r w:rsidR="00050D37">
              <w:rPr>
                <w:color w:val="000000" w:themeColor="text1"/>
                <w:sz w:val="18"/>
                <w:szCs w:val="18"/>
              </w:rPr>
              <w:t xml:space="preserve"> and </w:t>
            </w:r>
            <w:r w:rsidRPr="00196D8A">
              <w:rPr>
                <w:color w:val="000000" w:themeColor="text1"/>
                <w:sz w:val="18"/>
                <w:szCs w:val="18"/>
              </w:rPr>
              <w:t>Territories when volatility occurs in the health system</w:t>
            </w:r>
          </w:p>
        </w:tc>
      </w:tr>
      <w:tr w:rsidR="002C1E05" w:rsidRPr="00C0090D" w14:paraId="55078584" w14:textId="77777777" w:rsidTr="00196D8A">
        <w:tc>
          <w:tcPr>
            <w:tcW w:w="1287" w:type="pct"/>
            <w:tcBorders>
              <w:top w:val="single" w:sz="8" w:space="0" w:color="D9D9D9"/>
              <w:left w:val="nil"/>
              <w:bottom w:val="single" w:sz="8" w:space="0" w:color="D9D9D9"/>
              <w:right w:val="nil"/>
            </w:tcBorders>
            <w:shd w:val="clear" w:color="auto" w:fill="FFFFFF"/>
          </w:tcPr>
          <w:p w14:paraId="7E132C43" w14:textId="6A30A34E" w:rsidR="002C1E05" w:rsidRPr="00196D8A" w:rsidRDefault="005816DD" w:rsidP="00D50025">
            <w:pPr>
              <w:pStyle w:val="TabletextLeft"/>
              <w:rPr>
                <w:sz w:val="18"/>
                <w:szCs w:val="18"/>
              </w:rPr>
            </w:pPr>
            <w:r w:rsidRPr="00196D8A">
              <w:rPr>
                <w:sz w:val="18"/>
                <w:szCs w:val="18"/>
              </w:rPr>
              <w:t xml:space="preserve">21.c) for small rural and small regional hospitals, whether they continue to meet the block funding criteria determined by the IHPA </w:t>
            </w:r>
          </w:p>
        </w:tc>
        <w:tc>
          <w:tcPr>
            <w:tcW w:w="3713" w:type="pct"/>
            <w:tcBorders>
              <w:top w:val="single" w:sz="4" w:space="0" w:color="BFBFBF" w:themeColor="background1" w:themeShade="BF"/>
              <w:left w:val="nil"/>
              <w:bottom w:val="single" w:sz="4" w:space="0" w:color="BFBFBF" w:themeColor="background1" w:themeShade="BF"/>
            </w:tcBorders>
          </w:tcPr>
          <w:p w14:paraId="72BFA335" w14:textId="77777777" w:rsidR="004E65AE" w:rsidRPr="00196D8A" w:rsidRDefault="004E65AE" w:rsidP="00D170A5">
            <w:pPr>
              <w:pStyle w:val="TabletextLeft"/>
              <w:numPr>
                <w:ilvl w:val="0"/>
                <w:numId w:val="23"/>
              </w:numPr>
              <w:rPr>
                <w:sz w:val="18"/>
                <w:szCs w:val="18"/>
              </w:rPr>
            </w:pPr>
            <w:r w:rsidRPr="00196D8A">
              <w:rPr>
                <w:sz w:val="18"/>
                <w:szCs w:val="18"/>
              </w:rPr>
              <w:t xml:space="preserve">Challenges faced by these hospitals with volatility in volume due to COVID  </w:t>
            </w:r>
          </w:p>
          <w:p w14:paraId="4095FC94" w14:textId="4BC7A513" w:rsidR="002C1E05" w:rsidRPr="00196D8A" w:rsidRDefault="004E65AE" w:rsidP="00D170A5">
            <w:pPr>
              <w:pStyle w:val="TabletextLeft"/>
              <w:numPr>
                <w:ilvl w:val="0"/>
                <w:numId w:val="23"/>
              </w:numPr>
              <w:rPr>
                <w:sz w:val="18"/>
                <w:szCs w:val="18"/>
              </w:rPr>
            </w:pPr>
            <w:r w:rsidRPr="00196D8A">
              <w:rPr>
                <w:sz w:val="18"/>
                <w:szCs w:val="18"/>
              </w:rPr>
              <w:t xml:space="preserve">Any alternatives to block funding that may better meet the needs of small rural and small regional hospitals, with consideration given to the reporting requirements associated with any alternatives </w:t>
            </w:r>
          </w:p>
        </w:tc>
      </w:tr>
      <w:tr w:rsidR="002C1E05" w:rsidRPr="00C0090D" w14:paraId="6B5A4F81" w14:textId="77777777" w:rsidTr="00196D8A">
        <w:tc>
          <w:tcPr>
            <w:tcW w:w="1287" w:type="pct"/>
            <w:tcBorders>
              <w:top w:val="single" w:sz="8" w:space="0" w:color="D9D9D9"/>
              <w:left w:val="nil"/>
              <w:bottom w:val="single" w:sz="8" w:space="0" w:color="D9D9D9"/>
              <w:right w:val="nil"/>
            </w:tcBorders>
            <w:shd w:val="clear" w:color="auto" w:fill="FFFFFF"/>
          </w:tcPr>
          <w:p w14:paraId="1C9A0B4C" w14:textId="66F5E6A3" w:rsidR="002C1E05" w:rsidRPr="00196D8A" w:rsidRDefault="005816DD" w:rsidP="00D50025">
            <w:pPr>
              <w:pStyle w:val="TabletextLeft"/>
              <w:rPr>
                <w:sz w:val="18"/>
                <w:szCs w:val="18"/>
              </w:rPr>
            </w:pPr>
            <w:r w:rsidRPr="00196D8A">
              <w:rPr>
                <w:sz w:val="18"/>
                <w:szCs w:val="18"/>
              </w:rPr>
              <w:t xml:space="preserve">21.d) whether any unintended consequences such as cost-shifting, perverse incentives or other inefficiencies that impact on patient outcomes have arisen, and the capacity of Parties to adopt and deliver innovative models, as a result of financial and other arrangements in this Addendum </w:t>
            </w:r>
          </w:p>
        </w:tc>
        <w:tc>
          <w:tcPr>
            <w:tcW w:w="3713" w:type="pct"/>
            <w:tcBorders>
              <w:top w:val="single" w:sz="4" w:space="0" w:color="BFBFBF" w:themeColor="background1" w:themeShade="BF"/>
              <w:left w:val="nil"/>
              <w:bottom w:val="single" w:sz="4" w:space="0" w:color="BFBFBF" w:themeColor="background1" w:themeShade="BF"/>
            </w:tcBorders>
          </w:tcPr>
          <w:p w14:paraId="0E5BEFE7" w14:textId="77777777" w:rsidR="004E65AE" w:rsidRPr="00196D8A" w:rsidRDefault="004E65AE" w:rsidP="00D170A5">
            <w:pPr>
              <w:pStyle w:val="TabletextLeft"/>
              <w:numPr>
                <w:ilvl w:val="0"/>
                <w:numId w:val="24"/>
              </w:numPr>
              <w:rPr>
                <w:sz w:val="18"/>
                <w:szCs w:val="18"/>
              </w:rPr>
            </w:pPr>
            <w:r w:rsidRPr="00196D8A">
              <w:rPr>
                <w:sz w:val="18"/>
                <w:szCs w:val="18"/>
              </w:rPr>
              <w:t>Any impact from the 6.5% cap on the Addendum meeting its objectives</w:t>
            </w:r>
          </w:p>
          <w:p w14:paraId="780F2F8E" w14:textId="77777777" w:rsidR="004E65AE" w:rsidRPr="00196D8A" w:rsidRDefault="004E65AE" w:rsidP="00D170A5">
            <w:pPr>
              <w:pStyle w:val="TabletextLeft"/>
              <w:numPr>
                <w:ilvl w:val="0"/>
                <w:numId w:val="24"/>
              </w:numPr>
              <w:rPr>
                <w:sz w:val="18"/>
                <w:szCs w:val="18"/>
              </w:rPr>
            </w:pPr>
            <w:r w:rsidRPr="00196D8A">
              <w:rPr>
                <w:sz w:val="18"/>
                <w:szCs w:val="18"/>
              </w:rPr>
              <w:t xml:space="preserve">Changes in demand, capacity, and capability in the wider health system and any impact on the Addendum meeting its objectives </w:t>
            </w:r>
          </w:p>
          <w:p w14:paraId="79A05517" w14:textId="77777777" w:rsidR="004E65AE" w:rsidRPr="00196D8A" w:rsidRDefault="004E65AE" w:rsidP="00D170A5">
            <w:pPr>
              <w:pStyle w:val="TabletextLeft"/>
              <w:numPr>
                <w:ilvl w:val="0"/>
                <w:numId w:val="24"/>
              </w:numPr>
              <w:rPr>
                <w:sz w:val="18"/>
                <w:szCs w:val="18"/>
              </w:rPr>
            </w:pPr>
            <w:r w:rsidRPr="00196D8A">
              <w:rPr>
                <w:sz w:val="18"/>
                <w:szCs w:val="18"/>
              </w:rPr>
              <w:t xml:space="preserve">The suitability of the definition of public hospital services under the Addendum and the way in which decisions are made regarding what meets the definition </w:t>
            </w:r>
          </w:p>
          <w:p w14:paraId="5CB01D20" w14:textId="731D73EA" w:rsidR="002C1E05" w:rsidRPr="00196D8A" w:rsidRDefault="004E65AE" w:rsidP="00D170A5">
            <w:pPr>
              <w:pStyle w:val="TabletextLeft"/>
              <w:numPr>
                <w:ilvl w:val="0"/>
                <w:numId w:val="24"/>
              </w:numPr>
              <w:rPr>
                <w:sz w:val="18"/>
                <w:szCs w:val="18"/>
              </w:rPr>
            </w:pPr>
            <w:r w:rsidRPr="00196D8A">
              <w:rPr>
                <w:sz w:val="18"/>
                <w:szCs w:val="18"/>
              </w:rPr>
              <w:t xml:space="preserve">The extent to which private patient election is made on the basis of informed financial consent </w:t>
            </w:r>
          </w:p>
        </w:tc>
      </w:tr>
      <w:tr w:rsidR="004E65AE" w:rsidRPr="00E20FEA" w14:paraId="62FC0B8C" w14:textId="77777777" w:rsidTr="00196D8A">
        <w:tc>
          <w:tcPr>
            <w:tcW w:w="1287" w:type="pct"/>
            <w:tcBorders>
              <w:top w:val="single" w:sz="8" w:space="0" w:color="D9D9D9"/>
              <w:left w:val="nil"/>
              <w:bottom w:val="single" w:sz="8" w:space="0" w:color="D9D9D9"/>
              <w:right w:val="nil"/>
            </w:tcBorders>
            <w:shd w:val="clear" w:color="auto" w:fill="FFFFFF"/>
          </w:tcPr>
          <w:p w14:paraId="1D84629D" w14:textId="34433BBB" w:rsidR="004E65AE" w:rsidRPr="00196D8A" w:rsidRDefault="000116E7" w:rsidP="005816DD">
            <w:pPr>
              <w:pStyle w:val="TabletextLeft"/>
              <w:rPr>
                <w:sz w:val="18"/>
                <w:szCs w:val="18"/>
              </w:rPr>
            </w:pPr>
            <w:r w:rsidRPr="00196D8A">
              <w:rPr>
                <w:sz w:val="18"/>
                <w:szCs w:val="18"/>
              </w:rPr>
              <w:t>21.e) the performance of the national bodies against their functions, roles and responsibilities</w:t>
            </w:r>
          </w:p>
        </w:tc>
        <w:tc>
          <w:tcPr>
            <w:tcW w:w="3713" w:type="pct"/>
            <w:tcBorders>
              <w:top w:val="single" w:sz="4" w:space="0" w:color="BFBFBF" w:themeColor="background1" w:themeShade="BF"/>
              <w:left w:val="nil"/>
              <w:bottom w:val="single" w:sz="4" w:space="0" w:color="BFBFBF" w:themeColor="background1" w:themeShade="BF"/>
            </w:tcBorders>
          </w:tcPr>
          <w:p w14:paraId="1DE80BCD" w14:textId="77777777" w:rsidR="000116E7" w:rsidRPr="00196D8A" w:rsidRDefault="000116E7" w:rsidP="00D170A5">
            <w:pPr>
              <w:pStyle w:val="TabletextLeft"/>
              <w:numPr>
                <w:ilvl w:val="0"/>
                <w:numId w:val="24"/>
              </w:numPr>
              <w:rPr>
                <w:sz w:val="18"/>
                <w:szCs w:val="18"/>
              </w:rPr>
            </w:pPr>
            <w:r w:rsidRPr="00196D8A">
              <w:rPr>
                <w:sz w:val="18"/>
                <w:szCs w:val="18"/>
              </w:rPr>
              <w:t>Any impact from the 6.5% cap on the Addendum meeting its objectives</w:t>
            </w:r>
          </w:p>
          <w:p w14:paraId="6A198146" w14:textId="77777777" w:rsidR="000116E7" w:rsidRPr="00196D8A" w:rsidRDefault="000116E7" w:rsidP="00D170A5">
            <w:pPr>
              <w:pStyle w:val="TabletextLeft"/>
              <w:numPr>
                <w:ilvl w:val="0"/>
                <w:numId w:val="24"/>
              </w:numPr>
              <w:rPr>
                <w:sz w:val="18"/>
                <w:szCs w:val="18"/>
              </w:rPr>
            </w:pPr>
            <w:r w:rsidRPr="00196D8A">
              <w:rPr>
                <w:sz w:val="18"/>
                <w:szCs w:val="18"/>
              </w:rPr>
              <w:t xml:space="preserve">Changes in demand, capacity, and capability in the wider health system and any impact on the Addendum meeting its objectives </w:t>
            </w:r>
          </w:p>
          <w:p w14:paraId="6F815768" w14:textId="77777777" w:rsidR="000116E7" w:rsidRPr="00196D8A" w:rsidRDefault="000116E7" w:rsidP="00D170A5">
            <w:pPr>
              <w:pStyle w:val="TabletextLeft"/>
              <w:numPr>
                <w:ilvl w:val="0"/>
                <w:numId w:val="24"/>
              </w:numPr>
              <w:rPr>
                <w:sz w:val="18"/>
                <w:szCs w:val="18"/>
              </w:rPr>
            </w:pPr>
            <w:r w:rsidRPr="00196D8A">
              <w:rPr>
                <w:sz w:val="18"/>
                <w:szCs w:val="18"/>
              </w:rPr>
              <w:t xml:space="preserve">The suitability of the definition of public hospital services under the Addendum and the way in which decisions are made regarding what meets the definition </w:t>
            </w:r>
          </w:p>
          <w:p w14:paraId="7AC7EDD5" w14:textId="4D0671A5" w:rsidR="004E65AE" w:rsidRPr="00196D8A" w:rsidRDefault="000116E7" w:rsidP="00D170A5">
            <w:pPr>
              <w:pStyle w:val="TabletextLeft"/>
              <w:numPr>
                <w:ilvl w:val="0"/>
                <w:numId w:val="24"/>
              </w:numPr>
              <w:rPr>
                <w:sz w:val="18"/>
                <w:szCs w:val="18"/>
              </w:rPr>
            </w:pPr>
            <w:r w:rsidRPr="00196D8A">
              <w:rPr>
                <w:sz w:val="18"/>
                <w:szCs w:val="18"/>
              </w:rPr>
              <w:t xml:space="preserve">The extent to which private patient election is made on the basis of informed financial consent </w:t>
            </w:r>
          </w:p>
        </w:tc>
      </w:tr>
      <w:tr w:rsidR="000116E7" w:rsidRPr="00E20FEA" w14:paraId="06F243CE" w14:textId="77777777" w:rsidTr="00196D8A">
        <w:tc>
          <w:tcPr>
            <w:tcW w:w="1287" w:type="pct"/>
            <w:tcBorders>
              <w:top w:val="single" w:sz="8" w:space="0" w:color="D9D9D9"/>
              <w:left w:val="nil"/>
              <w:bottom w:val="single" w:sz="8" w:space="0" w:color="D9D9D9"/>
              <w:right w:val="nil"/>
            </w:tcBorders>
            <w:shd w:val="clear" w:color="auto" w:fill="FFFFFF"/>
          </w:tcPr>
          <w:p w14:paraId="4086E3E2" w14:textId="5C17A481" w:rsidR="000116E7" w:rsidRPr="00196D8A" w:rsidRDefault="000116E7" w:rsidP="000116E7">
            <w:pPr>
              <w:pStyle w:val="TabletextLeft"/>
              <w:rPr>
                <w:sz w:val="18"/>
                <w:szCs w:val="18"/>
              </w:rPr>
            </w:pPr>
            <w:r w:rsidRPr="00196D8A">
              <w:rPr>
                <w:sz w:val="18"/>
                <w:szCs w:val="18"/>
              </w:rPr>
              <w:t>21.f) arrangements for approval and funding of high cost therapies offered in public hospitals, as outlined in Schedule C (</w:t>
            </w:r>
            <w:r w:rsidR="008E2917">
              <w:rPr>
                <w:sz w:val="18"/>
                <w:szCs w:val="18"/>
              </w:rPr>
              <w:t>C</w:t>
            </w:r>
            <w:r w:rsidRPr="00196D8A">
              <w:rPr>
                <w:sz w:val="18"/>
                <w:szCs w:val="18"/>
              </w:rPr>
              <w:t xml:space="preserve">lauses C11 and C12) and Appendix B </w:t>
            </w:r>
          </w:p>
        </w:tc>
        <w:tc>
          <w:tcPr>
            <w:tcW w:w="3713" w:type="pct"/>
            <w:tcBorders>
              <w:top w:val="single" w:sz="4" w:space="0" w:color="BFBFBF" w:themeColor="background1" w:themeShade="BF"/>
              <w:left w:val="nil"/>
              <w:bottom w:val="single" w:sz="4" w:space="0" w:color="BFBFBF" w:themeColor="background1" w:themeShade="BF"/>
            </w:tcBorders>
          </w:tcPr>
          <w:p w14:paraId="11E12FC5" w14:textId="7FFC9161" w:rsidR="000116E7" w:rsidRPr="00196D8A" w:rsidRDefault="00E20FEA" w:rsidP="00D170A5">
            <w:pPr>
              <w:pStyle w:val="TabletextLeft"/>
              <w:numPr>
                <w:ilvl w:val="0"/>
                <w:numId w:val="24"/>
              </w:numPr>
              <w:rPr>
                <w:sz w:val="18"/>
                <w:szCs w:val="18"/>
              </w:rPr>
            </w:pPr>
            <w:r w:rsidRPr="00196D8A">
              <w:rPr>
                <w:sz w:val="18"/>
                <w:szCs w:val="18"/>
              </w:rPr>
              <w:t>Review of implementation of high-cost therapies and MSAC decision making as it applies to the Addendum, including treatment setting, and whether this has resulted in any unintended consequences</w:t>
            </w:r>
          </w:p>
        </w:tc>
      </w:tr>
      <w:tr w:rsidR="000116E7" w:rsidRPr="00E20FEA" w14:paraId="3002CC87" w14:textId="77777777" w:rsidTr="00196D8A">
        <w:tc>
          <w:tcPr>
            <w:tcW w:w="1287" w:type="pct"/>
            <w:tcBorders>
              <w:top w:val="single" w:sz="8" w:space="0" w:color="D9D9D9"/>
              <w:left w:val="nil"/>
              <w:bottom w:val="single" w:sz="8" w:space="0" w:color="D9D9D9"/>
              <w:right w:val="nil"/>
            </w:tcBorders>
            <w:shd w:val="clear" w:color="auto" w:fill="FFFFFF"/>
          </w:tcPr>
          <w:p w14:paraId="1E35DD85" w14:textId="624DEA62" w:rsidR="000116E7" w:rsidRPr="00196D8A" w:rsidRDefault="000116E7" w:rsidP="000116E7">
            <w:pPr>
              <w:pStyle w:val="TabletextLeft"/>
              <w:rPr>
                <w:sz w:val="18"/>
                <w:szCs w:val="18"/>
              </w:rPr>
            </w:pPr>
            <w:r w:rsidRPr="00196D8A">
              <w:rPr>
                <w:sz w:val="18"/>
                <w:szCs w:val="18"/>
              </w:rPr>
              <w:t xml:space="preserve">21.g) other matters as agreed by HMM (formerly CHC) or National Cabinet (formerly COAG) </w:t>
            </w:r>
          </w:p>
        </w:tc>
        <w:tc>
          <w:tcPr>
            <w:tcW w:w="3713" w:type="pct"/>
            <w:tcBorders>
              <w:top w:val="single" w:sz="4" w:space="0" w:color="BFBFBF" w:themeColor="background1" w:themeShade="BF"/>
              <w:left w:val="nil"/>
              <w:bottom w:val="single" w:sz="4" w:space="0" w:color="BFBFBF" w:themeColor="background1" w:themeShade="BF"/>
            </w:tcBorders>
          </w:tcPr>
          <w:p w14:paraId="137FFC68" w14:textId="4C999E50" w:rsidR="000116E7" w:rsidRPr="00196D8A" w:rsidRDefault="00E20FEA" w:rsidP="00D170A5">
            <w:pPr>
              <w:pStyle w:val="TabletextLeft"/>
              <w:numPr>
                <w:ilvl w:val="0"/>
                <w:numId w:val="24"/>
              </w:numPr>
              <w:rPr>
                <w:sz w:val="18"/>
                <w:szCs w:val="18"/>
              </w:rPr>
            </w:pPr>
            <w:r w:rsidRPr="00196D8A">
              <w:rPr>
                <w:sz w:val="18"/>
                <w:szCs w:val="18"/>
              </w:rPr>
              <w:t>In addition to matters that may be referred by HMM or National Cabinet, consideration will be given to the First Secretaries Group Improving Care Pathways project which is focused on the practical improvements to aspects of health system interfaces occurring over the next 12 months, rather than the longer term, funding, and reform arrangements for health systems interface issues in the Addendum. The Review should acknowledge this work and avoid duplicate recommendations.</w:t>
            </w:r>
          </w:p>
        </w:tc>
      </w:tr>
    </w:tbl>
    <w:p w14:paraId="14B4FF53" w14:textId="77777777" w:rsidR="00982F71" w:rsidRDefault="00982F71" w:rsidP="00921B10"/>
    <w:p w14:paraId="54DF32D3" w14:textId="72DA31FB" w:rsidR="00921B10" w:rsidRPr="00921B10" w:rsidRDefault="00921B10" w:rsidP="00D50025">
      <w:pPr>
        <w:pStyle w:val="Appendixhead1"/>
        <w:sectPr w:rsidR="00921B10" w:rsidRPr="00921B10" w:rsidSect="004135E2">
          <w:headerReference w:type="even" r:id="rId118"/>
          <w:headerReference w:type="default" r:id="rId119"/>
          <w:headerReference w:type="first" r:id="rId120"/>
          <w:pgSz w:w="11906" w:h="16838" w:code="9"/>
          <w:pgMar w:top="1276" w:right="720" w:bottom="720" w:left="720" w:header="680" w:footer="425" w:gutter="0"/>
          <w:cols w:space="284"/>
          <w:docGrid w:linePitch="360"/>
        </w:sectPr>
      </w:pPr>
    </w:p>
    <w:p w14:paraId="37D5EC0D" w14:textId="0F476C5C" w:rsidR="00CF3D1F" w:rsidRDefault="009444E1" w:rsidP="0057185D">
      <w:pPr>
        <w:pStyle w:val="Appendixheading"/>
      </w:pPr>
      <w:bookmarkStart w:id="382" w:name="_Ref143697278"/>
      <w:bookmarkStart w:id="383" w:name="_Toc148968357"/>
      <w:bookmarkStart w:id="384" w:name="_Ref142984132"/>
      <w:bookmarkStart w:id="385" w:name="_Toc143291706"/>
      <w:bookmarkStart w:id="386" w:name="_Toc463002439"/>
      <w:bookmarkStart w:id="387" w:name="_Toc472586353"/>
      <w:bookmarkStart w:id="388" w:name="_Toc482168131"/>
      <w:bookmarkStart w:id="389" w:name="_Toc482174916"/>
      <w:bookmarkStart w:id="390" w:name="_Toc33430652"/>
      <w:r>
        <w:t>Reference documents</w:t>
      </w:r>
      <w:bookmarkEnd w:id="382"/>
      <w:bookmarkEnd w:id="383"/>
    </w:p>
    <w:p w14:paraId="68CE8F21" w14:textId="1440146C" w:rsidR="00475B01" w:rsidRPr="00475B01" w:rsidRDefault="00475B01" w:rsidP="00475B01">
      <w:r>
        <w:t>Some of the documents that were referred to and utilised during the Review include:</w:t>
      </w:r>
    </w:p>
    <w:p w14:paraId="53A4D778" w14:textId="556850E7" w:rsidR="00F42263" w:rsidRPr="005D61F9" w:rsidRDefault="00F42263" w:rsidP="00F42263">
      <w:pPr>
        <w:pStyle w:val="ListBullet"/>
        <w:rPr>
          <w:rFonts w:ascii="Calibri Light" w:hAnsi="Calibri Light" w:cs="Calibri Light"/>
          <w:color w:val="0E57FC" w:themeColor="accent4" w:themeTint="99"/>
          <w:szCs w:val="20"/>
        </w:rPr>
      </w:pPr>
      <w:r w:rsidRPr="008E1A60">
        <w:rPr>
          <w:rFonts w:ascii="Calibri Light" w:hAnsi="Calibri Light" w:cs="Calibri Light"/>
          <w:szCs w:val="20"/>
        </w:rPr>
        <w:t xml:space="preserve">Administrator National Health Funding Pool. Annual Report 2021-22. Available from: </w:t>
      </w:r>
      <w:hyperlink r:id="rId121" w:history="1">
        <w:r w:rsidRPr="005D61F9">
          <w:rPr>
            <w:rStyle w:val="Hyperlink"/>
            <w:rFonts w:ascii="Calibri Light" w:hAnsi="Calibri Light" w:cs="Calibri Light"/>
            <w:color w:val="0E57FC" w:themeColor="accent4" w:themeTint="99"/>
            <w:szCs w:val="20"/>
          </w:rPr>
          <w:t>https://www.publichospitalfunding.gov.au/publications/national-health-funding-pool-annual-report-2021-22</w:t>
        </w:r>
      </w:hyperlink>
      <w:r w:rsidRPr="005D61F9">
        <w:rPr>
          <w:rFonts w:ascii="Calibri Light" w:hAnsi="Calibri Light" w:cs="Calibri Light"/>
          <w:color w:val="0E57FC" w:themeColor="accent4" w:themeTint="99"/>
          <w:szCs w:val="20"/>
        </w:rPr>
        <w:t xml:space="preserve"> </w:t>
      </w:r>
    </w:p>
    <w:p w14:paraId="657EB6B4" w14:textId="47AFFEAB" w:rsidR="00F42263" w:rsidRPr="005D61F9" w:rsidRDefault="00F42263" w:rsidP="00F42263">
      <w:pPr>
        <w:pStyle w:val="ListBullet"/>
        <w:rPr>
          <w:rFonts w:ascii="Calibri Light" w:hAnsi="Calibri Light" w:cs="Calibri Light"/>
          <w:color w:val="0E57FC" w:themeColor="accent4" w:themeTint="99"/>
          <w:szCs w:val="20"/>
        </w:rPr>
      </w:pPr>
      <w:r w:rsidRPr="008E1A60">
        <w:rPr>
          <w:rFonts w:ascii="Calibri Light" w:hAnsi="Calibri Light" w:cs="Calibri Light"/>
          <w:szCs w:val="20"/>
        </w:rPr>
        <w:t xml:space="preserve">Administrator National Health Funding Pool. National Health Reform Funding by source. Available from: </w:t>
      </w:r>
      <w:hyperlink r:id="rId122" w:history="1">
        <w:r w:rsidRPr="005D61F9">
          <w:rPr>
            <w:rStyle w:val="Hyperlink"/>
            <w:rFonts w:ascii="Calibri Light" w:hAnsi="Calibri Light" w:cs="Calibri Light"/>
            <w:color w:val="0E57FC" w:themeColor="accent4" w:themeTint="99"/>
            <w:szCs w:val="20"/>
          </w:rPr>
          <w:t>https://www.publichospitalfunding.gov.au/public-hospital-funding-reports</w:t>
        </w:r>
      </w:hyperlink>
      <w:r w:rsidRPr="005D61F9">
        <w:rPr>
          <w:rFonts w:ascii="Calibri Light" w:hAnsi="Calibri Light" w:cs="Calibri Light"/>
          <w:color w:val="0E57FC" w:themeColor="accent4" w:themeTint="99"/>
          <w:szCs w:val="20"/>
        </w:rPr>
        <w:t xml:space="preserve"> </w:t>
      </w:r>
    </w:p>
    <w:p w14:paraId="428A28C1" w14:textId="6723DA0E" w:rsidR="00F42263" w:rsidRPr="005D61F9" w:rsidRDefault="00F42263" w:rsidP="00F42263">
      <w:pPr>
        <w:pStyle w:val="ListBullet"/>
        <w:rPr>
          <w:rFonts w:ascii="Calibri Light" w:hAnsi="Calibri Light" w:cs="Calibri Light"/>
          <w:color w:val="0E57FC" w:themeColor="accent4" w:themeTint="99"/>
          <w:szCs w:val="20"/>
        </w:rPr>
      </w:pPr>
      <w:r w:rsidRPr="008E1A60">
        <w:rPr>
          <w:rFonts w:ascii="Calibri Light" w:hAnsi="Calibri Light" w:cs="Calibri Light"/>
          <w:szCs w:val="20"/>
        </w:rPr>
        <w:t xml:space="preserve">Australian Bureau of Statistics. Consumer Price Index (Health CPI, Total CPI series). Available from: </w:t>
      </w:r>
      <w:hyperlink r:id="rId123" w:history="1">
        <w:r w:rsidRPr="005D61F9">
          <w:rPr>
            <w:rStyle w:val="Hyperlink"/>
            <w:rFonts w:ascii="Calibri Light" w:hAnsi="Calibri Light" w:cs="Calibri Light"/>
            <w:color w:val="0E57FC" w:themeColor="accent4" w:themeTint="99"/>
            <w:szCs w:val="20"/>
          </w:rPr>
          <w:t>https://www.abs.gov.au/statistics/economy/price-indexes-and-inflation/consumer-price-index-australia</w:t>
        </w:r>
      </w:hyperlink>
    </w:p>
    <w:p w14:paraId="5CE570A1" w14:textId="445CBED5" w:rsidR="00F42263" w:rsidRPr="005D61F9" w:rsidRDefault="00F42263" w:rsidP="00F42263">
      <w:pPr>
        <w:pStyle w:val="ListBullet"/>
        <w:rPr>
          <w:rFonts w:ascii="Calibri Light" w:hAnsi="Calibri Light" w:cs="Calibri Light"/>
          <w:color w:val="0E57FC" w:themeColor="accent4" w:themeTint="99"/>
          <w:szCs w:val="20"/>
        </w:rPr>
      </w:pPr>
      <w:r w:rsidRPr="008E1A60">
        <w:rPr>
          <w:rFonts w:ascii="Calibri Light" w:hAnsi="Calibri Light" w:cs="Calibri Light"/>
          <w:szCs w:val="20"/>
        </w:rPr>
        <w:t xml:space="preserve">Australian Commission on Safety and Quality in Health Care. Annual Report 2021-22. Available from:   </w:t>
      </w:r>
      <w:hyperlink r:id="rId124" w:history="1">
        <w:r w:rsidRPr="005D61F9">
          <w:rPr>
            <w:rStyle w:val="Hyperlink"/>
            <w:rFonts w:ascii="Calibri Light" w:hAnsi="Calibri Light" w:cs="Calibri Light"/>
            <w:color w:val="0E57FC" w:themeColor="accent4" w:themeTint="99"/>
            <w:szCs w:val="20"/>
          </w:rPr>
          <w:t>https://www.safetyandquality.gov.au/publications-and-resources/resource-library/acsqhc-annual-report-2021-22</w:t>
        </w:r>
      </w:hyperlink>
      <w:r w:rsidRPr="005D61F9">
        <w:rPr>
          <w:rFonts w:ascii="Calibri Light" w:hAnsi="Calibri Light" w:cs="Calibri Light"/>
          <w:color w:val="0E57FC" w:themeColor="accent4" w:themeTint="99"/>
          <w:szCs w:val="20"/>
        </w:rPr>
        <w:t xml:space="preserve"> </w:t>
      </w:r>
    </w:p>
    <w:p w14:paraId="255ED04A" w14:textId="088B1F8D" w:rsidR="001211E0" w:rsidRPr="005D61F9" w:rsidRDefault="001211E0" w:rsidP="001211E0">
      <w:pPr>
        <w:pStyle w:val="ListBullet"/>
        <w:rPr>
          <w:rStyle w:val="Hyperlink"/>
          <w:rFonts w:ascii="Calibri Light" w:hAnsi="Calibri Light" w:cs="Calibri Light"/>
          <w:color w:val="0E57FC" w:themeColor="accent4" w:themeTint="99"/>
          <w:szCs w:val="20"/>
        </w:rPr>
      </w:pPr>
      <w:r w:rsidRPr="008E1A60">
        <w:rPr>
          <w:rFonts w:ascii="Calibri Light" w:hAnsi="Calibri Light" w:cs="Calibri Light"/>
          <w:szCs w:val="20"/>
        </w:rPr>
        <w:t xml:space="preserve">Australian Commission on Safety and Quality in Health Care. The Fourth Atlas. Available from: </w:t>
      </w:r>
      <w:hyperlink r:id="rId125" w:history="1">
        <w:r w:rsidRPr="005D61F9">
          <w:rPr>
            <w:rStyle w:val="Hyperlink"/>
            <w:rFonts w:ascii="Calibri Light" w:hAnsi="Calibri Light" w:cs="Calibri Light"/>
            <w:color w:val="0E57FC" w:themeColor="accent4" w:themeTint="99"/>
            <w:szCs w:val="20"/>
          </w:rPr>
          <w:t>https://www.safetyandquality.gov.au/sites/default/files/2021-04/The%20Fourth%20Australian%20Atlas%20of%20Healthcare%20Variation%202021_Full%20publication.pdf</w:t>
        </w:r>
      </w:hyperlink>
    </w:p>
    <w:p w14:paraId="15B1F08E" w14:textId="08EDF55B" w:rsidR="00F42263" w:rsidRPr="005D61F9" w:rsidRDefault="00F42263" w:rsidP="00F42263">
      <w:pPr>
        <w:pStyle w:val="ListBullet"/>
        <w:rPr>
          <w:rFonts w:ascii="Calibri Light" w:hAnsi="Calibri Light" w:cs="Calibri Light"/>
          <w:color w:val="0E57FC" w:themeColor="accent4" w:themeTint="99"/>
          <w:szCs w:val="20"/>
        </w:rPr>
      </w:pPr>
      <w:r w:rsidRPr="008E1A60">
        <w:rPr>
          <w:rFonts w:ascii="Calibri Light" w:hAnsi="Calibri Light" w:cs="Calibri Light"/>
          <w:szCs w:val="20"/>
        </w:rPr>
        <w:t xml:space="preserve">Australian Institute of Health and Welfare. Annual Report. Available from: </w:t>
      </w:r>
      <w:hyperlink r:id="rId126" w:history="1">
        <w:r w:rsidRPr="005D61F9">
          <w:rPr>
            <w:rStyle w:val="Hyperlink"/>
            <w:rFonts w:ascii="Calibri Light" w:hAnsi="Calibri Light" w:cs="Calibri Light"/>
            <w:color w:val="0E57FC" w:themeColor="accent4" w:themeTint="99"/>
            <w:szCs w:val="20"/>
          </w:rPr>
          <w:t>https://www.aihw.gov.au/reports/corporate-publications/annual-report-2021-22/contents/summary</w:t>
        </w:r>
      </w:hyperlink>
      <w:r w:rsidRPr="005D61F9">
        <w:rPr>
          <w:rFonts w:ascii="Calibri Light" w:hAnsi="Calibri Light" w:cs="Calibri Light"/>
          <w:color w:val="0E57FC" w:themeColor="accent4" w:themeTint="99"/>
          <w:szCs w:val="20"/>
        </w:rPr>
        <w:t xml:space="preserve"> </w:t>
      </w:r>
    </w:p>
    <w:p w14:paraId="66664177" w14:textId="5A719A51" w:rsidR="00F42263" w:rsidRPr="005D61F9" w:rsidRDefault="00F42263" w:rsidP="00F42263">
      <w:pPr>
        <w:pStyle w:val="ListBullet"/>
        <w:rPr>
          <w:rFonts w:ascii="Calibri Light" w:hAnsi="Calibri Light" w:cs="Calibri Light"/>
          <w:color w:val="0E57FC" w:themeColor="accent4" w:themeTint="99"/>
          <w:szCs w:val="20"/>
        </w:rPr>
      </w:pPr>
      <w:r w:rsidRPr="008E1A60">
        <w:rPr>
          <w:rFonts w:ascii="Calibri Light" w:hAnsi="Calibri Light" w:cs="Calibri Light"/>
          <w:szCs w:val="20"/>
        </w:rPr>
        <w:t xml:space="preserve">Australian Institute of Health and Welfare. Health Performance Framework. Available from:  </w:t>
      </w:r>
      <w:hyperlink r:id="rId127" w:history="1">
        <w:r w:rsidRPr="005D61F9">
          <w:rPr>
            <w:rStyle w:val="Hyperlink"/>
            <w:rFonts w:ascii="Calibri Light" w:hAnsi="Calibri Light" w:cs="Calibri Light"/>
            <w:color w:val="0E57FC" w:themeColor="accent4" w:themeTint="99"/>
            <w:szCs w:val="20"/>
          </w:rPr>
          <w:t>https://www.aihw.gov.au/reports-data/indicators/australias-health-performance-framework</w:t>
        </w:r>
      </w:hyperlink>
      <w:r w:rsidRPr="005D61F9">
        <w:rPr>
          <w:rFonts w:ascii="Calibri Light" w:hAnsi="Calibri Light" w:cs="Calibri Light"/>
          <w:color w:val="0E57FC" w:themeColor="accent4" w:themeTint="99"/>
          <w:szCs w:val="20"/>
        </w:rPr>
        <w:t xml:space="preserve"> </w:t>
      </w:r>
    </w:p>
    <w:p w14:paraId="22E6CB65" w14:textId="7246423B" w:rsidR="001211E0" w:rsidRPr="005D61F9" w:rsidRDefault="001211E0" w:rsidP="001211E0">
      <w:pPr>
        <w:pStyle w:val="ListBullet"/>
        <w:rPr>
          <w:rStyle w:val="Hyperlink"/>
          <w:rFonts w:ascii="Calibri Light" w:hAnsi="Calibri Light" w:cs="Calibri Light"/>
          <w:color w:val="0E57FC" w:themeColor="accent4" w:themeTint="99"/>
          <w:szCs w:val="20"/>
        </w:rPr>
      </w:pPr>
      <w:r w:rsidRPr="008E1A60">
        <w:rPr>
          <w:rFonts w:ascii="Calibri Light" w:hAnsi="Calibri Light" w:cs="Calibri Light"/>
          <w:szCs w:val="20"/>
        </w:rPr>
        <w:t xml:space="preserve">Australian Institute of Health and Welfare. Health workforce. Available from: </w:t>
      </w:r>
      <w:hyperlink r:id="rId128" w:history="1">
        <w:r w:rsidRPr="005D61F9">
          <w:rPr>
            <w:rStyle w:val="Hyperlink"/>
            <w:rFonts w:ascii="Calibri Light" w:hAnsi="Calibri Light" w:cs="Calibri Light"/>
            <w:color w:val="0E57FC" w:themeColor="accent4" w:themeTint="99"/>
            <w:szCs w:val="20"/>
          </w:rPr>
          <w:t>https://www.aihw.gov.au/reports/workforce/health-workforce</w:t>
        </w:r>
      </w:hyperlink>
    </w:p>
    <w:p w14:paraId="3752B8FB" w14:textId="06666604" w:rsidR="001211E0" w:rsidRPr="005D61F9" w:rsidRDefault="001211E0" w:rsidP="001211E0">
      <w:pPr>
        <w:pStyle w:val="ListBullet"/>
        <w:rPr>
          <w:rStyle w:val="Hyperlink"/>
          <w:rFonts w:ascii="Calibri Light" w:hAnsi="Calibri Light" w:cs="Calibri Light"/>
          <w:color w:val="0E57FC" w:themeColor="accent4" w:themeTint="99"/>
          <w:szCs w:val="20"/>
          <w:u w:val="none"/>
        </w:rPr>
      </w:pPr>
      <w:r w:rsidRPr="008E1A60">
        <w:rPr>
          <w:rFonts w:ascii="Calibri Light" w:hAnsi="Calibri Light" w:cs="Calibri Light"/>
          <w:szCs w:val="20"/>
        </w:rPr>
        <w:t xml:space="preserve">Australian Institute of Health and Welfare. Australia’s hospitals at a glance, Hospital activity. Available from: </w:t>
      </w:r>
      <w:hyperlink r:id="rId129" w:history="1">
        <w:r w:rsidRPr="005D61F9">
          <w:rPr>
            <w:rStyle w:val="Hyperlink"/>
            <w:rFonts w:ascii="Calibri Light" w:hAnsi="Calibri Light" w:cs="Calibri Light"/>
            <w:color w:val="0E57FC" w:themeColor="accent4" w:themeTint="99"/>
            <w:szCs w:val="20"/>
          </w:rPr>
          <w:t>https://www.aihw.gov.au/reports/hospitals/australias-hospitals-at-a-glance/contents/hospital-activity</w:t>
        </w:r>
      </w:hyperlink>
    </w:p>
    <w:p w14:paraId="742E8289" w14:textId="23517F01" w:rsidR="001211E0" w:rsidRPr="005D61F9" w:rsidRDefault="001211E0" w:rsidP="001211E0">
      <w:pPr>
        <w:pStyle w:val="ListBullet"/>
        <w:rPr>
          <w:rStyle w:val="Hyperlink"/>
          <w:rFonts w:ascii="Calibri Light" w:hAnsi="Calibri Light" w:cs="Calibri Light"/>
          <w:color w:val="0E57FC" w:themeColor="accent4" w:themeTint="99"/>
          <w:szCs w:val="20"/>
          <w:u w:val="none"/>
        </w:rPr>
      </w:pPr>
      <w:r w:rsidRPr="008E1A60">
        <w:rPr>
          <w:rFonts w:ascii="Calibri Light" w:hAnsi="Calibri Light" w:cs="Calibri Light"/>
          <w:szCs w:val="20"/>
        </w:rPr>
        <w:t xml:space="preserve">Australian Institute of Health and Welfare. Health Expenditure Australia 2020-21. Available from: </w:t>
      </w:r>
      <w:hyperlink r:id="rId130" w:history="1">
        <w:r w:rsidRPr="005D61F9">
          <w:rPr>
            <w:rStyle w:val="Hyperlink"/>
            <w:rFonts w:ascii="Calibri Light" w:hAnsi="Calibri Light" w:cs="Calibri Light"/>
            <w:color w:val="0E57FC" w:themeColor="accent4" w:themeTint="99"/>
            <w:szCs w:val="20"/>
          </w:rPr>
          <w:t>https://www.aihw.gov.au/reports/health-welfare-expenditure/health-expenditure-australia-2020-21/contents/about</w:t>
        </w:r>
      </w:hyperlink>
    </w:p>
    <w:p w14:paraId="2F6734BC" w14:textId="003799FA" w:rsidR="001211E0" w:rsidRPr="005D61F9" w:rsidRDefault="001211E0" w:rsidP="009719E8">
      <w:pPr>
        <w:pStyle w:val="ListBullet"/>
        <w:rPr>
          <w:rFonts w:ascii="Calibri Light" w:hAnsi="Calibri Light" w:cs="Calibri Light"/>
          <w:color w:val="0E57FC" w:themeColor="accent4" w:themeTint="99"/>
          <w:szCs w:val="20"/>
        </w:rPr>
      </w:pPr>
      <w:r w:rsidRPr="008E1A60">
        <w:rPr>
          <w:rFonts w:ascii="Calibri Light" w:hAnsi="Calibri Light" w:cs="Calibri Light"/>
          <w:szCs w:val="20"/>
        </w:rPr>
        <w:t xml:space="preserve">Australian Institute of Health and Welfare. Admitted patient safety and quality. Available from: </w:t>
      </w:r>
      <w:hyperlink r:id="rId131" w:history="1">
        <w:r w:rsidRPr="005D61F9">
          <w:rPr>
            <w:rStyle w:val="Hyperlink"/>
            <w:rFonts w:ascii="Calibri Light" w:hAnsi="Calibri Light" w:cs="Calibri Light"/>
            <w:color w:val="0E57FC" w:themeColor="accent4" w:themeTint="99"/>
            <w:szCs w:val="20"/>
          </w:rPr>
          <w:t>https://www.aihw.gov.au/reports-data/myhospitals/intersection/quality/apc</w:t>
        </w:r>
      </w:hyperlink>
    </w:p>
    <w:p w14:paraId="2884F09B" w14:textId="4C8B7F65" w:rsidR="00F42263" w:rsidRPr="005D61F9" w:rsidRDefault="00F42263" w:rsidP="00F42263">
      <w:pPr>
        <w:pStyle w:val="ListBullet"/>
        <w:rPr>
          <w:rFonts w:ascii="Calibri Light" w:hAnsi="Calibri Light" w:cs="Calibri Light"/>
          <w:color w:val="0E57FC" w:themeColor="accent4" w:themeTint="99"/>
          <w:szCs w:val="20"/>
        </w:rPr>
      </w:pPr>
      <w:r w:rsidRPr="008E1A60">
        <w:rPr>
          <w:rFonts w:ascii="Calibri Light" w:hAnsi="Calibri Light" w:cs="Calibri Light"/>
          <w:szCs w:val="20"/>
        </w:rPr>
        <w:t>Australian Institute of Health and Welfare. Elective Surgery Waiting Times. Available from</w:t>
      </w:r>
      <w:r w:rsidRPr="005D61F9">
        <w:rPr>
          <w:rFonts w:ascii="Calibri Light" w:hAnsi="Calibri Light" w:cs="Calibri Light"/>
          <w:color w:val="0E57FC" w:themeColor="accent4" w:themeTint="99"/>
          <w:szCs w:val="20"/>
        </w:rPr>
        <w:t xml:space="preserve">: </w:t>
      </w:r>
      <w:hyperlink r:id="rId132" w:history="1">
        <w:r w:rsidRPr="005D61F9">
          <w:rPr>
            <w:rStyle w:val="Hyperlink"/>
            <w:rFonts w:ascii="Calibri Light" w:hAnsi="Calibri Light" w:cs="Calibri Light"/>
            <w:color w:val="0E57FC" w:themeColor="accent4" w:themeTint="99"/>
            <w:szCs w:val="20"/>
          </w:rPr>
          <w:t>https://www.aihw.gov.au/reports-data/myhospitals/sectors/elective-surgery</w:t>
        </w:r>
      </w:hyperlink>
    </w:p>
    <w:p w14:paraId="3FD606E0" w14:textId="748FE3F8" w:rsidR="00F42263" w:rsidRPr="005D61F9" w:rsidRDefault="00F42263" w:rsidP="00F42263">
      <w:pPr>
        <w:pStyle w:val="ListBullet"/>
        <w:rPr>
          <w:rFonts w:ascii="Calibri Light" w:hAnsi="Calibri Light" w:cs="Calibri Light"/>
          <w:color w:val="0E57FC" w:themeColor="accent4" w:themeTint="99"/>
          <w:szCs w:val="20"/>
        </w:rPr>
      </w:pPr>
      <w:r w:rsidRPr="008E1A60">
        <w:rPr>
          <w:rFonts w:ascii="Calibri Light" w:hAnsi="Calibri Light" w:cs="Calibri Light"/>
          <w:szCs w:val="20"/>
        </w:rPr>
        <w:t xml:space="preserve">Australian Institute of Health and Welfare. Emergency Department Data Extract. Available from:  </w:t>
      </w:r>
      <w:hyperlink r:id="rId133" w:history="1">
        <w:r w:rsidRPr="005D61F9">
          <w:rPr>
            <w:rStyle w:val="Hyperlink"/>
            <w:rFonts w:ascii="Calibri Light" w:hAnsi="Calibri Light" w:cs="Calibri Light"/>
            <w:color w:val="0E57FC" w:themeColor="accent4" w:themeTint="99"/>
            <w:szCs w:val="20"/>
          </w:rPr>
          <w:t>https://www.aihw.gov.au/reports-data/myhospitals/sectors/emergency-department-care</w:t>
        </w:r>
      </w:hyperlink>
    </w:p>
    <w:p w14:paraId="561E09D7" w14:textId="77777777" w:rsidR="00F42263" w:rsidRPr="008E1A60" w:rsidRDefault="00F42263" w:rsidP="00F42263">
      <w:pPr>
        <w:pStyle w:val="ListBullet"/>
        <w:rPr>
          <w:rFonts w:ascii="Calibri Light" w:hAnsi="Calibri Light" w:cs="Calibri Light"/>
          <w:szCs w:val="20"/>
        </w:rPr>
      </w:pPr>
      <w:r w:rsidRPr="008E1A60">
        <w:rPr>
          <w:rFonts w:ascii="Calibri Light" w:hAnsi="Calibri Light" w:cs="Calibri Light"/>
          <w:szCs w:val="20"/>
        </w:rPr>
        <w:t>Australian Institute of Health and Welfare. Hospital Acquired Complications (not publicly available)</w:t>
      </w:r>
    </w:p>
    <w:p w14:paraId="5F6B61CC" w14:textId="77777777" w:rsidR="001211E0" w:rsidRPr="008E1A60" w:rsidRDefault="001211E0" w:rsidP="001211E0">
      <w:pPr>
        <w:pStyle w:val="ListBullet"/>
        <w:rPr>
          <w:rFonts w:ascii="Calibri Light" w:hAnsi="Calibri Light" w:cs="Calibri Light"/>
          <w:szCs w:val="20"/>
        </w:rPr>
      </w:pPr>
      <w:r w:rsidRPr="008E1A60">
        <w:rPr>
          <w:rFonts w:ascii="Calibri Light" w:hAnsi="Calibri Light" w:cs="Calibri Light"/>
          <w:szCs w:val="20"/>
        </w:rPr>
        <w:t>Bilateral Agreement between the Commonwealth and Tasmania for minimum funding for public hospital services:</w:t>
      </w:r>
    </w:p>
    <w:p w14:paraId="3593ADE5" w14:textId="0AD2F5B9" w:rsidR="001211E0" w:rsidRPr="005D61F9" w:rsidRDefault="00000000" w:rsidP="004568DD">
      <w:pPr>
        <w:pStyle w:val="Subdotpoint"/>
        <w:spacing w:after="0"/>
        <w:ind w:left="993"/>
        <w:rPr>
          <w:rFonts w:ascii="Calibri Light" w:hAnsi="Calibri Light" w:cs="Calibri Light"/>
          <w:color w:val="0E57FC" w:themeColor="accent4" w:themeTint="99"/>
        </w:rPr>
      </w:pPr>
      <w:hyperlink r:id="rId134" w:history="1">
        <w:r w:rsidR="001211E0" w:rsidRPr="005D61F9">
          <w:rPr>
            <w:rStyle w:val="Hyperlink"/>
            <w:rFonts w:ascii="Calibri Light" w:hAnsi="Calibri Light" w:cs="Calibri Light"/>
            <w:color w:val="0E57FC" w:themeColor="accent4" w:themeTint="99"/>
          </w:rPr>
          <w:t>https://federalfinancialrelations.gov.au/sites/federalfinancialrelations.gov.au/files/2021-08/Tas_bilateral_-_signed.pdf</w:t>
        </w:r>
      </w:hyperlink>
      <w:r w:rsidR="001211E0" w:rsidRPr="005D61F9">
        <w:rPr>
          <w:rFonts w:ascii="Calibri Light" w:hAnsi="Calibri Light" w:cs="Calibri Light"/>
          <w:color w:val="0E57FC" w:themeColor="accent4" w:themeTint="99"/>
        </w:rPr>
        <w:t xml:space="preserve">   </w:t>
      </w:r>
    </w:p>
    <w:p w14:paraId="7D8306E0" w14:textId="022B06B5" w:rsidR="001211E0" w:rsidRPr="008E1A60" w:rsidRDefault="00000000" w:rsidP="004568DD">
      <w:pPr>
        <w:pStyle w:val="Subdotpoint"/>
        <w:spacing w:after="0"/>
        <w:ind w:left="993"/>
        <w:rPr>
          <w:rFonts w:ascii="Calibri Light" w:hAnsi="Calibri Light" w:cs="Calibri Light"/>
        </w:rPr>
      </w:pPr>
      <w:hyperlink r:id="rId135" w:history="1">
        <w:r w:rsidR="001211E0" w:rsidRPr="005D61F9">
          <w:rPr>
            <w:rStyle w:val="Hyperlink"/>
            <w:rFonts w:ascii="Calibri Light" w:hAnsi="Calibri Light" w:cs="Calibri Light"/>
            <w:color w:val="0E57FC" w:themeColor="accent4" w:themeTint="99"/>
          </w:rPr>
          <w:t>https://federalfinancialrelations.gov.au/sites/federalfinancialrelations.gov.au/files/2021-09/Tas_bilateral_extension_signed.PDF</w:t>
        </w:r>
      </w:hyperlink>
      <w:r w:rsidR="001211E0" w:rsidRPr="008E1A60">
        <w:rPr>
          <w:rFonts w:ascii="Calibri Light" w:hAnsi="Calibri Light" w:cs="Calibri Light"/>
        </w:rPr>
        <w:t xml:space="preserve"> </w:t>
      </w:r>
    </w:p>
    <w:p w14:paraId="26ABB3AA" w14:textId="77777777" w:rsidR="001211E0" w:rsidRPr="008E1A60" w:rsidRDefault="001211E0" w:rsidP="001211E0">
      <w:pPr>
        <w:pStyle w:val="ListBullet"/>
        <w:rPr>
          <w:rFonts w:ascii="Calibri Light" w:hAnsi="Calibri Light" w:cs="Calibri Light"/>
          <w:szCs w:val="20"/>
        </w:rPr>
      </w:pPr>
      <w:r w:rsidRPr="008E1A60">
        <w:rPr>
          <w:rFonts w:ascii="Calibri Light" w:hAnsi="Calibri Light" w:cs="Calibri Light"/>
          <w:szCs w:val="20"/>
        </w:rPr>
        <w:t xml:space="preserve">Bilateral Agreement between the Commonwealth and the ACT for minimum funding for public hospital services: </w:t>
      </w:r>
    </w:p>
    <w:p w14:paraId="24185701" w14:textId="5340242B" w:rsidR="001211E0" w:rsidRPr="005D61F9" w:rsidRDefault="00000000" w:rsidP="004568DD">
      <w:pPr>
        <w:pStyle w:val="Subdotpoint"/>
        <w:spacing w:after="0"/>
        <w:ind w:left="993"/>
        <w:rPr>
          <w:rFonts w:ascii="Calibri Light" w:hAnsi="Calibri Light" w:cs="Calibri Light"/>
          <w:color w:val="0E57FC" w:themeColor="accent4" w:themeTint="99"/>
        </w:rPr>
      </w:pPr>
      <w:hyperlink r:id="rId136" w:history="1">
        <w:r w:rsidR="001211E0" w:rsidRPr="005D61F9">
          <w:rPr>
            <w:rStyle w:val="Hyperlink"/>
            <w:rFonts w:ascii="Calibri Light" w:hAnsi="Calibri Light" w:cs="Calibri Light"/>
            <w:color w:val="0E57FC" w:themeColor="accent4" w:themeTint="99"/>
          </w:rPr>
          <w:t>https://federalfinancialrelations.gov.au/sites/federalfinancialrelations.gov.au/files/2021-07/ACT_bilateral_-_signed.pdf</w:t>
        </w:r>
      </w:hyperlink>
      <w:r w:rsidR="001211E0" w:rsidRPr="005D61F9">
        <w:rPr>
          <w:rFonts w:ascii="Calibri Light" w:hAnsi="Calibri Light" w:cs="Calibri Light"/>
          <w:color w:val="0E57FC" w:themeColor="accent4" w:themeTint="99"/>
        </w:rPr>
        <w:t xml:space="preserve"> </w:t>
      </w:r>
    </w:p>
    <w:p w14:paraId="54CE7776" w14:textId="62108517" w:rsidR="001211E0" w:rsidRPr="005D61F9" w:rsidRDefault="00000000" w:rsidP="004568DD">
      <w:pPr>
        <w:pStyle w:val="Subdotpoint"/>
        <w:spacing w:after="0"/>
        <w:ind w:left="993"/>
        <w:rPr>
          <w:rFonts w:ascii="Calibri Light" w:hAnsi="Calibri Light" w:cs="Calibri Light"/>
          <w:color w:val="0E57FC" w:themeColor="accent4" w:themeTint="99"/>
        </w:rPr>
      </w:pPr>
      <w:hyperlink r:id="rId137" w:history="1">
        <w:r w:rsidR="001211E0" w:rsidRPr="005D61F9">
          <w:rPr>
            <w:rStyle w:val="Hyperlink"/>
            <w:rFonts w:ascii="Calibri Light" w:hAnsi="Calibri Light" w:cs="Calibri Light"/>
            <w:color w:val="0E57FC" w:themeColor="accent4" w:themeTint="99"/>
          </w:rPr>
          <w:t>https://federalfinancialrelations.gov.au/sites/federalfinancialrelations.gov.au/files/2021-07/ACT_bilateral_extension_signed.pdf</w:t>
        </w:r>
      </w:hyperlink>
      <w:r w:rsidR="001211E0" w:rsidRPr="005D61F9">
        <w:rPr>
          <w:rFonts w:ascii="Calibri Light" w:hAnsi="Calibri Light" w:cs="Calibri Light"/>
          <w:color w:val="0E57FC" w:themeColor="accent4" w:themeTint="99"/>
        </w:rPr>
        <w:t xml:space="preserve"> </w:t>
      </w:r>
    </w:p>
    <w:p w14:paraId="0FC9C941" w14:textId="77777777" w:rsidR="001211E0" w:rsidRPr="008E1A60" w:rsidRDefault="001211E0" w:rsidP="001211E0">
      <w:pPr>
        <w:pStyle w:val="ListBullet"/>
        <w:rPr>
          <w:rFonts w:ascii="Calibri Light" w:hAnsi="Calibri Light" w:cs="Calibri Light"/>
          <w:szCs w:val="20"/>
        </w:rPr>
      </w:pPr>
      <w:r w:rsidRPr="008E1A60">
        <w:rPr>
          <w:rFonts w:ascii="Calibri Light" w:hAnsi="Calibri Light" w:cs="Calibri Light"/>
          <w:szCs w:val="20"/>
        </w:rPr>
        <w:t xml:space="preserve">Bilateral Agreement between the Commonwealth and the Northern Territory for minimum funding for public hospital services: </w:t>
      </w:r>
    </w:p>
    <w:p w14:paraId="4B3A7EDB" w14:textId="49098679" w:rsidR="001211E0" w:rsidRPr="005D61F9" w:rsidRDefault="00000000" w:rsidP="004568DD">
      <w:pPr>
        <w:pStyle w:val="Subdotpoint"/>
        <w:spacing w:after="0"/>
        <w:ind w:left="993"/>
        <w:rPr>
          <w:rFonts w:ascii="Calibri Light" w:hAnsi="Calibri Light" w:cs="Calibri Light"/>
          <w:color w:val="0E57FC" w:themeColor="accent4" w:themeTint="99"/>
        </w:rPr>
      </w:pPr>
      <w:hyperlink r:id="rId138" w:history="1">
        <w:r w:rsidR="001211E0" w:rsidRPr="005D61F9">
          <w:rPr>
            <w:rStyle w:val="Hyperlink"/>
            <w:rFonts w:ascii="Calibri Light" w:hAnsi="Calibri Light" w:cs="Calibri Light"/>
            <w:color w:val="0E57FC" w:themeColor="accent4" w:themeTint="99"/>
          </w:rPr>
          <w:t>https://federalfinancialrelations.gov.au/sites/federalfinancialrelations.gov.au/files/2021-07/NT_bilateral_-_signed.pdf</w:t>
        </w:r>
      </w:hyperlink>
      <w:r w:rsidR="001211E0" w:rsidRPr="005D61F9">
        <w:rPr>
          <w:rFonts w:ascii="Calibri Light" w:hAnsi="Calibri Light" w:cs="Calibri Light"/>
          <w:color w:val="0E57FC" w:themeColor="accent4" w:themeTint="99"/>
        </w:rPr>
        <w:t xml:space="preserve"> </w:t>
      </w:r>
    </w:p>
    <w:p w14:paraId="1E2172E6" w14:textId="678FDA5E" w:rsidR="001211E0" w:rsidRPr="008E1A60" w:rsidRDefault="00000000" w:rsidP="004568DD">
      <w:pPr>
        <w:pStyle w:val="Subdotpoint"/>
        <w:spacing w:after="0"/>
        <w:ind w:left="993"/>
        <w:rPr>
          <w:rFonts w:ascii="Calibri Light" w:hAnsi="Calibri Light" w:cs="Calibri Light"/>
        </w:rPr>
      </w:pPr>
      <w:hyperlink r:id="rId139" w:history="1">
        <w:r w:rsidR="001211E0" w:rsidRPr="005D61F9">
          <w:rPr>
            <w:rStyle w:val="Hyperlink"/>
            <w:rFonts w:ascii="Calibri Light" w:hAnsi="Calibri Light" w:cs="Calibri Light"/>
            <w:color w:val="0E57FC" w:themeColor="accent4" w:themeTint="99"/>
          </w:rPr>
          <w:t>https://federalfinancialrelations.gov.au/sites/federalfinancialrelations.gov.au/files/2021-07/NT_bilateral_extension_signed.pdf</w:t>
        </w:r>
      </w:hyperlink>
      <w:r w:rsidR="001211E0" w:rsidRPr="008E1A60">
        <w:rPr>
          <w:rFonts w:ascii="Calibri Light" w:hAnsi="Calibri Light" w:cs="Calibri Light"/>
        </w:rPr>
        <w:t xml:space="preserve"> </w:t>
      </w:r>
    </w:p>
    <w:p w14:paraId="0441A525" w14:textId="20C95103" w:rsidR="001211E0" w:rsidRPr="005D61F9" w:rsidRDefault="001211E0" w:rsidP="001211E0">
      <w:pPr>
        <w:pStyle w:val="ListBullet"/>
        <w:rPr>
          <w:rFonts w:ascii="Calibri Light" w:hAnsi="Calibri Light" w:cs="Calibri Light"/>
          <w:color w:val="0E57FC" w:themeColor="accent4" w:themeTint="99"/>
          <w:szCs w:val="20"/>
        </w:rPr>
      </w:pPr>
      <w:r w:rsidRPr="008E1A60">
        <w:rPr>
          <w:rFonts w:ascii="Calibri Light" w:hAnsi="Calibri Light" w:cs="Calibri Light"/>
          <w:szCs w:val="20"/>
        </w:rPr>
        <w:t xml:space="preserve">Bilateral agreements on co-ordinated care reforms with all States and Territories - </w:t>
      </w:r>
      <w:hyperlink r:id="rId140" w:history="1">
        <w:r w:rsidRPr="005D61F9">
          <w:rPr>
            <w:rStyle w:val="Hyperlink"/>
            <w:rFonts w:ascii="Calibri Light" w:hAnsi="Calibri Light" w:cs="Calibri Light"/>
            <w:color w:val="0E57FC" w:themeColor="accent4" w:themeTint="99"/>
            <w:szCs w:val="20"/>
          </w:rPr>
          <w:t>https://federalfinancialrelations.gov.au/agreements/national-health-reform-agreement</w:t>
        </w:r>
      </w:hyperlink>
      <w:r w:rsidRPr="005D61F9">
        <w:rPr>
          <w:rFonts w:ascii="Calibri Light" w:hAnsi="Calibri Light" w:cs="Calibri Light"/>
          <w:color w:val="0E57FC" w:themeColor="accent4" w:themeTint="99"/>
          <w:szCs w:val="20"/>
        </w:rPr>
        <w:t xml:space="preserve"> </w:t>
      </w:r>
    </w:p>
    <w:p w14:paraId="6EB3465C" w14:textId="31176B97" w:rsidR="009719E8" w:rsidRPr="005D61F9" w:rsidRDefault="001211E0" w:rsidP="009719E8">
      <w:pPr>
        <w:pStyle w:val="ListBullet"/>
        <w:rPr>
          <w:rFonts w:ascii="Calibri Light" w:hAnsi="Calibri Light" w:cs="Calibri Light"/>
          <w:color w:val="0E57FC" w:themeColor="accent4" w:themeTint="99"/>
          <w:szCs w:val="20"/>
        </w:rPr>
      </w:pPr>
      <w:r w:rsidRPr="008E1A60">
        <w:rPr>
          <w:rFonts w:ascii="Calibri Light" w:hAnsi="Calibri Light" w:cs="Calibri Light"/>
          <w:szCs w:val="20"/>
        </w:rPr>
        <w:t xml:space="preserve">Commonwealth Government of Australia. </w:t>
      </w:r>
      <w:r w:rsidR="009719E8" w:rsidRPr="008E1A60">
        <w:rPr>
          <w:rFonts w:ascii="Calibri Light" w:hAnsi="Calibri Light" w:cs="Calibri Light"/>
          <w:i/>
          <w:szCs w:val="20"/>
        </w:rPr>
        <w:t>National Health Reform Act 2011</w:t>
      </w:r>
      <w:r w:rsidRPr="008E1A60">
        <w:rPr>
          <w:rFonts w:ascii="Calibri Light" w:hAnsi="Calibri Light" w:cs="Calibri Light"/>
          <w:szCs w:val="20"/>
        </w:rPr>
        <w:t xml:space="preserve">. Available from: </w:t>
      </w:r>
      <w:r w:rsidR="009719E8" w:rsidRPr="008E1A60">
        <w:rPr>
          <w:rFonts w:ascii="Calibri Light" w:hAnsi="Calibri Light" w:cs="Calibri Light"/>
          <w:szCs w:val="20"/>
        </w:rPr>
        <w:t xml:space="preserve"> </w:t>
      </w:r>
      <w:hyperlink r:id="rId141" w:history="1">
        <w:r w:rsidR="009719E8" w:rsidRPr="005D61F9">
          <w:rPr>
            <w:rStyle w:val="Hyperlink"/>
            <w:rFonts w:ascii="Calibri Light" w:hAnsi="Calibri Light" w:cs="Calibri Light"/>
            <w:color w:val="0E57FC" w:themeColor="accent4" w:themeTint="99"/>
            <w:szCs w:val="20"/>
          </w:rPr>
          <w:t>https://www.legislation.gov.au/Details/C2012C00746</w:t>
        </w:r>
      </w:hyperlink>
    </w:p>
    <w:p w14:paraId="4A85350D" w14:textId="62E83199" w:rsidR="009719E8" w:rsidRPr="005D61F9" w:rsidRDefault="001211E0" w:rsidP="009719E8">
      <w:pPr>
        <w:pStyle w:val="ListBullet"/>
        <w:rPr>
          <w:rFonts w:ascii="Calibri Light" w:hAnsi="Calibri Light" w:cs="Calibri Light"/>
          <w:color w:val="0E57FC" w:themeColor="accent4" w:themeTint="99"/>
          <w:szCs w:val="20"/>
        </w:rPr>
      </w:pPr>
      <w:r w:rsidRPr="008E1A60">
        <w:rPr>
          <w:rFonts w:ascii="Calibri Light" w:hAnsi="Calibri Light" w:cs="Calibri Light"/>
          <w:szCs w:val="20"/>
        </w:rPr>
        <w:t xml:space="preserve">Commonwealth Government of Australia. </w:t>
      </w:r>
      <w:r w:rsidR="009719E8" w:rsidRPr="008E1A60">
        <w:rPr>
          <w:rFonts w:ascii="Calibri Light" w:hAnsi="Calibri Light" w:cs="Calibri Light"/>
          <w:i/>
          <w:szCs w:val="20"/>
        </w:rPr>
        <w:t>National Health Reform Agreement 2011</w:t>
      </w:r>
      <w:r w:rsidRPr="008E1A60">
        <w:rPr>
          <w:rFonts w:ascii="Calibri Light" w:hAnsi="Calibri Light" w:cs="Calibri Light"/>
          <w:szCs w:val="20"/>
        </w:rPr>
        <w:t>. Available from:</w:t>
      </w:r>
      <w:r w:rsidR="009719E8" w:rsidRPr="008E1A60">
        <w:rPr>
          <w:rFonts w:ascii="Calibri Light" w:hAnsi="Calibri Light" w:cs="Calibri Light"/>
          <w:szCs w:val="20"/>
        </w:rPr>
        <w:t xml:space="preserve"> </w:t>
      </w:r>
      <w:hyperlink r:id="rId142" w:history="1">
        <w:r w:rsidR="009719E8" w:rsidRPr="005D61F9">
          <w:rPr>
            <w:rStyle w:val="Hyperlink"/>
            <w:rFonts w:ascii="Calibri Light" w:hAnsi="Calibri Light" w:cs="Calibri Light"/>
            <w:color w:val="0E57FC" w:themeColor="accent4" w:themeTint="99"/>
            <w:szCs w:val="20"/>
          </w:rPr>
          <w:t>https://federalfinancialrelations.gov.au/sites/federalfinancialrelations.gov.au/files/2021-08/national-agreement.pdf</w:t>
        </w:r>
      </w:hyperlink>
    </w:p>
    <w:p w14:paraId="3335C0E9" w14:textId="6AD9BCA1" w:rsidR="00E9373C" w:rsidRPr="005D61F9" w:rsidRDefault="001211E0" w:rsidP="00896C5C">
      <w:pPr>
        <w:pStyle w:val="ListBullet"/>
        <w:rPr>
          <w:rFonts w:ascii="Calibri Light" w:hAnsi="Calibri Light" w:cs="Calibri Light"/>
          <w:color w:val="0E57FC" w:themeColor="accent4" w:themeTint="99"/>
          <w:szCs w:val="20"/>
        </w:rPr>
      </w:pPr>
      <w:r w:rsidRPr="008E1A60">
        <w:rPr>
          <w:rFonts w:ascii="Calibri Light" w:hAnsi="Calibri Light" w:cs="Calibri Light"/>
          <w:szCs w:val="20"/>
        </w:rPr>
        <w:t xml:space="preserve">Commonwealth Government of Australia. </w:t>
      </w:r>
      <w:r w:rsidR="00E9373C" w:rsidRPr="008E1A60">
        <w:rPr>
          <w:rFonts w:ascii="Calibri Light" w:hAnsi="Calibri Light" w:cs="Calibri Light"/>
          <w:szCs w:val="20"/>
        </w:rPr>
        <w:t>2020-25 Addendum to the National Health Reform Agreement</w:t>
      </w:r>
      <w:r w:rsidRPr="008E1A60">
        <w:rPr>
          <w:rFonts w:ascii="Calibri Light" w:hAnsi="Calibri Light" w:cs="Calibri Light"/>
          <w:szCs w:val="20"/>
        </w:rPr>
        <w:t xml:space="preserve">. Available from: </w:t>
      </w:r>
      <w:hyperlink r:id="rId143" w:history="1">
        <w:r w:rsidRPr="005D61F9">
          <w:rPr>
            <w:rStyle w:val="Hyperlink"/>
            <w:rFonts w:ascii="Calibri Light" w:hAnsi="Calibri Light" w:cs="Calibri Light"/>
            <w:color w:val="0E57FC" w:themeColor="accent4" w:themeTint="99"/>
            <w:szCs w:val="20"/>
          </w:rPr>
          <w:t>https://federalfinancialrelations.gov.au/sites/federalfinancialrelations.gov.au/files/2021-07/NHRA_2020-25_Addendum_consolidated.pdf</w:t>
        </w:r>
      </w:hyperlink>
    </w:p>
    <w:p w14:paraId="377F6F78" w14:textId="5E0B9A4D" w:rsidR="00E9373C" w:rsidRPr="005D61F9" w:rsidRDefault="001211E0" w:rsidP="00896C5C">
      <w:pPr>
        <w:pStyle w:val="ListBullet"/>
        <w:rPr>
          <w:rFonts w:ascii="Calibri Light" w:hAnsi="Calibri Light" w:cs="Calibri Light"/>
          <w:color w:val="0E57FC" w:themeColor="accent4" w:themeTint="99"/>
          <w:szCs w:val="20"/>
        </w:rPr>
      </w:pPr>
      <w:r w:rsidRPr="008E1A60">
        <w:rPr>
          <w:rFonts w:ascii="Calibri Light" w:hAnsi="Calibri Light" w:cs="Calibri Light"/>
          <w:szCs w:val="20"/>
        </w:rPr>
        <w:t xml:space="preserve">Commonwealth Government of Australia. </w:t>
      </w:r>
      <w:r w:rsidR="00E9373C" w:rsidRPr="008E1A60">
        <w:rPr>
          <w:rFonts w:ascii="Calibri Light" w:hAnsi="Calibri Light" w:cs="Calibri Light"/>
          <w:szCs w:val="20"/>
        </w:rPr>
        <w:t>National Health Reform Agreement Long Term Reforms Roadmap</w:t>
      </w:r>
      <w:r w:rsidRPr="008E1A60">
        <w:rPr>
          <w:rFonts w:ascii="Calibri Light" w:hAnsi="Calibri Light" w:cs="Calibri Light"/>
          <w:szCs w:val="20"/>
        </w:rPr>
        <w:t xml:space="preserve">. Available from: </w:t>
      </w:r>
      <w:hyperlink r:id="rId144" w:history="1">
        <w:r w:rsidRPr="005D61F9">
          <w:rPr>
            <w:rStyle w:val="Hyperlink"/>
            <w:rFonts w:ascii="Calibri Light" w:hAnsi="Calibri Light" w:cs="Calibri Light"/>
            <w:color w:val="0E57FC" w:themeColor="accent4" w:themeTint="99"/>
            <w:szCs w:val="20"/>
          </w:rPr>
          <w:t>https://federalfinancialrelations.gov.au/sites/federalfinancialrelations.gov.au/files/2021-10/NHRA-longterm-reforms-roadmap.PDF</w:t>
        </w:r>
      </w:hyperlink>
    </w:p>
    <w:p w14:paraId="2549C589" w14:textId="5F06840D" w:rsidR="00E9373C" w:rsidRPr="005D61F9" w:rsidRDefault="001211E0" w:rsidP="00896C5C">
      <w:pPr>
        <w:pStyle w:val="ListBullet"/>
        <w:rPr>
          <w:rFonts w:ascii="Calibri Light" w:hAnsi="Calibri Light" w:cs="Calibri Light"/>
          <w:color w:val="0E57FC" w:themeColor="accent4" w:themeTint="99"/>
          <w:szCs w:val="20"/>
        </w:rPr>
      </w:pPr>
      <w:r w:rsidRPr="008E1A60">
        <w:rPr>
          <w:rFonts w:ascii="Calibri Light" w:hAnsi="Calibri Light" w:cs="Calibri Light"/>
          <w:szCs w:val="20"/>
        </w:rPr>
        <w:t xml:space="preserve">Commonwealth Government of Australia. </w:t>
      </w:r>
      <w:r w:rsidR="00E9373C" w:rsidRPr="008E1A60">
        <w:rPr>
          <w:rFonts w:ascii="Calibri Light" w:hAnsi="Calibri Light" w:cs="Calibri Light"/>
          <w:szCs w:val="20"/>
        </w:rPr>
        <w:t>National Healthcare Agreement (agreed by COAG in 2008 and amended in 2011)</w:t>
      </w:r>
      <w:r w:rsidRPr="008E1A60">
        <w:rPr>
          <w:rFonts w:ascii="Calibri Light" w:hAnsi="Calibri Light" w:cs="Calibri Light"/>
          <w:szCs w:val="20"/>
        </w:rPr>
        <w:t>. Available from:</w:t>
      </w:r>
      <w:r w:rsidR="002F7C33" w:rsidRPr="008E1A60">
        <w:rPr>
          <w:rFonts w:ascii="Calibri Light" w:hAnsi="Calibri Light" w:cs="Calibri Light"/>
          <w:szCs w:val="20"/>
        </w:rPr>
        <w:t xml:space="preserve"> </w:t>
      </w:r>
      <w:hyperlink r:id="rId145" w:history="1">
        <w:r w:rsidR="002F7C33" w:rsidRPr="005D61F9">
          <w:rPr>
            <w:rStyle w:val="Hyperlink"/>
            <w:rFonts w:ascii="Calibri Light" w:hAnsi="Calibri Light" w:cs="Calibri Light"/>
            <w:color w:val="0E57FC" w:themeColor="accent4" w:themeTint="99"/>
            <w:szCs w:val="20"/>
          </w:rPr>
          <w:t>National Healthcare Agreement 2012 - effective 25 July 2012 (federalfinancialrelations.gov.au)</w:t>
        </w:r>
      </w:hyperlink>
    </w:p>
    <w:p w14:paraId="116FC1BD" w14:textId="0E192F6A" w:rsidR="00B12697" w:rsidRPr="008E1A60" w:rsidRDefault="001211E0" w:rsidP="00970055">
      <w:pPr>
        <w:pStyle w:val="ListBullet"/>
        <w:rPr>
          <w:rFonts w:ascii="Calibri Light" w:hAnsi="Calibri Light" w:cs="Calibri Light"/>
          <w:szCs w:val="20"/>
        </w:rPr>
      </w:pPr>
      <w:r w:rsidRPr="008E1A60">
        <w:rPr>
          <w:rFonts w:ascii="Calibri Light" w:hAnsi="Calibri Light" w:cs="Calibri Light"/>
          <w:szCs w:val="20"/>
        </w:rPr>
        <w:t xml:space="preserve">Commonwealth Government of Australia. </w:t>
      </w:r>
      <w:r w:rsidR="00E9373C" w:rsidRPr="008E1A60">
        <w:rPr>
          <w:rFonts w:ascii="Calibri Light" w:hAnsi="Calibri Light" w:cs="Calibri Light"/>
          <w:szCs w:val="20"/>
        </w:rPr>
        <w:t>National Agreement on Closing the Gap</w:t>
      </w:r>
      <w:r w:rsidRPr="008E1A60">
        <w:rPr>
          <w:rFonts w:ascii="Calibri Light" w:hAnsi="Calibri Light" w:cs="Calibri Light"/>
          <w:szCs w:val="20"/>
        </w:rPr>
        <w:t xml:space="preserve">. Available from: </w:t>
      </w:r>
      <w:hyperlink r:id="rId146" w:history="1">
        <w:r w:rsidRPr="005D61F9">
          <w:rPr>
            <w:rStyle w:val="Hyperlink"/>
            <w:rFonts w:ascii="Calibri Light" w:hAnsi="Calibri Light" w:cs="Calibri Light"/>
            <w:color w:val="0E57FC" w:themeColor="accent4" w:themeTint="99"/>
            <w:szCs w:val="20"/>
          </w:rPr>
          <w:t>https://www.closingthegap.gov.au/sites/default/files/2022-09/ctg-national-agreement_apr-21-comm-infra-targets-updated-24-august-2022_0.pdf</w:t>
        </w:r>
      </w:hyperlink>
    </w:p>
    <w:p w14:paraId="411E0322" w14:textId="6B31B3FA" w:rsidR="009A3CF3" w:rsidRPr="005D61F9" w:rsidRDefault="001211E0" w:rsidP="009A3CF3">
      <w:pPr>
        <w:pStyle w:val="ListBullet"/>
        <w:rPr>
          <w:rFonts w:ascii="Calibri Light" w:hAnsi="Calibri Light" w:cs="Calibri Light"/>
          <w:color w:val="0E57FC" w:themeColor="accent4" w:themeTint="99"/>
          <w:szCs w:val="20"/>
        </w:rPr>
      </w:pPr>
      <w:r w:rsidRPr="008E1A60">
        <w:rPr>
          <w:rFonts w:ascii="Calibri Light" w:hAnsi="Calibri Light" w:cs="Calibri Light"/>
          <w:szCs w:val="20"/>
        </w:rPr>
        <w:t xml:space="preserve">Commonwealth Government of Australia. </w:t>
      </w:r>
      <w:r w:rsidR="009A3CF3" w:rsidRPr="008E1A60">
        <w:rPr>
          <w:rFonts w:ascii="Calibri Light" w:hAnsi="Calibri Light" w:cs="Calibri Light"/>
          <w:szCs w:val="20"/>
        </w:rPr>
        <w:t>National Partnership on COVID-19 Response</w:t>
      </w:r>
      <w:r w:rsidRPr="008E1A60">
        <w:rPr>
          <w:rFonts w:ascii="Calibri Light" w:hAnsi="Calibri Light" w:cs="Calibri Light"/>
          <w:szCs w:val="20"/>
        </w:rPr>
        <w:t xml:space="preserve">. Available from: </w:t>
      </w:r>
      <w:hyperlink r:id="rId147" w:history="1">
        <w:r w:rsidRPr="005D61F9">
          <w:rPr>
            <w:rStyle w:val="Hyperlink"/>
            <w:rFonts w:ascii="Calibri Light" w:hAnsi="Calibri Light" w:cs="Calibri Light"/>
            <w:color w:val="0E57FC" w:themeColor="accent4" w:themeTint="99"/>
            <w:szCs w:val="20"/>
          </w:rPr>
          <w:t>https://federalfinancialrelations.gov.au/agreements/covid-19-response</w:t>
        </w:r>
      </w:hyperlink>
    </w:p>
    <w:p w14:paraId="6668989C" w14:textId="61A404A6" w:rsidR="00F42263" w:rsidRPr="005D61F9" w:rsidRDefault="00F42263" w:rsidP="00F42263">
      <w:pPr>
        <w:pStyle w:val="ListBullet"/>
        <w:rPr>
          <w:rFonts w:ascii="Calibri Light" w:hAnsi="Calibri Light" w:cs="Calibri Light"/>
          <w:color w:val="0E57FC" w:themeColor="accent4" w:themeTint="99"/>
          <w:szCs w:val="20"/>
        </w:rPr>
      </w:pPr>
      <w:r w:rsidRPr="008E1A60">
        <w:rPr>
          <w:rFonts w:ascii="Calibri Light" w:hAnsi="Calibri Light" w:cs="Calibri Light"/>
          <w:szCs w:val="20"/>
        </w:rPr>
        <w:t xml:space="preserve">Commonwealth Report on Government Services, 2023. Available from: </w:t>
      </w:r>
      <w:hyperlink r:id="rId148" w:history="1">
        <w:r w:rsidRPr="005D61F9">
          <w:rPr>
            <w:rStyle w:val="Hyperlink"/>
            <w:rFonts w:ascii="Calibri Light" w:hAnsi="Calibri Light" w:cs="Calibri Light"/>
            <w:color w:val="0E57FC" w:themeColor="accent4" w:themeTint="99"/>
            <w:szCs w:val="20"/>
          </w:rPr>
          <w:t>https://www.pc.gov.au/ongoing/report-on-government-services</w:t>
        </w:r>
      </w:hyperlink>
      <w:r w:rsidRPr="005D61F9">
        <w:rPr>
          <w:rFonts w:ascii="Calibri Light" w:hAnsi="Calibri Light" w:cs="Calibri Light"/>
          <w:color w:val="0E57FC" w:themeColor="accent4" w:themeTint="99"/>
          <w:szCs w:val="20"/>
        </w:rPr>
        <w:t xml:space="preserve"> </w:t>
      </w:r>
    </w:p>
    <w:p w14:paraId="55B37834" w14:textId="527960EF" w:rsidR="00F42263" w:rsidRPr="005D61F9" w:rsidRDefault="00F42263" w:rsidP="00F42263">
      <w:pPr>
        <w:pStyle w:val="ListBullet"/>
        <w:rPr>
          <w:rFonts w:ascii="Calibri Light" w:hAnsi="Calibri Light" w:cs="Calibri Light"/>
          <w:color w:val="0E57FC" w:themeColor="accent4" w:themeTint="99"/>
          <w:szCs w:val="20"/>
        </w:rPr>
      </w:pPr>
      <w:r w:rsidRPr="008E1A60">
        <w:rPr>
          <w:rFonts w:ascii="Calibri Light" w:hAnsi="Calibri Light" w:cs="Calibri Light"/>
          <w:szCs w:val="20"/>
        </w:rPr>
        <w:t xml:space="preserve">Commonwealth Government of Australia. 2023 Intergenerational Report. Available from: </w:t>
      </w:r>
      <w:hyperlink r:id="rId149" w:history="1">
        <w:r w:rsidRPr="005D61F9">
          <w:rPr>
            <w:rStyle w:val="Hyperlink"/>
            <w:rFonts w:ascii="Calibri Light" w:hAnsi="Calibri Light" w:cs="Calibri Light"/>
            <w:color w:val="0E57FC" w:themeColor="accent4" w:themeTint="99"/>
            <w:szCs w:val="20"/>
          </w:rPr>
          <w:t>https://treasury.gov.au/publication/2023-intergenerational-report</w:t>
        </w:r>
      </w:hyperlink>
    </w:p>
    <w:p w14:paraId="45F1C03C" w14:textId="6EE478BF" w:rsidR="00F42263" w:rsidRPr="008E1A60" w:rsidRDefault="00F42263" w:rsidP="00F42263">
      <w:pPr>
        <w:pStyle w:val="ListBullet"/>
        <w:rPr>
          <w:rFonts w:ascii="Calibri Light" w:hAnsi="Calibri Light" w:cs="Calibri Light"/>
          <w:szCs w:val="20"/>
        </w:rPr>
      </w:pPr>
      <w:r w:rsidRPr="008E1A60">
        <w:rPr>
          <w:rFonts w:ascii="Calibri Light" w:hAnsi="Calibri Light" w:cs="Calibri Light"/>
          <w:szCs w:val="20"/>
        </w:rPr>
        <w:t xml:space="preserve">Commonwealth Government of Australia. Minimum Funding Guarantee for </w:t>
      </w:r>
      <w:r w:rsidR="00B74398">
        <w:rPr>
          <w:rFonts w:ascii="Calibri Light" w:hAnsi="Calibri Light" w:cs="Calibri Light"/>
          <w:szCs w:val="20"/>
        </w:rPr>
        <w:t>S</w:t>
      </w:r>
      <w:r w:rsidRPr="008E1A60">
        <w:rPr>
          <w:rFonts w:ascii="Calibri Light" w:hAnsi="Calibri Light" w:cs="Calibri Light"/>
          <w:szCs w:val="20"/>
        </w:rPr>
        <w:t xml:space="preserve">tates and </w:t>
      </w:r>
      <w:r w:rsidR="00B74398">
        <w:rPr>
          <w:rFonts w:ascii="Calibri Light" w:hAnsi="Calibri Light" w:cs="Calibri Light"/>
          <w:szCs w:val="20"/>
        </w:rPr>
        <w:t>T</w:t>
      </w:r>
      <w:r w:rsidRPr="008E1A60">
        <w:rPr>
          <w:rFonts w:ascii="Calibri Light" w:hAnsi="Calibri Light" w:cs="Calibri Light"/>
          <w:szCs w:val="20"/>
        </w:rPr>
        <w:t xml:space="preserve">erritories 2019-20 to 2021-22 correspondence </w:t>
      </w:r>
    </w:p>
    <w:p w14:paraId="5F82EC23" w14:textId="340858BD" w:rsidR="001211E0" w:rsidRPr="005D61F9" w:rsidRDefault="001211E0" w:rsidP="001211E0">
      <w:pPr>
        <w:pStyle w:val="ListBullet"/>
        <w:rPr>
          <w:rFonts w:ascii="Calibri Light" w:hAnsi="Calibri Light" w:cs="Calibri Light"/>
          <w:color w:val="0E57FC" w:themeColor="accent4" w:themeTint="99"/>
          <w:szCs w:val="20"/>
        </w:rPr>
      </w:pPr>
      <w:r w:rsidRPr="008E1A60">
        <w:rPr>
          <w:rFonts w:ascii="Calibri Light" w:hAnsi="Calibri Light" w:cs="Calibri Light"/>
          <w:szCs w:val="20"/>
        </w:rPr>
        <w:t xml:space="preserve">Commonwealth Government of Australia. Federal Budget, Budget Strategy and Outlook, Budget Paper No. 1. Available from: </w:t>
      </w:r>
      <w:hyperlink r:id="rId150" w:history="1">
        <w:r w:rsidRPr="005D61F9">
          <w:rPr>
            <w:rStyle w:val="Hyperlink"/>
            <w:rFonts w:ascii="Calibri Light" w:hAnsi="Calibri Light" w:cs="Calibri Light"/>
            <w:color w:val="0E57FC" w:themeColor="accent4" w:themeTint="99"/>
            <w:szCs w:val="20"/>
          </w:rPr>
          <w:t>https://budget.gov.au/content/bp1/download/bp1_2023-24_230727.pdf</w:t>
        </w:r>
      </w:hyperlink>
      <w:r w:rsidRPr="005D61F9">
        <w:rPr>
          <w:rFonts w:ascii="Calibri Light" w:hAnsi="Calibri Light" w:cs="Calibri Light"/>
          <w:color w:val="0E57FC" w:themeColor="accent4" w:themeTint="99"/>
          <w:szCs w:val="20"/>
        </w:rPr>
        <w:t xml:space="preserve"> </w:t>
      </w:r>
    </w:p>
    <w:p w14:paraId="04AB6A6A" w14:textId="3FFCE15D" w:rsidR="00F42263" w:rsidRPr="005D61F9" w:rsidRDefault="00F42263" w:rsidP="00F42263">
      <w:pPr>
        <w:pStyle w:val="ListBullet"/>
        <w:rPr>
          <w:rFonts w:ascii="Calibri Light" w:hAnsi="Calibri Light" w:cs="Calibri Light"/>
          <w:color w:val="0E57FC" w:themeColor="accent4" w:themeTint="99"/>
          <w:szCs w:val="20"/>
        </w:rPr>
      </w:pPr>
      <w:r w:rsidRPr="008E1A60">
        <w:rPr>
          <w:rFonts w:ascii="Calibri Light" w:hAnsi="Calibri Light" w:cs="Calibri Light"/>
          <w:szCs w:val="20"/>
        </w:rPr>
        <w:t xml:space="preserve">Department of Health and Aged Care. National Medical Workforce Strategy: 2021-31 Investing in our medical workforce to meet Australia’s health needs, 2021. Available from: </w:t>
      </w:r>
      <w:hyperlink r:id="rId151" w:history="1">
        <w:r w:rsidRPr="005D61F9">
          <w:rPr>
            <w:rStyle w:val="Hyperlink"/>
            <w:rFonts w:ascii="Calibri Light" w:hAnsi="Calibri Light" w:cs="Calibri Light"/>
            <w:color w:val="0E57FC" w:themeColor="accent4" w:themeTint="99"/>
            <w:szCs w:val="20"/>
          </w:rPr>
          <w:t>https://www.health.gov.au/sites/default/files/documents/2022/03/national-medical-workforce-strategy-2021-2031.pdf</w:t>
        </w:r>
      </w:hyperlink>
      <w:r w:rsidRPr="005D61F9">
        <w:rPr>
          <w:rFonts w:ascii="Calibri Light" w:hAnsi="Calibri Light" w:cs="Calibri Light"/>
          <w:color w:val="0E57FC" w:themeColor="accent4" w:themeTint="99"/>
          <w:szCs w:val="20"/>
        </w:rPr>
        <w:t xml:space="preserve"> </w:t>
      </w:r>
    </w:p>
    <w:p w14:paraId="35D55949" w14:textId="3C0EFD6B" w:rsidR="009C4989" w:rsidRPr="005D61F9" w:rsidRDefault="00014210" w:rsidP="009A3CF3">
      <w:pPr>
        <w:pStyle w:val="ListBullet"/>
        <w:rPr>
          <w:rFonts w:ascii="Calibri Light" w:hAnsi="Calibri Light" w:cs="Calibri Light"/>
          <w:color w:val="0E57FC" w:themeColor="accent4" w:themeTint="99"/>
          <w:szCs w:val="20"/>
        </w:rPr>
      </w:pPr>
      <w:r w:rsidRPr="008E1A60">
        <w:rPr>
          <w:rFonts w:ascii="Calibri Light" w:hAnsi="Calibri Light" w:cs="Calibri Light"/>
          <w:szCs w:val="20"/>
        </w:rPr>
        <w:t xml:space="preserve">Department of Health and Aged Care. National Medicines Policy, 2022. Available from: </w:t>
      </w:r>
      <w:hyperlink r:id="rId152" w:history="1">
        <w:r w:rsidRPr="005D61F9">
          <w:rPr>
            <w:rStyle w:val="Hyperlink"/>
            <w:rFonts w:ascii="Calibri Light" w:hAnsi="Calibri Light" w:cs="Calibri Light"/>
            <w:color w:val="0E57FC" w:themeColor="accent4" w:themeTint="99"/>
            <w:szCs w:val="20"/>
          </w:rPr>
          <w:t>https://www.health.gov.au/sites/default/files/2022-12/national-medicines-policy.pdf</w:t>
        </w:r>
      </w:hyperlink>
      <w:r w:rsidRPr="005D61F9">
        <w:rPr>
          <w:rFonts w:ascii="Calibri Light" w:hAnsi="Calibri Light" w:cs="Calibri Light"/>
          <w:color w:val="0E57FC" w:themeColor="accent4" w:themeTint="99"/>
          <w:szCs w:val="20"/>
        </w:rPr>
        <w:t>,</w:t>
      </w:r>
    </w:p>
    <w:p w14:paraId="2C0E74C2" w14:textId="77777777" w:rsidR="00F42263" w:rsidRPr="008E1A60" w:rsidRDefault="00F42263" w:rsidP="00F42263">
      <w:pPr>
        <w:pStyle w:val="ListBullet"/>
        <w:rPr>
          <w:rFonts w:ascii="Calibri Light" w:hAnsi="Calibri Light" w:cs="Calibri Light"/>
          <w:szCs w:val="20"/>
        </w:rPr>
      </w:pPr>
      <w:r w:rsidRPr="008E1A60">
        <w:rPr>
          <w:rFonts w:ascii="Calibri Light" w:hAnsi="Calibri Light" w:cs="Calibri Light"/>
          <w:szCs w:val="20"/>
        </w:rPr>
        <w:t>Department of Health and Aged Care. Workforce Full Time Equivalents (not publicly available)</w:t>
      </w:r>
    </w:p>
    <w:p w14:paraId="2DAACDB9" w14:textId="77777777" w:rsidR="00F42263" w:rsidRPr="008E1A60" w:rsidRDefault="00F42263" w:rsidP="00F42263">
      <w:pPr>
        <w:pStyle w:val="ListBullet"/>
        <w:rPr>
          <w:rFonts w:ascii="Calibri Light" w:hAnsi="Calibri Light" w:cs="Calibri Light"/>
          <w:szCs w:val="20"/>
        </w:rPr>
      </w:pPr>
      <w:r w:rsidRPr="008E1A60">
        <w:rPr>
          <w:rFonts w:ascii="Calibri Light" w:hAnsi="Calibri Light" w:cs="Calibri Light"/>
          <w:szCs w:val="20"/>
        </w:rPr>
        <w:t>Department of Health and Aged Care. GP Services and Full Time Equivalents (not publicly available)</w:t>
      </w:r>
    </w:p>
    <w:p w14:paraId="0CA2F891" w14:textId="77777777" w:rsidR="00F42263" w:rsidRPr="008E1A60" w:rsidRDefault="00F42263" w:rsidP="00F42263">
      <w:pPr>
        <w:pStyle w:val="ListBullet"/>
        <w:rPr>
          <w:rFonts w:ascii="Calibri Light" w:hAnsi="Calibri Light" w:cs="Calibri Light"/>
          <w:szCs w:val="20"/>
        </w:rPr>
      </w:pPr>
      <w:r w:rsidRPr="008E1A60">
        <w:rPr>
          <w:rFonts w:ascii="Calibri Light" w:hAnsi="Calibri Light" w:cs="Calibri Light"/>
          <w:szCs w:val="20"/>
        </w:rPr>
        <w:t>Department of Health and Aged Care. Commonwealth Contribution Rates (not publicly available)</w:t>
      </w:r>
    </w:p>
    <w:p w14:paraId="215B8361" w14:textId="39BA170C" w:rsidR="00F42263" w:rsidRPr="005D61F9" w:rsidRDefault="00F42263" w:rsidP="00F42263">
      <w:pPr>
        <w:pStyle w:val="ListBullet"/>
        <w:rPr>
          <w:rFonts w:ascii="Calibri Light" w:hAnsi="Calibri Light" w:cs="Calibri Light"/>
          <w:color w:val="0E57FC" w:themeColor="accent4" w:themeTint="99"/>
          <w:szCs w:val="20"/>
        </w:rPr>
      </w:pPr>
      <w:r w:rsidRPr="008E1A60">
        <w:rPr>
          <w:rFonts w:ascii="Calibri Light" w:hAnsi="Calibri Light" w:cs="Calibri Light"/>
          <w:szCs w:val="20"/>
        </w:rPr>
        <w:t xml:space="preserve">Department of Health and Aged Care. General Practice Workforce. Available from: </w:t>
      </w:r>
      <w:hyperlink r:id="rId153" w:history="1">
        <w:r w:rsidRPr="005D61F9">
          <w:rPr>
            <w:rStyle w:val="Hyperlink"/>
            <w:rFonts w:ascii="Calibri Light" w:hAnsi="Calibri Light" w:cs="Calibri Light"/>
            <w:color w:val="0E57FC" w:themeColor="accent4" w:themeTint="99"/>
            <w:szCs w:val="20"/>
          </w:rPr>
          <w:t>https://hwd.health.gov.au/resources/data/gp-primarycare.html</w:t>
        </w:r>
      </w:hyperlink>
    </w:p>
    <w:p w14:paraId="625B858A" w14:textId="588DCF9E" w:rsidR="00B12697" w:rsidRPr="008E1A60" w:rsidRDefault="001211E0" w:rsidP="00B12697">
      <w:pPr>
        <w:pStyle w:val="ListBullet"/>
        <w:rPr>
          <w:rFonts w:ascii="Calibri Light" w:hAnsi="Calibri Light" w:cs="Calibri Light"/>
          <w:szCs w:val="20"/>
        </w:rPr>
      </w:pPr>
      <w:r w:rsidRPr="008E1A60">
        <w:rPr>
          <w:rFonts w:ascii="Calibri Light" w:hAnsi="Calibri Light" w:cs="Calibri Light"/>
          <w:szCs w:val="20"/>
        </w:rPr>
        <w:t>Independent Health and Aged Care Pricing Authority.</w:t>
      </w:r>
      <w:r w:rsidR="00B12697" w:rsidRPr="008E1A60">
        <w:rPr>
          <w:rFonts w:ascii="Calibri Light" w:hAnsi="Calibri Light" w:cs="Calibri Light"/>
          <w:szCs w:val="20"/>
        </w:rPr>
        <w:t xml:space="preserve"> NEP </w:t>
      </w:r>
      <w:r w:rsidR="009B6AB8" w:rsidRPr="008E1A60">
        <w:rPr>
          <w:rFonts w:ascii="Calibri Light" w:hAnsi="Calibri Light" w:cs="Calibri Light"/>
          <w:szCs w:val="20"/>
        </w:rPr>
        <w:t>and</w:t>
      </w:r>
      <w:r w:rsidR="00B12697" w:rsidRPr="008E1A60">
        <w:rPr>
          <w:rFonts w:ascii="Calibri Light" w:hAnsi="Calibri Light" w:cs="Calibri Light"/>
          <w:szCs w:val="20"/>
        </w:rPr>
        <w:t xml:space="preserve"> NEC Explanatory documents 2022-23 and (where relevant) 2023-24 including:</w:t>
      </w:r>
    </w:p>
    <w:p w14:paraId="6C1EE0FD" w14:textId="0C0980A9" w:rsidR="00B12697" w:rsidRPr="008E1A60" w:rsidRDefault="00B12697" w:rsidP="004568DD">
      <w:pPr>
        <w:pStyle w:val="Subdotpoint"/>
        <w:spacing w:after="0"/>
        <w:ind w:left="993"/>
        <w:rPr>
          <w:rFonts w:ascii="Calibri Light" w:hAnsi="Calibri Light" w:cs="Calibri Light"/>
        </w:rPr>
      </w:pPr>
      <w:r w:rsidRPr="008E1A60">
        <w:rPr>
          <w:rFonts w:ascii="Calibri Light" w:hAnsi="Calibri Light" w:cs="Calibri Light"/>
        </w:rPr>
        <w:t>Pricing Framework, National Efficient Price and National Efficient Cost Determination Graphic</w:t>
      </w:r>
    </w:p>
    <w:p w14:paraId="77AA2C4A" w14:textId="138A4E2E" w:rsidR="00B12697" w:rsidRPr="008E1A60" w:rsidRDefault="00B12697" w:rsidP="004568DD">
      <w:pPr>
        <w:pStyle w:val="Subdotpoint"/>
        <w:spacing w:after="0"/>
        <w:ind w:left="993"/>
        <w:rPr>
          <w:rFonts w:ascii="Calibri Light" w:hAnsi="Calibri Light" w:cs="Calibri Light"/>
        </w:rPr>
      </w:pPr>
      <w:r w:rsidRPr="008E1A60">
        <w:rPr>
          <w:rFonts w:ascii="Calibri Light" w:hAnsi="Calibri Light" w:cs="Calibri Light"/>
        </w:rPr>
        <w:t>National Efficient Price and National Efficient Cost Determinations Online Glossary</w:t>
      </w:r>
    </w:p>
    <w:p w14:paraId="5671FFC1" w14:textId="7E4BA07A" w:rsidR="00B12697" w:rsidRPr="008E1A60" w:rsidRDefault="00B12697" w:rsidP="004568DD">
      <w:pPr>
        <w:pStyle w:val="Subdotpoint"/>
        <w:spacing w:after="0"/>
        <w:ind w:left="993"/>
        <w:rPr>
          <w:rFonts w:ascii="Calibri Light" w:hAnsi="Calibri Light" w:cs="Calibri Light"/>
        </w:rPr>
      </w:pPr>
      <w:r w:rsidRPr="008E1A60">
        <w:rPr>
          <w:rFonts w:ascii="Calibri Light" w:hAnsi="Calibri Light" w:cs="Calibri Light"/>
        </w:rPr>
        <w:t xml:space="preserve">Understanding the NEP and NEC Determinations </w:t>
      </w:r>
    </w:p>
    <w:p w14:paraId="6E6D661A" w14:textId="7C4CC5BF" w:rsidR="00B12697" w:rsidRPr="008E1A60" w:rsidRDefault="001211E0" w:rsidP="00B12697">
      <w:pPr>
        <w:pStyle w:val="ListBullet"/>
        <w:rPr>
          <w:rFonts w:ascii="Calibri Light" w:hAnsi="Calibri Light" w:cs="Calibri Light"/>
          <w:szCs w:val="20"/>
        </w:rPr>
      </w:pPr>
      <w:r w:rsidRPr="008E1A60">
        <w:rPr>
          <w:rFonts w:ascii="Calibri Light" w:hAnsi="Calibri Light" w:cs="Calibri Light"/>
          <w:szCs w:val="20"/>
        </w:rPr>
        <w:t>Independent Health and Aged Care Pricing Authority.</w:t>
      </w:r>
      <w:r w:rsidR="00B12697" w:rsidRPr="008E1A60">
        <w:rPr>
          <w:rFonts w:ascii="Calibri Light" w:hAnsi="Calibri Light" w:cs="Calibri Light"/>
          <w:szCs w:val="20"/>
        </w:rPr>
        <w:t xml:space="preserve"> National Efficient Price Determination 2022-23 and 2023-24</w:t>
      </w:r>
      <w:r w:rsidRPr="008E1A60">
        <w:rPr>
          <w:rFonts w:ascii="Calibri Light" w:hAnsi="Calibri Light" w:cs="Calibri Light"/>
          <w:szCs w:val="20"/>
        </w:rPr>
        <w:t>. Available from:</w:t>
      </w:r>
      <w:r w:rsidR="00C74D15" w:rsidRPr="008E1A60">
        <w:rPr>
          <w:rFonts w:ascii="Calibri Light" w:hAnsi="Calibri Light" w:cs="Calibri Light"/>
          <w:szCs w:val="20"/>
        </w:rPr>
        <w:t xml:space="preserve"> </w:t>
      </w:r>
      <w:hyperlink r:id="rId154" w:history="1">
        <w:r w:rsidR="00517935" w:rsidRPr="005D61F9">
          <w:rPr>
            <w:rStyle w:val="Hyperlink"/>
            <w:rFonts w:ascii="Calibri Light" w:hAnsi="Calibri Light" w:cs="Calibri Light"/>
            <w:color w:val="0E57FC" w:themeColor="accent4" w:themeTint="99"/>
            <w:szCs w:val="20"/>
          </w:rPr>
          <w:t>https://www.ihacpa.gov.au/health-care/pricing/national-efficient-price-determination</w:t>
        </w:r>
      </w:hyperlink>
      <w:r w:rsidR="00517935" w:rsidRPr="008E1A60">
        <w:rPr>
          <w:rFonts w:ascii="Calibri Light" w:hAnsi="Calibri Light" w:cs="Calibri Light"/>
          <w:szCs w:val="20"/>
        </w:rPr>
        <w:t xml:space="preserve"> </w:t>
      </w:r>
    </w:p>
    <w:p w14:paraId="75F2EF39" w14:textId="6685AEC2" w:rsidR="00B12697" w:rsidRPr="005D61F9" w:rsidRDefault="001211E0" w:rsidP="00B12697">
      <w:pPr>
        <w:pStyle w:val="ListBullet"/>
        <w:rPr>
          <w:rFonts w:ascii="Calibri Light" w:hAnsi="Calibri Light" w:cs="Calibri Light"/>
          <w:color w:val="0E57FC" w:themeColor="accent4" w:themeTint="99"/>
          <w:szCs w:val="20"/>
        </w:rPr>
      </w:pPr>
      <w:r w:rsidRPr="008E1A60">
        <w:rPr>
          <w:rFonts w:ascii="Calibri Light" w:hAnsi="Calibri Light" w:cs="Calibri Light"/>
          <w:szCs w:val="20"/>
        </w:rPr>
        <w:t xml:space="preserve">Independent Health and Aged Care Pricing Authority. </w:t>
      </w:r>
      <w:r w:rsidR="00B12697" w:rsidRPr="008E1A60">
        <w:rPr>
          <w:rFonts w:ascii="Calibri Light" w:hAnsi="Calibri Light" w:cs="Calibri Light"/>
          <w:szCs w:val="20"/>
        </w:rPr>
        <w:t>National Efficient Cost Determination 2022-23 and 2023-24</w:t>
      </w:r>
      <w:r w:rsidRPr="008E1A60">
        <w:rPr>
          <w:rFonts w:ascii="Calibri Light" w:hAnsi="Calibri Light" w:cs="Calibri Light"/>
          <w:szCs w:val="20"/>
        </w:rPr>
        <w:t xml:space="preserve">. Available from: </w:t>
      </w:r>
      <w:hyperlink r:id="rId155" w:history="1">
        <w:r w:rsidRPr="005D61F9">
          <w:rPr>
            <w:rStyle w:val="Hyperlink"/>
            <w:rFonts w:ascii="Calibri Light" w:hAnsi="Calibri Light" w:cs="Calibri Light"/>
            <w:color w:val="0E57FC" w:themeColor="accent4" w:themeTint="99"/>
            <w:szCs w:val="20"/>
          </w:rPr>
          <w:t>https://www.ihacpa.gov.au/health-care/pricing/national-efficient-cost-determination</w:t>
        </w:r>
      </w:hyperlink>
      <w:r w:rsidR="00FA625A" w:rsidRPr="005D61F9">
        <w:rPr>
          <w:rFonts w:ascii="Calibri Light" w:hAnsi="Calibri Light" w:cs="Calibri Light"/>
          <w:color w:val="0E57FC" w:themeColor="accent4" w:themeTint="99"/>
          <w:szCs w:val="20"/>
        </w:rPr>
        <w:t xml:space="preserve"> </w:t>
      </w:r>
    </w:p>
    <w:p w14:paraId="5A948371" w14:textId="36511D62" w:rsidR="001211E0" w:rsidRPr="005D61F9" w:rsidRDefault="001211E0" w:rsidP="001211E0">
      <w:pPr>
        <w:pStyle w:val="ListBullet"/>
        <w:rPr>
          <w:rFonts w:ascii="Calibri Light" w:hAnsi="Calibri Light" w:cs="Calibri Light"/>
          <w:color w:val="0E57FC" w:themeColor="accent4" w:themeTint="99"/>
          <w:szCs w:val="20"/>
        </w:rPr>
      </w:pPr>
      <w:r w:rsidRPr="008E1A60">
        <w:rPr>
          <w:rFonts w:ascii="Calibri Light" w:hAnsi="Calibri Light" w:cs="Calibri Light"/>
          <w:szCs w:val="20"/>
        </w:rPr>
        <w:t xml:space="preserve">Independent Health and Aged Care Pricing Authority. National Pricing Model 2023-24. Available from: </w:t>
      </w:r>
      <w:hyperlink r:id="rId156" w:history="1">
        <w:r w:rsidR="00F42263" w:rsidRPr="005D61F9">
          <w:rPr>
            <w:rStyle w:val="Hyperlink"/>
            <w:rFonts w:ascii="Calibri Light" w:hAnsi="Calibri Light" w:cs="Calibri Light"/>
            <w:color w:val="0E57FC" w:themeColor="accent4" w:themeTint="99"/>
            <w:szCs w:val="20"/>
          </w:rPr>
          <w:t>https://www.ihacpa.gov.au/sites/default/files/2023-03/national_pricing_model_technical_specifications_2032-24.pdf</w:t>
        </w:r>
      </w:hyperlink>
    </w:p>
    <w:p w14:paraId="03D0609C" w14:textId="17E61696" w:rsidR="00B12697" w:rsidRPr="008E1A60" w:rsidRDefault="001211E0" w:rsidP="00B12697">
      <w:pPr>
        <w:pStyle w:val="ListBullet"/>
        <w:rPr>
          <w:rFonts w:ascii="Calibri Light" w:hAnsi="Calibri Light" w:cs="Calibri Light"/>
          <w:szCs w:val="20"/>
        </w:rPr>
      </w:pPr>
      <w:r w:rsidRPr="008E1A60">
        <w:rPr>
          <w:rFonts w:ascii="Calibri Light" w:hAnsi="Calibri Light" w:cs="Calibri Light"/>
          <w:szCs w:val="20"/>
        </w:rPr>
        <w:t>Independent Health and Aged Care Pricing Authority.</w:t>
      </w:r>
      <w:r w:rsidR="00B12697" w:rsidRPr="008E1A60">
        <w:rPr>
          <w:rFonts w:ascii="Calibri Light" w:hAnsi="Calibri Light" w:cs="Calibri Light"/>
          <w:szCs w:val="20"/>
        </w:rPr>
        <w:t xml:space="preserve"> Pricing framework for Australian Public Hospital Services 2023-24</w:t>
      </w:r>
      <w:r w:rsidRPr="008E1A60">
        <w:rPr>
          <w:rFonts w:ascii="Calibri Light" w:hAnsi="Calibri Light" w:cs="Calibri Light"/>
          <w:szCs w:val="20"/>
        </w:rPr>
        <w:t xml:space="preserve">. Available from: </w:t>
      </w:r>
      <w:hyperlink r:id="rId157" w:history="1">
        <w:r w:rsidR="005D61F9" w:rsidRPr="00B25012">
          <w:rPr>
            <w:rStyle w:val="Hyperlink"/>
            <w:rFonts w:ascii="Calibri Light" w:hAnsi="Calibri Light" w:cs="Calibri Light"/>
            <w:color w:val="0E57FC" w:themeColor="accent4" w:themeTint="99"/>
            <w:szCs w:val="20"/>
          </w:rPr>
          <w:t>https://www.ihacpa.gov.au/resources/pricing-framework-australian-public-hospital-services-2023-24</w:t>
        </w:r>
      </w:hyperlink>
      <w:r w:rsidR="001C16B5" w:rsidRPr="00B25012">
        <w:rPr>
          <w:rFonts w:ascii="Calibri Light" w:hAnsi="Calibri Light" w:cs="Calibri Light"/>
          <w:color w:val="0E57FC" w:themeColor="accent4" w:themeTint="99"/>
          <w:szCs w:val="20"/>
        </w:rPr>
        <w:t xml:space="preserve"> </w:t>
      </w:r>
    </w:p>
    <w:p w14:paraId="498411C0" w14:textId="41ED042D" w:rsidR="00B12697" w:rsidRPr="005D61F9" w:rsidRDefault="001211E0" w:rsidP="00B12697">
      <w:pPr>
        <w:pStyle w:val="ListBullet"/>
        <w:rPr>
          <w:rFonts w:ascii="Calibri Light" w:hAnsi="Calibri Light" w:cs="Calibri Light"/>
          <w:color w:val="0E57FC" w:themeColor="accent4" w:themeTint="99"/>
          <w:szCs w:val="20"/>
        </w:rPr>
      </w:pPr>
      <w:r w:rsidRPr="008E1A60">
        <w:rPr>
          <w:rFonts w:ascii="Calibri Light" w:hAnsi="Calibri Light" w:cs="Calibri Light"/>
          <w:szCs w:val="20"/>
        </w:rPr>
        <w:t xml:space="preserve">Independent Health and Aged Care Pricing Authority. </w:t>
      </w:r>
      <w:r w:rsidR="00B12697" w:rsidRPr="008E1A60">
        <w:rPr>
          <w:rFonts w:ascii="Calibri Light" w:hAnsi="Calibri Light" w:cs="Calibri Light"/>
          <w:szCs w:val="20"/>
        </w:rPr>
        <w:t>Annual Report</w:t>
      </w:r>
      <w:r w:rsidRPr="008E1A60">
        <w:rPr>
          <w:rFonts w:ascii="Calibri Light" w:hAnsi="Calibri Light" w:cs="Calibri Light"/>
          <w:szCs w:val="20"/>
        </w:rPr>
        <w:t xml:space="preserve"> 2021-22. Available from:</w:t>
      </w:r>
      <w:r w:rsidR="00801FD0" w:rsidRPr="008E1A60">
        <w:rPr>
          <w:rFonts w:ascii="Calibri Light" w:hAnsi="Calibri Light" w:cs="Calibri Light"/>
          <w:szCs w:val="20"/>
        </w:rPr>
        <w:t xml:space="preserve"> </w:t>
      </w:r>
      <w:hyperlink r:id="rId158" w:history="1">
        <w:r w:rsidR="00801FD0" w:rsidRPr="005D61F9">
          <w:rPr>
            <w:rStyle w:val="Hyperlink"/>
            <w:rFonts w:ascii="Calibri Light" w:hAnsi="Calibri Light" w:cs="Calibri Light"/>
            <w:color w:val="0E57FC" w:themeColor="accent4" w:themeTint="99"/>
            <w:szCs w:val="20"/>
          </w:rPr>
          <w:t>https://www.ihacpa.gov.au/resources/ihpa-annual-report-2021-22</w:t>
        </w:r>
      </w:hyperlink>
      <w:r w:rsidR="00801FD0" w:rsidRPr="005D61F9">
        <w:rPr>
          <w:rFonts w:ascii="Calibri Light" w:hAnsi="Calibri Light" w:cs="Calibri Light"/>
          <w:color w:val="0E57FC" w:themeColor="accent4" w:themeTint="99"/>
          <w:szCs w:val="20"/>
        </w:rPr>
        <w:t xml:space="preserve"> </w:t>
      </w:r>
    </w:p>
    <w:p w14:paraId="20DD4443" w14:textId="39AFEDCF" w:rsidR="00E35CE6" w:rsidRPr="008E1A60" w:rsidRDefault="00AA1862" w:rsidP="00970055">
      <w:pPr>
        <w:pStyle w:val="ListBullet"/>
        <w:rPr>
          <w:rFonts w:ascii="Calibri Light" w:hAnsi="Calibri Light" w:cs="Calibri Light"/>
          <w:szCs w:val="20"/>
        </w:rPr>
      </w:pPr>
      <w:r w:rsidRPr="008E1A60">
        <w:rPr>
          <w:rFonts w:ascii="Calibri Light" w:hAnsi="Calibri Light" w:cs="Calibri Light"/>
          <w:szCs w:val="20"/>
        </w:rPr>
        <w:t>Productivity</w:t>
      </w:r>
      <w:r w:rsidR="003056B7" w:rsidRPr="008E1A60">
        <w:rPr>
          <w:rFonts w:ascii="Calibri Light" w:hAnsi="Calibri Light" w:cs="Calibri Light"/>
          <w:szCs w:val="20"/>
        </w:rPr>
        <w:t xml:space="preserve"> Commission</w:t>
      </w:r>
      <w:r w:rsidR="00E35CE6" w:rsidRPr="008E1A60">
        <w:rPr>
          <w:rFonts w:ascii="Calibri Light" w:hAnsi="Calibri Light" w:cs="Calibri Light"/>
          <w:szCs w:val="20"/>
        </w:rPr>
        <w:t xml:space="preserve"> Shifting the Dial report</w:t>
      </w:r>
      <w:r w:rsidR="001211E0" w:rsidRPr="008E1A60">
        <w:rPr>
          <w:rFonts w:ascii="Calibri Light" w:hAnsi="Calibri Light" w:cs="Calibri Light"/>
          <w:szCs w:val="20"/>
        </w:rPr>
        <w:t>. Available from:</w:t>
      </w:r>
      <w:r w:rsidR="00E93851" w:rsidRPr="008E1A60">
        <w:rPr>
          <w:rFonts w:ascii="Calibri Light" w:hAnsi="Calibri Light" w:cs="Calibri Light"/>
          <w:szCs w:val="20"/>
        </w:rPr>
        <w:t xml:space="preserve"> </w:t>
      </w:r>
      <w:hyperlink r:id="rId159" w:history="1">
        <w:r w:rsidR="00E93851" w:rsidRPr="005D61F9">
          <w:rPr>
            <w:rStyle w:val="Hyperlink"/>
            <w:rFonts w:ascii="Calibri Light" w:hAnsi="Calibri Light" w:cs="Calibri Light"/>
            <w:color w:val="0E57FC" w:themeColor="accent4" w:themeTint="99"/>
            <w:szCs w:val="20"/>
          </w:rPr>
          <w:t>https://www.pc.gov.au/inquiries/completed/productivity-review/report</w:t>
        </w:r>
      </w:hyperlink>
    </w:p>
    <w:p w14:paraId="7BAE66AB" w14:textId="34C09B5C" w:rsidR="001211E0" w:rsidRPr="005D61F9" w:rsidRDefault="001211E0" w:rsidP="001211E0">
      <w:pPr>
        <w:pStyle w:val="ListBullet"/>
        <w:rPr>
          <w:rStyle w:val="Hyperlink"/>
          <w:rFonts w:ascii="Calibri Light" w:hAnsi="Calibri Light" w:cs="Calibri Light"/>
          <w:color w:val="0E57FC" w:themeColor="accent4" w:themeTint="99"/>
          <w:szCs w:val="20"/>
        </w:rPr>
      </w:pPr>
      <w:r w:rsidRPr="008E1A60">
        <w:rPr>
          <w:rFonts w:ascii="Calibri Light" w:hAnsi="Calibri Light" w:cs="Calibri Light"/>
          <w:szCs w:val="20"/>
        </w:rPr>
        <w:t xml:space="preserve">The Auditor-General Report. Australian Government Funding of Public Hospital Services – Risk Management, Data Monitoring and Reporting Arrangements. Available from: </w:t>
      </w:r>
      <w:hyperlink r:id="rId160" w:history="1">
        <w:r w:rsidRPr="005D61F9">
          <w:rPr>
            <w:rStyle w:val="Hyperlink"/>
            <w:rFonts w:ascii="Calibri Light" w:hAnsi="Calibri Light" w:cs="Calibri Light"/>
            <w:color w:val="0E57FC" w:themeColor="accent4" w:themeTint="99"/>
            <w:szCs w:val="20"/>
          </w:rPr>
          <w:t>https://www.anao.gov.au/sites/default/files/Auditor-General_Report_2018-2019_26.PDF</w:t>
        </w:r>
      </w:hyperlink>
    </w:p>
    <w:p w14:paraId="019E4591" w14:textId="28518086" w:rsidR="001211E0" w:rsidRPr="005D61F9" w:rsidRDefault="001211E0" w:rsidP="001211E0">
      <w:pPr>
        <w:pStyle w:val="ListBullet"/>
        <w:rPr>
          <w:rFonts w:ascii="Calibri Light" w:hAnsi="Calibri Light" w:cs="Calibri Light"/>
          <w:color w:val="0E57FC" w:themeColor="accent4" w:themeTint="99"/>
          <w:szCs w:val="20"/>
        </w:rPr>
      </w:pPr>
      <w:r w:rsidRPr="008E1A60">
        <w:rPr>
          <w:rFonts w:ascii="Calibri Light" w:hAnsi="Calibri Light" w:cs="Calibri Light"/>
          <w:szCs w:val="20"/>
        </w:rPr>
        <w:t xml:space="preserve">The Commonwealth Fund. Mirror, Mirror: Reflecting Poorly. Available from: </w:t>
      </w:r>
      <w:hyperlink r:id="rId161" w:history="1">
        <w:r w:rsidRPr="005D61F9">
          <w:rPr>
            <w:rStyle w:val="Hyperlink"/>
            <w:rFonts w:ascii="Calibri Light" w:hAnsi="Calibri Light" w:cs="Calibri Light"/>
            <w:color w:val="0E57FC" w:themeColor="accent4" w:themeTint="99"/>
            <w:szCs w:val="20"/>
          </w:rPr>
          <w:t>https://www.commonwealthfund.org/publications/fund-reports/2021/aug/mirror-mirror-2021-reflecting-poorly</w:t>
        </w:r>
      </w:hyperlink>
      <w:r w:rsidRPr="005D61F9">
        <w:rPr>
          <w:rFonts w:ascii="Calibri Light" w:hAnsi="Calibri Light" w:cs="Calibri Light"/>
          <w:color w:val="0E57FC" w:themeColor="accent4" w:themeTint="99"/>
          <w:szCs w:val="20"/>
        </w:rPr>
        <w:t xml:space="preserve"> </w:t>
      </w:r>
    </w:p>
    <w:p w14:paraId="26834A5A" w14:textId="042919F8" w:rsidR="00C801A9" w:rsidRDefault="00FF1248" w:rsidP="0057185D">
      <w:pPr>
        <w:pStyle w:val="Appendixheading"/>
      </w:pPr>
      <w:bookmarkStart w:id="391" w:name="_Ref143788586"/>
      <w:bookmarkStart w:id="392" w:name="_Toc148968358"/>
      <w:r>
        <w:t>Stakeholders consulted</w:t>
      </w:r>
      <w:bookmarkEnd w:id="384"/>
      <w:bookmarkEnd w:id="385"/>
      <w:bookmarkEnd w:id="391"/>
      <w:bookmarkEnd w:id="392"/>
    </w:p>
    <w:p w14:paraId="56798A98" w14:textId="6714E849" w:rsidR="00E85073" w:rsidRPr="00A97309" w:rsidRDefault="00E85073" w:rsidP="00C2024B">
      <w:pPr>
        <w:pStyle w:val="Caption"/>
      </w:pPr>
      <w:bookmarkStart w:id="393" w:name="_Toc148968372"/>
      <w:r w:rsidRPr="00A97309">
        <w:t xml:space="preserve">Table </w:t>
      </w:r>
      <w:r>
        <w:fldChar w:fldCharType="begin"/>
      </w:r>
      <w:r>
        <w:instrText xml:space="preserve"> SEQ Table \* ARABIC </w:instrText>
      </w:r>
      <w:r>
        <w:fldChar w:fldCharType="separate"/>
      </w:r>
      <w:r w:rsidR="003F5D51">
        <w:rPr>
          <w:noProof/>
        </w:rPr>
        <w:t>8</w:t>
      </w:r>
      <w:r>
        <w:rPr>
          <w:noProof/>
        </w:rPr>
        <w:fldChar w:fldCharType="end"/>
      </w:r>
      <w:r w:rsidRPr="00A97309">
        <w:t xml:space="preserve">: </w:t>
      </w:r>
      <w:r w:rsidR="00AD0F36">
        <w:t>Stakeholders consulted</w:t>
      </w:r>
      <w:bookmarkEnd w:id="393"/>
    </w:p>
    <w:tbl>
      <w:tblPr>
        <w:tblStyle w:val="Deloittetable"/>
        <w:tblW w:w="5000" w:type="pct"/>
        <w:tblLook w:val="04A0" w:firstRow="1" w:lastRow="0" w:firstColumn="1" w:lastColumn="0" w:noHBand="0" w:noVBand="1"/>
      </w:tblPr>
      <w:tblGrid>
        <w:gridCol w:w="2126"/>
        <w:gridCol w:w="6238"/>
        <w:gridCol w:w="2102"/>
      </w:tblGrid>
      <w:tr w:rsidR="00B25012" w:rsidRPr="00B25012" w14:paraId="1E8B95C0" w14:textId="77777777" w:rsidTr="00C236C6">
        <w:trPr>
          <w:cnfStyle w:val="100000000000" w:firstRow="1" w:lastRow="0" w:firstColumn="0" w:lastColumn="0" w:oddVBand="0" w:evenVBand="0" w:oddHBand="0" w:evenHBand="0" w:firstRowFirstColumn="0" w:firstRowLastColumn="0" w:lastRowFirstColumn="0" w:lastRowLastColumn="0"/>
          <w:tblHeader/>
        </w:trPr>
        <w:tc>
          <w:tcPr>
            <w:tcW w:w="1016" w:type="pct"/>
            <w:tcBorders>
              <w:top w:val="single" w:sz="24" w:space="0" w:color="0097A9" w:themeColor="accent5"/>
              <w:bottom w:val="single" w:sz="8" w:space="0" w:color="D9D9D9"/>
            </w:tcBorders>
          </w:tcPr>
          <w:p w14:paraId="0FC6CBE7" w14:textId="69D9EFAB" w:rsidR="00B205CF" w:rsidRPr="00B25012" w:rsidRDefault="00B205CF" w:rsidP="007D1FE5">
            <w:pPr>
              <w:pStyle w:val="TableHeadingLeft"/>
              <w:spacing w:line="240" w:lineRule="auto"/>
              <w:rPr>
                <w:color w:val="00707E" w:themeColor="accent5" w:themeShade="BF"/>
                <w:sz w:val="18"/>
                <w:szCs w:val="18"/>
              </w:rPr>
            </w:pPr>
            <w:r w:rsidRPr="00B25012">
              <w:rPr>
                <w:color w:val="00707E" w:themeColor="accent5" w:themeShade="BF"/>
                <w:sz w:val="18"/>
                <w:szCs w:val="18"/>
              </w:rPr>
              <w:t>Type</w:t>
            </w:r>
          </w:p>
        </w:tc>
        <w:tc>
          <w:tcPr>
            <w:tcW w:w="2980" w:type="pct"/>
            <w:tcBorders>
              <w:top w:val="single" w:sz="24" w:space="0" w:color="0097A9" w:themeColor="accent5"/>
              <w:bottom w:val="single" w:sz="8" w:space="0" w:color="D9D9D9"/>
            </w:tcBorders>
          </w:tcPr>
          <w:p w14:paraId="0658CE9E" w14:textId="405217D3" w:rsidR="00B205CF" w:rsidRPr="00B25012" w:rsidRDefault="00B205CF" w:rsidP="007D1FE5">
            <w:pPr>
              <w:pStyle w:val="TableHeadingLeft"/>
              <w:spacing w:line="240" w:lineRule="auto"/>
              <w:rPr>
                <w:color w:val="00707E" w:themeColor="accent5" w:themeShade="BF"/>
                <w:sz w:val="18"/>
                <w:szCs w:val="18"/>
              </w:rPr>
            </w:pPr>
            <w:r w:rsidRPr="00B25012">
              <w:rPr>
                <w:color w:val="00707E" w:themeColor="accent5" w:themeShade="BF"/>
                <w:sz w:val="18"/>
                <w:szCs w:val="18"/>
              </w:rPr>
              <w:t>Stakeholder / organisation</w:t>
            </w:r>
          </w:p>
        </w:tc>
        <w:tc>
          <w:tcPr>
            <w:tcW w:w="1004" w:type="pct"/>
            <w:tcBorders>
              <w:top w:val="single" w:sz="24" w:space="0" w:color="0097A9" w:themeColor="accent5"/>
              <w:bottom w:val="single" w:sz="8" w:space="0" w:color="D9D9D9"/>
            </w:tcBorders>
          </w:tcPr>
          <w:p w14:paraId="588918DC" w14:textId="7C89BCC2" w:rsidR="00B205CF" w:rsidRPr="00B25012" w:rsidRDefault="00EE3297" w:rsidP="007D1FE5">
            <w:pPr>
              <w:pStyle w:val="TableHeadingLeft"/>
              <w:spacing w:line="240" w:lineRule="auto"/>
              <w:rPr>
                <w:color w:val="00707E" w:themeColor="accent5" w:themeShade="BF"/>
                <w:sz w:val="18"/>
                <w:szCs w:val="18"/>
              </w:rPr>
            </w:pPr>
            <w:r w:rsidRPr="00B25012">
              <w:rPr>
                <w:color w:val="00707E" w:themeColor="accent5" w:themeShade="BF"/>
                <w:sz w:val="18"/>
                <w:szCs w:val="18"/>
              </w:rPr>
              <w:t>Date</w:t>
            </w:r>
          </w:p>
        </w:tc>
      </w:tr>
      <w:tr w:rsidR="00230D46" w:rsidRPr="00E20FEA" w14:paraId="7C2C1086" w14:textId="77777777" w:rsidTr="00C236C6">
        <w:trPr>
          <w:trHeight w:val="42"/>
        </w:trPr>
        <w:tc>
          <w:tcPr>
            <w:tcW w:w="1016" w:type="pct"/>
            <w:tcBorders>
              <w:top w:val="single" w:sz="8" w:space="0" w:color="D9D9D9"/>
              <w:bottom w:val="single" w:sz="8" w:space="0" w:color="D9D9D9"/>
              <w:right w:val="nil"/>
            </w:tcBorders>
            <w:vAlign w:val="center"/>
          </w:tcPr>
          <w:p w14:paraId="6BFCBAD1" w14:textId="59477D67" w:rsidR="00E90E10" w:rsidRPr="00C236C6" w:rsidRDefault="00E90E10" w:rsidP="007D1FE5">
            <w:pPr>
              <w:pStyle w:val="TabletextLeft"/>
              <w:spacing w:line="240" w:lineRule="auto"/>
              <w:rPr>
                <w:sz w:val="18"/>
                <w:szCs w:val="18"/>
              </w:rPr>
            </w:pPr>
            <w:r w:rsidRPr="00C236C6">
              <w:rPr>
                <w:sz w:val="18"/>
                <w:szCs w:val="18"/>
              </w:rPr>
              <w:t>National Body consultation</w:t>
            </w:r>
          </w:p>
        </w:tc>
        <w:tc>
          <w:tcPr>
            <w:tcW w:w="2980" w:type="pct"/>
            <w:tcBorders>
              <w:top w:val="single" w:sz="8" w:space="0" w:color="D9D9D9"/>
              <w:left w:val="nil"/>
              <w:bottom w:val="single" w:sz="8" w:space="0" w:color="D9D9D9"/>
              <w:right w:val="nil"/>
            </w:tcBorders>
            <w:shd w:val="clear" w:color="auto" w:fill="auto"/>
            <w:vAlign w:val="center"/>
          </w:tcPr>
          <w:p w14:paraId="5AA3DAE2" w14:textId="63695112" w:rsidR="00E90E10" w:rsidRPr="00C236C6" w:rsidRDefault="00E90E10" w:rsidP="007D1FE5">
            <w:pPr>
              <w:pStyle w:val="TabletextLeft"/>
              <w:spacing w:line="240" w:lineRule="auto"/>
              <w:rPr>
                <w:sz w:val="18"/>
                <w:szCs w:val="18"/>
              </w:rPr>
            </w:pPr>
            <w:r w:rsidRPr="00C236C6">
              <w:rPr>
                <w:sz w:val="18"/>
                <w:szCs w:val="18"/>
              </w:rPr>
              <w:t>Australian Commission on Safety and Quality in Health Care (ACSQHC)</w:t>
            </w:r>
          </w:p>
        </w:tc>
        <w:tc>
          <w:tcPr>
            <w:tcW w:w="1004" w:type="pct"/>
            <w:tcBorders>
              <w:top w:val="single" w:sz="8" w:space="0" w:color="D9D9D9"/>
              <w:left w:val="nil"/>
              <w:bottom w:val="single" w:sz="8" w:space="0" w:color="D9D9D9"/>
              <w:right w:val="nil"/>
            </w:tcBorders>
            <w:shd w:val="clear" w:color="auto" w:fill="auto"/>
            <w:vAlign w:val="center"/>
          </w:tcPr>
          <w:p w14:paraId="00594801" w14:textId="51549E4C" w:rsidR="00E90E10" w:rsidRPr="00C236C6" w:rsidRDefault="00E90E10" w:rsidP="007D1FE5">
            <w:pPr>
              <w:pStyle w:val="TabletextLeft"/>
              <w:spacing w:line="240" w:lineRule="auto"/>
              <w:rPr>
                <w:sz w:val="18"/>
                <w:szCs w:val="18"/>
              </w:rPr>
            </w:pPr>
            <w:r w:rsidRPr="00C236C6">
              <w:rPr>
                <w:sz w:val="18"/>
                <w:szCs w:val="18"/>
              </w:rPr>
              <w:t>7 March</w:t>
            </w:r>
            <w:r w:rsidR="001615C0">
              <w:rPr>
                <w:sz w:val="18"/>
                <w:szCs w:val="18"/>
              </w:rPr>
              <w:t xml:space="preserve"> and </w:t>
            </w:r>
            <w:r w:rsidR="00885FDF">
              <w:rPr>
                <w:sz w:val="18"/>
                <w:szCs w:val="18"/>
              </w:rPr>
              <w:t>16</w:t>
            </w:r>
            <w:r w:rsidR="00C00CFD">
              <w:rPr>
                <w:sz w:val="18"/>
                <w:szCs w:val="18"/>
              </w:rPr>
              <w:t xml:space="preserve"> August </w:t>
            </w:r>
          </w:p>
        </w:tc>
      </w:tr>
      <w:tr w:rsidR="00E90E10" w:rsidRPr="00EE3297" w14:paraId="129BF3A5" w14:textId="003F9F4A" w:rsidTr="00C236C6">
        <w:trPr>
          <w:trHeight w:val="42"/>
        </w:trPr>
        <w:tc>
          <w:tcPr>
            <w:tcW w:w="1016" w:type="pct"/>
            <w:tcBorders>
              <w:top w:val="single" w:sz="8" w:space="0" w:color="D9D9D9"/>
              <w:bottom w:val="single" w:sz="8" w:space="0" w:color="D9D9D9"/>
              <w:right w:val="nil"/>
            </w:tcBorders>
            <w:vAlign w:val="center"/>
          </w:tcPr>
          <w:p w14:paraId="3EE92E24" w14:textId="26A2C49E" w:rsidR="00E90E10" w:rsidRPr="00C236C6" w:rsidRDefault="00E90E10" w:rsidP="007D1FE5">
            <w:pPr>
              <w:pStyle w:val="TabletextLeft"/>
              <w:spacing w:line="240" w:lineRule="auto"/>
              <w:rPr>
                <w:sz w:val="18"/>
                <w:szCs w:val="18"/>
              </w:rPr>
            </w:pPr>
            <w:r w:rsidRPr="00C236C6">
              <w:rPr>
                <w:sz w:val="18"/>
                <w:szCs w:val="18"/>
              </w:rPr>
              <w:t>National Body consultation</w:t>
            </w:r>
          </w:p>
        </w:tc>
        <w:tc>
          <w:tcPr>
            <w:tcW w:w="2980" w:type="pct"/>
            <w:tcBorders>
              <w:top w:val="single" w:sz="8" w:space="0" w:color="D9D9D9"/>
              <w:left w:val="nil"/>
              <w:bottom w:val="single" w:sz="8" w:space="0" w:color="D9D9D9"/>
              <w:right w:val="nil"/>
            </w:tcBorders>
            <w:shd w:val="clear" w:color="auto" w:fill="auto"/>
            <w:vAlign w:val="center"/>
          </w:tcPr>
          <w:p w14:paraId="23CE7DED" w14:textId="78594F04" w:rsidR="00E90E10" w:rsidRPr="00C236C6" w:rsidRDefault="00E90E10" w:rsidP="007D1FE5">
            <w:pPr>
              <w:pStyle w:val="TabletextLeft"/>
              <w:spacing w:line="240" w:lineRule="auto"/>
              <w:rPr>
                <w:sz w:val="18"/>
                <w:szCs w:val="18"/>
              </w:rPr>
            </w:pPr>
            <w:r w:rsidRPr="00C236C6">
              <w:rPr>
                <w:sz w:val="18"/>
                <w:szCs w:val="18"/>
              </w:rPr>
              <w:t>Independent Hospital and Aged Care Pricing Authority (IHACPA)</w:t>
            </w:r>
          </w:p>
        </w:tc>
        <w:tc>
          <w:tcPr>
            <w:tcW w:w="1004" w:type="pct"/>
            <w:tcBorders>
              <w:top w:val="single" w:sz="8" w:space="0" w:color="D9D9D9"/>
              <w:left w:val="nil"/>
              <w:bottom w:val="single" w:sz="8" w:space="0" w:color="D9D9D9"/>
              <w:right w:val="nil"/>
            </w:tcBorders>
            <w:shd w:val="clear" w:color="auto" w:fill="auto"/>
            <w:vAlign w:val="center"/>
          </w:tcPr>
          <w:p w14:paraId="43C1AEBD" w14:textId="15393BCD" w:rsidR="00E90E10" w:rsidRPr="00C236C6" w:rsidRDefault="00E90E10" w:rsidP="007D1FE5">
            <w:pPr>
              <w:pStyle w:val="TabletextLeft"/>
              <w:spacing w:line="240" w:lineRule="auto"/>
              <w:rPr>
                <w:sz w:val="18"/>
                <w:szCs w:val="18"/>
              </w:rPr>
            </w:pPr>
            <w:r w:rsidRPr="00C236C6">
              <w:rPr>
                <w:sz w:val="18"/>
                <w:szCs w:val="18"/>
              </w:rPr>
              <w:t>7 March and throughout</w:t>
            </w:r>
          </w:p>
        </w:tc>
      </w:tr>
      <w:tr w:rsidR="00E90E10" w:rsidRPr="00EE3297" w14:paraId="15C1503F" w14:textId="4FB7D7F3" w:rsidTr="00C236C6">
        <w:trPr>
          <w:trHeight w:val="42"/>
        </w:trPr>
        <w:tc>
          <w:tcPr>
            <w:tcW w:w="1016" w:type="pct"/>
            <w:tcBorders>
              <w:top w:val="single" w:sz="8" w:space="0" w:color="D9D9D9"/>
              <w:bottom w:val="single" w:sz="8" w:space="0" w:color="D9D9D9"/>
              <w:right w:val="nil"/>
            </w:tcBorders>
            <w:vAlign w:val="center"/>
          </w:tcPr>
          <w:p w14:paraId="03DECF3F" w14:textId="4D5D9FF7" w:rsidR="00E90E10" w:rsidRPr="00C236C6" w:rsidRDefault="00E90E10" w:rsidP="007D1FE5">
            <w:pPr>
              <w:pStyle w:val="TabletextLeft"/>
              <w:spacing w:line="240" w:lineRule="auto"/>
              <w:rPr>
                <w:sz w:val="18"/>
                <w:szCs w:val="18"/>
              </w:rPr>
            </w:pPr>
            <w:r w:rsidRPr="00C236C6">
              <w:rPr>
                <w:sz w:val="18"/>
                <w:szCs w:val="18"/>
              </w:rPr>
              <w:t>National Body consultation</w:t>
            </w:r>
          </w:p>
        </w:tc>
        <w:tc>
          <w:tcPr>
            <w:tcW w:w="2980" w:type="pct"/>
            <w:tcBorders>
              <w:top w:val="single" w:sz="8" w:space="0" w:color="D9D9D9"/>
              <w:left w:val="nil"/>
              <w:bottom w:val="single" w:sz="8" w:space="0" w:color="D9D9D9"/>
              <w:right w:val="nil"/>
            </w:tcBorders>
            <w:shd w:val="clear" w:color="auto" w:fill="auto"/>
            <w:vAlign w:val="center"/>
          </w:tcPr>
          <w:p w14:paraId="5AE4731F" w14:textId="5E2ED23C" w:rsidR="00E90E10" w:rsidRPr="00C236C6" w:rsidRDefault="00E90E10" w:rsidP="007D1FE5">
            <w:pPr>
              <w:pStyle w:val="TabletextLeft"/>
              <w:spacing w:line="240" w:lineRule="auto"/>
              <w:rPr>
                <w:sz w:val="18"/>
                <w:szCs w:val="18"/>
              </w:rPr>
            </w:pPr>
            <w:r w:rsidRPr="00C236C6">
              <w:rPr>
                <w:sz w:val="18"/>
                <w:szCs w:val="18"/>
              </w:rPr>
              <w:t>Australian Institute of Health and Welfare (AIHW)</w:t>
            </w:r>
          </w:p>
        </w:tc>
        <w:tc>
          <w:tcPr>
            <w:tcW w:w="1004" w:type="pct"/>
            <w:tcBorders>
              <w:top w:val="single" w:sz="8" w:space="0" w:color="D9D9D9"/>
              <w:left w:val="nil"/>
              <w:bottom w:val="single" w:sz="8" w:space="0" w:color="D9D9D9"/>
              <w:right w:val="nil"/>
            </w:tcBorders>
            <w:shd w:val="clear" w:color="auto" w:fill="auto"/>
            <w:vAlign w:val="center"/>
          </w:tcPr>
          <w:p w14:paraId="0921510B" w14:textId="45442D53" w:rsidR="00E90E10" w:rsidRPr="00C236C6" w:rsidRDefault="00E90E10" w:rsidP="007D1FE5">
            <w:pPr>
              <w:pStyle w:val="TabletextLeft"/>
              <w:spacing w:line="240" w:lineRule="auto"/>
              <w:rPr>
                <w:sz w:val="18"/>
                <w:szCs w:val="18"/>
              </w:rPr>
            </w:pPr>
            <w:r w:rsidRPr="00C236C6">
              <w:rPr>
                <w:sz w:val="18"/>
                <w:szCs w:val="18"/>
              </w:rPr>
              <w:t>8 March and throughout</w:t>
            </w:r>
          </w:p>
        </w:tc>
      </w:tr>
      <w:tr w:rsidR="003E222D" w:rsidRPr="00EE3297" w14:paraId="3F776353" w14:textId="77777777" w:rsidTr="00C236C6">
        <w:trPr>
          <w:trHeight w:val="42"/>
        </w:trPr>
        <w:tc>
          <w:tcPr>
            <w:tcW w:w="1016" w:type="pct"/>
            <w:tcBorders>
              <w:top w:val="single" w:sz="8" w:space="0" w:color="D9D9D9"/>
              <w:bottom w:val="single" w:sz="8" w:space="0" w:color="D9D9D9"/>
              <w:right w:val="nil"/>
            </w:tcBorders>
            <w:vAlign w:val="center"/>
          </w:tcPr>
          <w:p w14:paraId="38575090" w14:textId="7EAC2E50" w:rsidR="003E222D" w:rsidRPr="00C236C6" w:rsidRDefault="003E222D" w:rsidP="007D1FE5">
            <w:pPr>
              <w:pStyle w:val="TabletextLeft"/>
              <w:spacing w:line="240" w:lineRule="auto"/>
              <w:rPr>
                <w:sz w:val="18"/>
                <w:szCs w:val="18"/>
              </w:rPr>
            </w:pPr>
            <w:r w:rsidRPr="00C236C6">
              <w:rPr>
                <w:sz w:val="18"/>
                <w:szCs w:val="18"/>
              </w:rPr>
              <w:t>National Body consultation</w:t>
            </w:r>
          </w:p>
        </w:tc>
        <w:tc>
          <w:tcPr>
            <w:tcW w:w="2980" w:type="pct"/>
            <w:tcBorders>
              <w:top w:val="single" w:sz="8" w:space="0" w:color="D9D9D9"/>
              <w:left w:val="nil"/>
              <w:bottom w:val="single" w:sz="8" w:space="0" w:color="D9D9D9"/>
              <w:right w:val="nil"/>
            </w:tcBorders>
            <w:shd w:val="clear" w:color="auto" w:fill="auto"/>
            <w:vAlign w:val="center"/>
          </w:tcPr>
          <w:p w14:paraId="08BA8054" w14:textId="7B18A26A" w:rsidR="003E222D" w:rsidRPr="00C236C6" w:rsidRDefault="003E222D" w:rsidP="007D1FE5">
            <w:pPr>
              <w:pStyle w:val="TabletextLeft"/>
              <w:spacing w:line="240" w:lineRule="auto"/>
              <w:rPr>
                <w:sz w:val="18"/>
                <w:szCs w:val="18"/>
              </w:rPr>
            </w:pPr>
            <w:r w:rsidRPr="00C236C6">
              <w:rPr>
                <w:sz w:val="18"/>
                <w:szCs w:val="18"/>
              </w:rPr>
              <w:t>Administrator of the National Health Funding Pool (Administrator)</w:t>
            </w:r>
          </w:p>
        </w:tc>
        <w:tc>
          <w:tcPr>
            <w:tcW w:w="1004" w:type="pct"/>
            <w:tcBorders>
              <w:top w:val="single" w:sz="8" w:space="0" w:color="D9D9D9"/>
              <w:left w:val="nil"/>
              <w:bottom w:val="single" w:sz="8" w:space="0" w:color="D9D9D9"/>
              <w:right w:val="nil"/>
            </w:tcBorders>
            <w:shd w:val="clear" w:color="auto" w:fill="auto"/>
            <w:vAlign w:val="center"/>
          </w:tcPr>
          <w:p w14:paraId="75D9CC16" w14:textId="5095D771" w:rsidR="003E222D" w:rsidRPr="00C236C6" w:rsidRDefault="003E222D" w:rsidP="007D1FE5">
            <w:pPr>
              <w:pStyle w:val="TabletextLeft"/>
              <w:spacing w:line="240" w:lineRule="auto"/>
              <w:rPr>
                <w:sz w:val="18"/>
                <w:szCs w:val="18"/>
              </w:rPr>
            </w:pPr>
            <w:r w:rsidRPr="00C236C6">
              <w:rPr>
                <w:sz w:val="18"/>
                <w:szCs w:val="18"/>
              </w:rPr>
              <w:t>22 March and throughout</w:t>
            </w:r>
          </w:p>
        </w:tc>
      </w:tr>
      <w:tr w:rsidR="00E90E10" w:rsidRPr="00EE3297" w14:paraId="3B638248" w14:textId="638BA7B6" w:rsidTr="00C236C6">
        <w:trPr>
          <w:trHeight w:val="42"/>
        </w:trPr>
        <w:tc>
          <w:tcPr>
            <w:tcW w:w="1016" w:type="pct"/>
            <w:tcBorders>
              <w:top w:val="single" w:sz="8" w:space="0" w:color="D9D9D9"/>
              <w:bottom w:val="single" w:sz="8" w:space="0" w:color="D9D9D9"/>
              <w:right w:val="nil"/>
            </w:tcBorders>
            <w:vAlign w:val="center"/>
          </w:tcPr>
          <w:p w14:paraId="343048BE" w14:textId="1BCE93E9" w:rsidR="00E90E10" w:rsidRPr="00C236C6" w:rsidRDefault="00E90E10" w:rsidP="007D1FE5">
            <w:pPr>
              <w:pStyle w:val="TabletextLeft"/>
              <w:spacing w:line="240" w:lineRule="auto"/>
              <w:rPr>
                <w:sz w:val="18"/>
                <w:szCs w:val="18"/>
              </w:rPr>
            </w:pPr>
            <w:r w:rsidRPr="00C236C6">
              <w:rPr>
                <w:sz w:val="18"/>
                <w:szCs w:val="18"/>
              </w:rPr>
              <w:t>National Body consultation</w:t>
            </w:r>
          </w:p>
        </w:tc>
        <w:tc>
          <w:tcPr>
            <w:tcW w:w="2980" w:type="pct"/>
            <w:tcBorders>
              <w:top w:val="single" w:sz="8" w:space="0" w:color="D9D9D9"/>
              <w:left w:val="nil"/>
              <w:bottom w:val="single" w:sz="8" w:space="0" w:color="D9D9D9"/>
              <w:right w:val="nil"/>
            </w:tcBorders>
            <w:shd w:val="clear" w:color="auto" w:fill="auto"/>
            <w:vAlign w:val="center"/>
          </w:tcPr>
          <w:p w14:paraId="7FADD3CB" w14:textId="6E8B5948" w:rsidR="00E90E10" w:rsidRPr="00C236C6" w:rsidRDefault="00E90E10" w:rsidP="007D1FE5">
            <w:pPr>
              <w:pStyle w:val="TabletextLeft"/>
              <w:spacing w:line="240" w:lineRule="auto"/>
              <w:rPr>
                <w:sz w:val="18"/>
                <w:szCs w:val="18"/>
              </w:rPr>
            </w:pPr>
            <w:r w:rsidRPr="00C236C6">
              <w:rPr>
                <w:sz w:val="18"/>
                <w:szCs w:val="18"/>
              </w:rPr>
              <w:t xml:space="preserve">National Health Funding Body (NHFB) </w:t>
            </w:r>
          </w:p>
        </w:tc>
        <w:tc>
          <w:tcPr>
            <w:tcW w:w="1004" w:type="pct"/>
            <w:tcBorders>
              <w:top w:val="single" w:sz="8" w:space="0" w:color="D9D9D9"/>
              <w:left w:val="nil"/>
              <w:bottom w:val="single" w:sz="8" w:space="0" w:color="D9D9D9"/>
              <w:right w:val="nil"/>
            </w:tcBorders>
            <w:shd w:val="clear" w:color="auto" w:fill="auto"/>
            <w:vAlign w:val="center"/>
          </w:tcPr>
          <w:p w14:paraId="4AA31B6A" w14:textId="643D924F" w:rsidR="00E90E10" w:rsidRPr="00C236C6" w:rsidRDefault="00E90E10" w:rsidP="007D1FE5">
            <w:pPr>
              <w:pStyle w:val="TabletextLeft"/>
              <w:spacing w:line="240" w:lineRule="auto"/>
              <w:rPr>
                <w:sz w:val="18"/>
                <w:szCs w:val="18"/>
              </w:rPr>
            </w:pPr>
            <w:r w:rsidRPr="00C236C6">
              <w:rPr>
                <w:sz w:val="18"/>
                <w:szCs w:val="18"/>
              </w:rPr>
              <w:t>22 March and throughout</w:t>
            </w:r>
          </w:p>
        </w:tc>
      </w:tr>
      <w:tr w:rsidR="00E90E10" w:rsidRPr="00EE3297" w14:paraId="09C32093" w14:textId="2922D969" w:rsidTr="00C236C6">
        <w:trPr>
          <w:trHeight w:val="42"/>
        </w:trPr>
        <w:tc>
          <w:tcPr>
            <w:tcW w:w="1016" w:type="pct"/>
            <w:tcBorders>
              <w:top w:val="single" w:sz="8" w:space="0" w:color="D9D9D9"/>
              <w:bottom w:val="single" w:sz="8" w:space="0" w:color="D9D9D9"/>
              <w:right w:val="nil"/>
            </w:tcBorders>
            <w:vAlign w:val="center"/>
          </w:tcPr>
          <w:p w14:paraId="7389D527" w14:textId="0341BC1A" w:rsidR="00E90E10" w:rsidRPr="00C236C6" w:rsidRDefault="00E90E10" w:rsidP="007D1FE5">
            <w:pPr>
              <w:pStyle w:val="TabletextLeft"/>
              <w:spacing w:line="240" w:lineRule="auto"/>
              <w:rPr>
                <w:sz w:val="18"/>
                <w:szCs w:val="18"/>
              </w:rPr>
            </w:pPr>
            <w:r w:rsidRPr="00C236C6">
              <w:rPr>
                <w:sz w:val="18"/>
                <w:szCs w:val="18"/>
              </w:rPr>
              <w:t>Jurisdictional workshop</w:t>
            </w:r>
            <w:r w:rsidR="00256FDF">
              <w:rPr>
                <w:sz w:val="18"/>
                <w:szCs w:val="18"/>
              </w:rPr>
              <w:t>s</w:t>
            </w:r>
          </w:p>
        </w:tc>
        <w:tc>
          <w:tcPr>
            <w:tcW w:w="2980" w:type="pct"/>
            <w:tcBorders>
              <w:top w:val="single" w:sz="8" w:space="0" w:color="D9D9D9"/>
              <w:left w:val="nil"/>
              <w:bottom w:val="single" w:sz="8" w:space="0" w:color="D9D9D9"/>
              <w:right w:val="nil"/>
            </w:tcBorders>
            <w:shd w:val="clear" w:color="auto" w:fill="auto"/>
            <w:vAlign w:val="center"/>
          </w:tcPr>
          <w:p w14:paraId="38FB5C86" w14:textId="4C25C3D6" w:rsidR="00E90E10" w:rsidRPr="00C236C6" w:rsidRDefault="00E90E10" w:rsidP="007D1FE5">
            <w:pPr>
              <w:pStyle w:val="TabletextLeft"/>
              <w:spacing w:line="240" w:lineRule="auto"/>
              <w:rPr>
                <w:sz w:val="18"/>
                <w:szCs w:val="18"/>
              </w:rPr>
            </w:pPr>
            <w:r w:rsidRPr="00C236C6">
              <w:rPr>
                <w:sz w:val="18"/>
                <w:szCs w:val="18"/>
              </w:rPr>
              <w:t>South Australia</w:t>
            </w:r>
          </w:p>
        </w:tc>
        <w:tc>
          <w:tcPr>
            <w:tcW w:w="1004" w:type="pct"/>
            <w:tcBorders>
              <w:top w:val="single" w:sz="8" w:space="0" w:color="D9D9D9"/>
              <w:left w:val="nil"/>
              <w:bottom w:val="single" w:sz="8" w:space="0" w:color="D9D9D9"/>
              <w:right w:val="nil"/>
            </w:tcBorders>
            <w:shd w:val="clear" w:color="auto" w:fill="auto"/>
            <w:vAlign w:val="center"/>
          </w:tcPr>
          <w:p w14:paraId="1E19502E" w14:textId="5FD6BB63" w:rsidR="00E90E10" w:rsidRPr="00C236C6" w:rsidRDefault="00E90E10" w:rsidP="007D1FE5">
            <w:pPr>
              <w:pStyle w:val="TabletextLeft"/>
              <w:spacing w:line="240" w:lineRule="auto"/>
              <w:rPr>
                <w:sz w:val="18"/>
                <w:szCs w:val="18"/>
              </w:rPr>
            </w:pPr>
            <w:r w:rsidRPr="00C236C6">
              <w:rPr>
                <w:sz w:val="18"/>
                <w:szCs w:val="18"/>
              </w:rPr>
              <w:t>3-4 April</w:t>
            </w:r>
          </w:p>
        </w:tc>
      </w:tr>
      <w:tr w:rsidR="00E90E10" w:rsidRPr="00EE3297" w14:paraId="354DD1A8" w14:textId="4BDFAC37" w:rsidTr="00C236C6">
        <w:trPr>
          <w:trHeight w:val="42"/>
        </w:trPr>
        <w:tc>
          <w:tcPr>
            <w:tcW w:w="1016" w:type="pct"/>
            <w:tcBorders>
              <w:top w:val="single" w:sz="8" w:space="0" w:color="D9D9D9"/>
              <w:bottom w:val="single" w:sz="8" w:space="0" w:color="D9D9D9"/>
              <w:right w:val="nil"/>
            </w:tcBorders>
            <w:vAlign w:val="center"/>
          </w:tcPr>
          <w:p w14:paraId="1DC54DFE" w14:textId="120E81FD" w:rsidR="00E90E10" w:rsidRPr="00C236C6" w:rsidRDefault="00E90E10" w:rsidP="007D1FE5">
            <w:pPr>
              <w:pStyle w:val="TabletextLeft"/>
              <w:spacing w:line="240" w:lineRule="auto"/>
              <w:rPr>
                <w:sz w:val="18"/>
                <w:szCs w:val="18"/>
              </w:rPr>
            </w:pPr>
            <w:r w:rsidRPr="00C236C6">
              <w:rPr>
                <w:sz w:val="18"/>
                <w:szCs w:val="18"/>
              </w:rPr>
              <w:t>Targeted interview</w:t>
            </w:r>
          </w:p>
        </w:tc>
        <w:tc>
          <w:tcPr>
            <w:tcW w:w="2980" w:type="pct"/>
            <w:tcBorders>
              <w:top w:val="single" w:sz="8" w:space="0" w:color="D9D9D9"/>
              <w:left w:val="nil"/>
              <w:bottom w:val="single" w:sz="8" w:space="0" w:color="D9D9D9"/>
              <w:right w:val="nil"/>
            </w:tcBorders>
            <w:shd w:val="clear" w:color="auto" w:fill="auto"/>
            <w:vAlign w:val="center"/>
          </w:tcPr>
          <w:p w14:paraId="5EDE9F5B" w14:textId="5FC259EB" w:rsidR="00E90E10" w:rsidRPr="00C236C6" w:rsidRDefault="00E90E10" w:rsidP="007D1FE5">
            <w:pPr>
              <w:pStyle w:val="TabletextLeft"/>
              <w:spacing w:line="240" w:lineRule="auto"/>
              <w:rPr>
                <w:sz w:val="18"/>
                <w:szCs w:val="18"/>
              </w:rPr>
            </w:pPr>
            <w:r w:rsidRPr="00C236C6">
              <w:rPr>
                <w:sz w:val="18"/>
                <w:szCs w:val="18"/>
              </w:rPr>
              <w:t>Australian Healthcare and Hospitals Association (AHHA)</w:t>
            </w:r>
          </w:p>
        </w:tc>
        <w:tc>
          <w:tcPr>
            <w:tcW w:w="1004" w:type="pct"/>
            <w:tcBorders>
              <w:top w:val="single" w:sz="8" w:space="0" w:color="D9D9D9"/>
              <w:left w:val="nil"/>
              <w:bottom w:val="single" w:sz="8" w:space="0" w:color="D9D9D9"/>
              <w:right w:val="nil"/>
            </w:tcBorders>
            <w:shd w:val="clear" w:color="auto" w:fill="auto"/>
            <w:vAlign w:val="center"/>
          </w:tcPr>
          <w:p w14:paraId="1D945D0C" w14:textId="3E006DEE" w:rsidR="00E90E10" w:rsidRPr="00C236C6" w:rsidRDefault="00E90E10" w:rsidP="007D1FE5">
            <w:pPr>
              <w:pStyle w:val="TabletextLeft"/>
              <w:spacing w:line="240" w:lineRule="auto"/>
              <w:rPr>
                <w:sz w:val="18"/>
                <w:szCs w:val="18"/>
              </w:rPr>
            </w:pPr>
            <w:r w:rsidRPr="00C236C6">
              <w:rPr>
                <w:sz w:val="18"/>
                <w:szCs w:val="18"/>
              </w:rPr>
              <w:t>11 April</w:t>
            </w:r>
          </w:p>
        </w:tc>
      </w:tr>
      <w:tr w:rsidR="00E90E10" w:rsidRPr="00EE3297" w14:paraId="5634E71E" w14:textId="318609F8" w:rsidTr="00C236C6">
        <w:trPr>
          <w:trHeight w:val="42"/>
        </w:trPr>
        <w:tc>
          <w:tcPr>
            <w:tcW w:w="1016" w:type="pct"/>
            <w:tcBorders>
              <w:top w:val="single" w:sz="8" w:space="0" w:color="D9D9D9"/>
              <w:bottom w:val="single" w:sz="8" w:space="0" w:color="D9D9D9"/>
              <w:right w:val="nil"/>
            </w:tcBorders>
            <w:vAlign w:val="center"/>
          </w:tcPr>
          <w:p w14:paraId="0570DF58" w14:textId="519D7C2F" w:rsidR="00E90E10" w:rsidRPr="00C236C6" w:rsidRDefault="00E90E10" w:rsidP="007D1FE5">
            <w:pPr>
              <w:pStyle w:val="TabletextLeft"/>
              <w:spacing w:line="240" w:lineRule="auto"/>
              <w:rPr>
                <w:sz w:val="18"/>
                <w:szCs w:val="18"/>
              </w:rPr>
            </w:pPr>
            <w:r w:rsidRPr="00C236C6">
              <w:rPr>
                <w:sz w:val="18"/>
                <w:szCs w:val="18"/>
              </w:rPr>
              <w:t>Targeted interview</w:t>
            </w:r>
          </w:p>
        </w:tc>
        <w:tc>
          <w:tcPr>
            <w:tcW w:w="2980" w:type="pct"/>
            <w:tcBorders>
              <w:top w:val="single" w:sz="8" w:space="0" w:color="D9D9D9"/>
              <w:left w:val="nil"/>
              <w:bottom w:val="single" w:sz="8" w:space="0" w:color="D9D9D9"/>
              <w:right w:val="nil"/>
            </w:tcBorders>
            <w:shd w:val="clear" w:color="auto" w:fill="auto"/>
            <w:vAlign w:val="center"/>
          </w:tcPr>
          <w:p w14:paraId="7E394602" w14:textId="043E21DF" w:rsidR="00E90E10" w:rsidRPr="00C236C6" w:rsidRDefault="00E90E10" w:rsidP="007D1FE5">
            <w:pPr>
              <w:pStyle w:val="TabletextLeft"/>
              <w:spacing w:line="240" w:lineRule="auto"/>
              <w:rPr>
                <w:sz w:val="18"/>
                <w:szCs w:val="18"/>
              </w:rPr>
            </w:pPr>
            <w:r w:rsidRPr="00C236C6">
              <w:rPr>
                <w:sz w:val="18"/>
                <w:szCs w:val="18"/>
              </w:rPr>
              <w:t>National Aboriginal Community Controlled Health Organisation (NACCHO)</w:t>
            </w:r>
          </w:p>
        </w:tc>
        <w:tc>
          <w:tcPr>
            <w:tcW w:w="1004" w:type="pct"/>
            <w:tcBorders>
              <w:top w:val="single" w:sz="8" w:space="0" w:color="D9D9D9"/>
              <w:left w:val="nil"/>
              <w:bottom w:val="single" w:sz="8" w:space="0" w:color="D9D9D9"/>
              <w:right w:val="nil"/>
            </w:tcBorders>
            <w:shd w:val="clear" w:color="auto" w:fill="auto"/>
            <w:vAlign w:val="center"/>
          </w:tcPr>
          <w:p w14:paraId="763FAF89" w14:textId="5EA6084E" w:rsidR="00E90E10" w:rsidRPr="00C236C6" w:rsidRDefault="00E90E10" w:rsidP="007D1FE5">
            <w:pPr>
              <w:pStyle w:val="TabletextLeft"/>
              <w:spacing w:line="240" w:lineRule="auto"/>
              <w:rPr>
                <w:sz w:val="18"/>
                <w:szCs w:val="18"/>
              </w:rPr>
            </w:pPr>
            <w:r w:rsidRPr="00C236C6">
              <w:rPr>
                <w:sz w:val="18"/>
                <w:szCs w:val="18"/>
              </w:rPr>
              <w:t>11 April</w:t>
            </w:r>
          </w:p>
        </w:tc>
      </w:tr>
      <w:tr w:rsidR="00E90E10" w:rsidRPr="00EE3297" w14:paraId="1D075F66" w14:textId="22997D31" w:rsidTr="00C236C6">
        <w:trPr>
          <w:trHeight w:val="42"/>
        </w:trPr>
        <w:tc>
          <w:tcPr>
            <w:tcW w:w="1016" w:type="pct"/>
            <w:tcBorders>
              <w:top w:val="single" w:sz="8" w:space="0" w:color="D9D9D9"/>
              <w:bottom w:val="single" w:sz="8" w:space="0" w:color="D9D9D9"/>
              <w:right w:val="nil"/>
            </w:tcBorders>
            <w:vAlign w:val="center"/>
          </w:tcPr>
          <w:p w14:paraId="469353EC" w14:textId="21B1F689" w:rsidR="00E90E10" w:rsidRPr="00C236C6" w:rsidRDefault="00E90E10" w:rsidP="007D1FE5">
            <w:pPr>
              <w:pStyle w:val="TabletextLeft"/>
              <w:spacing w:line="240" w:lineRule="auto"/>
              <w:rPr>
                <w:sz w:val="18"/>
                <w:szCs w:val="18"/>
              </w:rPr>
            </w:pPr>
            <w:r w:rsidRPr="00C236C6">
              <w:rPr>
                <w:sz w:val="18"/>
                <w:szCs w:val="18"/>
              </w:rPr>
              <w:t>Targeted interview</w:t>
            </w:r>
          </w:p>
        </w:tc>
        <w:tc>
          <w:tcPr>
            <w:tcW w:w="2980" w:type="pct"/>
            <w:tcBorders>
              <w:top w:val="single" w:sz="8" w:space="0" w:color="D9D9D9"/>
              <w:left w:val="nil"/>
              <w:bottom w:val="single" w:sz="8" w:space="0" w:color="D9D9D9"/>
              <w:right w:val="nil"/>
            </w:tcBorders>
            <w:shd w:val="clear" w:color="auto" w:fill="auto"/>
            <w:vAlign w:val="center"/>
          </w:tcPr>
          <w:p w14:paraId="75648701" w14:textId="0048AC4A" w:rsidR="00E90E10" w:rsidRPr="00C236C6" w:rsidRDefault="00E90E10" w:rsidP="007D1FE5">
            <w:pPr>
              <w:pStyle w:val="TabletextLeft"/>
              <w:spacing w:line="240" w:lineRule="auto"/>
              <w:rPr>
                <w:sz w:val="18"/>
                <w:szCs w:val="18"/>
              </w:rPr>
            </w:pPr>
            <w:r w:rsidRPr="00C236C6">
              <w:rPr>
                <w:sz w:val="18"/>
                <w:szCs w:val="18"/>
              </w:rPr>
              <w:t>Pharmaceutical Benefits Advisory Committee (PBAC)</w:t>
            </w:r>
          </w:p>
        </w:tc>
        <w:tc>
          <w:tcPr>
            <w:tcW w:w="1004" w:type="pct"/>
            <w:tcBorders>
              <w:top w:val="single" w:sz="8" w:space="0" w:color="D9D9D9"/>
              <w:left w:val="nil"/>
              <w:bottom w:val="single" w:sz="8" w:space="0" w:color="D9D9D9"/>
              <w:right w:val="nil"/>
            </w:tcBorders>
            <w:shd w:val="clear" w:color="auto" w:fill="auto"/>
            <w:vAlign w:val="center"/>
          </w:tcPr>
          <w:p w14:paraId="2C9C3923" w14:textId="7F064BAD" w:rsidR="00E90E10" w:rsidRPr="00C236C6" w:rsidRDefault="00E90E10" w:rsidP="007D1FE5">
            <w:pPr>
              <w:pStyle w:val="TabletextLeft"/>
              <w:spacing w:line="240" w:lineRule="auto"/>
              <w:rPr>
                <w:sz w:val="18"/>
                <w:szCs w:val="18"/>
              </w:rPr>
            </w:pPr>
            <w:r w:rsidRPr="00C236C6">
              <w:rPr>
                <w:sz w:val="18"/>
                <w:szCs w:val="18"/>
              </w:rPr>
              <w:t>11 April</w:t>
            </w:r>
          </w:p>
        </w:tc>
      </w:tr>
      <w:tr w:rsidR="00E90E10" w:rsidRPr="00EE3297" w14:paraId="3D23E217" w14:textId="2F921FEA" w:rsidTr="00C236C6">
        <w:trPr>
          <w:trHeight w:val="42"/>
        </w:trPr>
        <w:tc>
          <w:tcPr>
            <w:tcW w:w="1016" w:type="pct"/>
            <w:tcBorders>
              <w:top w:val="single" w:sz="8" w:space="0" w:color="D9D9D9"/>
              <w:bottom w:val="single" w:sz="8" w:space="0" w:color="D9D9D9"/>
              <w:right w:val="nil"/>
            </w:tcBorders>
            <w:vAlign w:val="center"/>
          </w:tcPr>
          <w:p w14:paraId="3EE39DA7" w14:textId="0874E40C" w:rsidR="00E90E10" w:rsidRPr="00C236C6" w:rsidRDefault="00E90E10" w:rsidP="007D1FE5">
            <w:pPr>
              <w:pStyle w:val="TabletextLeft"/>
              <w:spacing w:line="240" w:lineRule="auto"/>
              <w:rPr>
                <w:sz w:val="18"/>
                <w:szCs w:val="18"/>
              </w:rPr>
            </w:pPr>
            <w:r w:rsidRPr="00C236C6">
              <w:rPr>
                <w:sz w:val="18"/>
                <w:szCs w:val="18"/>
              </w:rPr>
              <w:t>Jurisdictional workshop</w:t>
            </w:r>
            <w:r w:rsidR="00256FDF">
              <w:rPr>
                <w:sz w:val="18"/>
                <w:szCs w:val="18"/>
              </w:rPr>
              <w:t>s</w:t>
            </w:r>
          </w:p>
        </w:tc>
        <w:tc>
          <w:tcPr>
            <w:tcW w:w="2980" w:type="pct"/>
            <w:tcBorders>
              <w:top w:val="single" w:sz="8" w:space="0" w:color="D9D9D9"/>
              <w:left w:val="nil"/>
              <w:bottom w:val="single" w:sz="8" w:space="0" w:color="D9D9D9"/>
              <w:right w:val="nil"/>
            </w:tcBorders>
            <w:shd w:val="clear" w:color="auto" w:fill="auto"/>
            <w:vAlign w:val="center"/>
          </w:tcPr>
          <w:p w14:paraId="13DF23CF" w14:textId="6DF453E7" w:rsidR="00E90E10" w:rsidRPr="00C236C6" w:rsidRDefault="00E90E10" w:rsidP="007D1FE5">
            <w:pPr>
              <w:pStyle w:val="TabletextLeft"/>
              <w:spacing w:line="240" w:lineRule="auto"/>
              <w:rPr>
                <w:sz w:val="18"/>
                <w:szCs w:val="18"/>
              </w:rPr>
            </w:pPr>
            <w:r w:rsidRPr="00C236C6">
              <w:rPr>
                <w:sz w:val="18"/>
                <w:szCs w:val="18"/>
              </w:rPr>
              <w:t>Commonwealth</w:t>
            </w:r>
          </w:p>
        </w:tc>
        <w:tc>
          <w:tcPr>
            <w:tcW w:w="1004" w:type="pct"/>
            <w:tcBorders>
              <w:top w:val="single" w:sz="8" w:space="0" w:color="D9D9D9"/>
              <w:left w:val="nil"/>
              <w:bottom w:val="single" w:sz="8" w:space="0" w:color="D9D9D9"/>
              <w:right w:val="nil"/>
            </w:tcBorders>
            <w:shd w:val="clear" w:color="auto" w:fill="auto"/>
            <w:vAlign w:val="center"/>
          </w:tcPr>
          <w:p w14:paraId="726D80D5" w14:textId="5143ADBE" w:rsidR="00E90E10" w:rsidRPr="00C236C6" w:rsidRDefault="00E90E10" w:rsidP="007D1FE5">
            <w:pPr>
              <w:pStyle w:val="TabletextLeft"/>
              <w:spacing w:line="240" w:lineRule="auto"/>
              <w:rPr>
                <w:sz w:val="18"/>
                <w:szCs w:val="18"/>
              </w:rPr>
            </w:pPr>
            <w:r w:rsidRPr="00C236C6">
              <w:rPr>
                <w:sz w:val="18"/>
                <w:szCs w:val="18"/>
              </w:rPr>
              <w:t>12-13 April</w:t>
            </w:r>
          </w:p>
        </w:tc>
      </w:tr>
      <w:tr w:rsidR="00E90E10" w:rsidRPr="00EE3297" w14:paraId="772EEAC4" w14:textId="2C6D305C" w:rsidTr="00C236C6">
        <w:trPr>
          <w:trHeight w:val="42"/>
        </w:trPr>
        <w:tc>
          <w:tcPr>
            <w:tcW w:w="1016" w:type="pct"/>
            <w:tcBorders>
              <w:top w:val="single" w:sz="8" w:space="0" w:color="D9D9D9"/>
              <w:bottom w:val="single" w:sz="8" w:space="0" w:color="D9D9D9"/>
              <w:right w:val="nil"/>
            </w:tcBorders>
            <w:vAlign w:val="center"/>
          </w:tcPr>
          <w:p w14:paraId="24A55EB4" w14:textId="489E7C66" w:rsidR="00E90E10" w:rsidRPr="00C236C6" w:rsidRDefault="00E90E10" w:rsidP="007D1FE5">
            <w:pPr>
              <w:pStyle w:val="TabletextLeft"/>
              <w:spacing w:line="240" w:lineRule="auto"/>
              <w:rPr>
                <w:sz w:val="18"/>
                <w:szCs w:val="18"/>
              </w:rPr>
            </w:pPr>
            <w:r w:rsidRPr="00C236C6">
              <w:rPr>
                <w:sz w:val="18"/>
                <w:szCs w:val="18"/>
              </w:rPr>
              <w:t>Targeted interview</w:t>
            </w:r>
          </w:p>
        </w:tc>
        <w:tc>
          <w:tcPr>
            <w:tcW w:w="2980" w:type="pct"/>
            <w:tcBorders>
              <w:top w:val="single" w:sz="8" w:space="0" w:color="D9D9D9"/>
              <w:left w:val="nil"/>
              <w:bottom w:val="single" w:sz="8" w:space="0" w:color="D9D9D9"/>
              <w:right w:val="nil"/>
            </w:tcBorders>
            <w:shd w:val="clear" w:color="auto" w:fill="auto"/>
            <w:vAlign w:val="center"/>
          </w:tcPr>
          <w:p w14:paraId="73E50732" w14:textId="479D8B28" w:rsidR="00E90E10" w:rsidRPr="00C236C6" w:rsidRDefault="00E90E10" w:rsidP="007D1FE5">
            <w:pPr>
              <w:pStyle w:val="TabletextLeft"/>
              <w:spacing w:line="240" w:lineRule="auto"/>
              <w:rPr>
                <w:sz w:val="18"/>
                <w:szCs w:val="18"/>
              </w:rPr>
            </w:pPr>
            <w:r w:rsidRPr="00C236C6">
              <w:rPr>
                <w:sz w:val="18"/>
                <w:szCs w:val="18"/>
              </w:rPr>
              <w:t>Consumer Health Forum (CHF)</w:t>
            </w:r>
          </w:p>
        </w:tc>
        <w:tc>
          <w:tcPr>
            <w:tcW w:w="1004" w:type="pct"/>
            <w:tcBorders>
              <w:top w:val="single" w:sz="8" w:space="0" w:color="D9D9D9"/>
              <w:left w:val="nil"/>
              <w:bottom w:val="single" w:sz="8" w:space="0" w:color="D9D9D9"/>
              <w:right w:val="nil"/>
            </w:tcBorders>
            <w:shd w:val="clear" w:color="auto" w:fill="auto"/>
            <w:vAlign w:val="center"/>
          </w:tcPr>
          <w:p w14:paraId="3451F7D6" w14:textId="01F06323" w:rsidR="00E90E10" w:rsidRPr="00C236C6" w:rsidRDefault="00E90E10" w:rsidP="007D1FE5">
            <w:pPr>
              <w:pStyle w:val="TabletextLeft"/>
              <w:spacing w:line="240" w:lineRule="auto"/>
              <w:rPr>
                <w:sz w:val="18"/>
                <w:szCs w:val="18"/>
              </w:rPr>
            </w:pPr>
            <w:r w:rsidRPr="00C236C6">
              <w:rPr>
                <w:sz w:val="18"/>
                <w:szCs w:val="18"/>
              </w:rPr>
              <w:t>14 April</w:t>
            </w:r>
          </w:p>
        </w:tc>
      </w:tr>
      <w:tr w:rsidR="00E90E10" w:rsidRPr="00EE3297" w14:paraId="0EA5F661" w14:textId="7E17F4E0" w:rsidTr="00C236C6">
        <w:trPr>
          <w:trHeight w:val="42"/>
        </w:trPr>
        <w:tc>
          <w:tcPr>
            <w:tcW w:w="1016" w:type="pct"/>
            <w:tcBorders>
              <w:top w:val="single" w:sz="8" w:space="0" w:color="D9D9D9"/>
              <w:bottom w:val="single" w:sz="8" w:space="0" w:color="D9D9D9"/>
              <w:right w:val="nil"/>
            </w:tcBorders>
            <w:vAlign w:val="center"/>
          </w:tcPr>
          <w:p w14:paraId="5DF15710" w14:textId="78B478B5" w:rsidR="00E90E10" w:rsidRPr="00C236C6" w:rsidRDefault="00E90E10" w:rsidP="007D1FE5">
            <w:pPr>
              <w:pStyle w:val="TabletextLeft"/>
              <w:spacing w:line="240" w:lineRule="auto"/>
              <w:rPr>
                <w:sz w:val="18"/>
                <w:szCs w:val="18"/>
              </w:rPr>
            </w:pPr>
            <w:r w:rsidRPr="00C236C6">
              <w:rPr>
                <w:sz w:val="18"/>
                <w:szCs w:val="18"/>
              </w:rPr>
              <w:t>Jurisdictional workshop</w:t>
            </w:r>
            <w:r w:rsidR="00256FDF">
              <w:rPr>
                <w:sz w:val="18"/>
                <w:szCs w:val="18"/>
              </w:rPr>
              <w:t>s</w:t>
            </w:r>
          </w:p>
        </w:tc>
        <w:tc>
          <w:tcPr>
            <w:tcW w:w="2980" w:type="pct"/>
            <w:tcBorders>
              <w:top w:val="single" w:sz="8" w:space="0" w:color="D9D9D9"/>
              <w:left w:val="nil"/>
              <w:bottom w:val="single" w:sz="8" w:space="0" w:color="D9D9D9"/>
              <w:right w:val="nil"/>
            </w:tcBorders>
            <w:shd w:val="clear" w:color="auto" w:fill="auto"/>
            <w:vAlign w:val="center"/>
          </w:tcPr>
          <w:p w14:paraId="781A3A4C" w14:textId="002C496F" w:rsidR="00E90E10" w:rsidRPr="00C236C6" w:rsidRDefault="00E90E10" w:rsidP="007D1FE5">
            <w:pPr>
              <w:pStyle w:val="TabletextLeft"/>
              <w:spacing w:line="240" w:lineRule="auto"/>
              <w:rPr>
                <w:sz w:val="18"/>
                <w:szCs w:val="18"/>
              </w:rPr>
            </w:pPr>
            <w:r w:rsidRPr="00C236C6">
              <w:rPr>
                <w:sz w:val="18"/>
                <w:szCs w:val="18"/>
              </w:rPr>
              <w:t>Victoria</w:t>
            </w:r>
          </w:p>
        </w:tc>
        <w:tc>
          <w:tcPr>
            <w:tcW w:w="1004" w:type="pct"/>
            <w:tcBorders>
              <w:top w:val="single" w:sz="8" w:space="0" w:color="D9D9D9"/>
              <w:left w:val="nil"/>
              <w:bottom w:val="single" w:sz="8" w:space="0" w:color="D9D9D9"/>
              <w:right w:val="nil"/>
            </w:tcBorders>
            <w:shd w:val="clear" w:color="auto" w:fill="auto"/>
            <w:vAlign w:val="center"/>
          </w:tcPr>
          <w:p w14:paraId="213B6F5F" w14:textId="3E09EA76" w:rsidR="00E90E10" w:rsidRPr="00C236C6" w:rsidRDefault="00E90E10" w:rsidP="007D1FE5">
            <w:pPr>
              <w:pStyle w:val="TabletextLeft"/>
              <w:spacing w:line="240" w:lineRule="auto"/>
              <w:rPr>
                <w:sz w:val="18"/>
                <w:szCs w:val="18"/>
              </w:rPr>
            </w:pPr>
            <w:r w:rsidRPr="00C236C6">
              <w:rPr>
                <w:sz w:val="18"/>
                <w:szCs w:val="18"/>
              </w:rPr>
              <w:t>17-18 April</w:t>
            </w:r>
          </w:p>
        </w:tc>
      </w:tr>
      <w:tr w:rsidR="00E90E10" w:rsidRPr="00EE3297" w14:paraId="0FD8908B" w14:textId="1D74811F" w:rsidTr="00C236C6">
        <w:trPr>
          <w:trHeight w:val="42"/>
        </w:trPr>
        <w:tc>
          <w:tcPr>
            <w:tcW w:w="1016" w:type="pct"/>
            <w:tcBorders>
              <w:top w:val="single" w:sz="8" w:space="0" w:color="D9D9D9"/>
              <w:bottom w:val="single" w:sz="8" w:space="0" w:color="D9D9D9"/>
              <w:right w:val="nil"/>
            </w:tcBorders>
            <w:vAlign w:val="center"/>
          </w:tcPr>
          <w:p w14:paraId="0FE99A7E" w14:textId="2DE73C6A" w:rsidR="00E90E10" w:rsidRPr="00C236C6" w:rsidRDefault="00E90E10" w:rsidP="007D1FE5">
            <w:pPr>
              <w:pStyle w:val="TabletextLeft"/>
              <w:spacing w:line="240" w:lineRule="auto"/>
              <w:rPr>
                <w:sz w:val="18"/>
                <w:szCs w:val="18"/>
              </w:rPr>
            </w:pPr>
            <w:r w:rsidRPr="00C236C6">
              <w:rPr>
                <w:sz w:val="18"/>
                <w:szCs w:val="18"/>
              </w:rPr>
              <w:t>Targeted interview</w:t>
            </w:r>
          </w:p>
        </w:tc>
        <w:tc>
          <w:tcPr>
            <w:tcW w:w="2980" w:type="pct"/>
            <w:tcBorders>
              <w:top w:val="single" w:sz="8" w:space="0" w:color="D9D9D9"/>
              <w:left w:val="nil"/>
              <w:bottom w:val="single" w:sz="8" w:space="0" w:color="D9D9D9"/>
              <w:right w:val="nil"/>
            </w:tcBorders>
            <w:shd w:val="clear" w:color="auto" w:fill="auto"/>
            <w:vAlign w:val="center"/>
          </w:tcPr>
          <w:p w14:paraId="198A325E" w14:textId="53A7AA30" w:rsidR="00E90E10" w:rsidRPr="00C236C6" w:rsidRDefault="00E90E10" w:rsidP="007D1FE5">
            <w:pPr>
              <w:pStyle w:val="TabletextLeft"/>
              <w:spacing w:line="240" w:lineRule="auto"/>
              <w:rPr>
                <w:sz w:val="18"/>
                <w:szCs w:val="18"/>
              </w:rPr>
            </w:pPr>
            <w:r w:rsidRPr="00C236C6">
              <w:rPr>
                <w:sz w:val="18"/>
                <w:szCs w:val="18"/>
              </w:rPr>
              <w:t>Australian Diagnostic Imaging Association (ADIA)</w:t>
            </w:r>
          </w:p>
        </w:tc>
        <w:tc>
          <w:tcPr>
            <w:tcW w:w="1004" w:type="pct"/>
            <w:tcBorders>
              <w:top w:val="single" w:sz="8" w:space="0" w:color="D9D9D9"/>
              <w:left w:val="nil"/>
              <w:bottom w:val="single" w:sz="8" w:space="0" w:color="D9D9D9"/>
              <w:right w:val="nil"/>
            </w:tcBorders>
            <w:shd w:val="clear" w:color="auto" w:fill="auto"/>
            <w:vAlign w:val="center"/>
          </w:tcPr>
          <w:p w14:paraId="65BB0B26" w14:textId="6238D72A" w:rsidR="00E90E10" w:rsidRPr="00C236C6" w:rsidRDefault="00E90E10" w:rsidP="007D1FE5">
            <w:pPr>
              <w:pStyle w:val="TabletextLeft"/>
              <w:spacing w:line="240" w:lineRule="auto"/>
              <w:rPr>
                <w:sz w:val="18"/>
                <w:szCs w:val="18"/>
              </w:rPr>
            </w:pPr>
            <w:r w:rsidRPr="00C236C6">
              <w:rPr>
                <w:sz w:val="18"/>
                <w:szCs w:val="18"/>
              </w:rPr>
              <w:t>19 April</w:t>
            </w:r>
          </w:p>
        </w:tc>
      </w:tr>
      <w:tr w:rsidR="00E90E10" w:rsidRPr="00EE3297" w14:paraId="358C4891" w14:textId="39A35D65" w:rsidTr="00C236C6">
        <w:trPr>
          <w:trHeight w:val="42"/>
        </w:trPr>
        <w:tc>
          <w:tcPr>
            <w:tcW w:w="1016" w:type="pct"/>
            <w:tcBorders>
              <w:top w:val="single" w:sz="8" w:space="0" w:color="D9D9D9"/>
              <w:bottom w:val="single" w:sz="8" w:space="0" w:color="D9D9D9"/>
              <w:right w:val="nil"/>
            </w:tcBorders>
            <w:vAlign w:val="center"/>
          </w:tcPr>
          <w:p w14:paraId="022DE3E4" w14:textId="1B056FA0" w:rsidR="00E90E10" w:rsidRPr="00C236C6" w:rsidRDefault="00E90E10" w:rsidP="007D1FE5">
            <w:pPr>
              <w:pStyle w:val="TabletextLeft"/>
              <w:spacing w:line="240" w:lineRule="auto"/>
              <w:rPr>
                <w:sz w:val="18"/>
                <w:szCs w:val="18"/>
              </w:rPr>
            </w:pPr>
            <w:r w:rsidRPr="00C236C6">
              <w:rPr>
                <w:sz w:val="18"/>
                <w:szCs w:val="18"/>
              </w:rPr>
              <w:t>Targeted interview</w:t>
            </w:r>
          </w:p>
        </w:tc>
        <w:tc>
          <w:tcPr>
            <w:tcW w:w="2980" w:type="pct"/>
            <w:tcBorders>
              <w:top w:val="single" w:sz="8" w:space="0" w:color="D9D9D9"/>
              <w:left w:val="nil"/>
              <w:bottom w:val="single" w:sz="8" w:space="0" w:color="D9D9D9"/>
              <w:right w:val="nil"/>
            </w:tcBorders>
            <w:shd w:val="clear" w:color="auto" w:fill="auto"/>
            <w:vAlign w:val="center"/>
          </w:tcPr>
          <w:p w14:paraId="4B42BE30" w14:textId="309AB99A" w:rsidR="00E90E10" w:rsidRPr="00C236C6" w:rsidRDefault="00E90E10" w:rsidP="007D1FE5">
            <w:pPr>
              <w:pStyle w:val="TabletextLeft"/>
              <w:spacing w:line="240" w:lineRule="auto"/>
              <w:rPr>
                <w:sz w:val="18"/>
                <w:szCs w:val="18"/>
              </w:rPr>
            </w:pPr>
            <w:r w:rsidRPr="00C236C6">
              <w:rPr>
                <w:sz w:val="18"/>
                <w:szCs w:val="18"/>
              </w:rPr>
              <w:t xml:space="preserve">Australian Nursing </w:t>
            </w:r>
            <w:r w:rsidR="004568DD">
              <w:rPr>
                <w:sz w:val="18"/>
                <w:szCs w:val="18"/>
              </w:rPr>
              <w:t>a</w:t>
            </w:r>
            <w:r w:rsidRPr="00C236C6">
              <w:rPr>
                <w:sz w:val="18"/>
                <w:szCs w:val="18"/>
              </w:rPr>
              <w:t>nd Midwifery Federation (ANMF)</w:t>
            </w:r>
          </w:p>
        </w:tc>
        <w:tc>
          <w:tcPr>
            <w:tcW w:w="1004" w:type="pct"/>
            <w:tcBorders>
              <w:top w:val="single" w:sz="8" w:space="0" w:color="D9D9D9"/>
              <w:left w:val="nil"/>
              <w:bottom w:val="single" w:sz="8" w:space="0" w:color="D9D9D9"/>
              <w:right w:val="nil"/>
            </w:tcBorders>
            <w:shd w:val="clear" w:color="auto" w:fill="auto"/>
            <w:vAlign w:val="center"/>
          </w:tcPr>
          <w:p w14:paraId="5A8710C0" w14:textId="64AEA362" w:rsidR="00E90E10" w:rsidRPr="00C236C6" w:rsidRDefault="00E90E10" w:rsidP="007D1FE5">
            <w:pPr>
              <w:pStyle w:val="TabletextLeft"/>
              <w:spacing w:line="240" w:lineRule="auto"/>
              <w:rPr>
                <w:sz w:val="18"/>
                <w:szCs w:val="18"/>
              </w:rPr>
            </w:pPr>
            <w:r w:rsidRPr="00C236C6">
              <w:rPr>
                <w:sz w:val="18"/>
                <w:szCs w:val="18"/>
              </w:rPr>
              <w:t>20 April</w:t>
            </w:r>
          </w:p>
        </w:tc>
      </w:tr>
      <w:tr w:rsidR="00E90E10" w:rsidRPr="00EE3297" w14:paraId="6C6DE2B4" w14:textId="1ABED892" w:rsidTr="00C236C6">
        <w:trPr>
          <w:trHeight w:val="42"/>
        </w:trPr>
        <w:tc>
          <w:tcPr>
            <w:tcW w:w="1016" w:type="pct"/>
            <w:tcBorders>
              <w:top w:val="single" w:sz="8" w:space="0" w:color="D9D9D9"/>
              <w:bottom w:val="single" w:sz="8" w:space="0" w:color="D9D9D9"/>
              <w:right w:val="nil"/>
            </w:tcBorders>
            <w:vAlign w:val="center"/>
          </w:tcPr>
          <w:p w14:paraId="61C8B8FE" w14:textId="3A9811AF" w:rsidR="00E90E10" w:rsidRPr="00C236C6" w:rsidRDefault="00E90E10" w:rsidP="007D1FE5">
            <w:pPr>
              <w:pStyle w:val="TabletextLeft"/>
              <w:spacing w:line="240" w:lineRule="auto"/>
              <w:rPr>
                <w:sz w:val="18"/>
                <w:szCs w:val="18"/>
              </w:rPr>
            </w:pPr>
            <w:r w:rsidRPr="00C236C6">
              <w:rPr>
                <w:sz w:val="18"/>
                <w:szCs w:val="18"/>
              </w:rPr>
              <w:t>Targeted interview</w:t>
            </w:r>
          </w:p>
        </w:tc>
        <w:tc>
          <w:tcPr>
            <w:tcW w:w="2980" w:type="pct"/>
            <w:tcBorders>
              <w:top w:val="single" w:sz="8" w:space="0" w:color="D9D9D9"/>
              <w:left w:val="nil"/>
              <w:bottom w:val="single" w:sz="8" w:space="0" w:color="D9D9D9"/>
              <w:right w:val="nil"/>
            </w:tcBorders>
            <w:shd w:val="clear" w:color="auto" w:fill="auto"/>
            <w:vAlign w:val="center"/>
          </w:tcPr>
          <w:p w14:paraId="26871715" w14:textId="715F2718" w:rsidR="00E90E10" w:rsidRPr="00C236C6" w:rsidRDefault="00E90E10" w:rsidP="007D1FE5">
            <w:pPr>
              <w:pStyle w:val="TabletextLeft"/>
              <w:spacing w:line="240" w:lineRule="auto"/>
              <w:rPr>
                <w:sz w:val="18"/>
                <w:szCs w:val="18"/>
              </w:rPr>
            </w:pPr>
            <w:r w:rsidRPr="00C236C6">
              <w:rPr>
                <w:sz w:val="18"/>
                <w:szCs w:val="18"/>
              </w:rPr>
              <w:t>Australian Private Hospitals Association (APHA)</w:t>
            </w:r>
          </w:p>
        </w:tc>
        <w:tc>
          <w:tcPr>
            <w:tcW w:w="1004" w:type="pct"/>
            <w:tcBorders>
              <w:top w:val="single" w:sz="8" w:space="0" w:color="D9D9D9"/>
              <w:left w:val="nil"/>
              <w:bottom w:val="single" w:sz="8" w:space="0" w:color="D9D9D9"/>
              <w:right w:val="nil"/>
            </w:tcBorders>
            <w:shd w:val="clear" w:color="auto" w:fill="auto"/>
            <w:vAlign w:val="center"/>
          </w:tcPr>
          <w:p w14:paraId="278D4364" w14:textId="6A6BC6C4" w:rsidR="00E90E10" w:rsidRPr="00C236C6" w:rsidRDefault="00E90E10" w:rsidP="007D1FE5">
            <w:pPr>
              <w:pStyle w:val="TabletextLeft"/>
              <w:spacing w:line="240" w:lineRule="auto"/>
              <w:rPr>
                <w:sz w:val="18"/>
                <w:szCs w:val="18"/>
              </w:rPr>
            </w:pPr>
            <w:r w:rsidRPr="00C236C6">
              <w:rPr>
                <w:sz w:val="18"/>
                <w:szCs w:val="18"/>
              </w:rPr>
              <w:t>20 April</w:t>
            </w:r>
          </w:p>
        </w:tc>
      </w:tr>
      <w:tr w:rsidR="00E90E10" w:rsidRPr="00EE3297" w14:paraId="469A4D28" w14:textId="43B54191" w:rsidTr="00C236C6">
        <w:trPr>
          <w:trHeight w:val="42"/>
        </w:trPr>
        <w:tc>
          <w:tcPr>
            <w:tcW w:w="1016" w:type="pct"/>
            <w:tcBorders>
              <w:top w:val="single" w:sz="8" w:space="0" w:color="D9D9D9"/>
              <w:bottom w:val="single" w:sz="8" w:space="0" w:color="D9D9D9"/>
              <w:right w:val="nil"/>
            </w:tcBorders>
            <w:vAlign w:val="center"/>
          </w:tcPr>
          <w:p w14:paraId="4E9F0BF3" w14:textId="76EB4821" w:rsidR="00E90E10" w:rsidRPr="00C236C6" w:rsidRDefault="00E90E10" w:rsidP="007D1FE5">
            <w:pPr>
              <w:pStyle w:val="TabletextLeft"/>
              <w:spacing w:line="240" w:lineRule="auto"/>
              <w:rPr>
                <w:sz w:val="18"/>
                <w:szCs w:val="18"/>
              </w:rPr>
            </w:pPr>
            <w:r w:rsidRPr="00C236C6">
              <w:rPr>
                <w:sz w:val="18"/>
                <w:szCs w:val="18"/>
              </w:rPr>
              <w:t>Targeted interview</w:t>
            </w:r>
          </w:p>
        </w:tc>
        <w:tc>
          <w:tcPr>
            <w:tcW w:w="2980" w:type="pct"/>
            <w:tcBorders>
              <w:top w:val="single" w:sz="8" w:space="0" w:color="D9D9D9"/>
              <w:left w:val="nil"/>
              <w:bottom w:val="single" w:sz="8" w:space="0" w:color="D9D9D9"/>
              <w:right w:val="nil"/>
            </w:tcBorders>
            <w:shd w:val="clear" w:color="auto" w:fill="auto"/>
            <w:vAlign w:val="center"/>
          </w:tcPr>
          <w:p w14:paraId="1BA134E4" w14:textId="70CF7E97" w:rsidR="00E90E10" w:rsidRPr="00C236C6" w:rsidRDefault="00E90E10" w:rsidP="007D1FE5">
            <w:pPr>
              <w:pStyle w:val="TabletextLeft"/>
              <w:spacing w:line="240" w:lineRule="auto"/>
              <w:rPr>
                <w:sz w:val="18"/>
                <w:szCs w:val="18"/>
              </w:rPr>
            </w:pPr>
            <w:r w:rsidRPr="00C236C6">
              <w:rPr>
                <w:sz w:val="18"/>
                <w:szCs w:val="18"/>
              </w:rPr>
              <w:t>National Mental Health Commission (NMHC)</w:t>
            </w:r>
          </w:p>
        </w:tc>
        <w:tc>
          <w:tcPr>
            <w:tcW w:w="1004" w:type="pct"/>
            <w:tcBorders>
              <w:top w:val="single" w:sz="8" w:space="0" w:color="D9D9D9"/>
              <w:left w:val="nil"/>
              <w:bottom w:val="single" w:sz="8" w:space="0" w:color="D9D9D9"/>
              <w:right w:val="nil"/>
            </w:tcBorders>
            <w:shd w:val="clear" w:color="auto" w:fill="auto"/>
            <w:vAlign w:val="center"/>
          </w:tcPr>
          <w:p w14:paraId="1276C0CF" w14:textId="63386C4D" w:rsidR="00E90E10" w:rsidRPr="00C236C6" w:rsidRDefault="00E90E10" w:rsidP="007D1FE5">
            <w:pPr>
              <w:pStyle w:val="TabletextLeft"/>
              <w:spacing w:line="240" w:lineRule="auto"/>
              <w:rPr>
                <w:sz w:val="18"/>
                <w:szCs w:val="18"/>
              </w:rPr>
            </w:pPr>
            <w:r w:rsidRPr="00C236C6">
              <w:rPr>
                <w:sz w:val="18"/>
                <w:szCs w:val="18"/>
              </w:rPr>
              <w:t>20 April</w:t>
            </w:r>
          </w:p>
        </w:tc>
      </w:tr>
      <w:tr w:rsidR="00E90E10" w:rsidRPr="00EE3297" w14:paraId="0ABDD2C8" w14:textId="069FB326" w:rsidTr="00C236C6">
        <w:trPr>
          <w:trHeight w:val="42"/>
        </w:trPr>
        <w:tc>
          <w:tcPr>
            <w:tcW w:w="1016" w:type="pct"/>
            <w:tcBorders>
              <w:top w:val="single" w:sz="8" w:space="0" w:color="D9D9D9"/>
              <w:bottom w:val="single" w:sz="8" w:space="0" w:color="D9D9D9"/>
              <w:right w:val="nil"/>
            </w:tcBorders>
            <w:vAlign w:val="center"/>
          </w:tcPr>
          <w:p w14:paraId="288ED63E" w14:textId="3B3B06DC" w:rsidR="00E90E10" w:rsidRPr="00C236C6" w:rsidRDefault="00E90E10" w:rsidP="007D1FE5">
            <w:pPr>
              <w:pStyle w:val="TabletextLeft"/>
              <w:spacing w:line="240" w:lineRule="auto"/>
              <w:rPr>
                <w:sz w:val="18"/>
                <w:szCs w:val="18"/>
              </w:rPr>
            </w:pPr>
            <w:r w:rsidRPr="00C236C6">
              <w:rPr>
                <w:sz w:val="18"/>
                <w:szCs w:val="18"/>
              </w:rPr>
              <w:t>Targeted interview</w:t>
            </w:r>
          </w:p>
        </w:tc>
        <w:tc>
          <w:tcPr>
            <w:tcW w:w="2980" w:type="pct"/>
            <w:tcBorders>
              <w:top w:val="single" w:sz="8" w:space="0" w:color="D9D9D9"/>
              <w:left w:val="nil"/>
              <w:bottom w:val="single" w:sz="8" w:space="0" w:color="D9D9D9"/>
              <w:right w:val="nil"/>
            </w:tcBorders>
            <w:shd w:val="clear" w:color="auto" w:fill="auto"/>
            <w:vAlign w:val="center"/>
          </w:tcPr>
          <w:p w14:paraId="37A85EDE" w14:textId="777EAEF9" w:rsidR="00E90E10" w:rsidRPr="00C236C6" w:rsidRDefault="00E90E10" w:rsidP="007D1FE5">
            <w:pPr>
              <w:pStyle w:val="TabletextLeft"/>
              <w:spacing w:line="240" w:lineRule="auto"/>
              <w:rPr>
                <w:sz w:val="18"/>
                <w:szCs w:val="18"/>
              </w:rPr>
            </w:pPr>
            <w:r w:rsidRPr="00C236C6">
              <w:rPr>
                <w:sz w:val="18"/>
                <w:szCs w:val="18"/>
              </w:rPr>
              <w:t>Royal Australian College of General Practitioners (RACGP)</w:t>
            </w:r>
          </w:p>
        </w:tc>
        <w:tc>
          <w:tcPr>
            <w:tcW w:w="1004" w:type="pct"/>
            <w:tcBorders>
              <w:top w:val="single" w:sz="8" w:space="0" w:color="D9D9D9"/>
              <w:left w:val="nil"/>
              <w:bottom w:val="single" w:sz="8" w:space="0" w:color="D9D9D9"/>
              <w:right w:val="nil"/>
            </w:tcBorders>
            <w:shd w:val="clear" w:color="auto" w:fill="auto"/>
            <w:vAlign w:val="center"/>
          </w:tcPr>
          <w:p w14:paraId="514C4EFA" w14:textId="520B84B6" w:rsidR="00E90E10" w:rsidRPr="00C236C6" w:rsidRDefault="00E90E10" w:rsidP="007D1FE5">
            <w:pPr>
              <w:pStyle w:val="TabletextLeft"/>
              <w:spacing w:line="240" w:lineRule="auto"/>
              <w:rPr>
                <w:sz w:val="18"/>
                <w:szCs w:val="18"/>
              </w:rPr>
            </w:pPr>
            <w:r w:rsidRPr="00C236C6">
              <w:rPr>
                <w:sz w:val="18"/>
                <w:szCs w:val="18"/>
              </w:rPr>
              <w:t>20 April</w:t>
            </w:r>
          </w:p>
        </w:tc>
      </w:tr>
      <w:tr w:rsidR="00E90E10" w:rsidRPr="00EE3297" w14:paraId="1036E7A3" w14:textId="1EEF1682" w:rsidTr="00C236C6">
        <w:trPr>
          <w:trHeight w:val="42"/>
        </w:trPr>
        <w:tc>
          <w:tcPr>
            <w:tcW w:w="1016" w:type="pct"/>
            <w:tcBorders>
              <w:top w:val="single" w:sz="8" w:space="0" w:color="D9D9D9"/>
              <w:bottom w:val="single" w:sz="8" w:space="0" w:color="D9D9D9"/>
              <w:right w:val="nil"/>
            </w:tcBorders>
            <w:vAlign w:val="center"/>
          </w:tcPr>
          <w:p w14:paraId="2F4BF65C" w14:textId="6282FCE9" w:rsidR="00E90E10" w:rsidRPr="00C236C6" w:rsidRDefault="00E90E10" w:rsidP="007D1FE5">
            <w:pPr>
              <w:pStyle w:val="TabletextLeft"/>
              <w:spacing w:line="240" w:lineRule="auto"/>
              <w:rPr>
                <w:sz w:val="18"/>
                <w:szCs w:val="18"/>
              </w:rPr>
            </w:pPr>
            <w:r w:rsidRPr="00C236C6">
              <w:rPr>
                <w:sz w:val="18"/>
                <w:szCs w:val="18"/>
              </w:rPr>
              <w:t>Targeted interview</w:t>
            </w:r>
          </w:p>
        </w:tc>
        <w:tc>
          <w:tcPr>
            <w:tcW w:w="2980" w:type="pct"/>
            <w:tcBorders>
              <w:top w:val="single" w:sz="8" w:space="0" w:color="D9D9D9"/>
              <w:left w:val="nil"/>
              <w:bottom w:val="single" w:sz="8" w:space="0" w:color="D9D9D9"/>
              <w:right w:val="nil"/>
            </w:tcBorders>
            <w:shd w:val="clear" w:color="auto" w:fill="auto"/>
            <w:vAlign w:val="center"/>
          </w:tcPr>
          <w:p w14:paraId="553F2B47" w14:textId="1781AE48" w:rsidR="00E90E10" w:rsidRPr="00C236C6" w:rsidRDefault="00E90E10" w:rsidP="007D1FE5">
            <w:pPr>
              <w:pStyle w:val="TabletextLeft"/>
              <w:spacing w:line="240" w:lineRule="auto"/>
              <w:rPr>
                <w:sz w:val="18"/>
                <w:szCs w:val="18"/>
              </w:rPr>
            </w:pPr>
            <w:r w:rsidRPr="00C236C6">
              <w:rPr>
                <w:sz w:val="18"/>
                <w:szCs w:val="18"/>
              </w:rPr>
              <w:t>Australian Medical Association (AMA)</w:t>
            </w:r>
          </w:p>
        </w:tc>
        <w:tc>
          <w:tcPr>
            <w:tcW w:w="1004" w:type="pct"/>
            <w:tcBorders>
              <w:top w:val="single" w:sz="8" w:space="0" w:color="D9D9D9"/>
              <w:left w:val="nil"/>
              <w:bottom w:val="single" w:sz="8" w:space="0" w:color="D9D9D9"/>
              <w:right w:val="nil"/>
            </w:tcBorders>
            <w:shd w:val="clear" w:color="auto" w:fill="auto"/>
            <w:vAlign w:val="center"/>
          </w:tcPr>
          <w:p w14:paraId="736C2984" w14:textId="6507C769" w:rsidR="00E90E10" w:rsidRPr="00C236C6" w:rsidRDefault="00E90E10" w:rsidP="007D1FE5">
            <w:pPr>
              <w:pStyle w:val="TabletextLeft"/>
              <w:spacing w:line="240" w:lineRule="auto"/>
              <w:rPr>
                <w:sz w:val="18"/>
                <w:szCs w:val="18"/>
              </w:rPr>
            </w:pPr>
            <w:r w:rsidRPr="00C236C6">
              <w:rPr>
                <w:sz w:val="18"/>
                <w:szCs w:val="18"/>
              </w:rPr>
              <w:t>21 April and 20 July</w:t>
            </w:r>
          </w:p>
        </w:tc>
      </w:tr>
      <w:tr w:rsidR="00E90E10" w:rsidRPr="00EE3297" w14:paraId="1ADE8AE0" w14:textId="7679FD61" w:rsidTr="00C236C6">
        <w:trPr>
          <w:trHeight w:val="42"/>
        </w:trPr>
        <w:tc>
          <w:tcPr>
            <w:tcW w:w="1016" w:type="pct"/>
            <w:tcBorders>
              <w:top w:val="single" w:sz="8" w:space="0" w:color="D9D9D9"/>
              <w:bottom w:val="single" w:sz="8" w:space="0" w:color="D9D9D9"/>
              <w:right w:val="nil"/>
            </w:tcBorders>
            <w:vAlign w:val="center"/>
          </w:tcPr>
          <w:p w14:paraId="2561253E" w14:textId="562D726D" w:rsidR="00E90E10" w:rsidRPr="00C236C6" w:rsidRDefault="00E90E10" w:rsidP="007D1FE5">
            <w:pPr>
              <w:pStyle w:val="TabletextLeft"/>
              <w:spacing w:line="240" w:lineRule="auto"/>
              <w:rPr>
                <w:sz w:val="18"/>
                <w:szCs w:val="18"/>
              </w:rPr>
            </w:pPr>
            <w:r w:rsidRPr="00C236C6">
              <w:rPr>
                <w:sz w:val="18"/>
                <w:szCs w:val="18"/>
              </w:rPr>
              <w:t>Targeted interview</w:t>
            </w:r>
          </w:p>
        </w:tc>
        <w:tc>
          <w:tcPr>
            <w:tcW w:w="2980" w:type="pct"/>
            <w:tcBorders>
              <w:top w:val="single" w:sz="8" w:space="0" w:color="D9D9D9"/>
              <w:left w:val="nil"/>
              <w:bottom w:val="single" w:sz="8" w:space="0" w:color="D9D9D9"/>
              <w:right w:val="nil"/>
            </w:tcBorders>
            <w:shd w:val="clear" w:color="auto" w:fill="auto"/>
            <w:vAlign w:val="center"/>
          </w:tcPr>
          <w:p w14:paraId="40FA6434" w14:textId="00051D3F" w:rsidR="00E90E10" w:rsidRPr="00C236C6" w:rsidRDefault="00E90E10" w:rsidP="007D1FE5">
            <w:pPr>
              <w:pStyle w:val="TabletextLeft"/>
              <w:spacing w:line="240" w:lineRule="auto"/>
              <w:rPr>
                <w:sz w:val="18"/>
                <w:szCs w:val="18"/>
              </w:rPr>
            </w:pPr>
            <w:r w:rsidRPr="00C236C6">
              <w:rPr>
                <w:sz w:val="18"/>
                <w:szCs w:val="18"/>
              </w:rPr>
              <w:t>National Aged Care Advisory Council (NACAC)</w:t>
            </w:r>
          </w:p>
        </w:tc>
        <w:tc>
          <w:tcPr>
            <w:tcW w:w="1004" w:type="pct"/>
            <w:tcBorders>
              <w:top w:val="single" w:sz="8" w:space="0" w:color="D9D9D9"/>
              <w:left w:val="nil"/>
              <w:bottom w:val="single" w:sz="8" w:space="0" w:color="D9D9D9"/>
              <w:right w:val="nil"/>
            </w:tcBorders>
            <w:shd w:val="clear" w:color="auto" w:fill="auto"/>
            <w:vAlign w:val="center"/>
          </w:tcPr>
          <w:p w14:paraId="60E3035E" w14:textId="5F3FA32C" w:rsidR="00E90E10" w:rsidRPr="00C236C6" w:rsidRDefault="00E90E10" w:rsidP="007D1FE5">
            <w:pPr>
              <w:pStyle w:val="TabletextLeft"/>
              <w:spacing w:line="240" w:lineRule="auto"/>
              <w:rPr>
                <w:sz w:val="18"/>
                <w:szCs w:val="18"/>
              </w:rPr>
            </w:pPr>
            <w:r w:rsidRPr="00C236C6">
              <w:rPr>
                <w:sz w:val="18"/>
                <w:szCs w:val="18"/>
              </w:rPr>
              <w:t>21 April</w:t>
            </w:r>
          </w:p>
        </w:tc>
      </w:tr>
      <w:tr w:rsidR="00E90E10" w:rsidRPr="00EE3297" w14:paraId="35BE9334" w14:textId="2763AC0C" w:rsidTr="00C236C6">
        <w:trPr>
          <w:trHeight w:val="42"/>
        </w:trPr>
        <w:tc>
          <w:tcPr>
            <w:tcW w:w="1016" w:type="pct"/>
            <w:tcBorders>
              <w:top w:val="single" w:sz="8" w:space="0" w:color="D9D9D9"/>
              <w:bottom w:val="single" w:sz="8" w:space="0" w:color="D9D9D9"/>
              <w:right w:val="nil"/>
            </w:tcBorders>
            <w:vAlign w:val="center"/>
          </w:tcPr>
          <w:p w14:paraId="66827490" w14:textId="288B9C23" w:rsidR="00E90E10" w:rsidRPr="00C236C6" w:rsidRDefault="00E90E10" w:rsidP="007D1FE5">
            <w:pPr>
              <w:pStyle w:val="TabletextLeft"/>
              <w:spacing w:line="240" w:lineRule="auto"/>
              <w:rPr>
                <w:sz w:val="18"/>
                <w:szCs w:val="18"/>
              </w:rPr>
            </w:pPr>
            <w:r w:rsidRPr="00C236C6">
              <w:rPr>
                <w:sz w:val="18"/>
                <w:szCs w:val="18"/>
              </w:rPr>
              <w:t>Targeted interview</w:t>
            </w:r>
          </w:p>
        </w:tc>
        <w:tc>
          <w:tcPr>
            <w:tcW w:w="2980" w:type="pct"/>
            <w:tcBorders>
              <w:top w:val="single" w:sz="8" w:space="0" w:color="D9D9D9"/>
              <w:left w:val="nil"/>
              <w:bottom w:val="single" w:sz="8" w:space="0" w:color="D9D9D9"/>
              <w:right w:val="nil"/>
            </w:tcBorders>
            <w:shd w:val="clear" w:color="auto" w:fill="auto"/>
            <w:vAlign w:val="center"/>
          </w:tcPr>
          <w:p w14:paraId="35CC20A0" w14:textId="3FA15E37" w:rsidR="00E90E10" w:rsidRPr="00C236C6" w:rsidRDefault="00E90E10" w:rsidP="007D1FE5">
            <w:pPr>
              <w:pStyle w:val="TabletextLeft"/>
              <w:spacing w:line="240" w:lineRule="auto"/>
              <w:rPr>
                <w:sz w:val="18"/>
                <w:szCs w:val="18"/>
              </w:rPr>
            </w:pPr>
            <w:r w:rsidRPr="00C236C6">
              <w:rPr>
                <w:sz w:val="18"/>
                <w:szCs w:val="18"/>
              </w:rPr>
              <w:t>Australasian College for Emergency Medicine (ACEM)</w:t>
            </w:r>
          </w:p>
        </w:tc>
        <w:tc>
          <w:tcPr>
            <w:tcW w:w="1004" w:type="pct"/>
            <w:tcBorders>
              <w:top w:val="single" w:sz="8" w:space="0" w:color="D9D9D9"/>
              <w:left w:val="nil"/>
              <w:bottom w:val="single" w:sz="8" w:space="0" w:color="D9D9D9"/>
              <w:right w:val="nil"/>
            </w:tcBorders>
            <w:shd w:val="clear" w:color="auto" w:fill="auto"/>
            <w:vAlign w:val="center"/>
          </w:tcPr>
          <w:p w14:paraId="730C72EA" w14:textId="2CA82A57" w:rsidR="00E90E10" w:rsidRPr="00C236C6" w:rsidRDefault="00E90E10" w:rsidP="007D1FE5">
            <w:pPr>
              <w:pStyle w:val="TabletextLeft"/>
              <w:spacing w:line="240" w:lineRule="auto"/>
              <w:rPr>
                <w:sz w:val="18"/>
                <w:szCs w:val="18"/>
              </w:rPr>
            </w:pPr>
            <w:r w:rsidRPr="00C236C6">
              <w:rPr>
                <w:sz w:val="18"/>
                <w:szCs w:val="18"/>
              </w:rPr>
              <w:t>24 April</w:t>
            </w:r>
          </w:p>
        </w:tc>
      </w:tr>
      <w:tr w:rsidR="00E90E10" w:rsidRPr="00EE3297" w14:paraId="104EE2F8" w14:textId="4A6D1496" w:rsidTr="00C236C6">
        <w:trPr>
          <w:trHeight w:val="42"/>
        </w:trPr>
        <w:tc>
          <w:tcPr>
            <w:tcW w:w="1016" w:type="pct"/>
            <w:tcBorders>
              <w:top w:val="single" w:sz="8" w:space="0" w:color="D9D9D9"/>
              <w:bottom w:val="single" w:sz="8" w:space="0" w:color="D9D9D9"/>
              <w:right w:val="nil"/>
            </w:tcBorders>
            <w:vAlign w:val="center"/>
          </w:tcPr>
          <w:p w14:paraId="6B21F207" w14:textId="0EF1AAB5" w:rsidR="00E90E10" w:rsidRPr="00C236C6" w:rsidRDefault="00E90E10" w:rsidP="007D1FE5">
            <w:pPr>
              <w:pStyle w:val="TabletextLeft"/>
              <w:spacing w:line="240" w:lineRule="auto"/>
              <w:rPr>
                <w:sz w:val="18"/>
                <w:szCs w:val="18"/>
              </w:rPr>
            </w:pPr>
            <w:r w:rsidRPr="00C236C6">
              <w:rPr>
                <w:sz w:val="18"/>
                <w:szCs w:val="18"/>
              </w:rPr>
              <w:t>Targeted interview</w:t>
            </w:r>
          </w:p>
        </w:tc>
        <w:tc>
          <w:tcPr>
            <w:tcW w:w="2980" w:type="pct"/>
            <w:tcBorders>
              <w:top w:val="single" w:sz="8" w:space="0" w:color="D9D9D9"/>
              <w:left w:val="nil"/>
              <w:bottom w:val="single" w:sz="8" w:space="0" w:color="D9D9D9"/>
              <w:right w:val="nil"/>
            </w:tcBorders>
            <w:shd w:val="clear" w:color="auto" w:fill="auto"/>
            <w:vAlign w:val="center"/>
          </w:tcPr>
          <w:p w14:paraId="55BB952F" w14:textId="5E738934" w:rsidR="00E90E10" w:rsidRPr="00C236C6" w:rsidRDefault="00E90E10" w:rsidP="007D1FE5">
            <w:pPr>
              <w:pStyle w:val="TabletextLeft"/>
              <w:spacing w:line="240" w:lineRule="auto"/>
              <w:rPr>
                <w:sz w:val="18"/>
                <w:szCs w:val="18"/>
              </w:rPr>
            </w:pPr>
            <w:r w:rsidRPr="00C236C6">
              <w:rPr>
                <w:sz w:val="18"/>
                <w:szCs w:val="18"/>
              </w:rPr>
              <w:t>National Disability Insurance Agency (NDIA)</w:t>
            </w:r>
          </w:p>
        </w:tc>
        <w:tc>
          <w:tcPr>
            <w:tcW w:w="1004" w:type="pct"/>
            <w:tcBorders>
              <w:top w:val="single" w:sz="8" w:space="0" w:color="D9D9D9"/>
              <w:left w:val="nil"/>
              <w:bottom w:val="single" w:sz="8" w:space="0" w:color="D9D9D9"/>
              <w:right w:val="nil"/>
            </w:tcBorders>
            <w:shd w:val="clear" w:color="auto" w:fill="auto"/>
            <w:vAlign w:val="center"/>
          </w:tcPr>
          <w:p w14:paraId="18570BFC" w14:textId="116374BF" w:rsidR="00E90E10" w:rsidRPr="00C236C6" w:rsidRDefault="00E90E10" w:rsidP="007D1FE5">
            <w:pPr>
              <w:pStyle w:val="TabletextLeft"/>
              <w:spacing w:line="240" w:lineRule="auto"/>
              <w:rPr>
                <w:sz w:val="18"/>
                <w:szCs w:val="18"/>
              </w:rPr>
            </w:pPr>
            <w:r w:rsidRPr="00C236C6">
              <w:rPr>
                <w:sz w:val="18"/>
                <w:szCs w:val="18"/>
              </w:rPr>
              <w:t>24 April</w:t>
            </w:r>
          </w:p>
        </w:tc>
      </w:tr>
      <w:tr w:rsidR="00E90E10" w:rsidRPr="00EE3297" w14:paraId="0AE5F894" w14:textId="2F828999" w:rsidTr="00C236C6">
        <w:trPr>
          <w:trHeight w:val="42"/>
        </w:trPr>
        <w:tc>
          <w:tcPr>
            <w:tcW w:w="1016" w:type="pct"/>
            <w:tcBorders>
              <w:top w:val="single" w:sz="8" w:space="0" w:color="D9D9D9"/>
              <w:bottom w:val="single" w:sz="8" w:space="0" w:color="D9D9D9"/>
              <w:right w:val="nil"/>
            </w:tcBorders>
            <w:vAlign w:val="center"/>
          </w:tcPr>
          <w:p w14:paraId="3D65F147" w14:textId="682E99E0" w:rsidR="00E90E10" w:rsidRPr="00C236C6" w:rsidRDefault="00E90E10" w:rsidP="007D1FE5">
            <w:pPr>
              <w:pStyle w:val="TabletextLeft"/>
              <w:spacing w:line="240" w:lineRule="auto"/>
              <w:rPr>
                <w:sz w:val="18"/>
                <w:szCs w:val="18"/>
              </w:rPr>
            </w:pPr>
            <w:r w:rsidRPr="00C236C6">
              <w:rPr>
                <w:sz w:val="18"/>
                <w:szCs w:val="18"/>
              </w:rPr>
              <w:t>Targeted interview</w:t>
            </w:r>
          </w:p>
        </w:tc>
        <w:tc>
          <w:tcPr>
            <w:tcW w:w="2980" w:type="pct"/>
            <w:tcBorders>
              <w:top w:val="single" w:sz="8" w:space="0" w:color="D9D9D9"/>
              <w:left w:val="nil"/>
              <w:bottom w:val="single" w:sz="8" w:space="0" w:color="D9D9D9"/>
              <w:right w:val="nil"/>
            </w:tcBorders>
            <w:shd w:val="clear" w:color="auto" w:fill="auto"/>
            <w:vAlign w:val="center"/>
          </w:tcPr>
          <w:p w14:paraId="3DE56DA0" w14:textId="1C9B163C" w:rsidR="00E90E10" w:rsidRPr="00C236C6" w:rsidRDefault="00E90E10" w:rsidP="007D1FE5">
            <w:pPr>
              <w:pStyle w:val="TabletextLeft"/>
              <w:spacing w:line="240" w:lineRule="auto"/>
              <w:rPr>
                <w:sz w:val="18"/>
                <w:szCs w:val="18"/>
              </w:rPr>
            </w:pPr>
            <w:r w:rsidRPr="00C236C6">
              <w:rPr>
                <w:sz w:val="18"/>
                <w:szCs w:val="18"/>
              </w:rPr>
              <w:t xml:space="preserve">Aged </w:t>
            </w:r>
            <w:r w:rsidR="00CB0B0D">
              <w:rPr>
                <w:sz w:val="18"/>
                <w:szCs w:val="18"/>
              </w:rPr>
              <w:t>and</w:t>
            </w:r>
            <w:r w:rsidRPr="00C236C6">
              <w:rPr>
                <w:sz w:val="18"/>
                <w:szCs w:val="18"/>
              </w:rPr>
              <w:t xml:space="preserve"> Community Care Providers Association (ACCPA)</w:t>
            </w:r>
          </w:p>
        </w:tc>
        <w:tc>
          <w:tcPr>
            <w:tcW w:w="1004" w:type="pct"/>
            <w:tcBorders>
              <w:top w:val="single" w:sz="8" w:space="0" w:color="D9D9D9"/>
              <w:left w:val="nil"/>
              <w:bottom w:val="single" w:sz="8" w:space="0" w:color="D9D9D9"/>
              <w:right w:val="nil"/>
            </w:tcBorders>
            <w:shd w:val="clear" w:color="auto" w:fill="auto"/>
            <w:vAlign w:val="center"/>
          </w:tcPr>
          <w:p w14:paraId="25AB7210" w14:textId="62DC965F" w:rsidR="00E90E10" w:rsidRPr="00C236C6" w:rsidRDefault="00E90E10" w:rsidP="007D1FE5">
            <w:pPr>
              <w:pStyle w:val="TabletextLeft"/>
              <w:spacing w:line="240" w:lineRule="auto"/>
              <w:rPr>
                <w:sz w:val="18"/>
                <w:szCs w:val="18"/>
              </w:rPr>
            </w:pPr>
            <w:r w:rsidRPr="00C236C6">
              <w:rPr>
                <w:sz w:val="18"/>
                <w:szCs w:val="18"/>
              </w:rPr>
              <w:t>4 May</w:t>
            </w:r>
          </w:p>
        </w:tc>
      </w:tr>
      <w:tr w:rsidR="00E90E10" w:rsidRPr="00EE3297" w14:paraId="02E0D06C" w14:textId="4381A236" w:rsidTr="00C236C6">
        <w:trPr>
          <w:trHeight w:val="42"/>
        </w:trPr>
        <w:tc>
          <w:tcPr>
            <w:tcW w:w="1016" w:type="pct"/>
            <w:tcBorders>
              <w:top w:val="single" w:sz="8" w:space="0" w:color="D9D9D9"/>
              <w:bottom w:val="single" w:sz="8" w:space="0" w:color="D9D9D9"/>
              <w:right w:val="nil"/>
            </w:tcBorders>
            <w:vAlign w:val="center"/>
          </w:tcPr>
          <w:p w14:paraId="337DF9B1" w14:textId="5ED20216" w:rsidR="00E90E10" w:rsidRPr="00C236C6" w:rsidRDefault="00E90E10" w:rsidP="007D1FE5">
            <w:pPr>
              <w:pStyle w:val="TabletextLeft"/>
              <w:spacing w:line="240" w:lineRule="auto"/>
              <w:rPr>
                <w:sz w:val="18"/>
                <w:szCs w:val="18"/>
              </w:rPr>
            </w:pPr>
            <w:r w:rsidRPr="00C236C6">
              <w:rPr>
                <w:sz w:val="18"/>
                <w:szCs w:val="18"/>
              </w:rPr>
              <w:t>Targeted interview</w:t>
            </w:r>
          </w:p>
        </w:tc>
        <w:tc>
          <w:tcPr>
            <w:tcW w:w="2980" w:type="pct"/>
            <w:tcBorders>
              <w:top w:val="single" w:sz="8" w:space="0" w:color="D9D9D9"/>
              <w:left w:val="nil"/>
              <w:bottom w:val="single" w:sz="8" w:space="0" w:color="D9D9D9"/>
              <w:right w:val="nil"/>
            </w:tcBorders>
            <w:shd w:val="clear" w:color="auto" w:fill="auto"/>
            <w:vAlign w:val="center"/>
          </w:tcPr>
          <w:p w14:paraId="5F38DA71" w14:textId="43EF66DF" w:rsidR="00E90E10" w:rsidRPr="00C236C6" w:rsidRDefault="00E90E10" w:rsidP="007D1FE5">
            <w:pPr>
              <w:pStyle w:val="TabletextLeft"/>
              <w:spacing w:line="240" w:lineRule="auto"/>
              <w:rPr>
                <w:sz w:val="18"/>
                <w:szCs w:val="18"/>
              </w:rPr>
            </w:pPr>
            <w:r w:rsidRPr="00C236C6">
              <w:rPr>
                <w:sz w:val="18"/>
                <w:szCs w:val="18"/>
              </w:rPr>
              <w:t>Australian College of Nurse Practitioners (ACNP)</w:t>
            </w:r>
          </w:p>
        </w:tc>
        <w:tc>
          <w:tcPr>
            <w:tcW w:w="1004" w:type="pct"/>
            <w:tcBorders>
              <w:top w:val="single" w:sz="8" w:space="0" w:color="D9D9D9"/>
              <w:left w:val="nil"/>
              <w:bottom w:val="single" w:sz="8" w:space="0" w:color="D9D9D9"/>
              <w:right w:val="nil"/>
            </w:tcBorders>
            <w:shd w:val="clear" w:color="auto" w:fill="auto"/>
            <w:vAlign w:val="center"/>
          </w:tcPr>
          <w:p w14:paraId="2320FF50" w14:textId="524A4570" w:rsidR="00E90E10" w:rsidRPr="00C236C6" w:rsidRDefault="00E90E10" w:rsidP="007D1FE5">
            <w:pPr>
              <w:pStyle w:val="TabletextLeft"/>
              <w:spacing w:line="240" w:lineRule="auto"/>
              <w:rPr>
                <w:sz w:val="18"/>
                <w:szCs w:val="18"/>
              </w:rPr>
            </w:pPr>
            <w:r w:rsidRPr="00C236C6">
              <w:rPr>
                <w:sz w:val="18"/>
                <w:szCs w:val="18"/>
              </w:rPr>
              <w:t>4 May</w:t>
            </w:r>
          </w:p>
        </w:tc>
      </w:tr>
      <w:tr w:rsidR="007D1FE5" w:rsidRPr="007D1FE5" w14:paraId="33A11C6E" w14:textId="77777777" w:rsidTr="00C236C6">
        <w:trPr>
          <w:trHeight w:val="42"/>
        </w:trPr>
        <w:tc>
          <w:tcPr>
            <w:tcW w:w="1016" w:type="pct"/>
            <w:tcBorders>
              <w:top w:val="single" w:sz="8" w:space="0" w:color="D9D9D9"/>
              <w:left w:val="nil"/>
              <w:bottom w:val="single" w:sz="8" w:space="0" w:color="D9D9D9"/>
              <w:right w:val="nil"/>
            </w:tcBorders>
            <w:shd w:val="clear" w:color="auto" w:fill="auto"/>
            <w:vAlign w:val="center"/>
          </w:tcPr>
          <w:p w14:paraId="41C89410" w14:textId="2510D553"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Targeted interview</w:t>
            </w:r>
          </w:p>
        </w:tc>
        <w:tc>
          <w:tcPr>
            <w:tcW w:w="2980" w:type="pct"/>
            <w:tcBorders>
              <w:top w:val="single" w:sz="8" w:space="0" w:color="D9D9D9"/>
              <w:left w:val="nil"/>
              <w:bottom w:val="single" w:sz="8" w:space="0" w:color="D9D9D9"/>
              <w:right w:val="nil"/>
            </w:tcBorders>
            <w:shd w:val="clear" w:color="auto" w:fill="auto"/>
            <w:vAlign w:val="center"/>
          </w:tcPr>
          <w:p w14:paraId="46E4F9C3" w14:textId="11D4866E"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Rural Doctors Association of Australia (RDAA)</w:t>
            </w:r>
          </w:p>
        </w:tc>
        <w:tc>
          <w:tcPr>
            <w:tcW w:w="1004" w:type="pct"/>
            <w:tcBorders>
              <w:top w:val="single" w:sz="8" w:space="0" w:color="D9D9D9"/>
              <w:left w:val="nil"/>
              <w:bottom w:val="single" w:sz="8" w:space="0" w:color="D9D9D9"/>
              <w:right w:val="nil"/>
            </w:tcBorders>
            <w:shd w:val="clear" w:color="auto" w:fill="auto"/>
            <w:vAlign w:val="center"/>
          </w:tcPr>
          <w:p w14:paraId="594E8069" w14:textId="2135E30F"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8 May</w:t>
            </w:r>
          </w:p>
        </w:tc>
      </w:tr>
      <w:tr w:rsidR="007D1FE5" w:rsidRPr="007D1FE5" w14:paraId="3F8A9016" w14:textId="77777777" w:rsidTr="00C236C6">
        <w:trPr>
          <w:trHeight w:val="42"/>
        </w:trPr>
        <w:tc>
          <w:tcPr>
            <w:tcW w:w="1016" w:type="pct"/>
            <w:tcBorders>
              <w:top w:val="single" w:sz="8" w:space="0" w:color="D9D9D9"/>
              <w:left w:val="nil"/>
              <w:bottom w:val="single" w:sz="8" w:space="0" w:color="D9D9D9"/>
              <w:right w:val="nil"/>
            </w:tcBorders>
            <w:shd w:val="clear" w:color="auto" w:fill="auto"/>
            <w:vAlign w:val="center"/>
          </w:tcPr>
          <w:p w14:paraId="68769038" w14:textId="6A3593F9"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Jurisdictional workshop</w:t>
            </w:r>
            <w:r w:rsidR="00256FDF">
              <w:rPr>
                <w:color w:val="000000" w:themeColor="text1"/>
                <w:kern w:val="24"/>
                <w:sz w:val="18"/>
                <w:szCs w:val="18"/>
              </w:rPr>
              <w:t>s</w:t>
            </w:r>
          </w:p>
        </w:tc>
        <w:tc>
          <w:tcPr>
            <w:tcW w:w="2980" w:type="pct"/>
            <w:tcBorders>
              <w:top w:val="single" w:sz="8" w:space="0" w:color="D9D9D9"/>
              <w:left w:val="nil"/>
              <w:bottom w:val="single" w:sz="8" w:space="0" w:color="D9D9D9"/>
              <w:right w:val="nil"/>
            </w:tcBorders>
            <w:shd w:val="clear" w:color="auto" w:fill="auto"/>
            <w:vAlign w:val="center"/>
          </w:tcPr>
          <w:p w14:paraId="2787A497" w14:textId="62CC1F9C"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Western Australia</w:t>
            </w:r>
          </w:p>
        </w:tc>
        <w:tc>
          <w:tcPr>
            <w:tcW w:w="1004" w:type="pct"/>
            <w:tcBorders>
              <w:top w:val="single" w:sz="8" w:space="0" w:color="D9D9D9"/>
              <w:left w:val="nil"/>
              <w:bottom w:val="single" w:sz="8" w:space="0" w:color="D9D9D9"/>
              <w:right w:val="nil"/>
            </w:tcBorders>
            <w:shd w:val="clear" w:color="auto" w:fill="auto"/>
            <w:vAlign w:val="center"/>
          </w:tcPr>
          <w:p w14:paraId="19C1EC15" w14:textId="4BE58DFF"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9-10 May</w:t>
            </w:r>
          </w:p>
        </w:tc>
      </w:tr>
      <w:tr w:rsidR="007D1FE5" w:rsidRPr="007D1FE5" w14:paraId="05AF88A8" w14:textId="77777777" w:rsidTr="00C236C6">
        <w:trPr>
          <w:trHeight w:val="42"/>
        </w:trPr>
        <w:tc>
          <w:tcPr>
            <w:tcW w:w="1016" w:type="pct"/>
            <w:tcBorders>
              <w:top w:val="single" w:sz="8" w:space="0" w:color="D9D9D9"/>
              <w:left w:val="nil"/>
              <w:bottom w:val="single" w:sz="8" w:space="0" w:color="D9D9D9"/>
              <w:right w:val="nil"/>
            </w:tcBorders>
            <w:shd w:val="clear" w:color="auto" w:fill="auto"/>
            <w:vAlign w:val="center"/>
          </w:tcPr>
          <w:p w14:paraId="1303CBFB" w14:textId="40853FCF"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Targeted interview</w:t>
            </w:r>
          </w:p>
        </w:tc>
        <w:tc>
          <w:tcPr>
            <w:tcW w:w="2980" w:type="pct"/>
            <w:tcBorders>
              <w:top w:val="single" w:sz="8" w:space="0" w:color="D9D9D9"/>
              <w:left w:val="nil"/>
              <w:bottom w:val="single" w:sz="8" w:space="0" w:color="D9D9D9"/>
              <w:right w:val="nil"/>
            </w:tcBorders>
            <w:shd w:val="clear" w:color="auto" w:fill="auto"/>
            <w:vAlign w:val="center"/>
          </w:tcPr>
          <w:p w14:paraId="13B50552" w14:textId="70DE0B2A" w:rsidR="007D1FE5" w:rsidRPr="00C236C6" w:rsidRDefault="00E92441" w:rsidP="007D1FE5">
            <w:pPr>
              <w:pStyle w:val="TabletextLeft"/>
              <w:spacing w:line="240" w:lineRule="auto"/>
              <w:rPr>
                <w:color w:val="000000" w:themeColor="text1"/>
                <w:sz w:val="18"/>
                <w:szCs w:val="18"/>
              </w:rPr>
            </w:pPr>
            <w:r w:rsidRPr="00C236C6">
              <w:rPr>
                <w:color w:val="000000" w:themeColor="text1"/>
                <w:kern w:val="24"/>
                <w:sz w:val="18"/>
                <w:szCs w:val="18"/>
              </w:rPr>
              <w:t>Rams</w:t>
            </w:r>
            <w:r>
              <w:rPr>
                <w:color w:val="000000" w:themeColor="text1"/>
                <w:kern w:val="24"/>
                <w:sz w:val="18"/>
                <w:szCs w:val="18"/>
              </w:rPr>
              <w:t>a</w:t>
            </w:r>
            <w:r w:rsidRPr="00C236C6">
              <w:rPr>
                <w:color w:val="000000" w:themeColor="text1"/>
                <w:kern w:val="24"/>
                <w:sz w:val="18"/>
                <w:szCs w:val="18"/>
              </w:rPr>
              <w:t xml:space="preserve">y </w:t>
            </w:r>
            <w:r w:rsidR="007D1FE5" w:rsidRPr="00C236C6">
              <w:rPr>
                <w:color w:val="000000" w:themeColor="text1"/>
                <w:kern w:val="24"/>
                <w:sz w:val="18"/>
                <w:szCs w:val="18"/>
              </w:rPr>
              <w:t>Health Care</w:t>
            </w:r>
          </w:p>
        </w:tc>
        <w:tc>
          <w:tcPr>
            <w:tcW w:w="1004" w:type="pct"/>
            <w:tcBorders>
              <w:top w:val="single" w:sz="8" w:space="0" w:color="D9D9D9"/>
              <w:left w:val="nil"/>
              <w:bottom w:val="single" w:sz="8" w:space="0" w:color="D9D9D9"/>
              <w:right w:val="nil"/>
            </w:tcBorders>
            <w:shd w:val="clear" w:color="auto" w:fill="auto"/>
            <w:vAlign w:val="center"/>
          </w:tcPr>
          <w:p w14:paraId="2299E9EA" w14:textId="0844F3C5"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18 May</w:t>
            </w:r>
          </w:p>
        </w:tc>
      </w:tr>
      <w:tr w:rsidR="007D1FE5" w:rsidRPr="007D1FE5" w14:paraId="2BC6E541" w14:textId="77777777" w:rsidTr="00C236C6">
        <w:trPr>
          <w:trHeight w:val="42"/>
        </w:trPr>
        <w:tc>
          <w:tcPr>
            <w:tcW w:w="1016" w:type="pct"/>
            <w:tcBorders>
              <w:top w:val="single" w:sz="8" w:space="0" w:color="D9D9D9"/>
              <w:left w:val="nil"/>
              <w:bottom w:val="single" w:sz="8" w:space="0" w:color="D9D9D9"/>
              <w:right w:val="nil"/>
            </w:tcBorders>
            <w:shd w:val="clear" w:color="auto" w:fill="auto"/>
            <w:vAlign w:val="center"/>
          </w:tcPr>
          <w:p w14:paraId="065A1898" w14:textId="584890D3"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Targeted interview</w:t>
            </w:r>
          </w:p>
        </w:tc>
        <w:tc>
          <w:tcPr>
            <w:tcW w:w="2980" w:type="pct"/>
            <w:tcBorders>
              <w:top w:val="single" w:sz="8" w:space="0" w:color="D9D9D9"/>
              <w:left w:val="nil"/>
              <w:bottom w:val="single" w:sz="8" w:space="0" w:color="D9D9D9"/>
              <w:right w:val="nil"/>
            </w:tcBorders>
            <w:shd w:val="clear" w:color="auto" w:fill="auto"/>
            <w:vAlign w:val="center"/>
          </w:tcPr>
          <w:p w14:paraId="496E274E" w14:textId="250D8E16"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 xml:space="preserve">Royal Australasian College </w:t>
            </w:r>
            <w:r w:rsidR="004568DD">
              <w:rPr>
                <w:color w:val="000000" w:themeColor="text1"/>
                <w:kern w:val="24"/>
                <w:sz w:val="18"/>
                <w:szCs w:val="18"/>
              </w:rPr>
              <w:t>o</w:t>
            </w:r>
            <w:r w:rsidRPr="00C236C6">
              <w:rPr>
                <w:color w:val="000000" w:themeColor="text1"/>
                <w:kern w:val="24"/>
                <w:sz w:val="18"/>
                <w:szCs w:val="18"/>
              </w:rPr>
              <w:t>f Surgeons (RACS)</w:t>
            </w:r>
          </w:p>
        </w:tc>
        <w:tc>
          <w:tcPr>
            <w:tcW w:w="1004" w:type="pct"/>
            <w:tcBorders>
              <w:top w:val="single" w:sz="8" w:space="0" w:color="D9D9D9"/>
              <w:left w:val="nil"/>
              <w:bottom w:val="single" w:sz="8" w:space="0" w:color="D9D9D9"/>
              <w:right w:val="nil"/>
            </w:tcBorders>
            <w:shd w:val="clear" w:color="auto" w:fill="auto"/>
            <w:vAlign w:val="center"/>
          </w:tcPr>
          <w:p w14:paraId="21E6BBFF" w14:textId="6A1ADC04"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18 May</w:t>
            </w:r>
          </w:p>
        </w:tc>
      </w:tr>
      <w:tr w:rsidR="007D1FE5" w:rsidRPr="007D1FE5" w14:paraId="53092BDF" w14:textId="77777777" w:rsidTr="00C236C6">
        <w:trPr>
          <w:trHeight w:val="42"/>
        </w:trPr>
        <w:tc>
          <w:tcPr>
            <w:tcW w:w="1016" w:type="pct"/>
            <w:tcBorders>
              <w:top w:val="single" w:sz="8" w:space="0" w:color="D9D9D9"/>
              <w:left w:val="nil"/>
              <w:bottom w:val="single" w:sz="8" w:space="0" w:color="D9D9D9"/>
              <w:right w:val="nil"/>
            </w:tcBorders>
            <w:shd w:val="clear" w:color="auto" w:fill="auto"/>
            <w:vAlign w:val="center"/>
          </w:tcPr>
          <w:p w14:paraId="6FF4A716" w14:textId="72D7010C"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Jurisdictional workshop</w:t>
            </w:r>
            <w:r w:rsidR="00256FDF">
              <w:rPr>
                <w:color w:val="000000" w:themeColor="text1"/>
                <w:kern w:val="24"/>
                <w:sz w:val="18"/>
                <w:szCs w:val="18"/>
              </w:rPr>
              <w:t>s</w:t>
            </w:r>
          </w:p>
        </w:tc>
        <w:tc>
          <w:tcPr>
            <w:tcW w:w="2980" w:type="pct"/>
            <w:tcBorders>
              <w:top w:val="single" w:sz="8" w:space="0" w:color="D9D9D9"/>
              <w:left w:val="nil"/>
              <w:bottom w:val="single" w:sz="8" w:space="0" w:color="D9D9D9"/>
              <w:right w:val="nil"/>
            </w:tcBorders>
            <w:shd w:val="clear" w:color="auto" w:fill="auto"/>
            <w:vAlign w:val="center"/>
          </w:tcPr>
          <w:p w14:paraId="17BAED02" w14:textId="3AA89734"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New South Wales</w:t>
            </w:r>
          </w:p>
        </w:tc>
        <w:tc>
          <w:tcPr>
            <w:tcW w:w="1004" w:type="pct"/>
            <w:tcBorders>
              <w:top w:val="single" w:sz="8" w:space="0" w:color="D9D9D9"/>
              <w:left w:val="nil"/>
              <w:bottom w:val="single" w:sz="8" w:space="0" w:color="D9D9D9"/>
              <w:right w:val="nil"/>
            </w:tcBorders>
            <w:shd w:val="clear" w:color="auto" w:fill="auto"/>
            <w:vAlign w:val="center"/>
          </w:tcPr>
          <w:p w14:paraId="79231C7F" w14:textId="70BD881E"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23-24 May</w:t>
            </w:r>
          </w:p>
        </w:tc>
      </w:tr>
      <w:tr w:rsidR="007D1FE5" w:rsidRPr="007D1FE5" w14:paraId="66CDA6DA" w14:textId="77777777" w:rsidTr="00C236C6">
        <w:trPr>
          <w:trHeight w:val="42"/>
        </w:trPr>
        <w:tc>
          <w:tcPr>
            <w:tcW w:w="1016" w:type="pct"/>
            <w:tcBorders>
              <w:top w:val="single" w:sz="8" w:space="0" w:color="D9D9D9"/>
              <w:left w:val="nil"/>
              <w:bottom w:val="single" w:sz="8" w:space="0" w:color="D9D9D9"/>
              <w:right w:val="nil"/>
            </w:tcBorders>
            <w:shd w:val="clear" w:color="auto" w:fill="auto"/>
            <w:vAlign w:val="center"/>
          </w:tcPr>
          <w:p w14:paraId="6F967D8A" w14:textId="321BEC1F"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Targeted interview</w:t>
            </w:r>
          </w:p>
        </w:tc>
        <w:tc>
          <w:tcPr>
            <w:tcW w:w="2980" w:type="pct"/>
            <w:tcBorders>
              <w:top w:val="single" w:sz="8" w:space="0" w:color="D9D9D9"/>
              <w:left w:val="nil"/>
              <w:bottom w:val="single" w:sz="8" w:space="0" w:color="D9D9D9"/>
              <w:right w:val="nil"/>
            </w:tcBorders>
            <w:shd w:val="clear" w:color="auto" w:fill="auto"/>
            <w:vAlign w:val="center"/>
          </w:tcPr>
          <w:p w14:paraId="7B5B01D4" w14:textId="743E3999"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Private Healthcare Australia (PHA)</w:t>
            </w:r>
          </w:p>
        </w:tc>
        <w:tc>
          <w:tcPr>
            <w:tcW w:w="1004" w:type="pct"/>
            <w:tcBorders>
              <w:top w:val="single" w:sz="8" w:space="0" w:color="D9D9D9"/>
              <w:left w:val="nil"/>
              <w:bottom w:val="single" w:sz="8" w:space="0" w:color="D9D9D9"/>
              <w:right w:val="nil"/>
            </w:tcBorders>
            <w:shd w:val="clear" w:color="auto" w:fill="auto"/>
            <w:vAlign w:val="center"/>
          </w:tcPr>
          <w:p w14:paraId="6D621507" w14:textId="1234A8B5"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25 May</w:t>
            </w:r>
          </w:p>
        </w:tc>
      </w:tr>
      <w:tr w:rsidR="007D1FE5" w:rsidRPr="007D1FE5" w14:paraId="3048621E" w14:textId="77777777" w:rsidTr="00C236C6">
        <w:trPr>
          <w:trHeight w:val="42"/>
        </w:trPr>
        <w:tc>
          <w:tcPr>
            <w:tcW w:w="1016" w:type="pct"/>
            <w:tcBorders>
              <w:top w:val="single" w:sz="8" w:space="0" w:color="D9D9D9"/>
              <w:left w:val="nil"/>
              <w:bottom w:val="single" w:sz="8" w:space="0" w:color="D9D9D9"/>
              <w:right w:val="nil"/>
            </w:tcBorders>
            <w:shd w:val="clear" w:color="auto" w:fill="auto"/>
            <w:vAlign w:val="center"/>
          </w:tcPr>
          <w:p w14:paraId="23315CB2" w14:textId="0938E0A1"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Targeted interview</w:t>
            </w:r>
          </w:p>
        </w:tc>
        <w:tc>
          <w:tcPr>
            <w:tcW w:w="2980" w:type="pct"/>
            <w:tcBorders>
              <w:top w:val="single" w:sz="8" w:space="0" w:color="D9D9D9"/>
              <w:left w:val="nil"/>
              <w:bottom w:val="single" w:sz="8" w:space="0" w:color="D9D9D9"/>
              <w:right w:val="nil"/>
            </w:tcBorders>
            <w:shd w:val="clear" w:color="auto" w:fill="auto"/>
            <w:vAlign w:val="center"/>
          </w:tcPr>
          <w:p w14:paraId="37BDD92E" w14:textId="660E2ECB"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National Rural Health Alliance (NRHA)</w:t>
            </w:r>
          </w:p>
        </w:tc>
        <w:tc>
          <w:tcPr>
            <w:tcW w:w="1004" w:type="pct"/>
            <w:tcBorders>
              <w:top w:val="single" w:sz="8" w:space="0" w:color="D9D9D9"/>
              <w:left w:val="nil"/>
              <w:bottom w:val="single" w:sz="8" w:space="0" w:color="D9D9D9"/>
              <w:right w:val="nil"/>
            </w:tcBorders>
            <w:shd w:val="clear" w:color="auto" w:fill="auto"/>
            <w:vAlign w:val="center"/>
          </w:tcPr>
          <w:p w14:paraId="09417C40" w14:textId="49260553"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26 May</w:t>
            </w:r>
          </w:p>
        </w:tc>
      </w:tr>
      <w:tr w:rsidR="007D1FE5" w:rsidRPr="007D1FE5" w14:paraId="57F4870A" w14:textId="77777777" w:rsidTr="00C236C6">
        <w:trPr>
          <w:trHeight w:val="42"/>
        </w:trPr>
        <w:tc>
          <w:tcPr>
            <w:tcW w:w="1016" w:type="pct"/>
            <w:tcBorders>
              <w:top w:val="single" w:sz="8" w:space="0" w:color="D9D9D9"/>
              <w:left w:val="nil"/>
              <w:bottom w:val="single" w:sz="8" w:space="0" w:color="D9D9D9"/>
              <w:right w:val="nil"/>
            </w:tcBorders>
            <w:shd w:val="clear" w:color="auto" w:fill="auto"/>
            <w:vAlign w:val="center"/>
          </w:tcPr>
          <w:p w14:paraId="4937C6DE" w14:textId="52A72A5A"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Targeted interview</w:t>
            </w:r>
          </w:p>
        </w:tc>
        <w:tc>
          <w:tcPr>
            <w:tcW w:w="2980" w:type="pct"/>
            <w:tcBorders>
              <w:top w:val="single" w:sz="8" w:space="0" w:color="D9D9D9"/>
              <w:left w:val="nil"/>
              <w:bottom w:val="single" w:sz="8" w:space="0" w:color="D9D9D9"/>
              <w:right w:val="nil"/>
            </w:tcBorders>
            <w:shd w:val="clear" w:color="auto" w:fill="auto"/>
            <w:vAlign w:val="center"/>
          </w:tcPr>
          <w:p w14:paraId="7BD500DF" w14:textId="7210996E"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Australian College of Midwives (ACM)</w:t>
            </w:r>
          </w:p>
        </w:tc>
        <w:tc>
          <w:tcPr>
            <w:tcW w:w="1004" w:type="pct"/>
            <w:tcBorders>
              <w:top w:val="single" w:sz="8" w:space="0" w:color="D9D9D9"/>
              <w:left w:val="nil"/>
              <w:bottom w:val="single" w:sz="8" w:space="0" w:color="D9D9D9"/>
              <w:right w:val="nil"/>
            </w:tcBorders>
            <w:shd w:val="clear" w:color="auto" w:fill="auto"/>
            <w:vAlign w:val="center"/>
          </w:tcPr>
          <w:p w14:paraId="358F5D21" w14:textId="01DB0FE5"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29 May</w:t>
            </w:r>
          </w:p>
        </w:tc>
      </w:tr>
      <w:tr w:rsidR="007D1FE5" w:rsidRPr="007D1FE5" w14:paraId="63762744" w14:textId="77777777" w:rsidTr="00C236C6">
        <w:trPr>
          <w:trHeight w:val="42"/>
        </w:trPr>
        <w:tc>
          <w:tcPr>
            <w:tcW w:w="1016" w:type="pct"/>
            <w:tcBorders>
              <w:top w:val="single" w:sz="8" w:space="0" w:color="D9D9D9"/>
              <w:left w:val="nil"/>
              <w:bottom w:val="single" w:sz="8" w:space="0" w:color="D9D9D9"/>
              <w:right w:val="nil"/>
            </w:tcBorders>
            <w:shd w:val="clear" w:color="auto" w:fill="auto"/>
            <w:vAlign w:val="center"/>
          </w:tcPr>
          <w:p w14:paraId="75AF44AF" w14:textId="472CDB3F"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Jurisdictional workshop</w:t>
            </w:r>
            <w:r w:rsidR="00256FDF">
              <w:rPr>
                <w:color w:val="000000" w:themeColor="text1"/>
                <w:kern w:val="24"/>
                <w:sz w:val="18"/>
                <w:szCs w:val="18"/>
              </w:rPr>
              <w:t>s</w:t>
            </w:r>
          </w:p>
        </w:tc>
        <w:tc>
          <w:tcPr>
            <w:tcW w:w="2980" w:type="pct"/>
            <w:tcBorders>
              <w:top w:val="single" w:sz="8" w:space="0" w:color="D9D9D9"/>
              <w:left w:val="nil"/>
              <w:bottom w:val="single" w:sz="8" w:space="0" w:color="D9D9D9"/>
              <w:right w:val="nil"/>
            </w:tcBorders>
            <w:shd w:val="clear" w:color="auto" w:fill="auto"/>
            <w:vAlign w:val="center"/>
          </w:tcPr>
          <w:p w14:paraId="5FEAE6BB" w14:textId="542FC074"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 xml:space="preserve">Australian Capital Territory </w:t>
            </w:r>
          </w:p>
        </w:tc>
        <w:tc>
          <w:tcPr>
            <w:tcW w:w="1004" w:type="pct"/>
            <w:tcBorders>
              <w:top w:val="single" w:sz="8" w:space="0" w:color="D9D9D9"/>
              <w:left w:val="nil"/>
              <w:bottom w:val="single" w:sz="8" w:space="0" w:color="D9D9D9"/>
              <w:right w:val="nil"/>
            </w:tcBorders>
            <w:shd w:val="clear" w:color="auto" w:fill="auto"/>
            <w:vAlign w:val="center"/>
          </w:tcPr>
          <w:p w14:paraId="51A28932" w14:textId="46F6F8C2"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30-31 May</w:t>
            </w:r>
          </w:p>
        </w:tc>
      </w:tr>
      <w:tr w:rsidR="007D1FE5" w:rsidRPr="007D1FE5" w14:paraId="2FAFC517" w14:textId="77777777" w:rsidTr="00C236C6">
        <w:trPr>
          <w:trHeight w:val="42"/>
        </w:trPr>
        <w:tc>
          <w:tcPr>
            <w:tcW w:w="1016" w:type="pct"/>
            <w:tcBorders>
              <w:top w:val="single" w:sz="8" w:space="0" w:color="D9D9D9"/>
              <w:left w:val="nil"/>
              <w:bottom w:val="single" w:sz="8" w:space="0" w:color="D9D9D9"/>
              <w:right w:val="nil"/>
            </w:tcBorders>
            <w:shd w:val="clear" w:color="auto" w:fill="auto"/>
            <w:vAlign w:val="center"/>
          </w:tcPr>
          <w:p w14:paraId="4A7767F4" w14:textId="0BB2036C"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Targeted interview</w:t>
            </w:r>
          </w:p>
        </w:tc>
        <w:tc>
          <w:tcPr>
            <w:tcW w:w="2980" w:type="pct"/>
            <w:tcBorders>
              <w:top w:val="single" w:sz="8" w:space="0" w:color="D9D9D9"/>
              <w:left w:val="nil"/>
              <w:bottom w:val="single" w:sz="8" w:space="0" w:color="D9D9D9"/>
              <w:right w:val="nil"/>
            </w:tcBorders>
            <w:shd w:val="clear" w:color="auto" w:fill="auto"/>
            <w:vAlign w:val="center"/>
          </w:tcPr>
          <w:p w14:paraId="61DBD45B" w14:textId="4739EAA6"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Department of Social Services (DSS)</w:t>
            </w:r>
          </w:p>
        </w:tc>
        <w:tc>
          <w:tcPr>
            <w:tcW w:w="1004" w:type="pct"/>
            <w:tcBorders>
              <w:top w:val="single" w:sz="8" w:space="0" w:color="D9D9D9"/>
              <w:left w:val="nil"/>
              <w:bottom w:val="single" w:sz="8" w:space="0" w:color="D9D9D9"/>
              <w:right w:val="nil"/>
            </w:tcBorders>
            <w:shd w:val="clear" w:color="auto" w:fill="auto"/>
            <w:vAlign w:val="center"/>
          </w:tcPr>
          <w:p w14:paraId="496E834C" w14:textId="13EBC6C9"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1 June</w:t>
            </w:r>
          </w:p>
        </w:tc>
      </w:tr>
      <w:tr w:rsidR="007D1FE5" w:rsidRPr="007D1FE5" w14:paraId="5860D68F" w14:textId="77777777" w:rsidTr="00C236C6">
        <w:trPr>
          <w:trHeight w:val="42"/>
        </w:trPr>
        <w:tc>
          <w:tcPr>
            <w:tcW w:w="1016" w:type="pct"/>
            <w:tcBorders>
              <w:top w:val="single" w:sz="8" w:space="0" w:color="D9D9D9"/>
              <w:left w:val="nil"/>
              <w:bottom w:val="single" w:sz="8" w:space="0" w:color="D9D9D9"/>
              <w:right w:val="nil"/>
            </w:tcBorders>
            <w:shd w:val="clear" w:color="auto" w:fill="auto"/>
            <w:vAlign w:val="center"/>
          </w:tcPr>
          <w:p w14:paraId="6B6B7262" w14:textId="5735D6BF"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Targeted interview</w:t>
            </w:r>
          </w:p>
        </w:tc>
        <w:tc>
          <w:tcPr>
            <w:tcW w:w="2980" w:type="pct"/>
            <w:tcBorders>
              <w:top w:val="single" w:sz="8" w:space="0" w:color="D9D9D9"/>
              <w:left w:val="nil"/>
              <w:bottom w:val="single" w:sz="8" w:space="0" w:color="D9D9D9"/>
              <w:right w:val="nil"/>
            </w:tcBorders>
            <w:shd w:val="clear" w:color="auto" w:fill="auto"/>
            <w:vAlign w:val="center"/>
          </w:tcPr>
          <w:p w14:paraId="1410049A" w14:textId="477C5366"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Medical Services Advisory Committee (MSAC)</w:t>
            </w:r>
          </w:p>
        </w:tc>
        <w:tc>
          <w:tcPr>
            <w:tcW w:w="1004" w:type="pct"/>
            <w:tcBorders>
              <w:top w:val="single" w:sz="8" w:space="0" w:color="D9D9D9"/>
              <w:left w:val="nil"/>
              <w:bottom w:val="single" w:sz="8" w:space="0" w:color="D9D9D9"/>
              <w:right w:val="nil"/>
            </w:tcBorders>
            <w:shd w:val="clear" w:color="auto" w:fill="auto"/>
            <w:vAlign w:val="center"/>
          </w:tcPr>
          <w:p w14:paraId="458D4A1B" w14:textId="07984D1F"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1 June</w:t>
            </w:r>
          </w:p>
        </w:tc>
      </w:tr>
      <w:tr w:rsidR="007D1FE5" w:rsidRPr="007D1FE5" w14:paraId="2751F026" w14:textId="77777777" w:rsidTr="00C236C6">
        <w:trPr>
          <w:trHeight w:val="42"/>
        </w:trPr>
        <w:tc>
          <w:tcPr>
            <w:tcW w:w="1016" w:type="pct"/>
            <w:tcBorders>
              <w:top w:val="single" w:sz="8" w:space="0" w:color="D9D9D9"/>
              <w:left w:val="nil"/>
              <w:bottom w:val="single" w:sz="8" w:space="0" w:color="D9D9D9"/>
              <w:right w:val="nil"/>
            </w:tcBorders>
            <w:shd w:val="clear" w:color="auto" w:fill="auto"/>
            <w:vAlign w:val="center"/>
          </w:tcPr>
          <w:p w14:paraId="39AC33B9" w14:textId="78D3424D"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Targeted interview</w:t>
            </w:r>
          </w:p>
        </w:tc>
        <w:tc>
          <w:tcPr>
            <w:tcW w:w="2980" w:type="pct"/>
            <w:tcBorders>
              <w:top w:val="single" w:sz="8" w:space="0" w:color="D9D9D9"/>
              <w:left w:val="nil"/>
              <w:bottom w:val="single" w:sz="8" w:space="0" w:color="D9D9D9"/>
              <w:right w:val="nil"/>
            </w:tcBorders>
            <w:shd w:val="clear" w:color="auto" w:fill="auto"/>
            <w:vAlign w:val="center"/>
          </w:tcPr>
          <w:p w14:paraId="1E490598" w14:textId="5BA36BF9"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Pharmaceutical Society of Australia (PSA)</w:t>
            </w:r>
          </w:p>
        </w:tc>
        <w:tc>
          <w:tcPr>
            <w:tcW w:w="1004" w:type="pct"/>
            <w:tcBorders>
              <w:top w:val="single" w:sz="8" w:space="0" w:color="D9D9D9"/>
              <w:left w:val="nil"/>
              <w:bottom w:val="single" w:sz="8" w:space="0" w:color="D9D9D9"/>
              <w:right w:val="nil"/>
            </w:tcBorders>
            <w:shd w:val="clear" w:color="auto" w:fill="auto"/>
            <w:vAlign w:val="center"/>
          </w:tcPr>
          <w:p w14:paraId="72685356" w14:textId="27720DCB"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1 June</w:t>
            </w:r>
          </w:p>
        </w:tc>
      </w:tr>
      <w:tr w:rsidR="007D1FE5" w:rsidRPr="007D1FE5" w14:paraId="4F7CC070" w14:textId="77777777" w:rsidTr="00C236C6">
        <w:trPr>
          <w:trHeight w:val="42"/>
        </w:trPr>
        <w:tc>
          <w:tcPr>
            <w:tcW w:w="1016" w:type="pct"/>
            <w:tcBorders>
              <w:top w:val="single" w:sz="8" w:space="0" w:color="D9D9D9"/>
              <w:left w:val="nil"/>
              <w:bottom w:val="single" w:sz="8" w:space="0" w:color="D9D9D9"/>
              <w:right w:val="nil"/>
            </w:tcBorders>
            <w:shd w:val="clear" w:color="auto" w:fill="auto"/>
            <w:vAlign w:val="center"/>
          </w:tcPr>
          <w:p w14:paraId="75661EBF" w14:textId="5D87F285"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Targeted interview</w:t>
            </w:r>
          </w:p>
        </w:tc>
        <w:tc>
          <w:tcPr>
            <w:tcW w:w="2980" w:type="pct"/>
            <w:tcBorders>
              <w:top w:val="single" w:sz="8" w:space="0" w:color="D9D9D9"/>
              <w:left w:val="nil"/>
              <w:bottom w:val="single" w:sz="8" w:space="0" w:color="D9D9D9"/>
              <w:right w:val="nil"/>
            </w:tcBorders>
            <w:shd w:val="clear" w:color="auto" w:fill="auto"/>
            <w:vAlign w:val="center"/>
          </w:tcPr>
          <w:p w14:paraId="69B67314" w14:textId="32CA807E"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 xml:space="preserve">Australian College </w:t>
            </w:r>
            <w:r w:rsidR="004568DD">
              <w:rPr>
                <w:color w:val="000000" w:themeColor="text1"/>
                <w:kern w:val="24"/>
                <w:sz w:val="18"/>
                <w:szCs w:val="18"/>
              </w:rPr>
              <w:t>o</w:t>
            </w:r>
            <w:r w:rsidRPr="00C236C6">
              <w:rPr>
                <w:color w:val="000000" w:themeColor="text1"/>
                <w:kern w:val="24"/>
                <w:sz w:val="18"/>
                <w:szCs w:val="18"/>
              </w:rPr>
              <w:t xml:space="preserve">f Rural </w:t>
            </w:r>
            <w:r w:rsidR="004568DD">
              <w:rPr>
                <w:color w:val="000000" w:themeColor="text1"/>
                <w:kern w:val="24"/>
                <w:sz w:val="18"/>
                <w:szCs w:val="18"/>
              </w:rPr>
              <w:t>a</w:t>
            </w:r>
            <w:r w:rsidRPr="00C236C6">
              <w:rPr>
                <w:color w:val="000000" w:themeColor="text1"/>
                <w:kern w:val="24"/>
                <w:sz w:val="18"/>
                <w:szCs w:val="18"/>
              </w:rPr>
              <w:t>nd Remote Medicine (ACRRM)</w:t>
            </w:r>
          </w:p>
        </w:tc>
        <w:tc>
          <w:tcPr>
            <w:tcW w:w="1004" w:type="pct"/>
            <w:tcBorders>
              <w:top w:val="single" w:sz="8" w:space="0" w:color="D9D9D9"/>
              <w:left w:val="nil"/>
              <w:bottom w:val="single" w:sz="8" w:space="0" w:color="D9D9D9"/>
              <w:right w:val="nil"/>
            </w:tcBorders>
            <w:shd w:val="clear" w:color="auto" w:fill="auto"/>
            <w:vAlign w:val="center"/>
          </w:tcPr>
          <w:p w14:paraId="1769C379" w14:textId="32319640"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2 June</w:t>
            </w:r>
          </w:p>
        </w:tc>
      </w:tr>
      <w:tr w:rsidR="007D1FE5" w:rsidRPr="007D1FE5" w14:paraId="6BE93600" w14:textId="77777777" w:rsidTr="00C236C6">
        <w:trPr>
          <w:trHeight w:val="42"/>
        </w:trPr>
        <w:tc>
          <w:tcPr>
            <w:tcW w:w="1016" w:type="pct"/>
            <w:tcBorders>
              <w:top w:val="single" w:sz="8" w:space="0" w:color="D9D9D9"/>
              <w:left w:val="nil"/>
              <w:bottom w:val="single" w:sz="8" w:space="0" w:color="D9D9D9"/>
              <w:right w:val="nil"/>
            </w:tcBorders>
            <w:shd w:val="clear" w:color="auto" w:fill="auto"/>
            <w:vAlign w:val="center"/>
          </w:tcPr>
          <w:p w14:paraId="2039EDFB" w14:textId="335DF3E3"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Targeted interview</w:t>
            </w:r>
          </w:p>
        </w:tc>
        <w:tc>
          <w:tcPr>
            <w:tcW w:w="2980" w:type="pct"/>
            <w:tcBorders>
              <w:top w:val="single" w:sz="8" w:space="0" w:color="D9D9D9"/>
              <w:left w:val="nil"/>
              <w:bottom w:val="single" w:sz="8" w:space="0" w:color="D9D9D9"/>
              <w:right w:val="nil"/>
            </w:tcBorders>
            <w:shd w:val="clear" w:color="auto" w:fill="auto"/>
            <w:vAlign w:val="center"/>
          </w:tcPr>
          <w:p w14:paraId="696B8A40" w14:textId="36620EC0"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Australian Digital Health Agency (ADHA)</w:t>
            </w:r>
          </w:p>
        </w:tc>
        <w:tc>
          <w:tcPr>
            <w:tcW w:w="1004" w:type="pct"/>
            <w:tcBorders>
              <w:top w:val="single" w:sz="8" w:space="0" w:color="D9D9D9"/>
              <w:left w:val="nil"/>
              <w:bottom w:val="single" w:sz="8" w:space="0" w:color="D9D9D9"/>
              <w:right w:val="nil"/>
            </w:tcBorders>
            <w:shd w:val="clear" w:color="auto" w:fill="auto"/>
            <w:vAlign w:val="center"/>
          </w:tcPr>
          <w:p w14:paraId="5DA3B1CF" w14:textId="6ADCB9EF"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2 June</w:t>
            </w:r>
          </w:p>
        </w:tc>
      </w:tr>
      <w:tr w:rsidR="007D1FE5" w:rsidRPr="007D1FE5" w14:paraId="6F641384" w14:textId="77777777" w:rsidTr="00C236C6">
        <w:trPr>
          <w:trHeight w:val="42"/>
        </w:trPr>
        <w:tc>
          <w:tcPr>
            <w:tcW w:w="1016" w:type="pct"/>
            <w:tcBorders>
              <w:top w:val="single" w:sz="8" w:space="0" w:color="D9D9D9"/>
              <w:left w:val="nil"/>
              <w:bottom w:val="single" w:sz="8" w:space="0" w:color="D9D9D9"/>
              <w:right w:val="nil"/>
            </w:tcBorders>
            <w:shd w:val="clear" w:color="auto" w:fill="auto"/>
            <w:vAlign w:val="center"/>
          </w:tcPr>
          <w:p w14:paraId="15D3D147" w14:textId="30D5EC07"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Targeted interview</w:t>
            </w:r>
          </w:p>
        </w:tc>
        <w:tc>
          <w:tcPr>
            <w:tcW w:w="2980" w:type="pct"/>
            <w:tcBorders>
              <w:top w:val="single" w:sz="8" w:space="0" w:color="D9D9D9"/>
              <w:left w:val="nil"/>
              <w:bottom w:val="single" w:sz="8" w:space="0" w:color="D9D9D9"/>
              <w:right w:val="nil"/>
            </w:tcBorders>
            <w:shd w:val="clear" w:color="auto" w:fill="auto"/>
            <w:vAlign w:val="center"/>
          </w:tcPr>
          <w:p w14:paraId="7A104CF5" w14:textId="19CC9918"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Australian Health Practitioner Regulation Agency (AHPRA)</w:t>
            </w:r>
          </w:p>
        </w:tc>
        <w:tc>
          <w:tcPr>
            <w:tcW w:w="1004" w:type="pct"/>
            <w:tcBorders>
              <w:top w:val="single" w:sz="8" w:space="0" w:color="D9D9D9"/>
              <w:left w:val="nil"/>
              <w:bottom w:val="single" w:sz="8" w:space="0" w:color="D9D9D9"/>
              <w:right w:val="nil"/>
            </w:tcBorders>
            <w:shd w:val="clear" w:color="auto" w:fill="auto"/>
            <w:vAlign w:val="center"/>
          </w:tcPr>
          <w:p w14:paraId="5E654DBC" w14:textId="5919EB4F"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2 June</w:t>
            </w:r>
          </w:p>
        </w:tc>
      </w:tr>
      <w:tr w:rsidR="007D1FE5" w:rsidRPr="007D1FE5" w14:paraId="22960AC1" w14:textId="77777777" w:rsidTr="00C236C6">
        <w:trPr>
          <w:trHeight w:val="42"/>
        </w:trPr>
        <w:tc>
          <w:tcPr>
            <w:tcW w:w="1016" w:type="pct"/>
            <w:tcBorders>
              <w:top w:val="single" w:sz="8" w:space="0" w:color="D9D9D9"/>
              <w:left w:val="nil"/>
              <w:bottom w:val="single" w:sz="8" w:space="0" w:color="D9D9D9"/>
              <w:right w:val="nil"/>
            </w:tcBorders>
            <w:shd w:val="clear" w:color="auto" w:fill="auto"/>
            <w:vAlign w:val="center"/>
          </w:tcPr>
          <w:p w14:paraId="5D77E06A" w14:textId="52651B60"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Targeted interview</w:t>
            </w:r>
          </w:p>
        </w:tc>
        <w:tc>
          <w:tcPr>
            <w:tcW w:w="2980" w:type="pct"/>
            <w:tcBorders>
              <w:top w:val="single" w:sz="8" w:space="0" w:color="D9D9D9"/>
              <w:left w:val="nil"/>
              <w:bottom w:val="single" w:sz="8" w:space="0" w:color="D9D9D9"/>
              <w:right w:val="nil"/>
            </w:tcBorders>
            <w:shd w:val="clear" w:color="auto" w:fill="auto"/>
            <w:vAlign w:val="center"/>
          </w:tcPr>
          <w:p w14:paraId="5AE9178D" w14:textId="0BD81E60"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Council on the Ageing (COTA)</w:t>
            </w:r>
          </w:p>
        </w:tc>
        <w:tc>
          <w:tcPr>
            <w:tcW w:w="1004" w:type="pct"/>
            <w:tcBorders>
              <w:top w:val="single" w:sz="8" w:space="0" w:color="D9D9D9"/>
              <w:left w:val="nil"/>
              <w:bottom w:val="single" w:sz="8" w:space="0" w:color="D9D9D9"/>
              <w:right w:val="nil"/>
            </w:tcBorders>
            <w:shd w:val="clear" w:color="auto" w:fill="auto"/>
            <w:vAlign w:val="center"/>
          </w:tcPr>
          <w:p w14:paraId="3B395C48" w14:textId="7D11FCF2"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2 June</w:t>
            </w:r>
          </w:p>
        </w:tc>
      </w:tr>
      <w:tr w:rsidR="007D1FE5" w:rsidRPr="007D1FE5" w14:paraId="6998C3BB" w14:textId="77777777" w:rsidTr="00C236C6">
        <w:trPr>
          <w:trHeight w:val="42"/>
        </w:trPr>
        <w:tc>
          <w:tcPr>
            <w:tcW w:w="1016" w:type="pct"/>
            <w:tcBorders>
              <w:top w:val="single" w:sz="8" w:space="0" w:color="D9D9D9"/>
              <w:left w:val="nil"/>
              <w:bottom w:val="single" w:sz="8" w:space="0" w:color="D9D9D9"/>
              <w:right w:val="nil"/>
            </w:tcBorders>
            <w:shd w:val="clear" w:color="auto" w:fill="auto"/>
            <w:vAlign w:val="center"/>
          </w:tcPr>
          <w:p w14:paraId="329390DC" w14:textId="3621D955"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Targeted interview</w:t>
            </w:r>
          </w:p>
        </w:tc>
        <w:tc>
          <w:tcPr>
            <w:tcW w:w="2980" w:type="pct"/>
            <w:tcBorders>
              <w:top w:val="single" w:sz="8" w:space="0" w:color="D9D9D9"/>
              <w:left w:val="nil"/>
              <w:bottom w:val="single" w:sz="8" w:space="0" w:color="D9D9D9"/>
              <w:right w:val="nil"/>
            </w:tcBorders>
            <w:shd w:val="clear" w:color="auto" w:fill="auto"/>
            <w:vAlign w:val="center"/>
          </w:tcPr>
          <w:p w14:paraId="62290942" w14:textId="4B9B70D0"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Dementia Australia</w:t>
            </w:r>
          </w:p>
        </w:tc>
        <w:tc>
          <w:tcPr>
            <w:tcW w:w="1004" w:type="pct"/>
            <w:tcBorders>
              <w:top w:val="single" w:sz="8" w:space="0" w:color="D9D9D9"/>
              <w:left w:val="nil"/>
              <w:bottom w:val="single" w:sz="8" w:space="0" w:color="D9D9D9"/>
              <w:right w:val="nil"/>
            </w:tcBorders>
            <w:shd w:val="clear" w:color="auto" w:fill="auto"/>
            <w:vAlign w:val="center"/>
          </w:tcPr>
          <w:p w14:paraId="5B5511CD" w14:textId="2543BAB9"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2 June</w:t>
            </w:r>
          </w:p>
        </w:tc>
      </w:tr>
      <w:tr w:rsidR="007D1FE5" w:rsidRPr="007D1FE5" w14:paraId="0B04BBD4" w14:textId="77777777" w:rsidTr="00C236C6">
        <w:trPr>
          <w:trHeight w:val="42"/>
        </w:trPr>
        <w:tc>
          <w:tcPr>
            <w:tcW w:w="1016" w:type="pct"/>
            <w:tcBorders>
              <w:top w:val="single" w:sz="8" w:space="0" w:color="D9D9D9"/>
              <w:left w:val="nil"/>
              <w:bottom w:val="single" w:sz="8" w:space="0" w:color="D9D9D9"/>
              <w:right w:val="nil"/>
            </w:tcBorders>
            <w:shd w:val="clear" w:color="auto" w:fill="auto"/>
            <w:vAlign w:val="center"/>
          </w:tcPr>
          <w:p w14:paraId="47AB3D36" w14:textId="325F18E9"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Targeted interview</w:t>
            </w:r>
          </w:p>
        </w:tc>
        <w:tc>
          <w:tcPr>
            <w:tcW w:w="2980" w:type="pct"/>
            <w:tcBorders>
              <w:top w:val="single" w:sz="8" w:space="0" w:color="D9D9D9"/>
              <w:left w:val="nil"/>
              <w:bottom w:val="single" w:sz="8" w:space="0" w:color="D9D9D9"/>
              <w:right w:val="nil"/>
            </w:tcBorders>
            <w:shd w:val="clear" w:color="auto" w:fill="auto"/>
            <w:vAlign w:val="center"/>
          </w:tcPr>
          <w:p w14:paraId="0F582C38" w14:textId="054B63FC"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Royal Australasian College of Physicians (RACP)</w:t>
            </w:r>
          </w:p>
        </w:tc>
        <w:tc>
          <w:tcPr>
            <w:tcW w:w="1004" w:type="pct"/>
            <w:tcBorders>
              <w:top w:val="single" w:sz="8" w:space="0" w:color="D9D9D9"/>
              <w:left w:val="nil"/>
              <w:bottom w:val="single" w:sz="8" w:space="0" w:color="D9D9D9"/>
              <w:right w:val="nil"/>
            </w:tcBorders>
            <w:shd w:val="clear" w:color="auto" w:fill="auto"/>
            <w:vAlign w:val="center"/>
          </w:tcPr>
          <w:p w14:paraId="44A50D87" w14:textId="38477D02"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2 June</w:t>
            </w:r>
          </w:p>
        </w:tc>
      </w:tr>
      <w:tr w:rsidR="007D1FE5" w:rsidRPr="007D1FE5" w14:paraId="66AEFDF0" w14:textId="77777777" w:rsidTr="00C236C6">
        <w:trPr>
          <w:trHeight w:val="42"/>
        </w:trPr>
        <w:tc>
          <w:tcPr>
            <w:tcW w:w="1016" w:type="pct"/>
            <w:tcBorders>
              <w:top w:val="single" w:sz="8" w:space="0" w:color="D9D9D9"/>
              <w:left w:val="nil"/>
              <w:bottom w:val="single" w:sz="8" w:space="0" w:color="D9D9D9"/>
              <w:right w:val="nil"/>
            </w:tcBorders>
            <w:shd w:val="clear" w:color="auto" w:fill="auto"/>
            <w:vAlign w:val="center"/>
          </w:tcPr>
          <w:p w14:paraId="12A8D843" w14:textId="10EAE549"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Jurisdictional workshop</w:t>
            </w:r>
            <w:r w:rsidR="00256FDF">
              <w:rPr>
                <w:color w:val="000000" w:themeColor="text1"/>
                <w:kern w:val="24"/>
                <w:sz w:val="18"/>
                <w:szCs w:val="18"/>
              </w:rPr>
              <w:t>s</w:t>
            </w:r>
          </w:p>
        </w:tc>
        <w:tc>
          <w:tcPr>
            <w:tcW w:w="2980" w:type="pct"/>
            <w:tcBorders>
              <w:top w:val="single" w:sz="8" w:space="0" w:color="D9D9D9"/>
              <w:left w:val="nil"/>
              <w:bottom w:val="single" w:sz="8" w:space="0" w:color="D9D9D9"/>
              <w:right w:val="nil"/>
            </w:tcBorders>
            <w:shd w:val="clear" w:color="auto" w:fill="auto"/>
            <w:vAlign w:val="center"/>
          </w:tcPr>
          <w:p w14:paraId="727D3AAF" w14:textId="1DA117B8"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Northern Territory</w:t>
            </w:r>
          </w:p>
        </w:tc>
        <w:tc>
          <w:tcPr>
            <w:tcW w:w="1004" w:type="pct"/>
            <w:tcBorders>
              <w:top w:val="single" w:sz="8" w:space="0" w:color="D9D9D9"/>
              <w:left w:val="nil"/>
              <w:bottom w:val="single" w:sz="8" w:space="0" w:color="D9D9D9"/>
              <w:right w:val="nil"/>
            </w:tcBorders>
            <w:shd w:val="clear" w:color="auto" w:fill="auto"/>
            <w:vAlign w:val="center"/>
          </w:tcPr>
          <w:p w14:paraId="49413C31" w14:textId="4817BA45"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5-6 June</w:t>
            </w:r>
          </w:p>
        </w:tc>
      </w:tr>
      <w:tr w:rsidR="007D1FE5" w:rsidRPr="007D1FE5" w14:paraId="07596321" w14:textId="77777777" w:rsidTr="00C236C6">
        <w:trPr>
          <w:trHeight w:val="42"/>
        </w:trPr>
        <w:tc>
          <w:tcPr>
            <w:tcW w:w="1016" w:type="pct"/>
            <w:tcBorders>
              <w:top w:val="single" w:sz="8" w:space="0" w:color="D9D9D9"/>
              <w:left w:val="nil"/>
              <w:bottom w:val="single" w:sz="8" w:space="0" w:color="D9D9D9"/>
              <w:right w:val="nil"/>
            </w:tcBorders>
            <w:shd w:val="clear" w:color="auto" w:fill="auto"/>
            <w:vAlign w:val="center"/>
          </w:tcPr>
          <w:p w14:paraId="08CF4B8E" w14:textId="3D339942"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Jurisdictional workshop</w:t>
            </w:r>
            <w:r w:rsidR="00256FDF">
              <w:rPr>
                <w:color w:val="000000" w:themeColor="text1"/>
                <w:kern w:val="24"/>
                <w:sz w:val="18"/>
                <w:szCs w:val="18"/>
              </w:rPr>
              <w:t>s</w:t>
            </w:r>
          </w:p>
        </w:tc>
        <w:tc>
          <w:tcPr>
            <w:tcW w:w="2980" w:type="pct"/>
            <w:tcBorders>
              <w:top w:val="single" w:sz="8" w:space="0" w:color="D9D9D9"/>
              <w:left w:val="nil"/>
              <w:bottom w:val="single" w:sz="8" w:space="0" w:color="D9D9D9"/>
              <w:right w:val="nil"/>
            </w:tcBorders>
            <w:shd w:val="clear" w:color="auto" w:fill="auto"/>
            <w:vAlign w:val="center"/>
          </w:tcPr>
          <w:p w14:paraId="13923FC2" w14:textId="4A417DD9"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Tasmania</w:t>
            </w:r>
          </w:p>
        </w:tc>
        <w:tc>
          <w:tcPr>
            <w:tcW w:w="1004" w:type="pct"/>
            <w:tcBorders>
              <w:top w:val="single" w:sz="8" w:space="0" w:color="D9D9D9"/>
              <w:left w:val="nil"/>
              <w:bottom w:val="single" w:sz="8" w:space="0" w:color="D9D9D9"/>
              <w:right w:val="nil"/>
            </w:tcBorders>
            <w:shd w:val="clear" w:color="auto" w:fill="auto"/>
            <w:vAlign w:val="center"/>
          </w:tcPr>
          <w:p w14:paraId="6CA4BFA7" w14:textId="4D85C5B9"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13-14 June</w:t>
            </w:r>
          </w:p>
        </w:tc>
      </w:tr>
      <w:tr w:rsidR="007D1FE5" w:rsidRPr="007D1FE5" w14:paraId="6104E639" w14:textId="77777777" w:rsidTr="00256FDF">
        <w:trPr>
          <w:trHeight w:val="18"/>
        </w:trPr>
        <w:tc>
          <w:tcPr>
            <w:tcW w:w="1016" w:type="pct"/>
            <w:tcBorders>
              <w:top w:val="single" w:sz="8" w:space="0" w:color="D9D9D9"/>
              <w:left w:val="nil"/>
              <w:bottom w:val="single" w:sz="8" w:space="0" w:color="D9D9D9"/>
              <w:right w:val="nil"/>
            </w:tcBorders>
            <w:shd w:val="clear" w:color="auto" w:fill="auto"/>
            <w:vAlign w:val="center"/>
          </w:tcPr>
          <w:p w14:paraId="4A03A2C6" w14:textId="230548EE"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Jurisdictional workshop</w:t>
            </w:r>
            <w:r w:rsidR="00256FDF">
              <w:rPr>
                <w:color w:val="000000" w:themeColor="text1"/>
                <w:kern w:val="24"/>
                <w:sz w:val="18"/>
                <w:szCs w:val="18"/>
              </w:rPr>
              <w:t>s</w:t>
            </w:r>
          </w:p>
        </w:tc>
        <w:tc>
          <w:tcPr>
            <w:tcW w:w="2980" w:type="pct"/>
            <w:tcBorders>
              <w:top w:val="single" w:sz="8" w:space="0" w:color="D9D9D9"/>
              <w:left w:val="nil"/>
              <w:bottom w:val="single" w:sz="8" w:space="0" w:color="D9D9D9"/>
              <w:right w:val="nil"/>
            </w:tcBorders>
            <w:shd w:val="clear" w:color="auto" w:fill="auto"/>
            <w:vAlign w:val="center"/>
          </w:tcPr>
          <w:p w14:paraId="088864CB" w14:textId="1A758DC4"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Queensland</w:t>
            </w:r>
          </w:p>
        </w:tc>
        <w:tc>
          <w:tcPr>
            <w:tcW w:w="1004" w:type="pct"/>
            <w:tcBorders>
              <w:top w:val="single" w:sz="8" w:space="0" w:color="D9D9D9"/>
              <w:left w:val="nil"/>
              <w:bottom w:val="single" w:sz="8" w:space="0" w:color="D9D9D9"/>
              <w:right w:val="nil"/>
            </w:tcBorders>
            <w:shd w:val="clear" w:color="auto" w:fill="auto"/>
            <w:vAlign w:val="center"/>
          </w:tcPr>
          <w:p w14:paraId="738F7192" w14:textId="2ACC5CB0"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20-21 June</w:t>
            </w:r>
          </w:p>
        </w:tc>
      </w:tr>
      <w:tr w:rsidR="007D1FE5" w:rsidRPr="007D1FE5" w14:paraId="3A27BF9D" w14:textId="77777777" w:rsidTr="00C236C6">
        <w:trPr>
          <w:trHeight w:val="42"/>
        </w:trPr>
        <w:tc>
          <w:tcPr>
            <w:tcW w:w="1016" w:type="pct"/>
            <w:tcBorders>
              <w:top w:val="single" w:sz="8" w:space="0" w:color="D9D9D9"/>
              <w:left w:val="nil"/>
              <w:bottom w:val="single" w:sz="8" w:space="0" w:color="D9D9D9"/>
              <w:right w:val="nil"/>
            </w:tcBorders>
            <w:shd w:val="clear" w:color="auto" w:fill="auto"/>
            <w:vAlign w:val="center"/>
          </w:tcPr>
          <w:p w14:paraId="024F93B9" w14:textId="7D0CA686"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Targeted interview</w:t>
            </w:r>
          </w:p>
        </w:tc>
        <w:tc>
          <w:tcPr>
            <w:tcW w:w="2980" w:type="pct"/>
            <w:tcBorders>
              <w:top w:val="single" w:sz="8" w:space="0" w:color="D9D9D9"/>
              <w:left w:val="nil"/>
              <w:bottom w:val="single" w:sz="8" w:space="0" w:color="D9D9D9"/>
              <w:right w:val="nil"/>
            </w:tcBorders>
            <w:shd w:val="clear" w:color="auto" w:fill="auto"/>
            <w:vAlign w:val="center"/>
          </w:tcPr>
          <w:p w14:paraId="41E2DD0D" w14:textId="695D53AB"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Society of Hospital Pharmacists Australia (SHPA)</w:t>
            </w:r>
          </w:p>
        </w:tc>
        <w:tc>
          <w:tcPr>
            <w:tcW w:w="1004" w:type="pct"/>
            <w:tcBorders>
              <w:top w:val="single" w:sz="8" w:space="0" w:color="D9D9D9"/>
              <w:left w:val="nil"/>
              <w:bottom w:val="single" w:sz="8" w:space="0" w:color="D9D9D9"/>
              <w:right w:val="nil"/>
            </w:tcBorders>
            <w:shd w:val="clear" w:color="auto" w:fill="auto"/>
            <w:vAlign w:val="center"/>
          </w:tcPr>
          <w:p w14:paraId="37470215" w14:textId="3C5FC407" w:rsidR="007D1FE5" w:rsidRPr="00C236C6" w:rsidRDefault="007D1FE5" w:rsidP="007D1FE5">
            <w:pPr>
              <w:pStyle w:val="TabletextLeft"/>
              <w:spacing w:line="240" w:lineRule="auto"/>
              <w:rPr>
                <w:color w:val="000000" w:themeColor="text1"/>
                <w:sz w:val="18"/>
                <w:szCs w:val="18"/>
              </w:rPr>
            </w:pPr>
            <w:r w:rsidRPr="00C236C6">
              <w:rPr>
                <w:color w:val="000000" w:themeColor="text1"/>
                <w:kern w:val="24"/>
                <w:sz w:val="18"/>
                <w:szCs w:val="18"/>
              </w:rPr>
              <w:t>11 Jul</w:t>
            </w:r>
          </w:p>
        </w:tc>
      </w:tr>
      <w:tr w:rsidR="00CE1998" w:rsidRPr="007D1FE5" w14:paraId="40056C99" w14:textId="77777777" w:rsidTr="00C236C6">
        <w:trPr>
          <w:trHeight w:val="42"/>
        </w:trPr>
        <w:tc>
          <w:tcPr>
            <w:tcW w:w="1016" w:type="pct"/>
            <w:tcBorders>
              <w:top w:val="single" w:sz="8" w:space="0" w:color="D9D9D9"/>
              <w:left w:val="nil"/>
              <w:bottom w:val="single" w:sz="8" w:space="0" w:color="D9D9D9"/>
              <w:right w:val="nil"/>
            </w:tcBorders>
            <w:shd w:val="clear" w:color="auto" w:fill="auto"/>
            <w:vAlign w:val="center"/>
          </w:tcPr>
          <w:p w14:paraId="52081C9F" w14:textId="1972D549" w:rsidR="00CE1998" w:rsidRPr="00C236C6" w:rsidRDefault="00CE1998" w:rsidP="007D1FE5">
            <w:pPr>
              <w:pStyle w:val="TabletextLeft"/>
              <w:spacing w:line="240" w:lineRule="auto"/>
              <w:rPr>
                <w:color w:val="000000" w:themeColor="text1"/>
                <w:kern w:val="24"/>
                <w:sz w:val="18"/>
                <w:szCs w:val="18"/>
              </w:rPr>
            </w:pPr>
            <w:r>
              <w:rPr>
                <w:color w:val="000000" w:themeColor="text1"/>
                <w:kern w:val="24"/>
                <w:sz w:val="18"/>
                <w:szCs w:val="18"/>
              </w:rPr>
              <w:t>Targeted interview</w:t>
            </w:r>
          </w:p>
        </w:tc>
        <w:tc>
          <w:tcPr>
            <w:tcW w:w="2980" w:type="pct"/>
            <w:tcBorders>
              <w:top w:val="single" w:sz="8" w:space="0" w:color="D9D9D9"/>
              <w:left w:val="nil"/>
              <w:bottom w:val="single" w:sz="8" w:space="0" w:color="D9D9D9"/>
              <w:right w:val="nil"/>
            </w:tcBorders>
            <w:shd w:val="clear" w:color="auto" w:fill="auto"/>
            <w:vAlign w:val="center"/>
          </w:tcPr>
          <w:p w14:paraId="1C3ED183" w14:textId="52643A67" w:rsidR="00CE1998" w:rsidRPr="00C236C6" w:rsidRDefault="00CE1998" w:rsidP="007D1FE5">
            <w:pPr>
              <w:pStyle w:val="TabletextLeft"/>
              <w:spacing w:line="240" w:lineRule="auto"/>
              <w:rPr>
                <w:color w:val="000000" w:themeColor="text1"/>
                <w:kern w:val="24"/>
                <w:sz w:val="18"/>
                <w:szCs w:val="18"/>
              </w:rPr>
            </w:pPr>
            <w:r>
              <w:rPr>
                <w:color w:val="000000" w:themeColor="text1"/>
                <w:kern w:val="24"/>
                <w:sz w:val="18"/>
                <w:szCs w:val="18"/>
              </w:rPr>
              <w:t xml:space="preserve">HTA </w:t>
            </w:r>
            <w:r w:rsidR="000B3316">
              <w:rPr>
                <w:color w:val="000000" w:themeColor="text1"/>
                <w:kern w:val="24"/>
                <w:sz w:val="18"/>
                <w:szCs w:val="18"/>
              </w:rPr>
              <w:t>Review Reference Committee</w:t>
            </w:r>
          </w:p>
        </w:tc>
        <w:tc>
          <w:tcPr>
            <w:tcW w:w="1004" w:type="pct"/>
            <w:tcBorders>
              <w:top w:val="single" w:sz="8" w:space="0" w:color="D9D9D9"/>
              <w:left w:val="nil"/>
              <w:bottom w:val="single" w:sz="8" w:space="0" w:color="D9D9D9"/>
              <w:right w:val="nil"/>
            </w:tcBorders>
            <w:shd w:val="clear" w:color="auto" w:fill="auto"/>
            <w:vAlign w:val="center"/>
          </w:tcPr>
          <w:p w14:paraId="30F84896" w14:textId="780D2183" w:rsidR="00CE1998" w:rsidRPr="00C236C6" w:rsidRDefault="001615C0" w:rsidP="007D1FE5">
            <w:pPr>
              <w:pStyle w:val="TabletextLeft"/>
              <w:spacing w:line="240" w:lineRule="auto"/>
              <w:rPr>
                <w:color w:val="000000" w:themeColor="text1"/>
                <w:kern w:val="24"/>
                <w:sz w:val="18"/>
                <w:szCs w:val="18"/>
              </w:rPr>
            </w:pPr>
            <w:r>
              <w:rPr>
                <w:color w:val="000000" w:themeColor="text1"/>
                <w:kern w:val="24"/>
                <w:sz w:val="18"/>
                <w:szCs w:val="18"/>
              </w:rPr>
              <w:t>7 September</w:t>
            </w:r>
          </w:p>
        </w:tc>
      </w:tr>
    </w:tbl>
    <w:p w14:paraId="5A9CC631" w14:textId="77777777" w:rsidR="00982F71" w:rsidRDefault="00982F71" w:rsidP="00982F71">
      <w:bookmarkStart w:id="394" w:name="_Ref141783931"/>
      <w:bookmarkStart w:id="395" w:name="_Toc143291707"/>
    </w:p>
    <w:p w14:paraId="116A2143" w14:textId="2A8C9AF0" w:rsidR="00E95232" w:rsidRDefault="00DF2E27" w:rsidP="0057185D">
      <w:pPr>
        <w:pStyle w:val="Appendixheading"/>
      </w:pPr>
      <w:bookmarkStart w:id="396" w:name="_Ref148605836"/>
      <w:bookmarkStart w:id="397" w:name="_Toc148968359"/>
      <w:r>
        <w:t>Written submissions received</w:t>
      </w:r>
      <w:bookmarkEnd w:id="394"/>
      <w:bookmarkEnd w:id="395"/>
      <w:bookmarkEnd w:id="396"/>
      <w:bookmarkEnd w:id="397"/>
    </w:p>
    <w:p w14:paraId="0453EA4E" w14:textId="096D7C74" w:rsidR="00AD0F36" w:rsidRPr="00A97309" w:rsidRDefault="00AD0F36" w:rsidP="00C2024B">
      <w:pPr>
        <w:pStyle w:val="Caption"/>
      </w:pPr>
      <w:bookmarkStart w:id="398" w:name="_Toc148968373"/>
      <w:r w:rsidRPr="00A97309">
        <w:t xml:space="preserve">Table </w:t>
      </w:r>
      <w:r>
        <w:fldChar w:fldCharType="begin"/>
      </w:r>
      <w:r>
        <w:instrText xml:space="preserve"> SEQ Table \* ARABIC </w:instrText>
      </w:r>
      <w:r>
        <w:fldChar w:fldCharType="separate"/>
      </w:r>
      <w:r w:rsidR="003F5D51">
        <w:rPr>
          <w:noProof/>
        </w:rPr>
        <w:t>9</w:t>
      </w:r>
      <w:r>
        <w:rPr>
          <w:noProof/>
        </w:rPr>
        <w:fldChar w:fldCharType="end"/>
      </w:r>
      <w:r w:rsidRPr="00A97309">
        <w:t xml:space="preserve">: </w:t>
      </w:r>
      <w:r>
        <w:t>Written submissions received</w:t>
      </w:r>
      <w:bookmarkEnd w:id="398"/>
    </w:p>
    <w:tbl>
      <w:tblPr>
        <w:tblStyle w:val="Deloittetable"/>
        <w:tblW w:w="5000" w:type="pct"/>
        <w:tblLook w:val="04A0" w:firstRow="1" w:lastRow="0" w:firstColumn="1" w:lastColumn="0" w:noHBand="0" w:noVBand="1"/>
      </w:tblPr>
      <w:tblGrid>
        <w:gridCol w:w="427"/>
        <w:gridCol w:w="4806"/>
        <w:gridCol w:w="437"/>
        <w:gridCol w:w="4796"/>
      </w:tblGrid>
      <w:tr w:rsidR="00B25012" w:rsidRPr="00B25012" w14:paraId="52454E81" w14:textId="77777777" w:rsidTr="00CC207B">
        <w:trPr>
          <w:cnfStyle w:val="100000000000" w:firstRow="1" w:lastRow="0" w:firstColumn="0" w:lastColumn="0" w:oddVBand="0" w:evenVBand="0" w:oddHBand="0" w:evenHBand="0" w:firstRowFirstColumn="0" w:firstRowLastColumn="0" w:lastRowFirstColumn="0" w:lastRowLastColumn="0"/>
          <w:tblHeader/>
        </w:trPr>
        <w:tc>
          <w:tcPr>
            <w:tcW w:w="204" w:type="pct"/>
            <w:tcBorders>
              <w:top w:val="single" w:sz="24" w:space="0" w:color="0097A9" w:themeColor="accent5"/>
              <w:bottom w:val="single" w:sz="8" w:space="0" w:color="D9D9D9"/>
            </w:tcBorders>
            <w:shd w:val="clear" w:color="auto" w:fill="auto"/>
          </w:tcPr>
          <w:p w14:paraId="22505C26" w14:textId="15A7BA57" w:rsidR="005760EA" w:rsidRPr="00B25012" w:rsidRDefault="005760EA" w:rsidP="00A47CBC">
            <w:pPr>
              <w:pStyle w:val="TableHeadingLeft"/>
              <w:spacing w:line="216" w:lineRule="auto"/>
              <w:rPr>
                <w:color w:val="00707E" w:themeColor="accent5" w:themeShade="BF"/>
                <w:sz w:val="18"/>
                <w:szCs w:val="18"/>
              </w:rPr>
            </w:pPr>
            <w:r w:rsidRPr="00B25012">
              <w:rPr>
                <w:color w:val="00707E" w:themeColor="accent5" w:themeShade="BF"/>
                <w:sz w:val="18"/>
                <w:szCs w:val="18"/>
              </w:rPr>
              <w:t>No.</w:t>
            </w:r>
          </w:p>
        </w:tc>
        <w:tc>
          <w:tcPr>
            <w:tcW w:w="2296" w:type="pct"/>
            <w:tcBorders>
              <w:top w:val="single" w:sz="24" w:space="0" w:color="0097A9" w:themeColor="accent5"/>
              <w:bottom w:val="single" w:sz="8" w:space="0" w:color="D9D9D9"/>
            </w:tcBorders>
            <w:shd w:val="clear" w:color="auto" w:fill="auto"/>
          </w:tcPr>
          <w:p w14:paraId="56F0CD90" w14:textId="542CF095" w:rsidR="005760EA" w:rsidRPr="00B25012" w:rsidRDefault="005760EA" w:rsidP="00A47CBC">
            <w:pPr>
              <w:pStyle w:val="TableHeadingLeft"/>
              <w:spacing w:line="216" w:lineRule="auto"/>
              <w:rPr>
                <w:color w:val="00707E" w:themeColor="accent5" w:themeShade="BF"/>
                <w:sz w:val="18"/>
                <w:szCs w:val="18"/>
              </w:rPr>
            </w:pPr>
            <w:r w:rsidRPr="00B25012">
              <w:rPr>
                <w:color w:val="00707E" w:themeColor="accent5" w:themeShade="BF"/>
                <w:sz w:val="18"/>
                <w:szCs w:val="18"/>
              </w:rPr>
              <w:t xml:space="preserve">Organisation </w:t>
            </w:r>
          </w:p>
        </w:tc>
        <w:tc>
          <w:tcPr>
            <w:tcW w:w="209" w:type="pct"/>
            <w:tcBorders>
              <w:top w:val="single" w:sz="24" w:space="0" w:color="0097A9" w:themeColor="accent5"/>
              <w:bottom w:val="single" w:sz="8" w:space="0" w:color="D9D9D9"/>
            </w:tcBorders>
            <w:shd w:val="clear" w:color="auto" w:fill="auto"/>
          </w:tcPr>
          <w:p w14:paraId="3010228E" w14:textId="009422E5" w:rsidR="005760EA" w:rsidRPr="00B25012" w:rsidRDefault="005760EA" w:rsidP="00A47CBC">
            <w:pPr>
              <w:pStyle w:val="TableHeadingLeft"/>
              <w:spacing w:line="216" w:lineRule="auto"/>
              <w:rPr>
                <w:color w:val="00707E" w:themeColor="accent5" w:themeShade="BF"/>
                <w:sz w:val="18"/>
                <w:szCs w:val="18"/>
              </w:rPr>
            </w:pPr>
            <w:r w:rsidRPr="00B25012">
              <w:rPr>
                <w:color w:val="00707E" w:themeColor="accent5" w:themeShade="BF"/>
                <w:sz w:val="18"/>
                <w:szCs w:val="18"/>
              </w:rPr>
              <w:t>No.</w:t>
            </w:r>
          </w:p>
        </w:tc>
        <w:tc>
          <w:tcPr>
            <w:tcW w:w="2291" w:type="pct"/>
            <w:tcBorders>
              <w:top w:val="single" w:sz="24" w:space="0" w:color="0097A9" w:themeColor="accent5"/>
              <w:bottom w:val="single" w:sz="8" w:space="0" w:color="D9D9D9"/>
            </w:tcBorders>
            <w:shd w:val="clear" w:color="auto" w:fill="auto"/>
          </w:tcPr>
          <w:p w14:paraId="7FEBDEEA" w14:textId="4E0B5839" w:rsidR="005760EA" w:rsidRPr="00B25012" w:rsidRDefault="005760EA" w:rsidP="00A47CBC">
            <w:pPr>
              <w:pStyle w:val="TableHeadingLeft"/>
              <w:spacing w:line="216" w:lineRule="auto"/>
              <w:rPr>
                <w:color w:val="00707E" w:themeColor="accent5" w:themeShade="BF"/>
                <w:sz w:val="18"/>
                <w:szCs w:val="18"/>
              </w:rPr>
            </w:pPr>
            <w:r w:rsidRPr="00B25012">
              <w:rPr>
                <w:color w:val="00707E" w:themeColor="accent5" w:themeShade="BF"/>
                <w:sz w:val="18"/>
                <w:szCs w:val="18"/>
              </w:rPr>
              <w:t xml:space="preserve">Organisation </w:t>
            </w:r>
          </w:p>
        </w:tc>
      </w:tr>
      <w:tr w:rsidR="000F7771" w:rsidRPr="00CC207B" w14:paraId="5F0D9463" w14:textId="77777777" w:rsidTr="00CC207B">
        <w:trPr>
          <w:trHeight w:val="42"/>
        </w:trPr>
        <w:tc>
          <w:tcPr>
            <w:tcW w:w="204" w:type="pct"/>
            <w:tcBorders>
              <w:top w:val="single" w:sz="8" w:space="0" w:color="D9D9D9"/>
              <w:left w:val="single" w:sz="8" w:space="0" w:color="FFFFFF"/>
              <w:bottom w:val="single" w:sz="8" w:space="0" w:color="D9D9D9"/>
              <w:right w:val="single" w:sz="8" w:space="0" w:color="FFFFFF"/>
            </w:tcBorders>
            <w:shd w:val="clear" w:color="auto" w:fill="auto"/>
          </w:tcPr>
          <w:p w14:paraId="47E196E9" w14:textId="5F2D0420" w:rsidR="000F7771" w:rsidRPr="00C236C6" w:rsidRDefault="000F7771" w:rsidP="000F7771">
            <w:pPr>
              <w:pStyle w:val="TabletextLeft"/>
              <w:spacing w:line="216" w:lineRule="auto"/>
              <w:rPr>
                <w:sz w:val="18"/>
                <w:szCs w:val="18"/>
              </w:rPr>
            </w:pPr>
            <w:r w:rsidRPr="00C236C6">
              <w:rPr>
                <w:color w:val="000000" w:themeColor="text1"/>
                <w:kern w:val="24"/>
                <w:sz w:val="18"/>
                <w:szCs w:val="18"/>
              </w:rPr>
              <w:t>1</w:t>
            </w:r>
          </w:p>
        </w:tc>
        <w:tc>
          <w:tcPr>
            <w:tcW w:w="2296" w:type="pct"/>
            <w:tcBorders>
              <w:top w:val="single" w:sz="8" w:space="0" w:color="D9D9D9"/>
              <w:left w:val="single" w:sz="8" w:space="0" w:color="FFFFFF"/>
              <w:bottom w:val="single" w:sz="8" w:space="0" w:color="D9D9D9"/>
              <w:right w:val="single" w:sz="8" w:space="0" w:color="D9D9D9"/>
            </w:tcBorders>
            <w:shd w:val="clear" w:color="auto" w:fill="auto"/>
          </w:tcPr>
          <w:p w14:paraId="6A1C3EFE" w14:textId="75D31922" w:rsidR="000F7771" w:rsidRPr="00C236C6" w:rsidRDefault="000F7771" w:rsidP="000F7771">
            <w:pPr>
              <w:pStyle w:val="TabletextLeft"/>
              <w:spacing w:line="216" w:lineRule="auto"/>
              <w:rPr>
                <w:sz w:val="18"/>
                <w:szCs w:val="18"/>
              </w:rPr>
            </w:pPr>
            <w:r w:rsidRPr="00C236C6">
              <w:rPr>
                <w:color w:val="000000"/>
                <w:kern w:val="24"/>
                <w:sz w:val="18"/>
                <w:szCs w:val="18"/>
              </w:rPr>
              <w:t>ACT Health Directorate</w:t>
            </w:r>
          </w:p>
        </w:tc>
        <w:tc>
          <w:tcPr>
            <w:tcW w:w="209" w:type="pct"/>
            <w:tcBorders>
              <w:top w:val="single" w:sz="8" w:space="0" w:color="D9D9D9"/>
              <w:left w:val="single" w:sz="8" w:space="0" w:color="D9D9D9"/>
              <w:bottom w:val="single" w:sz="8" w:space="0" w:color="D9D9D9"/>
              <w:right w:val="single" w:sz="8" w:space="0" w:color="FFFFFF"/>
            </w:tcBorders>
            <w:shd w:val="clear" w:color="auto" w:fill="auto"/>
          </w:tcPr>
          <w:p w14:paraId="3F28C73C" w14:textId="7D68C341" w:rsidR="000F7771" w:rsidRPr="00C236C6" w:rsidRDefault="000F7771" w:rsidP="000F7771">
            <w:pPr>
              <w:pStyle w:val="TabletextLeft"/>
              <w:spacing w:line="216" w:lineRule="auto"/>
              <w:rPr>
                <w:sz w:val="18"/>
                <w:szCs w:val="18"/>
              </w:rPr>
            </w:pPr>
            <w:r w:rsidRPr="00C236C6">
              <w:rPr>
                <w:color w:val="000000" w:themeColor="dark1"/>
                <w:kern w:val="24"/>
                <w:sz w:val="18"/>
                <w:szCs w:val="18"/>
              </w:rPr>
              <w:t>34</w:t>
            </w:r>
          </w:p>
        </w:tc>
        <w:tc>
          <w:tcPr>
            <w:tcW w:w="2291" w:type="pct"/>
            <w:tcBorders>
              <w:top w:val="single" w:sz="8" w:space="0" w:color="D9D9D9"/>
              <w:left w:val="single" w:sz="8" w:space="0" w:color="FFFFFF"/>
              <w:bottom w:val="single" w:sz="8" w:space="0" w:color="D9D9D9"/>
              <w:right w:val="single" w:sz="8" w:space="0" w:color="FFFFFF"/>
            </w:tcBorders>
            <w:shd w:val="clear" w:color="auto" w:fill="auto"/>
          </w:tcPr>
          <w:p w14:paraId="34673FA3" w14:textId="3717A095" w:rsidR="000F7771" w:rsidRPr="00C236C6" w:rsidRDefault="000F7771" w:rsidP="000F7771">
            <w:pPr>
              <w:pStyle w:val="TabletextLeft"/>
              <w:spacing w:line="216" w:lineRule="auto"/>
              <w:rPr>
                <w:sz w:val="18"/>
                <w:szCs w:val="18"/>
              </w:rPr>
            </w:pPr>
            <w:r w:rsidRPr="00C236C6">
              <w:rPr>
                <w:color w:val="000000"/>
                <w:kern w:val="24"/>
                <w:sz w:val="18"/>
                <w:szCs w:val="18"/>
              </w:rPr>
              <w:t xml:space="preserve">Medicines Australia </w:t>
            </w:r>
          </w:p>
        </w:tc>
      </w:tr>
      <w:tr w:rsidR="000F7771" w:rsidRPr="00CC207B" w14:paraId="489110B0" w14:textId="77777777" w:rsidTr="00CC207B">
        <w:trPr>
          <w:trHeight w:val="42"/>
        </w:trPr>
        <w:tc>
          <w:tcPr>
            <w:tcW w:w="204" w:type="pct"/>
            <w:tcBorders>
              <w:top w:val="single" w:sz="8" w:space="0" w:color="D9D9D9"/>
              <w:left w:val="single" w:sz="8" w:space="0" w:color="FFFFFF"/>
              <w:bottom w:val="single" w:sz="8" w:space="0" w:color="D9D9D9"/>
              <w:right w:val="single" w:sz="8" w:space="0" w:color="FFFFFF"/>
            </w:tcBorders>
            <w:shd w:val="clear" w:color="auto" w:fill="auto"/>
          </w:tcPr>
          <w:p w14:paraId="27028065" w14:textId="3E782503" w:rsidR="000F7771" w:rsidRPr="00C236C6" w:rsidRDefault="000F7771" w:rsidP="000F7771">
            <w:pPr>
              <w:pStyle w:val="TabletextLeft"/>
              <w:spacing w:line="216" w:lineRule="auto"/>
              <w:rPr>
                <w:sz w:val="18"/>
                <w:szCs w:val="18"/>
              </w:rPr>
            </w:pPr>
            <w:r w:rsidRPr="00C236C6">
              <w:rPr>
                <w:color w:val="000000" w:themeColor="dark1"/>
                <w:kern w:val="24"/>
                <w:sz w:val="18"/>
                <w:szCs w:val="18"/>
              </w:rPr>
              <w:t>2</w:t>
            </w:r>
          </w:p>
        </w:tc>
        <w:tc>
          <w:tcPr>
            <w:tcW w:w="2296" w:type="pct"/>
            <w:tcBorders>
              <w:top w:val="single" w:sz="8" w:space="0" w:color="D9D9D9"/>
              <w:left w:val="single" w:sz="8" w:space="0" w:color="FFFFFF"/>
              <w:bottom w:val="single" w:sz="8" w:space="0" w:color="D9D9D9"/>
              <w:right w:val="single" w:sz="8" w:space="0" w:color="D9D9D9"/>
            </w:tcBorders>
            <w:shd w:val="clear" w:color="auto" w:fill="auto"/>
          </w:tcPr>
          <w:p w14:paraId="0FE73171" w14:textId="2230C114" w:rsidR="000F7771" w:rsidRPr="00C236C6" w:rsidRDefault="000F7771" w:rsidP="000F7771">
            <w:pPr>
              <w:pStyle w:val="TabletextLeft"/>
              <w:spacing w:line="216" w:lineRule="auto"/>
              <w:rPr>
                <w:sz w:val="18"/>
                <w:szCs w:val="18"/>
              </w:rPr>
            </w:pPr>
            <w:r w:rsidRPr="00C236C6">
              <w:rPr>
                <w:color w:val="000000"/>
                <w:kern w:val="24"/>
                <w:sz w:val="18"/>
                <w:szCs w:val="18"/>
              </w:rPr>
              <w:t>Aged Care Council of Elders</w:t>
            </w:r>
          </w:p>
        </w:tc>
        <w:tc>
          <w:tcPr>
            <w:tcW w:w="209" w:type="pct"/>
            <w:tcBorders>
              <w:top w:val="single" w:sz="8" w:space="0" w:color="D9D9D9"/>
              <w:left w:val="single" w:sz="8" w:space="0" w:color="D9D9D9"/>
              <w:bottom w:val="single" w:sz="8" w:space="0" w:color="D9D9D9"/>
              <w:right w:val="single" w:sz="8" w:space="0" w:color="FFFFFF"/>
            </w:tcBorders>
            <w:shd w:val="clear" w:color="auto" w:fill="auto"/>
          </w:tcPr>
          <w:p w14:paraId="4801D2A1" w14:textId="2078334C" w:rsidR="000F7771" w:rsidRPr="00C236C6" w:rsidRDefault="000F7771" w:rsidP="000F7771">
            <w:pPr>
              <w:pStyle w:val="TabletextLeft"/>
              <w:spacing w:line="216" w:lineRule="auto"/>
              <w:rPr>
                <w:sz w:val="18"/>
                <w:szCs w:val="18"/>
              </w:rPr>
            </w:pPr>
            <w:r w:rsidRPr="00C236C6">
              <w:rPr>
                <w:color w:val="000000" w:themeColor="dark1"/>
                <w:kern w:val="24"/>
                <w:sz w:val="18"/>
                <w:szCs w:val="18"/>
              </w:rPr>
              <w:t>35</w:t>
            </w:r>
          </w:p>
        </w:tc>
        <w:tc>
          <w:tcPr>
            <w:tcW w:w="2291" w:type="pct"/>
            <w:tcBorders>
              <w:top w:val="single" w:sz="8" w:space="0" w:color="D9D9D9"/>
              <w:left w:val="single" w:sz="8" w:space="0" w:color="FFFFFF"/>
              <w:bottom w:val="single" w:sz="8" w:space="0" w:color="D9D9D9"/>
              <w:right w:val="single" w:sz="8" w:space="0" w:color="FFFFFF"/>
            </w:tcBorders>
            <w:shd w:val="clear" w:color="auto" w:fill="auto"/>
          </w:tcPr>
          <w:p w14:paraId="260461C8" w14:textId="3E54A2CE" w:rsidR="000F7771" w:rsidRPr="00C236C6" w:rsidRDefault="000F7771" w:rsidP="000F7771">
            <w:pPr>
              <w:pStyle w:val="TabletextLeft"/>
              <w:spacing w:line="216" w:lineRule="auto"/>
              <w:rPr>
                <w:sz w:val="18"/>
                <w:szCs w:val="18"/>
              </w:rPr>
            </w:pPr>
            <w:r w:rsidRPr="00C236C6">
              <w:rPr>
                <w:color w:val="000000"/>
                <w:kern w:val="24"/>
                <w:sz w:val="18"/>
                <w:szCs w:val="18"/>
              </w:rPr>
              <w:t>Mental Health and Suicide Prevention Senior Officials Group</w:t>
            </w:r>
          </w:p>
        </w:tc>
      </w:tr>
      <w:tr w:rsidR="000F7771" w:rsidRPr="00CC207B" w14:paraId="7629C8C5" w14:textId="77777777" w:rsidTr="00CC207B">
        <w:trPr>
          <w:trHeight w:val="42"/>
        </w:trPr>
        <w:tc>
          <w:tcPr>
            <w:tcW w:w="204" w:type="pct"/>
            <w:tcBorders>
              <w:top w:val="single" w:sz="8" w:space="0" w:color="D9D9D9"/>
              <w:left w:val="single" w:sz="8" w:space="0" w:color="FFFFFF"/>
              <w:bottom w:val="single" w:sz="8" w:space="0" w:color="D9D9D9"/>
              <w:right w:val="single" w:sz="8" w:space="0" w:color="FFFFFF"/>
            </w:tcBorders>
            <w:shd w:val="clear" w:color="auto" w:fill="auto"/>
          </w:tcPr>
          <w:p w14:paraId="003A11DF" w14:textId="436BDFB4" w:rsidR="000F7771" w:rsidRPr="00C236C6" w:rsidRDefault="000F7771" w:rsidP="000F7771">
            <w:pPr>
              <w:pStyle w:val="TabletextLeft"/>
              <w:spacing w:line="216" w:lineRule="auto"/>
              <w:rPr>
                <w:sz w:val="18"/>
                <w:szCs w:val="18"/>
              </w:rPr>
            </w:pPr>
            <w:r w:rsidRPr="00C236C6">
              <w:rPr>
                <w:color w:val="000000" w:themeColor="dark1"/>
                <w:kern w:val="24"/>
                <w:sz w:val="18"/>
                <w:szCs w:val="18"/>
              </w:rPr>
              <w:t>3</w:t>
            </w:r>
          </w:p>
        </w:tc>
        <w:tc>
          <w:tcPr>
            <w:tcW w:w="2296" w:type="pct"/>
            <w:tcBorders>
              <w:top w:val="single" w:sz="8" w:space="0" w:color="D9D9D9"/>
              <w:left w:val="single" w:sz="8" w:space="0" w:color="FFFFFF"/>
              <w:bottom w:val="single" w:sz="8" w:space="0" w:color="D9D9D9"/>
              <w:right w:val="single" w:sz="8" w:space="0" w:color="D9D9D9"/>
            </w:tcBorders>
            <w:shd w:val="clear" w:color="auto" w:fill="auto"/>
          </w:tcPr>
          <w:p w14:paraId="5C616F14" w14:textId="1C71C227" w:rsidR="000F7771" w:rsidRPr="00C236C6" w:rsidRDefault="000F7771" w:rsidP="000F7771">
            <w:pPr>
              <w:pStyle w:val="TabletextLeft"/>
              <w:spacing w:line="216" w:lineRule="auto"/>
              <w:rPr>
                <w:sz w:val="18"/>
                <w:szCs w:val="18"/>
              </w:rPr>
            </w:pPr>
            <w:r w:rsidRPr="00C236C6">
              <w:rPr>
                <w:color w:val="000000"/>
                <w:kern w:val="24"/>
                <w:sz w:val="18"/>
                <w:szCs w:val="18"/>
              </w:rPr>
              <w:t>Australasian College for Emergency Medicine</w:t>
            </w:r>
          </w:p>
        </w:tc>
        <w:tc>
          <w:tcPr>
            <w:tcW w:w="209" w:type="pct"/>
            <w:tcBorders>
              <w:top w:val="single" w:sz="8" w:space="0" w:color="D9D9D9"/>
              <w:left w:val="single" w:sz="8" w:space="0" w:color="D9D9D9"/>
              <w:bottom w:val="single" w:sz="8" w:space="0" w:color="D9D9D9"/>
              <w:right w:val="single" w:sz="8" w:space="0" w:color="FFFFFF"/>
            </w:tcBorders>
            <w:shd w:val="clear" w:color="auto" w:fill="auto"/>
          </w:tcPr>
          <w:p w14:paraId="59B6C303" w14:textId="4FF69B84" w:rsidR="000F7771" w:rsidRPr="00C236C6" w:rsidRDefault="000F7771" w:rsidP="000F7771">
            <w:pPr>
              <w:pStyle w:val="TabletextLeft"/>
              <w:spacing w:line="216" w:lineRule="auto"/>
              <w:rPr>
                <w:sz w:val="18"/>
                <w:szCs w:val="18"/>
              </w:rPr>
            </w:pPr>
            <w:r w:rsidRPr="00C236C6">
              <w:rPr>
                <w:color w:val="000000" w:themeColor="dark1"/>
                <w:kern w:val="24"/>
                <w:sz w:val="18"/>
                <w:szCs w:val="18"/>
              </w:rPr>
              <w:t>36</w:t>
            </w:r>
          </w:p>
        </w:tc>
        <w:tc>
          <w:tcPr>
            <w:tcW w:w="2291" w:type="pct"/>
            <w:tcBorders>
              <w:top w:val="single" w:sz="8" w:space="0" w:color="D9D9D9"/>
              <w:left w:val="single" w:sz="8" w:space="0" w:color="FFFFFF"/>
              <w:bottom w:val="single" w:sz="8" w:space="0" w:color="D9D9D9"/>
              <w:right w:val="single" w:sz="8" w:space="0" w:color="FFFFFF"/>
            </w:tcBorders>
            <w:shd w:val="clear" w:color="auto" w:fill="auto"/>
          </w:tcPr>
          <w:p w14:paraId="4ECC5AFF" w14:textId="42B8F942" w:rsidR="000F7771" w:rsidRPr="00C236C6" w:rsidRDefault="000F7771" w:rsidP="000F7771">
            <w:pPr>
              <w:pStyle w:val="TabletextLeft"/>
              <w:spacing w:line="216" w:lineRule="auto"/>
              <w:rPr>
                <w:sz w:val="18"/>
                <w:szCs w:val="18"/>
              </w:rPr>
            </w:pPr>
            <w:r w:rsidRPr="00C236C6">
              <w:rPr>
                <w:color w:val="000000"/>
                <w:kern w:val="24"/>
                <w:sz w:val="18"/>
                <w:szCs w:val="18"/>
              </w:rPr>
              <w:t xml:space="preserve">National Blood Authority </w:t>
            </w:r>
          </w:p>
        </w:tc>
      </w:tr>
      <w:tr w:rsidR="000F7771" w:rsidRPr="00CC207B" w14:paraId="1BBC482A" w14:textId="77777777" w:rsidTr="00CC207B">
        <w:trPr>
          <w:trHeight w:val="42"/>
        </w:trPr>
        <w:tc>
          <w:tcPr>
            <w:tcW w:w="204" w:type="pct"/>
            <w:tcBorders>
              <w:top w:val="single" w:sz="8" w:space="0" w:color="D9D9D9"/>
              <w:left w:val="single" w:sz="8" w:space="0" w:color="FFFFFF"/>
              <w:bottom w:val="single" w:sz="8" w:space="0" w:color="D9D9D9"/>
              <w:right w:val="single" w:sz="8" w:space="0" w:color="FFFFFF"/>
            </w:tcBorders>
            <w:shd w:val="clear" w:color="auto" w:fill="auto"/>
          </w:tcPr>
          <w:p w14:paraId="3C081E2F" w14:textId="533209C4" w:rsidR="000F7771" w:rsidRPr="00C236C6" w:rsidRDefault="000F7771" w:rsidP="000F7771">
            <w:pPr>
              <w:pStyle w:val="TabletextLeft"/>
              <w:spacing w:line="216" w:lineRule="auto"/>
              <w:rPr>
                <w:color w:val="000000" w:themeColor="text1"/>
                <w:kern w:val="24"/>
                <w:sz w:val="18"/>
                <w:szCs w:val="18"/>
              </w:rPr>
            </w:pPr>
            <w:r w:rsidRPr="00C236C6">
              <w:rPr>
                <w:color w:val="000000" w:themeColor="text1"/>
                <w:kern w:val="24"/>
                <w:sz w:val="18"/>
                <w:szCs w:val="18"/>
              </w:rPr>
              <w:t>4</w:t>
            </w:r>
          </w:p>
        </w:tc>
        <w:tc>
          <w:tcPr>
            <w:tcW w:w="2296" w:type="pct"/>
            <w:tcBorders>
              <w:top w:val="single" w:sz="8" w:space="0" w:color="D9D9D9"/>
              <w:left w:val="single" w:sz="8" w:space="0" w:color="FFFFFF"/>
              <w:bottom w:val="single" w:sz="8" w:space="0" w:color="D9D9D9"/>
              <w:right w:val="single" w:sz="8" w:space="0" w:color="D9D9D9"/>
            </w:tcBorders>
            <w:shd w:val="clear" w:color="auto" w:fill="auto"/>
          </w:tcPr>
          <w:p w14:paraId="23710207" w14:textId="41AD7580" w:rsidR="000F7771" w:rsidRPr="00C236C6" w:rsidRDefault="000F7771" w:rsidP="000F7771">
            <w:pPr>
              <w:pStyle w:val="TabletextLeft"/>
              <w:spacing w:line="216" w:lineRule="auto"/>
              <w:rPr>
                <w:color w:val="000000" w:themeColor="text1"/>
                <w:kern w:val="24"/>
                <w:sz w:val="18"/>
                <w:szCs w:val="18"/>
              </w:rPr>
            </w:pPr>
            <w:r w:rsidRPr="00C236C6">
              <w:rPr>
                <w:color w:val="000000" w:themeColor="text1"/>
                <w:kern w:val="24"/>
                <w:sz w:val="18"/>
                <w:szCs w:val="18"/>
              </w:rPr>
              <w:t>Australian College of Midwives</w:t>
            </w:r>
          </w:p>
        </w:tc>
        <w:tc>
          <w:tcPr>
            <w:tcW w:w="209" w:type="pct"/>
            <w:tcBorders>
              <w:top w:val="single" w:sz="8" w:space="0" w:color="D9D9D9"/>
              <w:left w:val="single" w:sz="8" w:space="0" w:color="D9D9D9"/>
              <w:bottom w:val="single" w:sz="8" w:space="0" w:color="D9D9D9"/>
              <w:right w:val="single" w:sz="8" w:space="0" w:color="FFFFFF"/>
            </w:tcBorders>
            <w:shd w:val="clear" w:color="auto" w:fill="auto"/>
          </w:tcPr>
          <w:p w14:paraId="06FCFDE7" w14:textId="4D3F3ECE" w:rsidR="000F7771" w:rsidRPr="00C236C6" w:rsidRDefault="000F7771" w:rsidP="000F7771">
            <w:pPr>
              <w:pStyle w:val="TabletextLeft"/>
              <w:spacing w:line="216" w:lineRule="auto"/>
              <w:rPr>
                <w:sz w:val="18"/>
                <w:szCs w:val="18"/>
              </w:rPr>
            </w:pPr>
            <w:r w:rsidRPr="00C236C6">
              <w:rPr>
                <w:color w:val="000000" w:themeColor="dark1"/>
                <w:kern w:val="24"/>
                <w:sz w:val="18"/>
                <w:szCs w:val="18"/>
              </w:rPr>
              <w:t>37</w:t>
            </w:r>
          </w:p>
        </w:tc>
        <w:tc>
          <w:tcPr>
            <w:tcW w:w="2291" w:type="pct"/>
            <w:tcBorders>
              <w:top w:val="single" w:sz="8" w:space="0" w:color="D9D9D9"/>
              <w:left w:val="single" w:sz="8" w:space="0" w:color="FFFFFF"/>
              <w:bottom w:val="single" w:sz="8" w:space="0" w:color="D9D9D9"/>
              <w:right w:val="single" w:sz="8" w:space="0" w:color="FFFFFF"/>
            </w:tcBorders>
            <w:shd w:val="clear" w:color="auto" w:fill="auto"/>
          </w:tcPr>
          <w:p w14:paraId="1E7ACB37" w14:textId="577AF132" w:rsidR="000F7771" w:rsidRPr="00C236C6" w:rsidRDefault="000F7771" w:rsidP="000F7771">
            <w:pPr>
              <w:pStyle w:val="TabletextLeft"/>
              <w:spacing w:line="216" w:lineRule="auto"/>
              <w:rPr>
                <w:sz w:val="18"/>
                <w:szCs w:val="18"/>
              </w:rPr>
            </w:pPr>
            <w:r w:rsidRPr="00C236C6">
              <w:rPr>
                <w:color w:val="000000"/>
                <w:kern w:val="24"/>
                <w:sz w:val="18"/>
                <w:szCs w:val="18"/>
              </w:rPr>
              <w:t xml:space="preserve">National Health Funding Body </w:t>
            </w:r>
            <w:r w:rsidR="00A36E15">
              <w:rPr>
                <w:color w:val="000000"/>
                <w:kern w:val="24"/>
                <w:sz w:val="18"/>
                <w:szCs w:val="18"/>
              </w:rPr>
              <w:t>and Administrator of the National Health Funding Pool</w:t>
            </w:r>
          </w:p>
        </w:tc>
      </w:tr>
      <w:tr w:rsidR="000F7771" w:rsidRPr="00CC207B" w14:paraId="3A93F9B7" w14:textId="77777777" w:rsidTr="00CC207B">
        <w:trPr>
          <w:trHeight w:val="42"/>
        </w:trPr>
        <w:tc>
          <w:tcPr>
            <w:tcW w:w="204" w:type="pct"/>
            <w:tcBorders>
              <w:top w:val="single" w:sz="8" w:space="0" w:color="D9D9D9"/>
              <w:left w:val="single" w:sz="8" w:space="0" w:color="FFFFFF"/>
              <w:bottom w:val="single" w:sz="8" w:space="0" w:color="D9D9D9"/>
              <w:right w:val="single" w:sz="8" w:space="0" w:color="FFFFFF"/>
            </w:tcBorders>
            <w:shd w:val="clear" w:color="auto" w:fill="auto"/>
          </w:tcPr>
          <w:p w14:paraId="212942FC" w14:textId="36818C69" w:rsidR="000F7771" w:rsidRPr="00C236C6" w:rsidRDefault="000F7771" w:rsidP="000F7771">
            <w:pPr>
              <w:pStyle w:val="TabletextLeft"/>
              <w:spacing w:line="216" w:lineRule="auto"/>
              <w:rPr>
                <w:color w:val="000000" w:themeColor="text1"/>
                <w:kern w:val="24"/>
                <w:sz w:val="18"/>
                <w:szCs w:val="18"/>
              </w:rPr>
            </w:pPr>
            <w:r w:rsidRPr="00C236C6">
              <w:rPr>
                <w:color w:val="000000" w:themeColor="text1"/>
                <w:kern w:val="24"/>
                <w:sz w:val="18"/>
                <w:szCs w:val="18"/>
              </w:rPr>
              <w:t>5</w:t>
            </w:r>
          </w:p>
        </w:tc>
        <w:tc>
          <w:tcPr>
            <w:tcW w:w="2296" w:type="pct"/>
            <w:tcBorders>
              <w:top w:val="single" w:sz="8" w:space="0" w:color="D9D9D9"/>
              <w:left w:val="single" w:sz="8" w:space="0" w:color="FFFFFF"/>
              <w:bottom w:val="single" w:sz="8" w:space="0" w:color="D9D9D9"/>
              <w:right w:val="single" w:sz="8" w:space="0" w:color="D9D9D9"/>
            </w:tcBorders>
            <w:shd w:val="clear" w:color="auto" w:fill="auto"/>
          </w:tcPr>
          <w:p w14:paraId="0791A8A2" w14:textId="22F47AFA" w:rsidR="000F7771" w:rsidRPr="00C236C6" w:rsidRDefault="000F7771" w:rsidP="000F7771">
            <w:pPr>
              <w:pStyle w:val="TabletextLeft"/>
              <w:spacing w:line="216" w:lineRule="auto"/>
              <w:rPr>
                <w:color w:val="000000" w:themeColor="text1"/>
                <w:kern w:val="24"/>
                <w:sz w:val="18"/>
                <w:szCs w:val="18"/>
              </w:rPr>
            </w:pPr>
            <w:r w:rsidRPr="00C236C6">
              <w:rPr>
                <w:color w:val="000000" w:themeColor="text1"/>
                <w:kern w:val="24"/>
                <w:sz w:val="18"/>
                <w:szCs w:val="18"/>
              </w:rPr>
              <w:t>Australian College of Nursing</w:t>
            </w:r>
          </w:p>
        </w:tc>
        <w:tc>
          <w:tcPr>
            <w:tcW w:w="209" w:type="pct"/>
            <w:tcBorders>
              <w:top w:val="single" w:sz="8" w:space="0" w:color="D9D9D9"/>
              <w:left w:val="single" w:sz="8" w:space="0" w:color="D9D9D9"/>
              <w:bottom w:val="single" w:sz="8" w:space="0" w:color="D9D9D9"/>
              <w:right w:val="single" w:sz="8" w:space="0" w:color="FFFFFF"/>
            </w:tcBorders>
            <w:shd w:val="clear" w:color="auto" w:fill="auto"/>
          </w:tcPr>
          <w:p w14:paraId="7EF6D2ED" w14:textId="0FE8EE7B" w:rsidR="000F7771" w:rsidRPr="00C236C6" w:rsidRDefault="000F7771" w:rsidP="000F7771">
            <w:pPr>
              <w:pStyle w:val="TabletextLeft"/>
              <w:spacing w:line="216" w:lineRule="auto"/>
              <w:rPr>
                <w:sz w:val="18"/>
                <w:szCs w:val="18"/>
              </w:rPr>
            </w:pPr>
            <w:r w:rsidRPr="00C236C6">
              <w:rPr>
                <w:color w:val="000000" w:themeColor="dark1"/>
                <w:kern w:val="24"/>
                <w:sz w:val="18"/>
                <w:szCs w:val="18"/>
              </w:rPr>
              <w:t>38</w:t>
            </w:r>
          </w:p>
        </w:tc>
        <w:tc>
          <w:tcPr>
            <w:tcW w:w="2291" w:type="pct"/>
            <w:tcBorders>
              <w:top w:val="single" w:sz="8" w:space="0" w:color="D9D9D9"/>
              <w:left w:val="single" w:sz="8" w:space="0" w:color="FFFFFF"/>
              <w:bottom w:val="single" w:sz="8" w:space="0" w:color="D9D9D9"/>
              <w:right w:val="single" w:sz="8" w:space="0" w:color="FFFFFF"/>
            </w:tcBorders>
            <w:shd w:val="clear" w:color="auto" w:fill="auto"/>
          </w:tcPr>
          <w:p w14:paraId="46FB7B36" w14:textId="7611A21F" w:rsidR="000F7771" w:rsidRPr="00C236C6" w:rsidRDefault="000F7771" w:rsidP="000F7771">
            <w:pPr>
              <w:pStyle w:val="TabletextLeft"/>
              <w:spacing w:line="216" w:lineRule="auto"/>
              <w:rPr>
                <w:sz w:val="18"/>
                <w:szCs w:val="18"/>
              </w:rPr>
            </w:pPr>
            <w:r w:rsidRPr="00C236C6">
              <w:rPr>
                <w:color w:val="000000"/>
                <w:kern w:val="24"/>
                <w:sz w:val="18"/>
                <w:szCs w:val="18"/>
              </w:rPr>
              <w:t>National Mental Health Commission</w:t>
            </w:r>
          </w:p>
        </w:tc>
      </w:tr>
      <w:tr w:rsidR="000F7771" w:rsidRPr="00CC207B" w14:paraId="495A06FD" w14:textId="77777777" w:rsidTr="00CC207B">
        <w:trPr>
          <w:trHeight w:val="42"/>
        </w:trPr>
        <w:tc>
          <w:tcPr>
            <w:tcW w:w="204" w:type="pct"/>
            <w:tcBorders>
              <w:top w:val="single" w:sz="8" w:space="0" w:color="D9D9D9"/>
              <w:left w:val="single" w:sz="8" w:space="0" w:color="FFFFFF"/>
              <w:bottom w:val="single" w:sz="8" w:space="0" w:color="D9D9D9"/>
              <w:right w:val="single" w:sz="8" w:space="0" w:color="FFFFFF"/>
            </w:tcBorders>
            <w:shd w:val="clear" w:color="auto" w:fill="auto"/>
          </w:tcPr>
          <w:p w14:paraId="59DFBC4B" w14:textId="181E92B4" w:rsidR="000F7771" w:rsidRPr="00C236C6" w:rsidRDefault="000F7771" w:rsidP="000F7771">
            <w:pPr>
              <w:pStyle w:val="TabletextLeft"/>
              <w:spacing w:line="216" w:lineRule="auto"/>
              <w:rPr>
                <w:sz w:val="18"/>
                <w:szCs w:val="18"/>
              </w:rPr>
            </w:pPr>
            <w:r w:rsidRPr="00C236C6">
              <w:rPr>
                <w:color w:val="000000" w:themeColor="dark1"/>
                <w:kern w:val="24"/>
                <w:sz w:val="18"/>
                <w:szCs w:val="18"/>
              </w:rPr>
              <w:t>6</w:t>
            </w:r>
          </w:p>
        </w:tc>
        <w:tc>
          <w:tcPr>
            <w:tcW w:w="2296" w:type="pct"/>
            <w:tcBorders>
              <w:top w:val="single" w:sz="8" w:space="0" w:color="D9D9D9"/>
              <w:left w:val="single" w:sz="8" w:space="0" w:color="FFFFFF"/>
              <w:bottom w:val="single" w:sz="8" w:space="0" w:color="D9D9D9"/>
              <w:right w:val="single" w:sz="8" w:space="0" w:color="D9D9D9"/>
            </w:tcBorders>
            <w:shd w:val="clear" w:color="auto" w:fill="auto"/>
          </w:tcPr>
          <w:p w14:paraId="61A2E03C" w14:textId="67EEBA9C" w:rsidR="000F7771" w:rsidRPr="00C236C6" w:rsidRDefault="000F7771" w:rsidP="000F7771">
            <w:pPr>
              <w:pStyle w:val="TabletextLeft"/>
              <w:spacing w:line="216" w:lineRule="auto"/>
              <w:rPr>
                <w:sz w:val="18"/>
                <w:szCs w:val="18"/>
              </w:rPr>
            </w:pPr>
            <w:r w:rsidRPr="00C236C6">
              <w:rPr>
                <w:color w:val="000000"/>
                <w:kern w:val="24"/>
                <w:sz w:val="18"/>
                <w:szCs w:val="18"/>
              </w:rPr>
              <w:t>Australian College of Rural and Remote Medicine</w:t>
            </w:r>
          </w:p>
        </w:tc>
        <w:tc>
          <w:tcPr>
            <w:tcW w:w="209" w:type="pct"/>
            <w:tcBorders>
              <w:top w:val="single" w:sz="8" w:space="0" w:color="D9D9D9"/>
              <w:left w:val="single" w:sz="8" w:space="0" w:color="D9D9D9"/>
              <w:bottom w:val="single" w:sz="8" w:space="0" w:color="D9D9D9"/>
              <w:right w:val="single" w:sz="8" w:space="0" w:color="FFFFFF"/>
            </w:tcBorders>
            <w:shd w:val="clear" w:color="auto" w:fill="auto"/>
          </w:tcPr>
          <w:p w14:paraId="37B76047" w14:textId="1D857D5E" w:rsidR="000F7771" w:rsidRPr="00C236C6" w:rsidRDefault="000F7771" w:rsidP="000F7771">
            <w:pPr>
              <w:pStyle w:val="TabletextLeft"/>
              <w:spacing w:line="216" w:lineRule="auto"/>
              <w:rPr>
                <w:sz w:val="18"/>
                <w:szCs w:val="18"/>
              </w:rPr>
            </w:pPr>
            <w:r w:rsidRPr="00C236C6">
              <w:rPr>
                <w:color w:val="000000" w:themeColor="dark1"/>
                <w:kern w:val="24"/>
                <w:sz w:val="18"/>
                <w:szCs w:val="18"/>
              </w:rPr>
              <w:t>39</w:t>
            </w:r>
          </w:p>
        </w:tc>
        <w:tc>
          <w:tcPr>
            <w:tcW w:w="2291" w:type="pct"/>
            <w:tcBorders>
              <w:top w:val="single" w:sz="8" w:space="0" w:color="D9D9D9"/>
              <w:left w:val="single" w:sz="8" w:space="0" w:color="FFFFFF"/>
              <w:bottom w:val="single" w:sz="8" w:space="0" w:color="D9D9D9"/>
              <w:right w:val="single" w:sz="8" w:space="0" w:color="FFFFFF"/>
            </w:tcBorders>
            <w:shd w:val="clear" w:color="auto" w:fill="auto"/>
          </w:tcPr>
          <w:p w14:paraId="774768C7" w14:textId="25274D9A" w:rsidR="000F7771" w:rsidRPr="00C236C6" w:rsidRDefault="000F7771" w:rsidP="000F7771">
            <w:pPr>
              <w:pStyle w:val="TabletextLeft"/>
              <w:spacing w:line="216" w:lineRule="auto"/>
              <w:rPr>
                <w:sz w:val="18"/>
                <w:szCs w:val="18"/>
              </w:rPr>
            </w:pPr>
            <w:r w:rsidRPr="00C236C6">
              <w:rPr>
                <w:color w:val="000000"/>
                <w:kern w:val="24"/>
                <w:sz w:val="18"/>
                <w:szCs w:val="18"/>
              </w:rPr>
              <w:t xml:space="preserve">National Rural Health Alliance </w:t>
            </w:r>
          </w:p>
        </w:tc>
      </w:tr>
      <w:tr w:rsidR="000F7771" w:rsidRPr="00CC207B" w14:paraId="6C264FDE" w14:textId="77777777" w:rsidTr="00CC207B">
        <w:trPr>
          <w:trHeight w:val="42"/>
        </w:trPr>
        <w:tc>
          <w:tcPr>
            <w:tcW w:w="204" w:type="pct"/>
            <w:tcBorders>
              <w:top w:val="single" w:sz="8" w:space="0" w:color="D9D9D9"/>
              <w:left w:val="single" w:sz="8" w:space="0" w:color="FFFFFF"/>
              <w:bottom w:val="single" w:sz="8" w:space="0" w:color="D9D9D9"/>
              <w:right w:val="single" w:sz="8" w:space="0" w:color="FFFFFF"/>
            </w:tcBorders>
            <w:shd w:val="clear" w:color="auto" w:fill="auto"/>
          </w:tcPr>
          <w:p w14:paraId="1DCAEA2F" w14:textId="4C79EDDB" w:rsidR="000F7771" w:rsidRPr="00C236C6" w:rsidRDefault="000F7771" w:rsidP="000F7771">
            <w:pPr>
              <w:pStyle w:val="TabletextLeft"/>
              <w:spacing w:line="216" w:lineRule="auto"/>
              <w:rPr>
                <w:sz w:val="18"/>
                <w:szCs w:val="18"/>
              </w:rPr>
            </w:pPr>
            <w:r w:rsidRPr="00C236C6">
              <w:rPr>
                <w:color w:val="000000" w:themeColor="dark1"/>
                <w:kern w:val="24"/>
                <w:sz w:val="18"/>
                <w:szCs w:val="18"/>
              </w:rPr>
              <w:t>7</w:t>
            </w:r>
          </w:p>
        </w:tc>
        <w:tc>
          <w:tcPr>
            <w:tcW w:w="2296" w:type="pct"/>
            <w:tcBorders>
              <w:top w:val="single" w:sz="8" w:space="0" w:color="D9D9D9"/>
              <w:left w:val="single" w:sz="8" w:space="0" w:color="FFFFFF"/>
              <w:bottom w:val="single" w:sz="8" w:space="0" w:color="D9D9D9"/>
              <w:right w:val="single" w:sz="8" w:space="0" w:color="D9D9D9"/>
            </w:tcBorders>
            <w:shd w:val="clear" w:color="auto" w:fill="auto"/>
          </w:tcPr>
          <w:p w14:paraId="25BAF2BF" w14:textId="7CA6B5B5" w:rsidR="000F7771" w:rsidRPr="00C236C6" w:rsidRDefault="000F7771" w:rsidP="000F7771">
            <w:pPr>
              <w:pStyle w:val="TabletextLeft"/>
              <w:spacing w:line="216" w:lineRule="auto"/>
              <w:rPr>
                <w:sz w:val="18"/>
                <w:szCs w:val="18"/>
              </w:rPr>
            </w:pPr>
            <w:r w:rsidRPr="00C236C6">
              <w:rPr>
                <w:color w:val="000000"/>
                <w:kern w:val="24"/>
                <w:sz w:val="18"/>
                <w:szCs w:val="18"/>
              </w:rPr>
              <w:t xml:space="preserve">Australian Council on Healthcare Standards </w:t>
            </w:r>
          </w:p>
        </w:tc>
        <w:tc>
          <w:tcPr>
            <w:tcW w:w="209" w:type="pct"/>
            <w:tcBorders>
              <w:top w:val="single" w:sz="8" w:space="0" w:color="D9D9D9"/>
              <w:left w:val="single" w:sz="8" w:space="0" w:color="D9D9D9"/>
              <w:bottom w:val="single" w:sz="8" w:space="0" w:color="D9D9D9"/>
              <w:right w:val="single" w:sz="8" w:space="0" w:color="FFFFFF"/>
            </w:tcBorders>
            <w:shd w:val="clear" w:color="auto" w:fill="auto"/>
          </w:tcPr>
          <w:p w14:paraId="64D1FCDE" w14:textId="6FD8C73D" w:rsidR="000F7771" w:rsidRPr="00C236C6" w:rsidRDefault="000F7771" w:rsidP="000F7771">
            <w:pPr>
              <w:pStyle w:val="TabletextLeft"/>
              <w:spacing w:line="216" w:lineRule="auto"/>
              <w:rPr>
                <w:sz w:val="18"/>
                <w:szCs w:val="18"/>
              </w:rPr>
            </w:pPr>
            <w:r w:rsidRPr="00C236C6">
              <w:rPr>
                <w:color w:val="000000" w:themeColor="dark1"/>
                <w:kern w:val="24"/>
                <w:sz w:val="18"/>
                <w:szCs w:val="18"/>
              </w:rPr>
              <w:t>40</w:t>
            </w:r>
          </w:p>
        </w:tc>
        <w:tc>
          <w:tcPr>
            <w:tcW w:w="2291" w:type="pct"/>
            <w:tcBorders>
              <w:top w:val="single" w:sz="8" w:space="0" w:color="D9D9D9"/>
              <w:left w:val="single" w:sz="8" w:space="0" w:color="FFFFFF"/>
              <w:bottom w:val="single" w:sz="8" w:space="0" w:color="D9D9D9"/>
              <w:right w:val="single" w:sz="8" w:space="0" w:color="FFFFFF"/>
            </w:tcBorders>
            <w:shd w:val="clear" w:color="auto" w:fill="auto"/>
          </w:tcPr>
          <w:p w14:paraId="0C86D17D" w14:textId="6A605523" w:rsidR="000F7771" w:rsidRPr="00C236C6" w:rsidRDefault="000F7771" w:rsidP="000F7771">
            <w:pPr>
              <w:pStyle w:val="TabletextLeft"/>
              <w:spacing w:line="216" w:lineRule="auto"/>
              <w:rPr>
                <w:sz w:val="18"/>
                <w:szCs w:val="18"/>
              </w:rPr>
            </w:pPr>
            <w:r w:rsidRPr="00C236C6">
              <w:rPr>
                <w:color w:val="000000"/>
                <w:kern w:val="24"/>
                <w:sz w:val="18"/>
                <w:szCs w:val="18"/>
              </w:rPr>
              <w:t xml:space="preserve">Network of Alcohol and Other Drugs Agencies </w:t>
            </w:r>
          </w:p>
        </w:tc>
      </w:tr>
      <w:tr w:rsidR="000F7771" w:rsidRPr="00CC207B" w14:paraId="4B8DDCDA" w14:textId="77777777" w:rsidTr="00CC207B">
        <w:trPr>
          <w:trHeight w:val="42"/>
        </w:trPr>
        <w:tc>
          <w:tcPr>
            <w:tcW w:w="204" w:type="pct"/>
            <w:tcBorders>
              <w:top w:val="single" w:sz="8" w:space="0" w:color="D9D9D9"/>
              <w:left w:val="single" w:sz="8" w:space="0" w:color="FFFFFF"/>
              <w:bottom w:val="single" w:sz="8" w:space="0" w:color="D9D9D9"/>
              <w:right w:val="single" w:sz="8" w:space="0" w:color="FFFFFF"/>
            </w:tcBorders>
            <w:shd w:val="clear" w:color="auto" w:fill="auto"/>
          </w:tcPr>
          <w:p w14:paraId="14D2F42F" w14:textId="2295E814" w:rsidR="000F7771" w:rsidRPr="00C236C6" w:rsidRDefault="000F7771" w:rsidP="000F7771">
            <w:pPr>
              <w:pStyle w:val="TabletextLeft"/>
              <w:spacing w:line="216" w:lineRule="auto"/>
              <w:rPr>
                <w:sz w:val="18"/>
                <w:szCs w:val="18"/>
              </w:rPr>
            </w:pPr>
            <w:r w:rsidRPr="00C236C6">
              <w:rPr>
                <w:color w:val="000000" w:themeColor="dark1"/>
                <w:kern w:val="24"/>
                <w:sz w:val="18"/>
                <w:szCs w:val="18"/>
              </w:rPr>
              <w:t>8</w:t>
            </w:r>
          </w:p>
        </w:tc>
        <w:tc>
          <w:tcPr>
            <w:tcW w:w="2296" w:type="pct"/>
            <w:tcBorders>
              <w:top w:val="single" w:sz="8" w:space="0" w:color="D9D9D9"/>
              <w:left w:val="single" w:sz="8" w:space="0" w:color="FFFFFF"/>
              <w:bottom w:val="single" w:sz="8" w:space="0" w:color="D9D9D9"/>
              <w:right w:val="single" w:sz="8" w:space="0" w:color="D9D9D9"/>
            </w:tcBorders>
            <w:shd w:val="clear" w:color="auto" w:fill="auto"/>
          </w:tcPr>
          <w:p w14:paraId="2B937D3F" w14:textId="6BF4FC8A" w:rsidR="000F7771" w:rsidRPr="00C236C6" w:rsidRDefault="000F7771" w:rsidP="000F7771">
            <w:pPr>
              <w:pStyle w:val="TabletextLeft"/>
              <w:spacing w:line="216" w:lineRule="auto"/>
              <w:rPr>
                <w:sz w:val="18"/>
                <w:szCs w:val="18"/>
              </w:rPr>
            </w:pPr>
            <w:r w:rsidRPr="00C236C6">
              <w:rPr>
                <w:color w:val="000000"/>
                <w:kern w:val="24"/>
                <w:sz w:val="18"/>
                <w:szCs w:val="18"/>
              </w:rPr>
              <w:t>Australian Diagnostic Imaging Association</w:t>
            </w:r>
          </w:p>
        </w:tc>
        <w:tc>
          <w:tcPr>
            <w:tcW w:w="209" w:type="pct"/>
            <w:tcBorders>
              <w:top w:val="single" w:sz="8" w:space="0" w:color="D9D9D9"/>
              <w:left w:val="single" w:sz="8" w:space="0" w:color="D9D9D9"/>
              <w:bottom w:val="single" w:sz="8" w:space="0" w:color="D9D9D9"/>
              <w:right w:val="single" w:sz="8" w:space="0" w:color="FFFFFF"/>
            </w:tcBorders>
            <w:shd w:val="clear" w:color="auto" w:fill="auto"/>
          </w:tcPr>
          <w:p w14:paraId="20974E00" w14:textId="0CAF01CD" w:rsidR="000F7771" w:rsidRPr="00C236C6" w:rsidRDefault="000F7771" w:rsidP="000F7771">
            <w:pPr>
              <w:pStyle w:val="TabletextLeft"/>
              <w:spacing w:line="216" w:lineRule="auto"/>
              <w:rPr>
                <w:sz w:val="18"/>
                <w:szCs w:val="18"/>
              </w:rPr>
            </w:pPr>
            <w:r w:rsidRPr="00C236C6">
              <w:rPr>
                <w:color w:val="000000" w:themeColor="dark1"/>
                <w:kern w:val="24"/>
                <w:sz w:val="18"/>
                <w:szCs w:val="18"/>
              </w:rPr>
              <w:t>41</w:t>
            </w:r>
          </w:p>
        </w:tc>
        <w:tc>
          <w:tcPr>
            <w:tcW w:w="2291" w:type="pct"/>
            <w:tcBorders>
              <w:top w:val="single" w:sz="8" w:space="0" w:color="D9D9D9"/>
              <w:left w:val="single" w:sz="8" w:space="0" w:color="FFFFFF"/>
              <w:bottom w:val="single" w:sz="8" w:space="0" w:color="D9D9D9"/>
              <w:right w:val="single" w:sz="8" w:space="0" w:color="FFFFFF"/>
            </w:tcBorders>
            <w:shd w:val="clear" w:color="auto" w:fill="auto"/>
          </w:tcPr>
          <w:p w14:paraId="7BEE5E5A" w14:textId="30E4C008" w:rsidR="000F7771" w:rsidRPr="00C236C6" w:rsidRDefault="000F7771" w:rsidP="000F7771">
            <w:pPr>
              <w:pStyle w:val="TabletextLeft"/>
              <w:spacing w:line="216" w:lineRule="auto"/>
              <w:rPr>
                <w:sz w:val="18"/>
                <w:szCs w:val="18"/>
              </w:rPr>
            </w:pPr>
            <w:r w:rsidRPr="00C236C6">
              <w:rPr>
                <w:color w:val="000000"/>
                <w:kern w:val="24"/>
                <w:sz w:val="18"/>
                <w:szCs w:val="18"/>
              </w:rPr>
              <w:t>Northern Territory Department of Health</w:t>
            </w:r>
          </w:p>
        </w:tc>
      </w:tr>
      <w:tr w:rsidR="000F7771" w:rsidRPr="00CC207B" w14:paraId="6496DA9C" w14:textId="77777777" w:rsidTr="00CC207B">
        <w:trPr>
          <w:trHeight w:val="42"/>
        </w:trPr>
        <w:tc>
          <w:tcPr>
            <w:tcW w:w="204" w:type="pct"/>
            <w:tcBorders>
              <w:top w:val="single" w:sz="8" w:space="0" w:color="D9D9D9"/>
              <w:left w:val="single" w:sz="8" w:space="0" w:color="FFFFFF"/>
              <w:bottom w:val="single" w:sz="8" w:space="0" w:color="D9D9D9"/>
              <w:right w:val="single" w:sz="8" w:space="0" w:color="FFFFFF"/>
            </w:tcBorders>
            <w:shd w:val="clear" w:color="auto" w:fill="auto"/>
          </w:tcPr>
          <w:p w14:paraId="1C5E84BF" w14:textId="30891998" w:rsidR="000F7771" w:rsidRPr="00C236C6" w:rsidRDefault="000F7771" w:rsidP="000F7771">
            <w:pPr>
              <w:pStyle w:val="TabletextLeft"/>
              <w:spacing w:line="216" w:lineRule="auto"/>
              <w:rPr>
                <w:sz w:val="18"/>
                <w:szCs w:val="18"/>
              </w:rPr>
            </w:pPr>
            <w:r w:rsidRPr="00C236C6">
              <w:rPr>
                <w:color w:val="000000" w:themeColor="dark1"/>
                <w:kern w:val="24"/>
                <w:sz w:val="18"/>
                <w:szCs w:val="18"/>
              </w:rPr>
              <w:t>9</w:t>
            </w:r>
          </w:p>
        </w:tc>
        <w:tc>
          <w:tcPr>
            <w:tcW w:w="2296" w:type="pct"/>
            <w:tcBorders>
              <w:top w:val="single" w:sz="8" w:space="0" w:color="D9D9D9"/>
              <w:left w:val="single" w:sz="8" w:space="0" w:color="FFFFFF"/>
              <w:bottom w:val="single" w:sz="8" w:space="0" w:color="D9D9D9"/>
              <w:right w:val="single" w:sz="8" w:space="0" w:color="D9D9D9"/>
            </w:tcBorders>
            <w:shd w:val="clear" w:color="auto" w:fill="auto"/>
          </w:tcPr>
          <w:p w14:paraId="3DF970FF" w14:textId="16A79F95" w:rsidR="000F7771" w:rsidRPr="00C236C6" w:rsidRDefault="000F7771" w:rsidP="000F7771">
            <w:pPr>
              <w:pStyle w:val="TabletextLeft"/>
              <w:spacing w:line="216" w:lineRule="auto"/>
              <w:rPr>
                <w:sz w:val="18"/>
                <w:szCs w:val="18"/>
              </w:rPr>
            </w:pPr>
            <w:r w:rsidRPr="00C236C6">
              <w:rPr>
                <w:color w:val="000000"/>
                <w:kern w:val="24"/>
                <w:sz w:val="18"/>
                <w:szCs w:val="18"/>
              </w:rPr>
              <w:t>Australian Digital Health Agency</w:t>
            </w:r>
          </w:p>
        </w:tc>
        <w:tc>
          <w:tcPr>
            <w:tcW w:w="209" w:type="pct"/>
            <w:tcBorders>
              <w:top w:val="single" w:sz="8" w:space="0" w:color="D9D9D9"/>
              <w:left w:val="single" w:sz="8" w:space="0" w:color="D9D9D9"/>
              <w:bottom w:val="single" w:sz="8" w:space="0" w:color="D9D9D9"/>
              <w:right w:val="single" w:sz="8" w:space="0" w:color="FFFFFF"/>
            </w:tcBorders>
            <w:shd w:val="clear" w:color="auto" w:fill="auto"/>
          </w:tcPr>
          <w:p w14:paraId="6C70C721" w14:textId="52A7D357" w:rsidR="000F7771" w:rsidRPr="00C236C6" w:rsidRDefault="000F7771" w:rsidP="000F7771">
            <w:pPr>
              <w:pStyle w:val="TabletextLeft"/>
              <w:spacing w:line="216" w:lineRule="auto"/>
              <w:rPr>
                <w:sz w:val="18"/>
                <w:szCs w:val="18"/>
              </w:rPr>
            </w:pPr>
            <w:r w:rsidRPr="00C236C6">
              <w:rPr>
                <w:color w:val="000000" w:themeColor="dark1"/>
                <w:kern w:val="24"/>
                <w:sz w:val="18"/>
                <w:szCs w:val="18"/>
              </w:rPr>
              <w:t>42</w:t>
            </w:r>
          </w:p>
        </w:tc>
        <w:tc>
          <w:tcPr>
            <w:tcW w:w="2291" w:type="pct"/>
            <w:tcBorders>
              <w:top w:val="single" w:sz="8" w:space="0" w:color="D9D9D9"/>
              <w:left w:val="single" w:sz="8" w:space="0" w:color="FFFFFF"/>
              <w:bottom w:val="single" w:sz="8" w:space="0" w:color="D9D9D9"/>
              <w:right w:val="single" w:sz="8" w:space="0" w:color="FFFFFF"/>
            </w:tcBorders>
            <w:shd w:val="clear" w:color="auto" w:fill="auto"/>
          </w:tcPr>
          <w:p w14:paraId="71174CEE" w14:textId="0B6381AE" w:rsidR="000F7771" w:rsidRPr="00C236C6" w:rsidRDefault="000F7771" w:rsidP="000F7771">
            <w:pPr>
              <w:pStyle w:val="TabletextLeft"/>
              <w:spacing w:line="216" w:lineRule="auto"/>
              <w:rPr>
                <w:sz w:val="18"/>
                <w:szCs w:val="18"/>
              </w:rPr>
            </w:pPr>
            <w:r w:rsidRPr="00C236C6">
              <w:rPr>
                <w:color w:val="000000"/>
                <w:kern w:val="24"/>
                <w:sz w:val="18"/>
                <w:szCs w:val="18"/>
              </w:rPr>
              <w:t xml:space="preserve">NSW Health </w:t>
            </w:r>
          </w:p>
        </w:tc>
      </w:tr>
      <w:tr w:rsidR="000F7771" w:rsidRPr="00CC207B" w14:paraId="05AF27B6" w14:textId="77777777" w:rsidTr="00CC207B">
        <w:trPr>
          <w:trHeight w:val="42"/>
        </w:trPr>
        <w:tc>
          <w:tcPr>
            <w:tcW w:w="204" w:type="pct"/>
            <w:tcBorders>
              <w:top w:val="single" w:sz="8" w:space="0" w:color="D9D9D9"/>
              <w:left w:val="single" w:sz="8" w:space="0" w:color="FFFFFF"/>
              <w:bottom w:val="single" w:sz="8" w:space="0" w:color="D9D9D9"/>
              <w:right w:val="single" w:sz="8" w:space="0" w:color="FFFFFF"/>
            </w:tcBorders>
            <w:shd w:val="clear" w:color="auto" w:fill="auto"/>
          </w:tcPr>
          <w:p w14:paraId="0A4D8637" w14:textId="37A1D5EB" w:rsidR="000F7771" w:rsidRPr="00C236C6" w:rsidRDefault="000F7771" w:rsidP="000F7771">
            <w:pPr>
              <w:pStyle w:val="TabletextLeft"/>
              <w:spacing w:line="216" w:lineRule="auto"/>
              <w:rPr>
                <w:sz w:val="18"/>
                <w:szCs w:val="18"/>
              </w:rPr>
            </w:pPr>
            <w:r w:rsidRPr="00C236C6">
              <w:rPr>
                <w:color w:val="000000" w:themeColor="dark1"/>
                <w:kern w:val="24"/>
                <w:sz w:val="18"/>
                <w:szCs w:val="18"/>
              </w:rPr>
              <w:t>10</w:t>
            </w:r>
          </w:p>
        </w:tc>
        <w:tc>
          <w:tcPr>
            <w:tcW w:w="2296" w:type="pct"/>
            <w:tcBorders>
              <w:top w:val="single" w:sz="8" w:space="0" w:color="D9D9D9"/>
              <w:left w:val="single" w:sz="8" w:space="0" w:color="FFFFFF"/>
              <w:bottom w:val="single" w:sz="8" w:space="0" w:color="D9D9D9"/>
              <w:right w:val="single" w:sz="8" w:space="0" w:color="D9D9D9"/>
            </w:tcBorders>
            <w:shd w:val="clear" w:color="auto" w:fill="auto"/>
          </w:tcPr>
          <w:p w14:paraId="6327F35D" w14:textId="56987A74" w:rsidR="000F7771" w:rsidRPr="00C236C6" w:rsidRDefault="000F7771" w:rsidP="000F7771">
            <w:pPr>
              <w:pStyle w:val="TabletextLeft"/>
              <w:spacing w:line="216" w:lineRule="auto"/>
              <w:rPr>
                <w:sz w:val="18"/>
                <w:szCs w:val="18"/>
              </w:rPr>
            </w:pPr>
            <w:r w:rsidRPr="00C236C6">
              <w:rPr>
                <w:color w:val="000000"/>
                <w:kern w:val="24"/>
                <w:sz w:val="18"/>
                <w:szCs w:val="18"/>
              </w:rPr>
              <w:t>Australian Health Economics Society</w:t>
            </w:r>
          </w:p>
        </w:tc>
        <w:tc>
          <w:tcPr>
            <w:tcW w:w="209" w:type="pct"/>
            <w:tcBorders>
              <w:top w:val="single" w:sz="8" w:space="0" w:color="D9D9D9"/>
              <w:left w:val="single" w:sz="8" w:space="0" w:color="D9D9D9"/>
              <w:bottom w:val="single" w:sz="8" w:space="0" w:color="D9D9D9"/>
              <w:right w:val="single" w:sz="8" w:space="0" w:color="FFFFFF"/>
            </w:tcBorders>
            <w:shd w:val="clear" w:color="auto" w:fill="auto"/>
          </w:tcPr>
          <w:p w14:paraId="792BC505" w14:textId="0372B839" w:rsidR="000F7771" w:rsidRPr="00C236C6" w:rsidRDefault="000F7771" w:rsidP="000F7771">
            <w:pPr>
              <w:pStyle w:val="TabletextLeft"/>
              <w:spacing w:line="216" w:lineRule="auto"/>
              <w:rPr>
                <w:sz w:val="18"/>
                <w:szCs w:val="18"/>
              </w:rPr>
            </w:pPr>
            <w:r w:rsidRPr="00C236C6">
              <w:rPr>
                <w:color w:val="000000" w:themeColor="dark1"/>
                <w:kern w:val="24"/>
                <w:sz w:val="18"/>
                <w:szCs w:val="18"/>
              </w:rPr>
              <w:t>43</w:t>
            </w:r>
          </w:p>
        </w:tc>
        <w:tc>
          <w:tcPr>
            <w:tcW w:w="2291" w:type="pct"/>
            <w:tcBorders>
              <w:top w:val="single" w:sz="8" w:space="0" w:color="D9D9D9"/>
              <w:left w:val="single" w:sz="8" w:space="0" w:color="FFFFFF"/>
              <w:bottom w:val="single" w:sz="8" w:space="0" w:color="D9D9D9"/>
              <w:right w:val="single" w:sz="8" w:space="0" w:color="FFFFFF"/>
            </w:tcBorders>
            <w:shd w:val="clear" w:color="auto" w:fill="auto"/>
          </w:tcPr>
          <w:p w14:paraId="5B22A2E7" w14:textId="6312052C" w:rsidR="000F7771" w:rsidRPr="00C236C6" w:rsidRDefault="000F7771" w:rsidP="000F7771">
            <w:pPr>
              <w:pStyle w:val="TabletextLeft"/>
              <w:spacing w:line="216" w:lineRule="auto"/>
              <w:rPr>
                <w:sz w:val="18"/>
                <w:szCs w:val="18"/>
              </w:rPr>
            </w:pPr>
            <w:r w:rsidRPr="00C236C6">
              <w:rPr>
                <w:color w:val="000000"/>
                <w:kern w:val="24"/>
                <w:sz w:val="18"/>
                <w:szCs w:val="18"/>
              </w:rPr>
              <w:t>Palliative Care Australia</w:t>
            </w:r>
          </w:p>
        </w:tc>
      </w:tr>
      <w:tr w:rsidR="000F7771" w:rsidRPr="00CC207B" w14:paraId="654731C6" w14:textId="77777777" w:rsidTr="00CC207B">
        <w:trPr>
          <w:trHeight w:val="42"/>
        </w:trPr>
        <w:tc>
          <w:tcPr>
            <w:tcW w:w="204" w:type="pct"/>
            <w:tcBorders>
              <w:top w:val="single" w:sz="8" w:space="0" w:color="D9D9D9"/>
              <w:left w:val="single" w:sz="8" w:space="0" w:color="FFFFFF"/>
              <w:bottom w:val="single" w:sz="8" w:space="0" w:color="D9D9D9"/>
              <w:right w:val="single" w:sz="8" w:space="0" w:color="FFFFFF"/>
            </w:tcBorders>
            <w:shd w:val="clear" w:color="auto" w:fill="auto"/>
          </w:tcPr>
          <w:p w14:paraId="2B932A37" w14:textId="329E8510" w:rsidR="000F7771" w:rsidRPr="00C236C6" w:rsidRDefault="000F7771" w:rsidP="000F7771">
            <w:pPr>
              <w:pStyle w:val="TabletextLeft"/>
              <w:spacing w:line="216" w:lineRule="auto"/>
              <w:rPr>
                <w:sz w:val="18"/>
                <w:szCs w:val="18"/>
              </w:rPr>
            </w:pPr>
            <w:r w:rsidRPr="00C236C6">
              <w:rPr>
                <w:color w:val="000000" w:themeColor="dark1"/>
                <w:kern w:val="24"/>
                <w:sz w:val="18"/>
                <w:szCs w:val="18"/>
              </w:rPr>
              <w:t>11</w:t>
            </w:r>
          </w:p>
        </w:tc>
        <w:tc>
          <w:tcPr>
            <w:tcW w:w="2296" w:type="pct"/>
            <w:tcBorders>
              <w:top w:val="single" w:sz="8" w:space="0" w:color="D9D9D9"/>
              <w:left w:val="single" w:sz="8" w:space="0" w:color="FFFFFF"/>
              <w:bottom w:val="single" w:sz="8" w:space="0" w:color="D9D9D9"/>
              <w:right w:val="single" w:sz="8" w:space="0" w:color="D9D9D9"/>
            </w:tcBorders>
            <w:shd w:val="clear" w:color="auto" w:fill="auto"/>
          </w:tcPr>
          <w:p w14:paraId="787ABEA1" w14:textId="06639740" w:rsidR="000F7771" w:rsidRPr="00C236C6" w:rsidRDefault="000F7771" w:rsidP="000F7771">
            <w:pPr>
              <w:pStyle w:val="TabletextLeft"/>
              <w:spacing w:line="216" w:lineRule="auto"/>
              <w:rPr>
                <w:sz w:val="18"/>
                <w:szCs w:val="18"/>
              </w:rPr>
            </w:pPr>
            <w:r w:rsidRPr="00C236C6">
              <w:rPr>
                <w:color w:val="000000"/>
                <w:kern w:val="24"/>
                <w:sz w:val="18"/>
                <w:szCs w:val="18"/>
              </w:rPr>
              <w:t xml:space="preserve">Australian Healthcare and Hospitals Association </w:t>
            </w:r>
          </w:p>
        </w:tc>
        <w:tc>
          <w:tcPr>
            <w:tcW w:w="209" w:type="pct"/>
            <w:tcBorders>
              <w:top w:val="single" w:sz="8" w:space="0" w:color="D9D9D9"/>
              <w:left w:val="single" w:sz="8" w:space="0" w:color="D9D9D9"/>
              <w:bottom w:val="single" w:sz="8" w:space="0" w:color="D9D9D9"/>
              <w:right w:val="single" w:sz="8" w:space="0" w:color="FFFFFF"/>
            </w:tcBorders>
            <w:shd w:val="clear" w:color="auto" w:fill="auto"/>
          </w:tcPr>
          <w:p w14:paraId="78C15979" w14:textId="455D581A" w:rsidR="000F7771" w:rsidRPr="00C236C6" w:rsidRDefault="000F7771" w:rsidP="000F7771">
            <w:pPr>
              <w:pStyle w:val="TabletextLeft"/>
              <w:spacing w:line="216" w:lineRule="auto"/>
              <w:rPr>
                <w:sz w:val="18"/>
                <w:szCs w:val="18"/>
              </w:rPr>
            </w:pPr>
            <w:r w:rsidRPr="00C236C6">
              <w:rPr>
                <w:color w:val="000000" w:themeColor="dark1"/>
                <w:kern w:val="24"/>
                <w:sz w:val="18"/>
                <w:szCs w:val="18"/>
              </w:rPr>
              <w:t>44</w:t>
            </w:r>
          </w:p>
        </w:tc>
        <w:tc>
          <w:tcPr>
            <w:tcW w:w="2291" w:type="pct"/>
            <w:tcBorders>
              <w:top w:val="single" w:sz="8" w:space="0" w:color="D9D9D9"/>
              <w:left w:val="single" w:sz="8" w:space="0" w:color="FFFFFF"/>
              <w:bottom w:val="single" w:sz="8" w:space="0" w:color="D9D9D9"/>
              <w:right w:val="single" w:sz="8" w:space="0" w:color="FFFFFF"/>
            </w:tcBorders>
            <w:shd w:val="clear" w:color="auto" w:fill="auto"/>
          </w:tcPr>
          <w:p w14:paraId="47C74331" w14:textId="2909C599" w:rsidR="000F7771" w:rsidRPr="00C236C6" w:rsidRDefault="000F7771" w:rsidP="000F7771">
            <w:pPr>
              <w:pStyle w:val="TabletextLeft"/>
              <w:spacing w:line="216" w:lineRule="auto"/>
              <w:rPr>
                <w:sz w:val="18"/>
                <w:szCs w:val="18"/>
              </w:rPr>
            </w:pPr>
            <w:r w:rsidRPr="00C236C6">
              <w:rPr>
                <w:color w:val="000000"/>
                <w:kern w:val="24"/>
                <w:sz w:val="18"/>
                <w:szCs w:val="18"/>
              </w:rPr>
              <w:t>PHN Cooperative</w:t>
            </w:r>
          </w:p>
        </w:tc>
      </w:tr>
      <w:tr w:rsidR="000F7771" w:rsidRPr="00CC207B" w14:paraId="76E79F0D" w14:textId="77777777" w:rsidTr="00CC207B">
        <w:trPr>
          <w:trHeight w:val="42"/>
        </w:trPr>
        <w:tc>
          <w:tcPr>
            <w:tcW w:w="204" w:type="pct"/>
            <w:tcBorders>
              <w:top w:val="single" w:sz="8" w:space="0" w:color="D9D9D9"/>
              <w:left w:val="single" w:sz="8" w:space="0" w:color="FFFFFF"/>
              <w:bottom w:val="single" w:sz="8" w:space="0" w:color="D9D9D9"/>
              <w:right w:val="single" w:sz="8" w:space="0" w:color="FFFFFF"/>
            </w:tcBorders>
            <w:shd w:val="clear" w:color="auto" w:fill="auto"/>
          </w:tcPr>
          <w:p w14:paraId="774D6F77" w14:textId="35AE1CF6" w:rsidR="000F7771" w:rsidRPr="00C236C6" w:rsidRDefault="000F7771" w:rsidP="000F7771">
            <w:pPr>
              <w:pStyle w:val="TabletextLeft"/>
              <w:spacing w:line="216" w:lineRule="auto"/>
              <w:rPr>
                <w:sz w:val="18"/>
                <w:szCs w:val="18"/>
              </w:rPr>
            </w:pPr>
            <w:r w:rsidRPr="00C236C6">
              <w:rPr>
                <w:color w:val="000000" w:themeColor="dark1"/>
                <w:kern w:val="24"/>
                <w:sz w:val="18"/>
                <w:szCs w:val="18"/>
              </w:rPr>
              <w:t>12</w:t>
            </w:r>
          </w:p>
        </w:tc>
        <w:tc>
          <w:tcPr>
            <w:tcW w:w="2296" w:type="pct"/>
            <w:tcBorders>
              <w:top w:val="single" w:sz="8" w:space="0" w:color="D9D9D9"/>
              <w:left w:val="single" w:sz="8" w:space="0" w:color="FFFFFF"/>
              <w:bottom w:val="single" w:sz="8" w:space="0" w:color="D9D9D9"/>
              <w:right w:val="single" w:sz="8" w:space="0" w:color="D9D9D9"/>
            </w:tcBorders>
            <w:shd w:val="clear" w:color="auto" w:fill="auto"/>
          </w:tcPr>
          <w:p w14:paraId="03796B50" w14:textId="7399D15F" w:rsidR="000F7771" w:rsidRPr="00C236C6" w:rsidRDefault="000F7771" w:rsidP="000F7771">
            <w:pPr>
              <w:pStyle w:val="TabletextLeft"/>
              <w:spacing w:line="216" w:lineRule="auto"/>
              <w:rPr>
                <w:sz w:val="18"/>
                <w:szCs w:val="18"/>
              </w:rPr>
            </w:pPr>
            <w:r w:rsidRPr="00C236C6">
              <w:rPr>
                <w:color w:val="000000"/>
                <w:kern w:val="24"/>
                <w:sz w:val="18"/>
                <w:szCs w:val="18"/>
              </w:rPr>
              <w:t>Australian Institute of Health and Welfare</w:t>
            </w:r>
          </w:p>
        </w:tc>
        <w:tc>
          <w:tcPr>
            <w:tcW w:w="209" w:type="pct"/>
            <w:tcBorders>
              <w:top w:val="single" w:sz="8" w:space="0" w:color="D9D9D9"/>
              <w:left w:val="single" w:sz="8" w:space="0" w:color="D9D9D9"/>
              <w:bottom w:val="single" w:sz="8" w:space="0" w:color="D9D9D9"/>
              <w:right w:val="single" w:sz="8" w:space="0" w:color="FFFFFF"/>
            </w:tcBorders>
            <w:shd w:val="clear" w:color="auto" w:fill="auto"/>
          </w:tcPr>
          <w:p w14:paraId="237C7621" w14:textId="76EE447D" w:rsidR="000F7771" w:rsidRPr="00C236C6" w:rsidRDefault="000F7771" w:rsidP="000F7771">
            <w:pPr>
              <w:pStyle w:val="TabletextLeft"/>
              <w:spacing w:line="216" w:lineRule="auto"/>
              <w:rPr>
                <w:sz w:val="18"/>
                <w:szCs w:val="18"/>
              </w:rPr>
            </w:pPr>
            <w:r w:rsidRPr="00C236C6">
              <w:rPr>
                <w:color w:val="000000" w:themeColor="dark1"/>
                <w:kern w:val="24"/>
                <w:sz w:val="18"/>
                <w:szCs w:val="18"/>
              </w:rPr>
              <w:t>45</w:t>
            </w:r>
          </w:p>
        </w:tc>
        <w:tc>
          <w:tcPr>
            <w:tcW w:w="2291" w:type="pct"/>
            <w:tcBorders>
              <w:top w:val="single" w:sz="8" w:space="0" w:color="D9D9D9"/>
              <w:left w:val="single" w:sz="8" w:space="0" w:color="FFFFFF"/>
              <w:bottom w:val="single" w:sz="8" w:space="0" w:color="D9D9D9"/>
              <w:right w:val="single" w:sz="8" w:space="0" w:color="FFFFFF"/>
            </w:tcBorders>
            <w:shd w:val="clear" w:color="auto" w:fill="auto"/>
          </w:tcPr>
          <w:p w14:paraId="70BA0FB4" w14:textId="2DC65B4F" w:rsidR="000F7771" w:rsidRPr="00C236C6" w:rsidRDefault="000F7771" w:rsidP="000F7771">
            <w:pPr>
              <w:pStyle w:val="TabletextLeft"/>
              <w:spacing w:line="216" w:lineRule="auto"/>
              <w:rPr>
                <w:sz w:val="18"/>
                <w:szCs w:val="18"/>
              </w:rPr>
            </w:pPr>
            <w:r w:rsidRPr="00C236C6">
              <w:rPr>
                <w:color w:val="000000"/>
                <w:kern w:val="24"/>
                <w:sz w:val="18"/>
                <w:szCs w:val="18"/>
              </w:rPr>
              <w:t>Private Healthcare Australia</w:t>
            </w:r>
          </w:p>
        </w:tc>
      </w:tr>
      <w:tr w:rsidR="000F7771" w:rsidRPr="00CC207B" w14:paraId="0ACD9265" w14:textId="77777777" w:rsidTr="00CC207B">
        <w:trPr>
          <w:trHeight w:val="42"/>
        </w:trPr>
        <w:tc>
          <w:tcPr>
            <w:tcW w:w="204" w:type="pct"/>
            <w:tcBorders>
              <w:top w:val="single" w:sz="8" w:space="0" w:color="D9D9D9"/>
              <w:left w:val="single" w:sz="8" w:space="0" w:color="FFFFFF"/>
              <w:bottom w:val="single" w:sz="8" w:space="0" w:color="D9D9D9"/>
              <w:right w:val="single" w:sz="8" w:space="0" w:color="FFFFFF"/>
            </w:tcBorders>
            <w:shd w:val="clear" w:color="auto" w:fill="auto"/>
          </w:tcPr>
          <w:p w14:paraId="2ECDA49E" w14:textId="6F0218B4" w:rsidR="000F7771" w:rsidRPr="00C236C6" w:rsidRDefault="000F7771" w:rsidP="000F7771">
            <w:pPr>
              <w:pStyle w:val="TabletextLeft"/>
              <w:spacing w:line="216" w:lineRule="auto"/>
              <w:rPr>
                <w:sz w:val="18"/>
                <w:szCs w:val="18"/>
              </w:rPr>
            </w:pPr>
            <w:r w:rsidRPr="00C236C6">
              <w:rPr>
                <w:color w:val="000000" w:themeColor="dark1"/>
                <w:kern w:val="24"/>
                <w:sz w:val="18"/>
                <w:szCs w:val="18"/>
              </w:rPr>
              <w:t>13</w:t>
            </w:r>
          </w:p>
        </w:tc>
        <w:tc>
          <w:tcPr>
            <w:tcW w:w="2296" w:type="pct"/>
            <w:tcBorders>
              <w:top w:val="single" w:sz="8" w:space="0" w:color="D9D9D9"/>
              <w:left w:val="single" w:sz="8" w:space="0" w:color="FFFFFF"/>
              <w:bottom w:val="single" w:sz="8" w:space="0" w:color="D9D9D9"/>
              <w:right w:val="single" w:sz="8" w:space="0" w:color="D9D9D9"/>
            </w:tcBorders>
            <w:shd w:val="clear" w:color="auto" w:fill="auto"/>
          </w:tcPr>
          <w:p w14:paraId="21024849" w14:textId="3E7AA082" w:rsidR="000F7771" w:rsidRPr="00C236C6" w:rsidRDefault="000F7771" w:rsidP="000F7771">
            <w:pPr>
              <w:pStyle w:val="TabletextLeft"/>
              <w:spacing w:line="216" w:lineRule="auto"/>
              <w:rPr>
                <w:sz w:val="18"/>
                <w:szCs w:val="18"/>
              </w:rPr>
            </w:pPr>
            <w:r w:rsidRPr="00C236C6">
              <w:rPr>
                <w:color w:val="000000"/>
                <w:kern w:val="24"/>
                <w:sz w:val="18"/>
                <w:szCs w:val="18"/>
              </w:rPr>
              <w:t>Australian Medical Association</w:t>
            </w:r>
          </w:p>
        </w:tc>
        <w:tc>
          <w:tcPr>
            <w:tcW w:w="209" w:type="pct"/>
            <w:tcBorders>
              <w:top w:val="single" w:sz="8" w:space="0" w:color="D9D9D9"/>
              <w:left w:val="single" w:sz="8" w:space="0" w:color="D9D9D9"/>
              <w:bottom w:val="single" w:sz="8" w:space="0" w:color="D9D9D9"/>
              <w:right w:val="single" w:sz="8" w:space="0" w:color="FFFFFF"/>
            </w:tcBorders>
            <w:shd w:val="clear" w:color="auto" w:fill="auto"/>
          </w:tcPr>
          <w:p w14:paraId="1DA4C6A9" w14:textId="2DA9AEC1" w:rsidR="000F7771" w:rsidRPr="00C236C6" w:rsidRDefault="000F7771" w:rsidP="000F7771">
            <w:pPr>
              <w:pStyle w:val="TabletextLeft"/>
              <w:spacing w:line="216" w:lineRule="auto"/>
              <w:rPr>
                <w:sz w:val="18"/>
                <w:szCs w:val="18"/>
              </w:rPr>
            </w:pPr>
            <w:r w:rsidRPr="00C236C6">
              <w:rPr>
                <w:color w:val="000000" w:themeColor="dark1"/>
                <w:kern w:val="24"/>
                <w:sz w:val="18"/>
                <w:szCs w:val="18"/>
              </w:rPr>
              <w:t>46</w:t>
            </w:r>
          </w:p>
        </w:tc>
        <w:tc>
          <w:tcPr>
            <w:tcW w:w="2291" w:type="pct"/>
            <w:tcBorders>
              <w:top w:val="single" w:sz="8" w:space="0" w:color="D9D9D9"/>
              <w:left w:val="single" w:sz="8" w:space="0" w:color="FFFFFF"/>
              <w:bottom w:val="single" w:sz="8" w:space="0" w:color="D9D9D9"/>
              <w:right w:val="single" w:sz="8" w:space="0" w:color="FFFFFF"/>
            </w:tcBorders>
            <w:shd w:val="clear" w:color="auto" w:fill="auto"/>
          </w:tcPr>
          <w:p w14:paraId="61A1FFC6" w14:textId="77777777" w:rsidR="000F7771" w:rsidRPr="00C236C6" w:rsidRDefault="000F7771" w:rsidP="000F7771">
            <w:pPr>
              <w:pStyle w:val="NormalWeb"/>
              <w:spacing w:after="0"/>
              <w:textAlignment w:val="top"/>
              <w:rPr>
                <w:rFonts w:ascii="Calibri" w:hAnsi="Calibri" w:cs="Calibri"/>
                <w:sz w:val="18"/>
                <w:szCs w:val="18"/>
              </w:rPr>
            </w:pPr>
            <w:r w:rsidRPr="00C236C6">
              <w:rPr>
                <w:rFonts w:ascii="Calibri" w:hAnsi="Calibri" w:cs="Calibri"/>
                <w:color w:val="000000"/>
                <w:kern w:val="24"/>
                <w:sz w:val="18"/>
                <w:szCs w:val="18"/>
              </w:rPr>
              <w:t xml:space="preserve">Public Pathology Australia joint with the Royal </w:t>
            </w:r>
          </w:p>
          <w:p w14:paraId="223114A5" w14:textId="1EDE2AB8" w:rsidR="000F7771" w:rsidRPr="00C236C6" w:rsidRDefault="000F7771" w:rsidP="000F7771">
            <w:pPr>
              <w:pStyle w:val="TabletextLeft"/>
              <w:spacing w:line="216" w:lineRule="auto"/>
              <w:rPr>
                <w:sz w:val="18"/>
                <w:szCs w:val="18"/>
              </w:rPr>
            </w:pPr>
            <w:r w:rsidRPr="00C236C6">
              <w:rPr>
                <w:color w:val="000000"/>
                <w:kern w:val="24"/>
                <w:sz w:val="18"/>
                <w:szCs w:val="18"/>
              </w:rPr>
              <w:t xml:space="preserve">College of Pathologists of Australasia </w:t>
            </w:r>
          </w:p>
        </w:tc>
      </w:tr>
      <w:tr w:rsidR="000F7771" w:rsidRPr="00CC207B" w14:paraId="5C4F339C" w14:textId="77777777" w:rsidTr="00CC207B">
        <w:trPr>
          <w:trHeight w:val="42"/>
        </w:trPr>
        <w:tc>
          <w:tcPr>
            <w:tcW w:w="204" w:type="pct"/>
            <w:tcBorders>
              <w:top w:val="single" w:sz="8" w:space="0" w:color="D9D9D9"/>
              <w:left w:val="single" w:sz="8" w:space="0" w:color="FFFFFF"/>
              <w:bottom w:val="single" w:sz="8" w:space="0" w:color="D9D9D9"/>
              <w:right w:val="single" w:sz="8" w:space="0" w:color="FFFFFF"/>
            </w:tcBorders>
            <w:shd w:val="clear" w:color="auto" w:fill="auto"/>
          </w:tcPr>
          <w:p w14:paraId="0B75D9F4" w14:textId="016C8375" w:rsidR="000F7771" w:rsidRPr="00C236C6" w:rsidRDefault="000F7771" w:rsidP="000F7771">
            <w:pPr>
              <w:pStyle w:val="TabletextLeft"/>
              <w:spacing w:line="216" w:lineRule="auto"/>
              <w:rPr>
                <w:sz w:val="18"/>
                <w:szCs w:val="18"/>
              </w:rPr>
            </w:pPr>
            <w:r w:rsidRPr="00C236C6">
              <w:rPr>
                <w:color w:val="000000" w:themeColor="dark1"/>
                <w:kern w:val="24"/>
                <w:sz w:val="18"/>
                <w:szCs w:val="18"/>
              </w:rPr>
              <w:t>14</w:t>
            </w:r>
          </w:p>
        </w:tc>
        <w:tc>
          <w:tcPr>
            <w:tcW w:w="2296" w:type="pct"/>
            <w:tcBorders>
              <w:top w:val="single" w:sz="8" w:space="0" w:color="D9D9D9"/>
              <w:left w:val="single" w:sz="8" w:space="0" w:color="FFFFFF"/>
              <w:bottom w:val="single" w:sz="8" w:space="0" w:color="D9D9D9"/>
              <w:right w:val="single" w:sz="8" w:space="0" w:color="D9D9D9"/>
            </w:tcBorders>
            <w:shd w:val="clear" w:color="auto" w:fill="auto"/>
          </w:tcPr>
          <w:p w14:paraId="6DCA08FB" w14:textId="3AFBC605" w:rsidR="000F7771" w:rsidRPr="00C236C6" w:rsidRDefault="000F7771" w:rsidP="000F7771">
            <w:pPr>
              <w:pStyle w:val="TabletextLeft"/>
              <w:spacing w:line="216" w:lineRule="auto"/>
              <w:rPr>
                <w:sz w:val="18"/>
                <w:szCs w:val="18"/>
              </w:rPr>
            </w:pPr>
            <w:r w:rsidRPr="00C236C6">
              <w:rPr>
                <w:color w:val="000000"/>
                <w:kern w:val="24"/>
                <w:sz w:val="18"/>
                <w:szCs w:val="18"/>
              </w:rPr>
              <w:t>Australian Nursing and Midwifery Federation</w:t>
            </w:r>
          </w:p>
        </w:tc>
        <w:tc>
          <w:tcPr>
            <w:tcW w:w="209" w:type="pct"/>
            <w:tcBorders>
              <w:top w:val="single" w:sz="8" w:space="0" w:color="D9D9D9"/>
              <w:left w:val="single" w:sz="8" w:space="0" w:color="D9D9D9"/>
              <w:bottom w:val="single" w:sz="8" w:space="0" w:color="D9D9D9"/>
              <w:right w:val="single" w:sz="8" w:space="0" w:color="FFFFFF"/>
            </w:tcBorders>
            <w:shd w:val="clear" w:color="auto" w:fill="auto"/>
          </w:tcPr>
          <w:p w14:paraId="7D4C441A" w14:textId="4C199BE0" w:rsidR="000F7771" w:rsidRPr="00C236C6" w:rsidRDefault="000F7771" w:rsidP="000F7771">
            <w:pPr>
              <w:pStyle w:val="TabletextLeft"/>
              <w:spacing w:line="216" w:lineRule="auto"/>
              <w:rPr>
                <w:sz w:val="18"/>
                <w:szCs w:val="18"/>
              </w:rPr>
            </w:pPr>
            <w:r w:rsidRPr="00C236C6">
              <w:rPr>
                <w:color w:val="000000" w:themeColor="dark1"/>
                <w:kern w:val="24"/>
                <w:sz w:val="18"/>
                <w:szCs w:val="18"/>
              </w:rPr>
              <w:t>47</w:t>
            </w:r>
          </w:p>
        </w:tc>
        <w:tc>
          <w:tcPr>
            <w:tcW w:w="2291" w:type="pct"/>
            <w:tcBorders>
              <w:top w:val="single" w:sz="8" w:space="0" w:color="D9D9D9"/>
              <w:left w:val="single" w:sz="8" w:space="0" w:color="FFFFFF"/>
              <w:bottom w:val="single" w:sz="8" w:space="0" w:color="D9D9D9"/>
              <w:right w:val="single" w:sz="8" w:space="0" w:color="FFFFFF"/>
            </w:tcBorders>
            <w:shd w:val="clear" w:color="auto" w:fill="auto"/>
          </w:tcPr>
          <w:p w14:paraId="43370E07" w14:textId="0D7DC1B6" w:rsidR="000F7771" w:rsidRPr="00C236C6" w:rsidRDefault="000F7771" w:rsidP="000F7771">
            <w:pPr>
              <w:pStyle w:val="TabletextLeft"/>
              <w:spacing w:line="216" w:lineRule="auto"/>
              <w:rPr>
                <w:sz w:val="18"/>
                <w:szCs w:val="18"/>
              </w:rPr>
            </w:pPr>
            <w:r w:rsidRPr="00C236C6">
              <w:rPr>
                <w:color w:val="000000"/>
                <w:kern w:val="24"/>
                <w:sz w:val="18"/>
                <w:szCs w:val="18"/>
              </w:rPr>
              <w:t>Queensland Health</w:t>
            </w:r>
          </w:p>
        </w:tc>
      </w:tr>
      <w:tr w:rsidR="000F7771" w:rsidRPr="00CC207B" w14:paraId="4D33C551" w14:textId="77777777" w:rsidTr="00CC207B">
        <w:trPr>
          <w:trHeight w:val="42"/>
        </w:trPr>
        <w:tc>
          <w:tcPr>
            <w:tcW w:w="204" w:type="pct"/>
            <w:tcBorders>
              <w:top w:val="single" w:sz="8" w:space="0" w:color="D9D9D9"/>
              <w:left w:val="single" w:sz="8" w:space="0" w:color="FFFFFF"/>
              <w:bottom w:val="single" w:sz="8" w:space="0" w:color="D9D9D9"/>
              <w:right w:val="single" w:sz="8" w:space="0" w:color="FFFFFF"/>
            </w:tcBorders>
            <w:shd w:val="clear" w:color="auto" w:fill="auto"/>
          </w:tcPr>
          <w:p w14:paraId="657BCB2D" w14:textId="67E86F3A" w:rsidR="000F7771" w:rsidRPr="00C236C6" w:rsidRDefault="000F7771" w:rsidP="000F7771">
            <w:pPr>
              <w:pStyle w:val="TabletextLeft"/>
              <w:spacing w:line="216" w:lineRule="auto"/>
              <w:rPr>
                <w:sz w:val="18"/>
                <w:szCs w:val="18"/>
              </w:rPr>
            </w:pPr>
            <w:r w:rsidRPr="00C236C6">
              <w:rPr>
                <w:color w:val="000000" w:themeColor="dark1"/>
                <w:kern w:val="24"/>
                <w:sz w:val="18"/>
                <w:szCs w:val="18"/>
              </w:rPr>
              <w:t>15</w:t>
            </w:r>
          </w:p>
        </w:tc>
        <w:tc>
          <w:tcPr>
            <w:tcW w:w="2296" w:type="pct"/>
            <w:tcBorders>
              <w:top w:val="single" w:sz="8" w:space="0" w:color="D9D9D9"/>
              <w:left w:val="single" w:sz="8" w:space="0" w:color="FFFFFF"/>
              <w:bottom w:val="single" w:sz="8" w:space="0" w:color="D9D9D9"/>
              <w:right w:val="single" w:sz="8" w:space="0" w:color="D9D9D9"/>
            </w:tcBorders>
            <w:shd w:val="clear" w:color="auto" w:fill="auto"/>
          </w:tcPr>
          <w:p w14:paraId="6ABBE660" w14:textId="5AFFFF53" w:rsidR="000F7771" w:rsidRPr="00C236C6" w:rsidRDefault="000F7771" w:rsidP="000F7771">
            <w:pPr>
              <w:pStyle w:val="TabletextLeft"/>
              <w:spacing w:line="216" w:lineRule="auto"/>
              <w:rPr>
                <w:sz w:val="18"/>
                <w:szCs w:val="18"/>
              </w:rPr>
            </w:pPr>
            <w:r w:rsidRPr="00C236C6">
              <w:rPr>
                <w:color w:val="000000"/>
                <w:kern w:val="24"/>
                <w:sz w:val="18"/>
                <w:szCs w:val="18"/>
              </w:rPr>
              <w:t>Australian Physiotherapy Association</w:t>
            </w:r>
          </w:p>
        </w:tc>
        <w:tc>
          <w:tcPr>
            <w:tcW w:w="209" w:type="pct"/>
            <w:tcBorders>
              <w:top w:val="single" w:sz="8" w:space="0" w:color="D9D9D9"/>
              <w:left w:val="single" w:sz="8" w:space="0" w:color="D9D9D9"/>
              <w:bottom w:val="single" w:sz="8" w:space="0" w:color="D9D9D9"/>
              <w:right w:val="single" w:sz="8" w:space="0" w:color="FFFFFF"/>
            </w:tcBorders>
            <w:shd w:val="clear" w:color="auto" w:fill="auto"/>
          </w:tcPr>
          <w:p w14:paraId="4B22D065" w14:textId="2C7D14B9" w:rsidR="000F7771" w:rsidRPr="00C236C6" w:rsidRDefault="000F7771" w:rsidP="000F7771">
            <w:pPr>
              <w:pStyle w:val="TabletextLeft"/>
              <w:spacing w:line="216" w:lineRule="auto"/>
              <w:rPr>
                <w:sz w:val="18"/>
                <w:szCs w:val="18"/>
              </w:rPr>
            </w:pPr>
            <w:r w:rsidRPr="00C236C6">
              <w:rPr>
                <w:color w:val="000000" w:themeColor="dark1"/>
                <w:kern w:val="24"/>
                <w:sz w:val="18"/>
                <w:szCs w:val="18"/>
              </w:rPr>
              <w:t>48</w:t>
            </w:r>
          </w:p>
        </w:tc>
        <w:tc>
          <w:tcPr>
            <w:tcW w:w="2291" w:type="pct"/>
            <w:tcBorders>
              <w:top w:val="single" w:sz="8" w:space="0" w:color="D9D9D9"/>
              <w:left w:val="single" w:sz="8" w:space="0" w:color="FFFFFF"/>
              <w:bottom w:val="single" w:sz="8" w:space="0" w:color="D9D9D9"/>
              <w:right w:val="single" w:sz="8" w:space="0" w:color="FFFFFF"/>
            </w:tcBorders>
            <w:shd w:val="clear" w:color="auto" w:fill="auto"/>
          </w:tcPr>
          <w:p w14:paraId="592E5F94" w14:textId="5590BA1F" w:rsidR="000F7771" w:rsidRPr="00C236C6" w:rsidRDefault="000F7771" w:rsidP="000F7771">
            <w:pPr>
              <w:pStyle w:val="TabletextLeft"/>
              <w:spacing w:line="216" w:lineRule="auto"/>
              <w:rPr>
                <w:sz w:val="18"/>
                <w:szCs w:val="18"/>
              </w:rPr>
            </w:pPr>
            <w:r w:rsidRPr="00C236C6">
              <w:rPr>
                <w:color w:val="000000"/>
                <w:kern w:val="24"/>
                <w:sz w:val="18"/>
                <w:szCs w:val="18"/>
              </w:rPr>
              <w:t xml:space="preserve">Ramsay Health Care </w:t>
            </w:r>
          </w:p>
        </w:tc>
      </w:tr>
      <w:tr w:rsidR="000F7771" w:rsidRPr="00CC207B" w14:paraId="6D349D61" w14:textId="77777777" w:rsidTr="00CC207B">
        <w:trPr>
          <w:trHeight w:val="42"/>
        </w:trPr>
        <w:tc>
          <w:tcPr>
            <w:tcW w:w="204" w:type="pct"/>
            <w:tcBorders>
              <w:top w:val="single" w:sz="8" w:space="0" w:color="D9D9D9"/>
              <w:left w:val="single" w:sz="8" w:space="0" w:color="FFFFFF"/>
              <w:bottom w:val="single" w:sz="8" w:space="0" w:color="D9D9D9"/>
              <w:right w:val="single" w:sz="8" w:space="0" w:color="FFFFFF"/>
            </w:tcBorders>
            <w:shd w:val="clear" w:color="auto" w:fill="auto"/>
          </w:tcPr>
          <w:p w14:paraId="5625863F" w14:textId="29F30BA4" w:rsidR="000F7771" w:rsidRPr="00C236C6" w:rsidRDefault="000F7771" w:rsidP="000F7771">
            <w:pPr>
              <w:pStyle w:val="TabletextLeft"/>
              <w:spacing w:line="216" w:lineRule="auto"/>
              <w:rPr>
                <w:sz w:val="18"/>
                <w:szCs w:val="18"/>
              </w:rPr>
            </w:pPr>
            <w:r w:rsidRPr="00C236C6">
              <w:rPr>
                <w:color w:val="000000" w:themeColor="dark1"/>
                <w:kern w:val="24"/>
                <w:sz w:val="18"/>
                <w:szCs w:val="18"/>
              </w:rPr>
              <w:t>16</w:t>
            </w:r>
          </w:p>
        </w:tc>
        <w:tc>
          <w:tcPr>
            <w:tcW w:w="2296" w:type="pct"/>
            <w:tcBorders>
              <w:top w:val="single" w:sz="8" w:space="0" w:color="D9D9D9"/>
              <w:left w:val="single" w:sz="8" w:space="0" w:color="FFFFFF"/>
              <w:bottom w:val="single" w:sz="8" w:space="0" w:color="D9D9D9"/>
              <w:right w:val="single" w:sz="8" w:space="0" w:color="D9D9D9"/>
            </w:tcBorders>
            <w:shd w:val="clear" w:color="auto" w:fill="auto"/>
          </w:tcPr>
          <w:p w14:paraId="604E6A0F" w14:textId="6C12490C" w:rsidR="000F7771" w:rsidRPr="00C236C6" w:rsidRDefault="000F7771" w:rsidP="000F7771">
            <w:pPr>
              <w:pStyle w:val="TabletextLeft"/>
              <w:spacing w:line="216" w:lineRule="auto"/>
              <w:rPr>
                <w:sz w:val="18"/>
                <w:szCs w:val="18"/>
              </w:rPr>
            </w:pPr>
            <w:r w:rsidRPr="00C236C6">
              <w:rPr>
                <w:color w:val="000000"/>
                <w:kern w:val="24"/>
                <w:sz w:val="18"/>
                <w:szCs w:val="18"/>
              </w:rPr>
              <w:t>Australian Psychological Society</w:t>
            </w:r>
          </w:p>
        </w:tc>
        <w:tc>
          <w:tcPr>
            <w:tcW w:w="209" w:type="pct"/>
            <w:tcBorders>
              <w:top w:val="single" w:sz="8" w:space="0" w:color="D9D9D9"/>
              <w:left w:val="single" w:sz="8" w:space="0" w:color="D9D9D9"/>
              <w:bottom w:val="single" w:sz="8" w:space="0" w:color="D9D9D9"/>
              <w:right w:val="single" w:sz="8" w:space="0" w:color="FFFFFF"/>
            </w:tcBorders>
            <w:shd w:val="clear" w:color="auto" w:fill="auto"/>
          </w:tcPr>
          <w:p w14:paraId="4E1174A7" w14:textId="2C412AF4" w:rsidR="000F7771" w:rsidRPr="00C236C6" w:rsidRDefault="000F7771" w:rsidP="000F7771">
            <w:pPr>
              <w:pStyle w:val="TabletextLeft"/>
              <w:spacing w:line="216" w:lineRule="auto"/>
              <w:rPr>
                <w:sz w:val="18"/>
                <w:szCs w:val="18"/>
              </w:rPr>
            </w:pPr>
            <w:r w:rsidRPr="00C236C6">
              <w:rPr>
                <w:color w:val="000000" w:themeColor="dark1"/>
                <w:kern w:val="24"/>
                <w:sz w:val="18"/>
                <w:szCs w:val="18"/>
              </w:rPr>
              <w:t>49</w:t>
            </w:r>
          </w:p>
        </w:tc>
        <w:tc>
          <w:tcPr>
            <w:tcW w:w="2291" w:type="pct"/>
            <w:tcBorders>
              <w:top w:val="single" w:sz="8" w:space="0" w:color="D9D9D9"/>
              <w:left w:val="single" w:sz="8" w:space="0" w:color="FFFFFF"/>
              <w:bottom w:val="single" w:sz="8" w:space="0" w:color="D9D9D9"/>
              <w:right w:val="single" w:sz="8" w:space="0" w:color="FFFFFF"/>
            </w:tcBorders>
            <w:shd w:val="clear" w:color="auto" w:fill="auto"/>
          </w:tcPr>
          <w:p w14:paraId="789C0636" w14:textId="5B199780" w:rsidR="000F7771" w:rsidRPr="00C236C6" w:rsidRDefault="000F7771" w:rsidP="000F7771">
            <w:pPr>
              <w:pStyle w:val="TabletextLeft"/>
              <w:spacing w:line="216" w:lineRule="auto"/>
              <w:rPr>
                <w:sz w:val="18"/>
                <w:szCs w:val="18"/>
              </w:rPr>
            </w:pPr>
            <w:r w:rsidRPr="00C236C6">
              <w:rPr>
                <w:color w:val="000000"/>
                <w:kern w:val="24"/>
                <w:sz w:val="18"/>
                <w:szCs w:val="18"/>
              </w:rPr>
              <w:t>Royal Australian College of General Practitioners</w:t>
            </w:r>
          </w:p>
        </w:tc>
      </w:tr>
      <w:tr w:rsidR="000F7771" w:rsidRPr="00CC207B" w14:paraId="122D10BC" w14:textId="77777777" w:rsidTr="00CC207B">
        <w:trPr>
          <w:trHeight w:val="42"/>
        </w:trPr>
        <w:tc>
          <w:tcPr>
            <w:tcW w:w="204" w:type="pct"/>
            <w:tcBorders>
              <w:top w:val="single" w:sz="8" w:space="0" w:color="D9D9D9"/>
              <w:left w:val="single" w:sz="8" w:space="0" w:color="FFFFFF"/>
              <w:bottom w:val="single" w:sz="8" w:space="0" w:color="D9D9D9"/>
              <w:right w:val="single" w:sz="8" w:space="0" w:color="FFFFFF"/>
            </w:tcBorders>
            <w:shd w:val="clear" w:color="auto" w:fill="auto"/>
          </w:tcPr>
          <w:p w14:paraId="16868B7A" w14:textId="14895396" w:rsidR="000F7771" w:rsidRPr="00C236C6" w:rsidRDefault="000F7771" w:rsidP="000F7771">
            <w:pPr>
              <w:pStyle w:val="TabletextLeft"/>
              <w:spacing w:line="216" w:lineRule="auto"/>
              <w:rPr>
                <w:sz w:val="18"/>
                <w:szCs w:val="18"/>
              </w:rPr>
            </w:pPr>
            <w:r w:rsidRPr="00C236C6">
              <w:rPr>
                <w:color w:val="000000" w:themeColor="dark1"/>
                <w:kern w:val="24"/>
                <w:sz w:val="18"/>
                <w:szCs w:val="18"/>
              </w:rPr>
              <w:t>17</w:t>
            </w:r>
          </w:p>
        </w:tc>
        <w:tc>
          <w:tcPr>
            <w:tcW w:w="2296" w:type="pct"/>
            <w:tcBorders>
              <w:top w:val="single" w:sz="8" w:space="0" w:color="D9D9D9"/>
              <w:left w:val="single" w:sz="8" w:space="0" w:color="FFFFFF"/>
              <w:bottom w:val="single" w:sz="8" w:space="0" w:color="D9D9D9"/>
              <w:right w:val="single" w:sz="8" w:space="0" w:color="D9D9D9"/>
            </w:tcBorders>
            <w:shd w:val="clear" w:color="auto" w:fill="auto"/>
          </w:tcPr>
          <w:p w14:paraId="193C6ED0" w14:textId="73586FA4" w:rsidR="000F7771" w:rsidRPr="00C236C6" w:rsidRDefault="000F7771" w:rsidP="000F7771">
            <w:pPr>
              <w:pStyle w:val="TabletextLeft"/>
              <w:spacing w:line="216" w:lineRule="auto"/>
              <w:rPr>
                <w:sz w:val="18"/>
                <w:szCs w:val="18"/>
              </w:rPr>
            </w:pPr>
            <w:r w:rsidRPr="00C236C6">
              <w:rPr>
                <w:color w:val="000000"/>
                <w:kern w:val="24"/>
                <w:sz w:val="18"/>
                <w:szCs w:val="18"/>
              </w:rPr>
              <w:t>Australian Rheumatology Association</w:t>
            </w:r>
          </w:p>
        </w:tc>
        <w:tc>
          <w:tcPr>
            <w:tcW w:w="209" w:type="pct"/>
            <w:tcBorders>
              <w:top w:val="single" w:sz="8" w:space="0" w:color="D9D9D9"/>
              <w:left w:val="single" w:sz="8" w:space="0" w:color="D9D9D9"/>
              <w:bottom w:val="single" w:sz="8" w:space="0" w:color="D9D9D9"/>
              <w:right w:val="single" w:sz="8" w:space="0" w:color="FFFFFF"/>
            </w:tcBorders>
            <w:shd w:val="clear" w:color="auto" w:fill="auto"/>
          </w:tcPr>
          <w:p w14:paraId="5725860D" w14:textId="7FD5E090" w:rsidR="000F7771" w:rsidRPr="00C236C6" w:rsidRDefault="000F7771" w:rsidP="000F7771">
            <w:pPr>
              <w:pStyle w:val="TabletextLeft"/>
              <w:spacing w:line="216" w:lineRule="auto"/>
              <w:rPr>
                <w:sz w:val="18"/>
                <w:szCs w:val="18"/>
              </w:rPr>
            </w:pPr>
            <w:r w:rsidRPr="00C236C6">
              <w:rPr>
                <w:color w:val="000000" w:themeColor="dark1"/>
                <w:kern w:val="24"/>
                <w:sz w:val="18"/>
                <w:szCs w:val="18"/>
              </w:rPr>
              <w:t>50</w:t>
            </w:r>
          </w:p>
        </w:tc>
        <w:tc>
          <w:tcPr>
            <w:tcW w:w="2291" w:type="pct"/>
            <w:tcBorders>
              <w:top w:val="single" w:sz="8" w:space="0" w:color="D9D9D9"/>
              <w:left w:val="single" w:sz="8" w:space="0" w:color="FFFFFF"/>
              <w:bottom w:val="single" w:sz="8" w:space="0" w:color="D9D9D9"/>
              <w:right w:val="single" w:sz="8" w:space="0" w:color="FFFFFF"/>
            </w:tcBorders>
            <w:shd w:val="clear" w:color="auto" w:fill="auto"/>
          </w:tcPr>
          <w:p w14:paraId="42A176E6" w14:textId="4B14F710" w:rsidR="000F7771" w:rsidRPr="00C236C6" w:rsidRDefault="000F7771" w:rsidP="000F7771">
            <w:pPr>
              <w:pStyle w:val="TabletextLeft"/>
              <w:spacing w:line="216" w:lineRule="auto"/>
              <w:rPr>
                <w:sz w:val="18"/>
                <w:szCs w:val="18"/>
              </w:rPr>
            </w:pPr>
            <w:r w:rsidRPr="00C236C6">
              <w:rPr>
                <w:color w:val="000000"/>
                <w:kern w:val="24"/>
                <w:sz w:val="18"/>
                <w:szCs w:val="18"/>
              </w:rPr>
              <w:t>Royal Australian College of Physicians</w:t>
            </w:r>
          </w:p>
        </w:tc>
      </w:tr>
      <w:tr w:rsidR="000F7771" w:rsidRPr="00CC207B" w14:paraId="3D22BE23" w14:textId="77777777" w:rsidTr="00CC207B">
        <w:trPr>
          <w:trHeight w:val="42"/>
        </w:trPr>
        <w:tc>
          <w:tcPr>
            <w:tcW w:w="204" w:type="pct"/>
            <w:tcBorders>
              <w:top w:val="single" w:sz="8" w:space="0" w:color="D9D9D9"/>
              <w:left w:val="single" w:sz="8" w:space="0" w:color="FFFFFF"/>
              <w:bottom w:val="single" w:sz="8" w:space="0" w:color="D9D9D9"/>
              <w:right w:val="single" w:sz="8" w:space="0" w:color="FFFFFF"/>
            </w:tcBorders>
            <w:shd w:val="clear" w:color="auto" w:fill="auto"/>
          </w:tcPr>
          <w:p w14:paraId="65E7B70A" w14:textId="22BFD1BA" w:rsidR="000F7771" w:rsidRPr="00C236C6" w:rsidRDefault="000F7771" w:rsidP="000F7771">
            <w:pPr>
              <w:pStyle w:val="TabletextLeft"/>
              <w:spacing w:line="216" w:lineRule="auto"/>
              <w:rPr>
                <w:sz w:val="18"/>
                <w:szCs w:val="18"/>
              </w:rPr>
            </w:pPr>
            <w:r w:rsidRPr="00C236C6">
              <w:rPr>
                <w:color w:val="000000" w:themeColor="dark1"/>
                <w:kern w:val="24"/>
                <w:sz w:val="18"/>
                <w:szCs w:val="18"/>
              </w:rPr>
              <w:t>18</w:t>
            </w:r>
          </w:p>
        </w:tc>
        <w:tc>
          <w:tcPr>
            <w:tcW w:w="2296" w:type="pct"/>
            <w:tcBorders>
              <w:top w:val="single" w:sz="8" w:space="0" w:color="D9D9D9"/>
              <w:left w:val="single" w:sz="8" w:space="0" w:color="FFFFFF"/>
              <w:bottom w:val="single" w:sz="8" w:space="0" w:color="D9D9D9"/>
              <w:right w:val="single" w:sz="8" w:space="0" w:color="D9D9D9"/>
            </w:tcBorders>
            <w:shd w:val="clear" w:color="auto" w:fill="auto"/>
          </w:tcPr>
          <w:p w14:paraId="02D0EA68" w14:textId="69DB228C" w:rsidR="000F7771" w:rsidRPr="00C236C6" w:rsidRDefault="000F7771" w:rsidP="000F7771">
            <w:pPr>
              <w:pStyle w:val="TabletextLeft"/>
              <w:spacing w:line="216" w:lineRule="auto"/>
              <w:rPr>
                <w:sz w:val="18"/>
                <w:szCs w:val="18"/>
              </w:rPr>
            </w:pPr>
            <w:r w:rsidRPr="00C236C6">
              <w:rPr>
                <w:color w:val="000000"/>
                <w:kern w:val="24"/>
                <w:sz w:val="18"/>
                <w:szCs w:val="18"/>
              </w:rPr>
              <w:t>Australian Nursing </w:t>
            </w:r>
            <w:r w:rsidR="00CB0B0D">
              <w:rPr>
                <w:color w:val="000000"/>
                <w:kern w:val="24"/>
                <w:sz w:val="18"/>
                <w:szCs w:val="18"/>
              </w:rPr>
              <w:t>and</w:t>
            </w:r>
            <w:r w:rsidRPr="00C236C6">
              <w:rPr>
                <w:color w:val="000000"/>
                <w:kern w:val="24"/>
                <w:sz w:val="18"/>
                <w:szCs w:val="18"/>
              </w:rPr>
              <w:t> Midwifery Federation</w:t>
            </w:r>
          </w:p>
        </w:tc>
        <w:tc>
          <w:tcPr>
            <w:tcW w:w="209" w:type="pct"/>
            <w:tcBorders>
              <w:top w:val="single" w:sz="8" w:space="0" w:color="D9D9D9"/>
              <w:left w:val="single" w:sz="8" w:space="0" w:color="D9D9D9"/>
              <w:bottom w:val="single" w:sz="8" w:space="0" w:color="D9D9D9"/>
              <w:right w:val="single" w:sz="8" w:space="0" w:color="FFFFFF"/>
            </w:tcBorders>
            <w:shd w:val="clear" w:color="auto" w:fill="auto"/>
          </w:tcPr>
          <w:p w14:paraId="35DB56BD" w14:textId="7E56F94D" w:rsidR="000F7771" w:rsidRPr="00C236C6" w:rsidRDefault="000F7771" w:rsidP="000F7771">
            <w:pPr>
              <w:pStyle w:val="TabletextLeft"/>
              <w:spacing w:line="216" w:lineRule="auto"/>
              <w:rPr>
                <w:sz w:val="18"/>
                <w:szCs w:val="18"/>
              </w:rPr>
            </w:pPr>
            <w:r w:rsidRPr="00C236C6">
              <w:rPr>
                <w:color w:val="000000" w:themeColor="dark1"/>
                <w:kern w:val="24"/>
                <w:sz w:val="18"/>
                <w:szCs w:val="18"/>
              </w:rPr>
              <w:t>51</w:t>
            </w:r>
          </w:p>
        </w:tc>
        <w:tc>
          <w:tcPr>
            <w:tcW w:w="2291" w:type="pct"/>
            <w:tcBorders>
              <w:top w:val="single" w:sz="8" w:space="0" w:color="D9D9D9"/>
              <w:left w:val="single" w:sz="8" w:space="0" w:color="FFFFFF"/>
              <w:bottom w:val="single" w:sz="8" w:space="0" w:color="D9D9D9"/>
              <w:right w:val="single" w:sz="8" w:space="0" w:color="FFFFFF"/>
            </w:tcBorders>
            <w:shd w:val="clear" w:color="auto" w:fill="auto"/>
          </w:tcPr>
          <w:p w14:paraId="0565E410" w14:textId="69A6ECAA" w:rsidR="000F7771" w:rsidRPr="00C236C6" w:rsidRDefault="000F7771" w:rsidP="000F7771">
            <w:pPr>
              <w:pStyle w:val="TabletextLeft"/>
              <w:spacing w:line="216" w:lineRule="auto"/>
              <w:rPr>
                <w:sz w:val="18"/>
                <w:szCs w:val="18"/>
              </w:rPr>
            </w:pPr>
            <w:r w:rsidRPr="00C236C6">
              <w:rPr>
                <w:color w:val="000000"/>
                <w:kern w:val="24"/>
                <w:sz w:val="18"/>
                <w:szCs w:val="18"/>
              </w:rPr>
              <w:t xml:space="preserve">Rural Doctors Association Australia </w:t>
            </w:r>
          </w:p>
        </w:tc>
      </w:tr>
      <w:tr w:rsidR="000F7771" w:rsidRPr="00CC207B" w14:paraId="3F23180F" w14:textId="77777777" w:rsidTr="00CC207B">
        <w:trPr>
          <w:trHeight w:val="42"/>
        </w:trPr>
        <w:tc>
          <w:tcPr>
            <w:tcW w:w="204" w:type="pct"/>
            <w:tcBorders>
              <w:top w:val="single" w:sz="8" w:space="0" w:color="D9D9D9"/>
              <w:left w:val="single" w:sz="8" w:space="0" w:color="FFFFFF"/>
              <w:bottom w:val="single" w:sz="8" w:space="0" w:color="D9D9D9"/>
              <w:right w:val="single" w:sz="8" w:space="0" w:color="FFFFFF"/>
            </w:tcBorders>
            <w:shd w:val="clear" w:color="auto" w:fill="auto"/>
          </w:tcPr>
          <w:p w14:paraId="78E51423" w14:textId="57D5EC5E" w:rsidR="000F7771" w:rsidRPr="00C236C6" w:rsidRDefault="000F7771" w:rsidP="000F7771">
            <w:pPr>
              <w:pStyle w:val="TabletextLeft"/>
              <w:spacing w:line="216" w:lineRule="auto"/>
              <w:rPr>
                <w:sz w:val="18"/>
                <w:szCs w:val="18"/>
              </w:rPr>
            </w:pPr>
            <w:r w:rsidRPr="00C236C6">
              <w:rPr>
                <w:color w:val="000000" w:themeColor="dark1"/>
                <w:kern w:val="24"/>
                <w:sz w:val="18"/>
                <w:szCs w:val="18"/>
              </w:rPr>
              <w:t>19</w:t>
            </w:r>
          </w:p>
        </w:tc>
        <w:tc>
          <w:tcPr>
            <w:tcW w:w="2296" w:type="pct"/>
            <w:tcBorders>
              <w:top w:val="single" w:sz="8" w:space="0" w:color="D9D9D9"/>
              <w:left w:val="single" w:sz="8" w:space="0" w:color="FFFFFF"/>
              <w:bottom w:val="single" w:sz="8" w:space="0" w:color="D9D9D9"/>
              <w:right w:val="single" w:sz="8" w:space="0" w:color="D9D9D9"/>
            </w:tcBorders>
            <w:shd w:val="clear" w:color="auto" w:fill="auto"/>
          </w:tcPr>
          <w:p w14:paraId="496C6097" w14:textId="24A4B164" w:rsidR="000F7771" w:rsidRPr="00C236C6" w:rsidRDefault="00183EF5" w:rsidP="000F7771">
            <w:pPr>
              <w:pStyle w:val="TabletextLeft"/>
              <w:spacing w:line="216" w:lineRule="auto"/>
              <w:rPr>
                <w:sz w:val="18"/>
                <w:szCs w:val="18"/>
              </w:rPr>
            </w:pPr>
            <w:r w:rsidRPr="00183EF5">
              <w:rPr>
                <w:color w:val="000000"/>
                <w:kern w:val="24"/>
                <w:sz w:val="18"/>
                <w:szCs w:val="18"/>
              </w:rPr>
              <w:t xml:space="preserve">The Health Alliance: Brisbane North Primary Health Network and Metro North Health </w:t>
            </w:r>
          </w:p>
        </w:tc>
        <w:tc>
          <w:tcPr>
            <w:tcW w:w="209" w:type="pct"/>
            <w:tcBorders>
              <w:top w:val="single" w:sz="8" w:space="0" w:color="D9D9D9"/>
              <w:left w:val="single" w:sz="8" w:space="0" w:color="D9D9D9"/>
              <w:bottom w:val="single" w:sz="8" w:space="0" w:color="D9D9D9"/>
              <w:right w:val="single" w:sz="8" w:space="0" w:color="FFFFFF"/>
            </w:tcBorders>
            <w:shd w:val="clear" w:color="auto" w:fill="auto"/>
          </w:tcPr>
          <w:p w14:paraId="738355D5" w14:textId="43D232F7" w:rsidR="000F7771" w:rsidRPr="00C236C6" w:rsidRDefault="000F7771" w:rsidP="000F7771">
            <w:pPr>
              <w:pStyle w:val="TabletextLeft"/>
              <w:spacing w:line="216" w:lineRule="auto"/>
              <w:rPr>
                <w:sz w:val="18"/>
                <w:szCs w:val="18"/>
              </w:rPr>
            </w:pPr>
            <w:r w:rsidRPr="00C236C6">
              <w:rPr>
                <w:color w:val="000000" w:themeColor="dark1"/>
                <w:kern w:val="24"/>
                <w:sz w:val="18"/>
                <w:szCs w:val="18"/>
              </w:rPr>
              <w:t>52</w:t>
            </w:r>
          </w:p>
        </w:tc>
        <w:tc>
          <w:tcPr>
            <w:tcW w:w="2291" w:type="pct"/>
            <w:tcBorders>
              <w:top w:val="single" w:sz="8" w:space="0" w:color="D9D9D9"/>
              <w:left w:val="single" w:sz="8" w:space="0" w:color="FFFFFF"/>
              <w:bottom w:val="single" w:sz="8" w:space="0" w:color="D9D9D9"/>
              <w:right w:val="single" w:sz="8" w:space="0" w:color="FFFFFF"/>
            </w:tcBorders>
            <w:shd w:val="clear" w:color="auto" w:fill="auto"/>
          </w:tcPr>
          <w:p w14:paraId="0742713D" w14:textId="71F9F536" w:rsidR="000F7771" w:rsidRPr="00C236C6" w:rsidRDefault="000F7771" w:rsidP="000F7771">
            <w:pPr>
              <w:pStyle w:val="TabletextLeft"/>
              <w:spacing w:line="216" w:lineRule="auto"/>
              <w:rPr>
                <w:sz w:val="18"/>
                <w:szCs w:val="18"/>
              </w:rPr>
            </w:pPr>
            <w:r w:rsidRPr="00C236C6">
              <w:rPr>
                <w:color w:val="000000"/>
                <w:kern w:val="24"/>
                <w:sz w:val="18"/>
                <w:szCs w:val="18"/>
              </w:rPr>
              <w:t xml:space="preserve">Rural Health Commissioner </w:t>
            </w:r>
          </w:p>
        </w:tc>
      </w:tr>
      <w:tr w:rsidR="000F7771" w:rsidRPr="00CC207B" w14:paraId="050CDFA7" w14:textId="77777777" w:rsidTr="00CC207B">
        <w:trPr>
          <w:trHeight w:val="42"/>
        </w:trPr>
        <w:tc>
          <w:tcPr>
            <w:tcW w:w="204" w:type="pct"/>
            <w:tcBorders>
              <w:top w:val="single" w:sz="8" w:space="0" w:color="D9D9D9"/>
              <w:left w:val="single" w:sz="8" w:space="0" w:color="FFFFFF"/>
              <w:bottom w:val="single" w:sz="8" w:space="0" w:color="D9D9D9"/>
              <w:right w:val="single" w:sz="8" w:space="0" w:color="FFFFFF"/>
            </w:tcBorders>
            <w:shd w:val="clear" w:color="auto" w:fill="auto"/>
          </w:tcPr>
          <w:p w14:paraId="405EDC3A" w14:textId="71E669B2" w:rsidR="000F7771" w:rsidRPr="00C236C6" w:rsidRDefault="000F7771" w:rsidP="000F7771">
            <w:pPr>
              <w:pStyle w:val="TabletextLeft"/>
              <w:spacing w:line="216" w:lineRule="auto"/>
              <w:rPr>
                <w:sz w:val="18"/>
                <w:szCs w:val="18"/>
              </w:rPr>
            </w:pPr>
            <w:r w:rsidRPr="00C236C6">
              <w:rPr>
                <w:color w:val="000000" w:themeColor="dark1"/>
                <w:kern w:val="24"/>
                <w:sz w:val="18"/>
                <w:szCs w:val="18"/>
              </w:rPr>
              <w:t>20</w:t>
            </w:r>
          </w:p>
        </w:tc>
        <w:tc>
          <w:tcPr>
            <w:tcW w:w="2296" w:type="pct"/>
            <w:tcBorders>
              <w:top w:val="single" w:sz="8" w:space="0" w:color="D9D9D9"/>
              <w:left w:val="single" w:sz="8" w:space="0" w:color="FFFFFF"/>
              <w:bottom w:val="single" w:sz="8" w:space="0" w:color="D9D9D9"/>
              <w:right w:val="single" w:sz="8" w:space="0" w:color="D9D9D9"/>
            </w:tcBorders>
            <w:shd w:val="clear" w:color="auto" w:fill="auto"/>
          </w:tcPr>
          <w:p w14:paraId="2E28B9A2" w14:textId="2F71BA31" w:rsidR="000F7771" w:rsidRPr="00C236C6" w:rsidRDefault="000F7771" w:rsidP="000F7771">
            <w:pPr>
              <w:pStyle w:val="TabletextLeft"/>
              <w:spacing w:line="216" w:lineRule="auto"/>
              <w:rPr>
                <w:sz w:val="18"/>
                <w:szCs w:val="18"/>
              </w:rPr>
            </w:pPr>
            <w:r w:rsidRPr="00C236C6">
              <w:rPr>
                <w:color w:val="000000"/>
                <w:kern w:val="24"/>
                <w:sz w:val="18"/>
                <w:szCs w:val="18"/>
              </w:rPr>
              <w:t>Catholic Health Australia</w:t>
            </w:r>
          </w:p>
        </w:tc>
        <w:tc>
          <w:tcPr>
            <w:tcW w:w="209" w:type="pct"/>
            <w:tcBorders>
              <w:top w:val="single" w:sz="8" w:space="0" w:color="D9D9D9"/>
              <w:left w:val="single" w:sz="8" w:space="0" w:color="D9D9D9"/>
              <w:bottom w:val="single" w:sz="8" w:space="0" w:color="D9D9D9"/>
              <w:right w:val="single" w:sz="8" w:space="0" w:color="FFFFFF"/>
            </w:tcBorders>
            <w:shd w:val="clear" w:color="auto" w:fill="auto"/>
          </w:tcPr>
          <w:p w14:paraId="41E8EBF5" w14:textId="1D40FD66" w:rsidR="000F7771" w:rsidRPr="00C236C6" w:rsidRDefault="000F7771" w:rsidP="000F7771">
            <w:pPr>
              <w:pStyle w:val="TabletextLeft"/>
              <w:spacing w:line="216" w:lineRule="auto"/>
              <w:rPr>
                <w:sz w:val="18"/>
                <w:szCs w:val="18"/>
              </w:rPr>
            </w:pPr>
            <w:r w:rsidRPr="00C236C6">
              <w:rPr>
                <w:color w:val="000000" w:themeColor="dark1"/>
                <w:kern w:val="24"/>
                <w:sz w:val="18"/>
                <w:szCs w:val="18"/>
              </w:rPr>
              <w:t>53</w:t>
            </w:r>
          </w:p>
        </w:tc>
        <w:tc>
          <w:tcPr>
            <w:tcW w:w="2291" w:type="pct"/>
            <w:tcBorders>
              <w:top w:val="single" w:sz="8" w:space="0" w:color="D9D9D9"/>
              <w:left w:val="single" w:sz="8" w:space="0" w:color="FFFFFF"/>
              <w:bottom w:val="single" w:sz="8" w:space="0" w:color="D9D9D9"/>
              <w:right w:val="single" w:sz="8" w:space="0" w:color="FFFFFF"/>
            </w:tcBorders>
            <w:shd w:val="clear" w:color="auto" w:fill="auto"/>
          </w:tcPr>
          <w:p w14:paraId="123382AD" w14:textId="6145F15E" w:rsidR="000F7771" w:rsidRPr="00C236C6" w:rsidRDefault="000F7771" w:rsidP="000F7771">
            <w:pPr>
              <w:pStyle w:val="TabletextLeft"/>
              <w:spacing w:line="216" w:lineRule="auto"/>
              <w:rPr>
                <w:sz w:val="18"/>
                <w:szCs w:val="18"/>
              </w:rPr>
            </w:pPr>
            <w:r w:rsidRPr="00C236C6">
              <w:rPr>
                <w:color w:val="000000"/>
                <w:kern w:val="24"/>
                <w:sz w:val="18"/>
                <w:szCs w:val="18"/>
              </w:rPr>
              <w:t>SA Health</w:t>
            </w:r>
          </w:p>
        </w:tc>
      </w:tr>
      <w:tr w:rsidR="000F7771" w:rsidRPr="00CC207B" w14:paraId="323DCD53" w14:textId="77777777" w:rsidTr="00CC207B">
        <w:trPr>
          <w:trHeight w:val="42"/>
        </w:trPr>
        <w:tc>
          <w:tcPr>
            <w:tcW w:w="204" w:type="pct"/>
            <w:tcBorders>
              <w:top w:val="single" w:sz="8" w:space="0" w:color="D9D9D9"/>
              <w:left w:val="single" w:sz="8" w:space="0" w:color="FFFFFF"/>
              <w:bottom w:val="single" w:sz="8" w:space="0" w:color="D9D9D9"/>
              <w:right w:val="single" w:sz="8" w:space="0" w:color="FFFFFF"/>
            </w:tcBorders>
            <w:shd w:val="clear" w:color="auto" w:fill="auto"/>
          </w:tcPr>
          <w:p w14:paraId="59ECC5FC" w14:textId="3900AC43" w:rsidR="000F7771" w:rsidRPr="00C236C6" w:rsidRDefault="000F7771" w:rsidP="000F7771">
            <w:pPr>
              <w:pStyle w:val="TabletextLeft"/>
              <w:spacing w:line="216" w:lineRule="auto"/>
              <w:rPr>
                <w:sz w:val="18"/>
                <w:szCs w:val="18"/>
              </w:rPr>
            </w:pPr>
            <w:r w:rsidRPr="00C236C6">
              <w:rPr>
                <w:color w:val="000000" w:themeColor="dark1"/>
                <w:kern w:val="24"/>
                <w:sz w:val="18"/>
                <w:szCs w:val="18"/>
              </w:rPr>
              <w:t>21</w:t>
            </w:r>
          </w:p>
        </w:tc>
        <w:tc>
          <w:tcPr>
            <w:tcW w:w="2296" w:type="pct"/>
            <w:tcBorders>
              <w:top w:val="single" w:sz="8" w:space="0" w:color="D9D9D9"/>
              <w:left w:val="single" w:sz="8" w:space="0" w:color="FFFFFF"/>
              <w:bottom w:val="single" w:sz="8" w:space="0" w:color="D9D9D9"/>
              <w:right w:val="single" w:sz="8" w:space="0" w:color="D9D9D9"/>
            </w:tcBorders>
            <w:shd w:val="clear" w:color="auto" w:fill="auto"/>
          </w:tcPr>
          <w:p w14:paraId="04236460" w14:textId="69DD6499" w:rsidR="000F7771" w:rsidRPr="00C236C6" w:rsidRDefault="000F7771" w:rsidP="000F7771">
            <w:pPr>
              <w:pStyle w:val="TabletextLeft"/>
              <w:spacing w:line="216" w:lineRule="auto"/>
              <w:rPr>
                <w:sz w:val="18"/>
                <w:szCs w:val="18"/>
              </w:rPr>
            </w:pPr>
            <w:r w:rsidRPr="00C236C6">
              <w:rPr>
                <w:color w:val="000000"/>
                <w:kern w:val="24"/>
                <w:sz w:val="18"/>
                <w:szCs w:val="18"/>
              </w:rPr>
              <w:t>Department of Health and Aged Care</w:t>
            </w:r>
          </w:p>
        </w:tc>
        <w:tc>
          <w:tcPr>
            <w:tcW w:w="209" w:type="pct"/>
            <w:tcBorders>
              <w:top w:val="single" w:sz="8" w:space="0" w:color="D9D9D9"/>
              <w:left w:val="single" w:sz="8" w:space="0" w:color="D9D9D9"/>
              <w:bottom w:val="single" w:sz="8" w:space="0" w:color="D9D9D9"/>
              <w:right w:val="single" w:sz="8" w:space="0" w:color="FFFFFF"/>
            </w:tcBorders>
            <w:shd w:val="clear" w:color="auto" w:fill="auto"/>
          </w:tcPr>
          <w:p w14:paraId="6ADC9985" w14:textId="53498FA5" w:rsidR="000F7771" w:rsidRPr="00C236C6" w:rsidRDefault="000F7771" w:rsidP="000F7771">
            <w:pPr>
              <w:pStyle w:val="TabletextLeft"/>
              <w:spacing w:line="216" w:lineRule="auto"/>
              <w:rPr>
                <w:sz w:val="18"/>
                <w:szCs w:val="18"/>
              </w:rPr>
            </w:pPr>
            <w:r w:rsidRPr="00C236C6">
              <w:rPr>
                <w:color w:val="000000" w:themeColor="dark1"/>
                <w:kern w:val="24"/>
                <w:sz w:val="18"/>
                <w:szCs w:val="18"/>
              </w:rPr>
              <w:t>54</w:t>
            </w:r>
          </w:p>
        </w:tc>
        <w:tc>
          <w:tcPr>
            <w:tcW w:w="2291" w:type="pct"/>
            <w:tcBorders>
              <w:top w:val="single" w:sz="8" w:space="0" w:color="D9D9D9"/>
              <w:left w:val="single" w:sz="8" w:space="0" w:color="FFFFFF"/>
              <w:bottom w:val="single" w:sz="8" w:space="0" w:color="D9D9D9"/>
              <w:right w:val="single" w:sz="8" w:space="0" w:color="FFFFFF"/>
            </w:tcBorders>
            <w:shd w:val="clear" w:color="auto" w:fill="auto"/>
          </w:tcPr>
          <w:p w14:paraId="6B7436DA" w14:textId="3CD8B2DF" w:rsidR="000F7771" w:rsidRPr="00C236C6" w:rsidRDefault="000F7771" w:rsidP="000F7771">
            <w:pPr>
              <w:pStyle w:val="TabletextLeft"/>
              <w:spacing w:line="216" w:lineRule="auto"/>
              <w:rPr>
                <w:sz w:val="18"/>
                <w:szCs w:val="18"/>
              </w:rPr>
            </w:pPr>
            <w:r w:rsidRPr="00C236C6">
              <w:rPr>
                <w:color w:val="000000"/>
                <w:kern w:val="24"/>
                <w:sz w:val="18"/>
                <w:szCs w:val="18"/>
              </w:rPr>
              <w:t>NSW Primary Health Network</w:t>
            </w:r>
            <w:r w:rsidR="00183EF5">
              <w:rPr>
                <w:color w:val="000000"/>
                <w:kern w:val="24"/>
                <w:sz w:val="18"/>
                <w:szCs w:val="18"/>
              </w:rPr>
              <w:t>s</w:t>
            </w:r>
          </w:p>
        </w:tc>
      </w:tr>
      <w:tr w:rsidR="000F7771" w:rsidRPr="00CC207B" w14:paraId="5A82EDA8" w14:textId="77777777" w:rsidTr="00CC207B">
        <w:trPr>
          <w:trHeight w:val="42"/>
        </w:trPr>
        <w:tc>
          <w:tcPr>
            <w:tcW w:w="204" w:type="pct"/>
            <w:tcBorders>
              <w:top w:val="single" w:sz="8" w:space="0" w:color="D9D9D9"/>
              <w:left w:val="single" w:sz="8" w:space="0" w:color="FFFFFF"/>
              <w:bottom w:val="single" w:sz="8" w:space="0" w:color="D9D9D9"/>
              <w:right w:val="single" w:sz="8" w:space="0" w:color="FFFFFF"/>
            </w:tcBorders>
            <w:shd w:val="clear" w:color="auto" w:fill="auto"/>
          </w:tcPr>
          <w:p w14:paraId="2105554A" w14:textId="4F8F276E" w:rsidR="000F7771" w:rsidRPr="00C236C6" w:rsidRDefault="000F7771" w:rsidP="000F7771">
            <w:pPr>
              <w:pStyle w:val="TabletextLeft"/>
              <w:spacing w:line="216" w:lineRule="auto"/>
              <w:rPr>
                <w:color w:val="000000" w:themeColor="text1"/>
                <w:sz w:val="18"/>
                <w:szCs w:val="18"/>
              </w:rPr>
            </w:pPr>
            <w:r w:rsidRPr="00C236C6">
              <w:rPr>
                <w:color w:val="000000" w:themeColor="dark1"/>
                <w:kern w:val="24"/>
                <w:sz w:val="18"/>
                <w:szCs w:val="18"/>
              </w:rPr>
              <w:t>22</w:t>
            </w:r>
          </w:p>
        </w:tc>
        <w:tc>
          <w:tcPr>
            <w:tcW w:w="2296" w:type="pct"/>
            <w:tcBorders>
              <w:top w:val="single" w:sz="8" w:space="0" w:color="D9D9D9"/>
              <w:left w:val="single" w:sz="8" w:space="0" w:color="FFFFFF"/>
              <w:bottom w:val="single" w:sz="8" w:space="0" w:color="D9D9D9"/>
              <w:right w:val="single" w:sz="8" w:space="0" w:color="D9D9D9"/>
            </w:tcBorders>
            <w:shd w:val="clear" w:color="auto" w:fill="auto"/>
          </w:tcPr>
          <w:p w14:paraId="79150429" w14:textId="41E876D6" w:rsidR="000F7771" w:rsidRPr="00C236C6" w:rsidRDefault="000F7771" w:rsidP="000F7771">
            <w:pPr>
              <w:pStyle w:val="TabletextLeft"/>
              <w:spacing w:line="216" w:lineRule="auto"/>
              <w:rPr>
                <w:color w:val="000000" w:themeColor="text1"/>
                <w:sz w:val="18"/>
                <w:szCs w:val="18"/>
              </w:rPr>
            </w:pPr>
            <w:r w:rsidRPr="00C236C6">
              <w:rPr>
                <w:color w:val="000000"/>
                <w:kern w:val="24"/>
                <w:sz w:val="18"/>
                <w:szCs w:val="18"/>
              </w:rPr>
              <w:t xml:space="preserve">Department of Social Services </w:t>
            </w:r>
          </w:p>
        </w:tc>
        <w:tc>
          <w:tcPr>
            <w:tcW w:w="209" w:type="pct"/>
            <w:tcBorders>
              <w:top w:val="single" w:sz="8" w:space="0" w:color="D9D9D9"/>
              <w:left w:val="single" w:sz="8" w:space="0" w:color="D9D9D9"/>
              <w:bottom w:val="single" w:sz="8" w:space="0" w:color="D9D9D9"/>
              <w:right w:val="single" w:sz="8" w:space="0" w:color="FFFFFF"/>
            </w:tcBorders>
            <w:shd w:val="clear" w:color="auto" w:fill="auto"/>
          </w:tcPr>
          <w:p w14:paraId="4EADE9B7" w14:textId="700E774A" w:rsidR="000F7771" w:rsidRPr="00C236C6" w:rsidRDefault="000F7771" w:rsidP="000F7771">
            <w:pPr>
              <w:pStyle w:val="TabletextLeft"/>
              <w:spacing w:line="216" w:lineRule="auto"/>
              <w:rPr>
                <w:color w:val="000000" w:themeColor="text1"/>
                <w:sz w:val="18"/>
                <w:szCs w:val="18"/>
              </w:rPr>
            </w:pPr>
            <w:r w:rsidRPr="00C236C6">
              <w:rPr>
                <w:color w:val="000000" w:themeColor="dark1"/>
                <w:kern w:val="24"/>
                <w:sz w:val="18"/>
                <w:szCs w:val="18"/>
              </w:rPr>
              <w:t>55</w:t>
            </w:r>
          </w:p>
        </w:tc>
        <w:tc>
          <w:tcPr>
            <w:tcW w:w="2291" w:type="pct"/>
            <w:tcBorders>
              <w:top w:val="single" w:sz="8" w:space="0" w:color="D9D9D9"/>
              <w:left w:val="single" w:sz="8" w:space="0" w:color="FFFFFF"/>
              <w:bottom w:val="single" w:sz="8" w:space="0" w:color="D9D9D9"/>
              <w:right w:val="single" w:sz="8" w:space="0" w:color="FFFFFF"/>
            </w:tcBorders>
            <w:shd w:val="clear" w:color="auto" w:fill="auto"/>
          </w:tcPr>
          <w:p w14:paraId="64A5B147" w14:textId="76035707" w:rsidR="000F7771" w:rsidRPr="00C236C6" w:rsidRDefault="000F7771" w:rsidP="000F7771">
            <w:pPr>
              <w:pStyle w:val="TabletextLeft"/>
              <w:spacing w:line="216" w:lineRule="auto"/>
              <w:rPr>
                <w:color w:val="000000" w:themeColor="text1"/>
                <w:sz w:val="18"/>
                <w:szCs w:val="18"/>
              </w:rPr>
            </w:pPr>
            <w:r w:rsidRPr="00C236C6">
              <w:rPr>
                <w:color w:val="000000"/>
                <w:kern w:val="24"/>
                <w:sz w:val="18"/>
                <w:szCs w:val="18"/>
              </w:rPr>
              <w:t>Tasmanian Department of Health</w:t>
            </w:r>
          </w:p>
        </w:tc>
      </w:tr>
      <w:tr w:rsidR="000F7771" w:rsidRPr="00CC207B" w14:paraId="1F42C638" w14:textId="77777777" w:rsidTr="00CC207B">
        <w:trPr>
          <w:trHeight w:val="42"/>
        </w:trPr>
        <w:tc>
          <w:tcPr>
            <w:tcW w:w="204" w:type="pct"/>
            <w:tcBorders>
              <w:top w:val="single" w:sz="8" w:space="0" w:color="D9D9D9"/>
              <w:left w:val="single" w:sz="8" w:space="0" w:color="FFFFFF"/>
              <w:bottom w:val="single" w:sz="8" w:space="0" w:color="D9D9D9"/>
              <w:right w:val="single" w:sz="8" w:space="0" w:color="FFFFFF"/>
            </w:tcBorders>
            <w:shd w:val="clear" w:color="auto" w:fill="auto"/>
          </w:tcPr>
          <w:p w14:paraId="1DCD8DF3" w14:textId="0E23BB59" w:rsidR="000F7771" w:rsidRPr="00C236C6" w:rsidRDefault="000F7771" w:rsidP="000F7771">
            <w:pPr>
              <w:pStyle w:val="TabletextLeft"/>
              <w:spacing w:line="216" w:lineRule="auto"/>
              <w:rPr>
                <w:color w:val="000000" w:themeColor="text1"/>
                <w:sz w:val="18"/>
                <w:szCs w:val="18"/>
              </w:rPr>
            </w:pPr>
            <w:r w:rsidRPr="00C236C6">
              <w:rPr>
                <w:color w:val="000000" w:themeColor="dark1"/>
                <w:kern w:val="24"/>
                <w:sz w:val="18"/>
                <w:szCs w:val="18"/>
              </w:rPr>
              <w:t>23</w:t>
            </w:r>
          </w:p>
        </w:tc>
        <w:tc>
          <w:tcPr>
            <w:tcW w:w="2296" w:type="pct"/>
            <w:tcBorders>
              <w:top w:val="single" w:sz="8" w:space="0" w:color="D9D9D9"/>
              <w:left w:val="single" w:sz="8" w:space="0" w:color="FFFFFF"/>
              <w:bottom w:val="single" w:sz="8" w:space="0" w:color="D9D9D9"/>
              <w:right w:val="single" w:sz="8" w:space="0" w:color="D9D9D9"/>
            </w:tcBorders>
            <w:shd w:val="clear" w:color="auto" w:fill="auto"/>
          </w:tcPr>
          <w:p w14:paraId="71CB74B9" w14:textId="520492FE" w:rsidR="000F7771" w:rsidRPr="00C236C6" w:rsidRDefault="00183EF5" w:rsidP="000F7771">
            <w:pPr>
              <w:pStyle w:val="TabletextLeft"/>
              <w:spacing w:line="216" w:lineRule="auto"/>
              <w:rPr>
                <w:color w:val="000000" w:themeColor="text1"/>
                <w:sz w:val="18"/>
                <w:szCs w:val="18"/>
              </w:rPr>
            </w:pPr>
            <w:r w:rsidRPr="00183EF5">
              <w:rPr>
                <w:color w:val="000000"/>
                <w:kern w:val="24"/>
                <w:sz w:val="18"/>
                <w:szCs w:val="18"/>
              </w:rPr>
              <w:t>Victorian Tasmanian PHN Alliance</w:t>
            </w:r>
          </w:p>
        </w:tc>
        <w:tc>
          <w:tcPr>
            <w:tcW w:w="209" w:type="pct"/>
            <w:tcBorders>
              <w:top w:val="single" w:sz="8" w:space="0" w:color="D9D9D9"/>
              <w:left w:val="single" w:sz="8" w:space="0" w:color="D9D9D9"/>
              <w:bottom w:val="single" w:sz="8" w:space="0" w:color="D9D9D9"/>
              <w:right w:val="single" w:sz="8" w:space="0" w:color="FFFFFF"/>
            </w:tcBorders>
            <w:shd w:val="clear" w:color="auto" w:fill="auto"/>
          </w:tcPr>
          <w:p w14:paraId="2549C80F" w14:textId="792E9F33" w:rsidR="000F7771" w:rsidRPr="00C236C6" w:rsidRDefault="000F7771" w:rsidP="000F7771">
            <w:pPr>
              <w:pStyle w:val="TabletextLeft"/>
              <w:spacing w:line="216" w:lineRule="auto"/>
              <w:rPr>
                <w:color w:val="000000" w:themeColor="text1"/>
                <w:sz w:val="18"/>
                <w:szCs w:val="18"/>
              </w:rPr>
            </w:pPr>
            <w:r w:rsidRPr="00C236C6">
              <w:rPr>
                <w:color w:val="000000" w:themeColor="dark1"/>
                <w:kern w:val="24"/>
                <w:sz w:val="18"/>
                <w:szCs w:val="18"/>
              </w:rPr>
              <w:t>56</w:t>
            </w:r>
          </w:p>
        </w:tc>
        <w:tc>
          <w:tcPr>
            <w:tcW w:w="2291" w:type="pct"/>
            <w:tcBorders>
              <w:top w:val="single" w:sz="8" w:space="0" w:color="D9D9D9"/>
              <w:left w:val="single" w:sz="8" w:space="0" w:color="FFFFFF"/>
              <w:bottom w:val="single" w:sz="8" w:space="0" w:color="D9D9D9"/>
              <w:right w:val="single" w:sz="8" w:space="0" w:color="FFFFFF"/>
            </w:tcBorders>
            <w:shd w:val="clear" w:color="auto" w:fill="auto"/>
          </w:tcPr>
          <w:p w14:paraId="1A8C9BD4" w14:textId="0C9E6AE1" w:rsidR="000F7771" w:rsidRPr="00C236C6" w:rsidRDefault="000F7771" w:rsidP="000F7771">
            <w:pPr>
              <w:pStyle w:val="TabletextLeft"/>
              <w:spacing w:line="216" w:lineRule="auto"/>
              <w:rPr>
                <w:color w:val="000000" w:themeColor="text1"/>
                <w:sz w:val="18"/>
                <w:szCs w:val="18"/>
              </w:rPr>
            </w:pPr>
            <w:r w:rsidRPr="00C236C6">
              <w:rPr>
                <w:color w:val="000000"/>
                <w:kern w:val="24"/>
                <w:sz w:val="18"/>
                <w:szCs w:val="18"/>
              </w:rPr>
              <w:t xml:space="preserve">The Society of Hospital Pharmacists of Australia </w:t>
            </w:r>
          </w:p>
        </w:tc>
      </w:tr>
      <w:tr w:rsidR="000F7771" w:rsidRPr="00CC207B" w14:paraId="739FAC2E" w14:textId="77777777" w:rsidTr="00CC207B">
        <w:trPr>
          <w:trHeight w:val="42"/>
        </w:trPr>
        <w:tc>
          <w:tcPr>
            <w:tcW w:w="204" w:type="pct"/>
            <w:tcBorders>
              <w:top w:val="single" w:sz="8" w:space="0" w:color="D9D9D9"/>
              <w:left w:val="single" w:sz="8" w:space="0" w:color="FFFFFF"/>
              <w:bottom w:val="single" w:sz="8" w:space="0" w:color="D9D9D9"/>
              <w:right w:val="single" w:sz="8" w:space="0" w:color="FFFFFF"/>
            </w:tcBorders>
            <w:shd w:val="clear" w:color="auto" w:fill="auto"/>
          </w:tcPr>
          <w:p w14:paraId="12FDBCEF" w14:textId="52A93CA3" w:rsidR="000F7771" w:rsidRPr="00C236C6" w:rsidRDefault="000F7771" w:rsidP="000F7771">
            <w:pPr>
              <w:pStyle w:val="TabletextLeft"/>
              <w:spacing w:line="216" w:lineRule="auto"/>
              <w:rPr>
                <w:color w:val="000000" w:themeColor="text1"/>
                <w:sz w:val="18"/>
                <w:szCs w:val="18"/>
              </w:rPr>
            </w:pPr>
            <w:r w:rsidRPr="00C236C6">
              <w:rPr>
                <w:color w:val="000000" w:themeColor="dark1"/>
                <w:kern w:val="24"/>
                <w:sz w:val="18"/>
                <w:szCs w:val="18"/>
              </w:rPr>
              <w:t>24</w:t>
            </w:r>
          </w:p>
        </w:tc>
        <w:tc>
          <w:tcPr>
            <w:tcW w:w="2296" w:type="pct"/>
            <w:tcBorders>
              <w:top w:val="single" w:sz="8" w:space="0" w:color="D9D9D9"/>
              <w:left w:val="single" w:sz="8" w:space="0" w:color="FFFFFF"/>
              <w:bottom w:val="single" w:sz="8" w:space="0" w:color="D9D9D9"/>
              <w:right w:val="single" w:sz="8" w:space="0" w:color="D9D9D9"/>
            </w:tcBorders>
            <w:shd w:val="clear" w:color="auto" w:fill="auto"/>
          </w:tcPr>
          <w:p w14:paraId="2B45CD01" w14:textId="41880CFC" w:rsidR="000F7771" w:rsidRPr="00C236C6" w:rsidRDefault="000F7771" w:rsidP="000F7771">
            <w:pPr>
              <w:pStyle w:val="TabletextLeft"/>
              <w:spacing w:line="216" w:lineRule="auto"/>
              <w:rPr>
                <w:color w:val="000000" w:themeColor="text1"/>
                <w:sz w:val="18"/>
                <w:szCs w:val="18"/>
              </w:rPr>
            </w:pPr>
            <w:r w:rsidRPr="00C236C6">
              <w:rPr>
                <w:color w:val="000000"/>
                <w:kern w:val="24"/>
                <w:sz w:val="18"/>
                <w:szCs w:val="18"/>
              </w:rPr>
              <w:t>Flinders Medical Centre</w:t>
            </w:r>
          </w:p>
        </w:tc>
        <w:tc>
          <w:tcPr>
            <w:tcW w:w="209" w:type="pct"/>
            <w:tcBorders>
              <w:top w:val="single" w:sz="8" w:space="0" w:color="D9D9D9"/>
              <w:left w:val="single" w:sz="8" w:space="0" w:color="D9D9D9"/>
              <w:bottom w:val="single" w:sz="8" w:space="0" w:color="D9D9D9"/>
              <w:right w:val="single" w:sz="8" w:space="0" w:color="FFFFFF"/>
            </w:tcBorders>
            <w:shd w:val="clear" w:color="auto" w:fill="auto"/>
          </w:tcPr>
          <w:p w14:paraId="2FD67156" w14:textId="3476FD40" w:rsidR="000F7771" w:rsidRPr="00C236C6" w:rsidRDefault="000F7771" w:rsidP="000F7771">
            <w:pPr>
              <w:pStyle w:val="TabletextLeft"/>
              <w:spacing w:line="216" w:lineRule="auto"/>
              <w:rPr>
                <w:color w:val="000000" w:themeColor="text1"/>
                <w:sz w:val="18"/>
                <w:szCs w:val="18"/>
              </w:rPr>
            </w:pPr>
            <w:r w:rsidRPr="00C236C6">
              <w:rPr>
                <w:color w:val="000000" w:themeColor="dark1"/>
                <w:kern w:val="24"/>
                <w:sz w:val="18"/>
                <w:szCs w:val="18"/>
              </w:rPr>
              <w:t>57</w:t>
            </w:r>
          </w:p>
        </w:tc>
        <w:tc>
          <w:tcPr>
            <w:tcW w:w="2291" w:type="pct"/>
            <w:tcBorders>
              <w:top w:val="single" w:sz="8" w:space="0" w:color="D9D9D9"/>
              <w:left w:val="single" w:sz="8" w:space="0" w:color="FFFFFF"/>
              <w:bottom w:val="single" w:sz="8" w:space="0" w:color="D9D9D9"/>
              <w:right w:val="single" w:sz="8" w:space="0" w:color="FFFFFF"/>
            </w:tcBorders>
            <w:shd w:val="clear" w:color="auto" w:fill="auto"/>
          </w:tcPr>
          <w:p w14:paraId="50C6BF24" w14:textId="53DE4CFA" w:rsidR="000F7771" w:rsidRPr="00C236C6" w:rsidRDefault="000F7771" w:rsidP="000F7771">
            <w:pPr>
              <w:pStyle w:val="TabletextLeft"/>
              <w:spacing w:line="216" w:lineRule="auto"/>
              <w:rPr>
                <w:color w:val="000000" w:themeColor="text1"/>
                <w:sz w:val="18"/>
                <w:szCs w:val="18"/>
              </w:rPr>
            </w:pPr>
            <w:r w:rsidRPr="00C236C6">
              <w:rPr>
                <w:color w:val="000000"/>
                <w:kern w:val="24"/>
                <w:sz w:val="18"/>
                <w:szCs w:val="18"/>
              </w:rPr>
              <w:t>The University of Melbourne</w:t>
            </w:r>
          </w:p>
        </w:tc>
      </w:tr>
      <w:tr w:rsidR="000F7771" w:rsidRPr="00CC207B" w14:paraId="77FD56FD" w14:textId="77777777" w:rsidTr="00CC207B">
        <w:trPr>
          <w:trHeight w:val="42"/>
        </w:trPr>
        <w:tc>
          <w:tcPr>
            <w:tcW w:w="204" w:type="pct"/>
            <w:tcBorders>
              <w:top w:val="single" w:sz="8" w:space="0" w:color="D9D9D9"/>
              <w:left w:val="single" w:sz="8" w:space="0" w:color="FFFFFF"/>
              <w:bottom w:val="single" w:sz="8" w:space="0" w:color="D9D9D9"/>
              <w:right w:val="single" w:sz="8" w:space="0" w:color="FFFFFF"/>
            </w:tcBorders>
            <w:shd w:val="clear" w:color="auto" w:fill="auto"/>
          </w:tcPr>
          <w:p w14:paraId="2BA74B97" w14:textId="1B66FC3C" w:rsidR="000F7771" w:rsidRPr="00C236C6" w:rsidRDefault="000F7771" w:rsidP="000F7771">
            <w:pPr>
              <w:pStyle w:val="TabletextLeft"/>
              <w:spacing w:line="216" w:lineRule="auto"/>
              <w:rPr>
                <w:color w:val="000000" w:themeColor="text1"/>
                <w:sz w:val="18"/>
                <w:szCs w:val="18"/>
              </w:rPr>
            </w:pPr>
            <w:r w:rsidRPr="00C236C6">
              <w:rPr>
                <w:color w:val="000000" w:themeColor="dark1"/>
                <w:kern w:val="24"/>
                <w:sz w:val="18"/>
                <w:szCs w:val="18"/>
              </w:rPr>
              <w:t>25</w:t>
            </w:r>
          </w:p>
        </w:tc>
        <w:tc>
          <w:tcPr>
            <w:tcW w:w="2296" w:type="pct"/>
            <w:tcBorders>
              <w:top w:val="single" w:sz="8" w:space="0" w:color="D9D9D9"/>
              <w:left w:val="single" w:sz="8" w:space="0" w:color="FFFFFF"/>
              <w:bottom w:val="single" w:sz="8" w:space="0" w:color="D9D9D9"/>
              <w:right w:val="single" w:sz="8" w:space="0" w:color="D9D9D9"/>
            </w:tcBorders>
            <w:shd w:val="clear" w:color="auto" w:fill="auto"/>
          </w:tcPr>
          <w:p w14:paraId="4C0B9A39" w14:textId="58E757B9" w:rsidR="000F7771" w:rsidRPr="00C236C6" w:rsidRDefault="000F7771" w:rsidP="000F7771">
            <w:pPr>
              <w:pStyle w:val="TabletextLeft"/>
              <w:spacing w:line="216" w:lineRule="auto"/>
              <w:rPr>
                <w:color w:val="000000" w:themeColor="text1"/>
                <w:sz w:val="18"/>
                <w:szCs w:val="18"/>
              </w:rPr>
            </w:pPr>
            <w:r w:rsidRPr="00C236C6">
              <w:rPr>
                <w:color w:val="000000"/>
                <w:kern w:val="24"/>
                <w:sz w:val="18"/>
                <w:szCs w:val="18"/>
              </w:rPr>
              <w:t>Government Affairs at Gilead</w:t>
            </w:r>
          </w:p>
        </w:tc>
        <w:tc>
          <w:tcPr>
            <w:tcW w:w="209" w:type="pct"/>
            <w:tcBorders>
              <w:top w:val="single" w:sz="8" w:space="0" w:color="D9D9D9"/>
              <w:left w:val="single" w:sz="8" w:space="0" w:color="D9D9D9"/>
              <w:bottom w:val="single" w:sz="8" w:space="0" w:color="D9D9D9"/>
              <w:right w:val="single" w:sz="8" w:space="0" w:color="FFFFFF"/>
            </w:tcBorders>
            <w:shd w:val="clear" w:color="auto" w:fill="auto"/>
          </w:tcPr>
          <w:p w14:paraId="742869A6" w14:textId="123BECAA" w:rsidR="000F7771" w:rsidRPr="00C236C6" w:rsidRDefault="000F7771" w:rsidP="000F7771">
            <w:pPr>
              <w:pStyle w:val="TabletextLeft"/>
              <w:spacing w:line="216" w:lineRule="auto"/>
              <w:rPr>
                <w:color w:val="000000" w:themeColor="text1"/>
                <w:sz w:val="18"/>
                <w:szCs w:val="18"/>
              </w:rPr>
            </w:pPr>
            <w:r w:rsidRPr="00C236C6">
              <w:rPr>
                <w:color w:val="000000" w:themeColor="dark1"/>
                <w:kern w:val="24"/>
                <w:sz w:val="18"/>
                <w:szCs w:val="18"/>
              </w:rPr>
              <w:t>58</w:t>
            </w:r>
          </w:p>
        </w:tc>
        <w:tc>
          <w:tcPr>
            <w:tcW w:w="2291" w:type="pct"/>
            <w:tcBorders>
              <w:top w:val="single" w:sz="8" w:space="0" w:color="D9D9D9"/>
              <w:left w:val="single" w:sz="8" w:space="0" w:color="FFFFFF"/>
              <w:bottom w:val="single" w:sz="8" w:space="0" w:color="D9D9D9"/>
              <w:right w:val="single" w:sz="8" w:space="0" w:color="FFFFFF"/>
            </w:tcBorders>
            <w:shd w:val="clear" w:color="auto" w:fill="auto"/>
          </w:tcPr>
          <w:p w14:paraId="4D6A098D" w14:textId="1FF2E112" w:rsidR="000F7771" w:rsidRPr="00C236C6" w:rsidRDefault="000F7771" w:rsidP="000F7771">
            <w:pPr>
              <w:pStyle w:val="TabletextLeft"/>
              <w:spacing w:line="216" w:lineRule="auto"/>
              <w:rPr>
                <w:color w:val="000000" w:themeColor="text1"/>
                <w:sz w:val="18"/>
                <w:szCs w:val="18"/>
              </w:rPr>
            </w:pPr>
            <w:r w:rsidRPr="00C236C6">
              <w:rPr>
                <w:color w:val="000000"/>
                <w:kern w:val="24"/>
                <w:sz w:val="18"/>
                <w:szCs w:val="18"/>
              </w:rPr>
              <w:t>Victoria Department of Health</w:t>
            </w:r>
          </w:p>
        </w:tc>
      </w:tr>
      <w:tr w:rsidR="000F7771" w:rsidRPr="00CC207B" w14:paraId="5A1619FF" w14:textId="77777777" w:rsidTr="00CC207B">
        <w:trPr>
          <w:trHeight w:val="42"/>
        </w:trPr>
        <w:tc>
          <w:tcPr>
            <w:tcW w:w="204" w:type="pct"/>
            <w:tcBorders>
              <w:top w:val="single" w:sz="8" w:space="0" w:color="D9D9D9"/>
              <w:left w:val="single" w:sz="8" w:space="0" w:color="FFFFFF"/>
              <w:bottom w:val="single" w:sz="8" w:space="0" w:color="D9D9D9"/>
              <w:right w:val="single" w:sz="8" w:space="0" w:color="FFFFFF"/>
            </w:tcBorders>
            <w:shd w:val="clear" w:color="auto" w:fill="auto"/>
          </w:tcPr>
          <w:p w14:paraId="6BE42291" w14:textId="3E1D2A73" w:rsidR="000F7771" w:rsidRPr="00C236C6" w:rsidRDefault="000F7771" w:rsidP="000F7771">
            <w:pPr>
              <w:pStyle w:val="TabletextLeft"/>
              <w:spacing w:line="216" w:lineRule="auto"/>
              <w:rPr>
                <w:color w:val="000000" w:themeColor="text1"/>
                <w:sz w:val="18"/>
                <w:szCs w:val="18"/>
              </w:rPr>
            </w:pPr>
            <w:r w:rsidRPr="00C236C6">
              <w:rPr>
                <w:color w:val="000000" w:themeColor="dark1"/>
                <w:kern w:val="24"/>
                <w:sz w:val="18"/>
                <w:szCs w:val="18"/>
              </w:rPr>
              <w:t>26</w:t>
            </w:r>
          </w:p>
        </w:tc>
        <w:tc>
          <w:tcPr>
            <w:tcW w:w="2296" w:type="pct"/>
            <w:tcBorders>
              <w:top w:val="single" w:sz="8" w:space="0" w:color="D9D9D9"/>
              <w:left w:val="single" w:sz="8" w:space="0" w:color="FFFFFF"/>
              <w:bottom w:val="single" w:sz="8" w:space="0" w:color="D9D9D9"/>
              <w:right w:val="single" w:sz="8" w:space="0" w:color="D9D9D9"/>
            </w:tcBorders>
            <w:shd w:val="clear" w:color="auto" w:fill="auto"/>
          </w:tcPr>
          <w:p w14:paraId="5DCB1445" w14:textId="7FF25A3C" w:rsidR="000F7771" w:rsidRPr="00C236C6" w:rsidRDefault="000F7771" w:rsidP="000F7771">
            <w:pPr>
              <w:pStyle w:val="TabletextLeft"/>
              <w:spacing w:line="216" w:lineRule="auto"/>
              <w:rPr>
                <w:color w:val="000000" w:themeColor="text1"/>
                <w:sz w:val="18"/>
                <w:szCs w:val="18"/>
              </w:rPr>
            </w:pPr>
            <w:r w:rsidRPr="00C236C6">
              <w:rPr>
                <w:color w:val="000000"/>
                <w:kern w:val="24"/>
                <w:sz w:val="18"/>
                <w:szCs w:val="18"/>
              </w:rPr>
              <w:t xml:space="preserve">Grattan Institute </w:t>
            </w:r>
          </w:p>
        </w:tc>
        <w:tc>
          <w:tcPr>
            <w:tcW w:w="209" w:type="pct"/>
            <w:tcBorders>
              <w:top w:val="single" w:sz="8" w:space="0" w:color="D9D9D9"/>
              <w:left w:val="single" w:sz="8" w:space="0" w:color="D9D9D9"/>
              <w:bottom w:val="single" w:sz="8" w:space="0" w:color="D9D9D9"/>
              <w:right w:val="single" w:sz="8" w:space="0" w:color="FFFFFF"/>
            </w:tcBorders>
            <w:shd w:val="clear" w:color="auto" w:fill="auto"/>
          </w:tcPr>
          <w:p w14:paraId="102DC8F6" w14:textId="43B12291" w:rsidR="000F7771" w:rsidRPr="00C236C6" w:rsidRDefault="000F7771" w:rsidP="000F7771">
            <w:pPr>
              <w:pStyle w:val="TabletextLeft"/>
              <w:spacing w:line="216" w:lineRule="auto"/>
              <w:rPr>
                <w:color w:val="000000" w:themeColor="text1"/>
                <w:sz w:val="18"/>
                <w:szCs w:val="18"/>
              </w:rPr>
            </w:pPr>
            <w:r w:rsidRPr="00C236C6">
              <w:rPr>
                <w:color w:val="000000" w:themeColor="dark1"/>
                <w:kern w:val="24"/>
                <w:sz w:val="18"/>
                <w:szCs w:val="18"/>
              </w:rPr>
              <w:t>59</w:t>
            </w:r>
          </w:p>
        </w:tc>
        <w:tc>
          <w:tcPr>
            <w:tcW w:w="2291" w:type="pct"/>
            <w:tcBorders>
              <w:top w:val="single" w:sz="8" w:space="0" w:color="D9D9D9"/>
              <w:left w:val="single" w:sz="8" w:space="0" w:color="FFFFFF"/>
              <w:bottom w:val="single" w:sz="8" w:space="0" w:color="D9D9D9"/>
              <w:right w:val="single" w:sz="8" w:space="0" w:color="FFFFFF"/>
            </w:tcBorders>
            <w:shd w:val="clear" w:color="auto" w:fill="auto"/>
          </w:tcPr>
          <w:p w14:paraId="2A0EFB08" w14:textId="7D87E2E6" w:rsidR="000F7771" w:rsidRPr="00C236C6" w:rsidRDefault="000F7771" w:rsidP="000F7771">
            <w:pPr>
              <w:pStyle w:val="TabletextLeft"/>
              <w:spacing w:line="216" w:lineRule="auto"/>
              <w:rPr>
                <w:color w:val="000000" w:themeColor="text1"/>
                <w:sz w:val="18"/>
                <w:szCs w:val="18"/>
              </w:rPr>
            </w:pPr>
            <w:r w:rsidRPr="00C236C6">
              <w:rPr>
                <w:color w:val="000000"/>
                <w:kern w:val="24"/>
                <w:sz w:val="18"/>
                <w:szCs w:val="18"/>
              </w:rPr>
              <w:t xml:space="preserve">Victorian Healthcare Association </w:t>
            </w:r>
          </w:p>
        </w:tc>
      </w:tr>
      <w:tr w:rsidR="000F7771" w:rsidRPr="00CC207B" w14:paraId="5EFD72BE" w14:textId="77777777" w:rsidTr="00CC207B">
        <w:trPr>
          <w:trHeight w:val="42"/>
        </w:trPr>
        <w:tc>
          <w:tcPr>
            <w:tcW w:w="204" w:type="pct"/>
            <w:tcBorders>
              <w:top w:val="single" w:sz="8" w:space="0" w:color="D9D9D9"/>
              <w:left w:val="single" w:sz="8" w:space="0" w:color="FFFFFF"/>
              <w:bottom w:val="single" w:sz="8" w:space="0" w:color="D9D9D9"/>
              <w:right w:val="single" w:sz="8" w:space="0" w:color="FFFFFF"/>
            </w:tcBorders>
            <w:shd w:val="clear" w:color="auto" w:fill="auto"/>
          </w:tcPr>
          <w:p w14:paraId="1CF029D3" w14:textId="0F7CB58C" w:rsidR="000F7771" w:rsidRPr="00C236C6" w:rsidRDefault="000F7771" w:rsidP="000F7771">
            <w:pPr>
              <w:pStyle w:val="TabletextLeft"/>
              <w:spacing w:line="216" w:lineRule="auto"/>
              <w:rPr>
                <w:color w:val="000000" w:themeColor="text1"/>
                <w:sz w:val="18"/>
                <w:szCs w:val="18"/>
              </w:rPr>
            </w:pPr>
            <w:r w:rsidRPr="00C236C6">
              <w:rPr>
                <w:color w:val="000000" w:themeColor="dark1"/>
                <w:kern w:val="24"/>
                <w:sz w:val="18"/>
                <w:szCs w:val="18"/>
              </w:rPr>
              <w:t>27</w:t>
            </w:r>
          </w:p>
        </w:tc>
        <w:tc>
          <w:tcPr>
            <w:tcW w:w="2296" w:type="pct"/>
            <w:tcBorders>
              <w:top w:val="single" w:sz="8" w:space="0" w:color="D9D9D9"/>
              <w:left w:val="single" w:sz="8" w:space="0" w:color="FFFFFF"/>
              <w:bottom w:val="single" w:sz="8" w:space="0" w:color="D9D9D9"/>
              <w:right w:val="single" w:sz="8" w:space="0" w:color="D9D9D9"/>
            </w:tcBorders>
            <w:shd w:val="clear" w:color="auto" w:fill="auto"/>
          </w:tcPr>
          <w:p w14:paraId="72458C39" w14:textId="587CB8DB" w:rsidR="000F7771" w:rsidRPr="00C236C6" w:rsidRDefault="000F7771" w:rsidP="000F7771">
            <w:pPr>
              <w:pStyle w:val="TabletextLeft"/>
              <w:spacing w:line="216" w:lineRule="auto"/>
              <w:rPr>
                <w:color w:val="000000" w:themeColor="text1"/>
                <w:sz w:val="18"/>
                <w:szCs w:val="18"/>
              </w:rPr>
            </w:pPr>
            <w:r w:rsidRPr="00C236C6">
              <w:rPr>
                <w:color w:val="000000"/>
                <w:kern w:val="24"/>
                <w:sz w:val="18"/>
                <w:szCs w:val="18"/>
              </w:rPr>
              <w:t>Health Consumers</w:t>
            </w:r>
            <w:r w:rsidR="00090507">
              <w:rPr>
                <w:color w:val="000000"/>
                <w:kern w:val="24"/>
                <w:sz w:val="18"/>
                <w:szCs w:val="18"/>
              </w:rPr>
              <w:t>’</w:t>
            </w:r>
            <w:r w:rsidRPr="00C236C6">
              <w:rPr>
                <w:color w:val="000000"/>
                <w:kern w:val="24"/>
                <w:sz w:val="18"/>
                <w:szCs w:val="18"/>
              </w:rPr>
              <w:t xml:space="preserve"> Council </w:t>
            </w:r>
            <w:r w:rsidR="0046202F">
              <w:rPr>
                <w:color w:val="000000"/>
                <w:kern w:val="24"/>
                <w:sz w:val="18"/>
                <w:szCs w:val="18"/>
              </w:rPr>
              <w:t>of WA</w:t>
            </w:r>
          </w:p>
        </w:tc>
        <w:tc>
          <w:tcPr>
            <w:tcW w:w="209" w:type="pct"/>
            <w:tcBorders>
              <w:top w:val="single" w:sz="8" w:space="0" w:color="D9D9D9"/>
              <w:left w:val="single" w:sz="8" w:space="0" w:color="D9D9D9"/>
              <w:bottom w:val="single" w:sz="8" w:space="0" w:color="D9D9D9"/>
              <w:right w:val="single" w:sz="8" w:space="0" w:color="FFFFFF"/>
            </w:tcBorders>
            <w:shd w:val="clear" w:color="auto" w:fill="auto"/>
          </w:tcPr>
          <w:p w14:paraId="64E2F1CA" w14:textId="611883AB" w:rsidR="000F7771" w:rsidRPr="00C236C6" w:rsidRDefault="000F7771" w:rsidP="000F7771">
            <w:pPr>
              <w:pStyle w:val="TabletextLeft"/>
              <w:spacing w:line="216" w:lineRule="auto"/>
              <w:rPr>
                <w:color w:val="000000" w:themeColor="text1"/>
                <w:sz w:val="18"/>
                <w:szCs w:val="18"/>
              </w:rPr>
            </w:pPr>
            <w:r w:rsidRPr="00C236C6">
              <w:rPr>
                <w:color w:val="000000" w:themeColor="dark1"/>
                <w:kern w:val="24"/>
                <w:sz w:val="18"/>
                <w:szCs w:val="18"/>
              </w:rPr>
              <w:t>60</w:t>
            </w:r>
          </w:p>
        </w:tc>
        <w:tc>
          <w:tcPr>
            <w:tcW w:w="2291" w:type="pct"/>
            <w:tcBorders>
              <w:top w:val="single" w:sz="8" w:space="0" w:color="D9D9D9"/>
              <w:left w:val="single" w:sz="8" w:space="0" w:color="FFFFFF"/>
              <w:bottom w:val="single" w:sz="8" w:space="0" w:color="D9D9D9"/>
              <w:right w:val="single" w:sz="8" w:space="0" w:color="FFFFFF"/>
            </w:tcBorders>
            <w:shd w:val="clear" w:color="auto" w:fill="auto"/>
          </w:tcPr>
          <w:p w14:paraId="4481437E" w14:textId="0480298A" w:rsidR="000F7771" w:rsidRPr="00C236C6" w:rsidRDefault="000F7771" w:rsidP="000F7771">
            <w:pPr>
              <w:pStyle w:val="TabletextLeft"/>
              <w:spacing w:line="216" w:lineRule="auto"/>
              <w:rPr>
                <w:color w:val="000000" w:themeColor="text1"/>
                <w:sz w:val="18"/>
                <w:szCs w:val="18"/>
              </w:rPr>
            </w:pPr>
            <w:r w:rsidRPr="00C236C6">
              <w:rPr>
                <w:color w:val="000000"/>
                <w:kern w:val="24"/>
                <w:sz w:val="18"/>
                <w:szCs w:val="18"/>
              </w:rPr>
              <w:t>WA Department of Health</w:t>
            </w:r>
          </w:p>
        </w:tc>
      </w:tr>
      <w:tr w:rsidR="000F7771" w:rsidRPr="00CC207B" w14:paraId="1DC113F5" w14:textId="77777777" w:rsidTr="00A47CBC">
        <w:trPr>
          <w:trHeight w:val="25"/>
        </w:trPr>
        <w:tc>
          <w:tcPr>
            <w:tcW w:w="204" w:type="pct"/>
            <w:tcBorders>
              <w:top w:val="single" w:sz="8" w:space="0" w:color="D9D9D9"/>
              <w:left w:val="single" w:sz="8" w:space="0" w:color="FFFFFF"/>
              <w:bottom w:val="single" w:sz="8" w:space="0" w:color="D9D9D9"/>
              <w:right w:val="single" w:sz="8" w:space="0" w:color="FFFFFF"/>
            </w:tcBorders>
            <w:shd w:val="clear" w:color="auto" w:fill="auto"/>
          </w:tcPr>
          <w:p w14:paraId="3C27C8B4" w14:textId="3D0838A7" w:rsidR="000F7771" w:rsidRPr="00C236C6" w:rsidRDefault="000F7771" w:rsidP="000F7771">
            <w:pPr>
              <w:pStyle w:val="TabletextLeft"/>
              <w:spacing w:line="216" w:lineRule="auto"/>
              <w:rPr>
                <w:color w:val="000000" w:themeColor="text1"/>
                <w:sz w:val="18"/>
                <w:szCs w:val="18"/>
              </w:rPr>
            </w:pPr>
            <w:r w:rsidRPr="00C236C6">
              <w:rPr>
                <w:color w:val="000000" w:themeColor="dark1"/>
                <w:kern w:val="24"/>
                <w:sz w:val="18"/>
                <w:szCs w:val="18"/>
              </w:rPr>
              <w:t>28</w:t>
            </w:r>
          </w:p>
        </w:tc>
        <w:tc>
          <w:tcPr>
            <w:tcW w:w="2296" w:type="pct"/>
            <w:tcBorders>
              <w:top w:val="single" w:sz="8" w:space="0" w:color="D9D9D9"/>
              <w:left w:val="single" w:sz="8" w:space="0" w:color="FFFFFF"/>
              <w:bottom w:val="single" w:sz="8" w:space="0" w:color="D9D9D9"/>
              <w:right w:val="single" w:sz="8" w:space="0" w:color="D9D9D9"/>
            </w:tcBorders>
            <w:shd w:val="clear" w:color="auto" w:fill="auto"/>
          </w:tcPr>
          <w:p w14:paraId="22B89E67" w14:textId="7F72447E" w:rsidR="000F7771" w:rsidRPr="00C236C6" w:rsidRDefault="000F7771" w:rsidP="000F7771">
            <w:pPr>
              <w:pStyle w:val="TabletextLeft"/>
              <w:spacing w:line="216" w:lineRule="auto"/>
              <w:rPr>
                <w:color w:val="000000" w:themeColor="text1"/>
                <w:sz w:val="18"/>
                <w:szCs w:val="18"/>
              </w:rPr>
            </w:pPr>
            <w:r w:rsidRPr="00C236C6">
              <w:rPr>
                <w:color w:val="000000"/>
                <w:kern w:val="24"/>
                <w:sz w:val="18"/>
                <w:szCs w:val="18"/>
              </w:rPr>
              <w:t>Health Technology Assessment Review Reference Committee</w:t>
            </w:r>
          </w:p>
        </w:tc>
        <w:tc>
          <w:tcPr>
            <w:tcW w:w="209" w:type="pct"/>
            <w:tcBorders>
              <w:top w:val="single" w:sz="8" w:space="0" w:color="D9D9D9"/>
              <w:left w:val="single" w:sz="8" w:space="0" w:color="D9D9D9"/>
              <w:bottom w:val="single" w:sz="8" w:space="0" w:color="D9D9D9"/>
              <w:right w:val="single" w:sz="8" w:space="0" w:color="FFFFFF"/>
            </w:tcBorders>
            <w:shd w:val="clear" w:color="auto" w:fill="auto"/>
          </w:tcPr>
          <w:p w14:paraId="6BEE3226" w14:textId="43C6549F" w:rsidR="000F7771" w:rsidRPr="00C236C6" w:rsidRDefault="000F7771" w:rsidP="000F7771">
            <w:pPr>
              <w:pStyle w:val="TabletextLeft"/>
              <w:spacing w:line="216" w:lineRule="auto"/>
              <w:rPr>
                <w:color w:val="000000" w:themeColor="text1"/>
                <w:sz w:val="18"/>
                <w:szCs w:val="18"/>
              </w:rPr>
            </w:pPr>
            <w:r w:rsidRPr="00C236C6">
              <w:rPr>
                <w:color w:val="000000" w:themeColor="dark1"/>
                <w:kern w:val="24"/>
                <w:sz w:val="18"/>
                <w:szCs w:val="18"/>
              </w:rPr>
              <w:t>61</w:t>
            </w:r>
          </w:p>
        </w:tc>
        <w:tc>
          <w:tcPr>
            <w:tcW w:w="2291" w:type="pct"/>
            <w:tcBorders>
              <w:top w:val="single" w:sz="8" w:space="0" w:color="D9D9D9"/>
              <w:left w:val="single" w:sz="8" w:space="0" w:color="FFFFFF"/>
              <w:bottom w:val="single" w:sz="8" w:space="0" w:color="D9D9D9"/>
              <w:right w:val="single" w:sz="8" w:space="0" w:color="FFFFFF"/>
            </w:tcBorders>
            <w:shd w:val="clear" w:color="auto" w:fill="auto"/>
          </w:tcPr>
          <w:p w14:paraId="5D4B6786" w14:textId="2AA92829" w:rsidR="000F7771" w:rsidRPr="00C236C6" w:rsidRDefault="000F7771" w:rsidP="000F7771">
            <w:pPr>
              <w:pStyle w:val="TabletextLeft"/>
              <w:spacing w:line="216" w:lineRule="auto"/>
              <w:rPr>
                <w:color w:val="000000" w:themeColor="text1"/>
                <w:sz w:val="18"/>
                <w:szCs w:val="18"/>
              </w:rPr>
            </w:pPr>
            <w:r w:rsidRPr="00C236C6">
              <w:rPr>
                <w:color w:val="000000"/>
                <w:kern w:val="24"/>
                <w:sz w:val="18"/>
                <w:szCs w:val="18"/>
              </w:rPr>
              <w:t>Department of Immunology, Flinders University</w:t>
            </w:r>
          </w:p>
        </w:tc>
      </w:tr>
      <w:tr w:rsidR="000F7771" w:rsidRPr="00CC207B" w14:paraId="33A79863" w14:textId="77777777" w:rsidTr="00CC207B">
        <w:trPr>
          <w:trHeight w:val="42"/>
        </w:trPr>
        <w:tc>
          <w:tcPr>
            <w:tcW w:w="204" w:type="pct"/>
            <w:tcBorders>
              <w:top w:val="single" w:sz="8" w:space="0" w:color="D9D9D9"/>
              <w:left w:val="single" w:sz="8" w:space="0" w:color="FFFFFF"/>
              <w:bottom w:val="single" w:sz="8" w:space="0" w:color="D9D9D9"/>
              <w:right w:val="single" w:sz="8" w:space="0" w:color="FFFFFF"/>
            </w:tcBorders>
            <w:shd w:val="clear" w:color="auto" w:fill="auto"/>
          </w:tcPr>
          <w:p w14:paraId="1327566E" w14:textId="5DBA9034" w:rsidR="000F7771" w:rsidRPr="00C236C6" w:rsidRDefault="000F7771" w:rsidP="000F7771">
            <w:pPr>
              <w:pStyle w:val="TabletextLeft"/>
              <w:spacing w:line="216" w:lineRule="auto"/>
              <w:rPr>
                <w:color w:val="000000" w:themeColor="text1"/>
                <w:sz w:val="18"/>
                <w:szCs w:val="18"/>
              </w:rPr>
            </w:pPr>
            <w:r w:rsidRPr="00C236C6">
              <w:rPr>
                <w:color w:val="000000" w:themeColor="dark1"/>
                <w:kern w:val="24"/>
                <w:sz w:val="18"/>
                <w:szCs w:val="18"/>
              </w:rPr>
              <w:t>29</w:t>
            </w:r>
          </w:p>
        </w:tc>
        <w:tc>
          <w:tcPr>
            <w:tcW w:w="2296" w:type="pct"/>
            <w:tcBorders>
              <w:top w:val="single" w:sz="8" w:space="0" w:color="D9D9D9"/>
              <w:left w:val="single" w:sz="8" w:space="0" w:color="FFFFFF"/>
              <w:bottom w:val="single" w:sz="8" w:space="0" w:color="D9D9D9"/>
              <w:right w:val="single" w:sz="8" w:space="0" w:color="D9D9D9"/>
            </w:tcBorders>
            <w:shd w:val="clear" w:color="auto" w:fill="auto"/>
          </w:tcPr>
          <w:p w14:paraId="1ACCFD7F" w14:textId="593B1399" w:rsidR="000F7771" w:rsidRPr="00C236C6" w:rsidRDefault="000F7771" w:rsidP="000F7771">
            <w:pPr>
              <w:pStyle w:val="TabletextLeft"/>
              <w:spacing w:line="216" w:lineRule="auto"/>
              <w:rPr>
                <w:color w:val="000000" w:themeColor="text1"/>
                <w:sz w:val="18"/>
                <w:szCs w:val="18"/>
              </w:rPr>
            </w:pPr>
            <w:r w:rsidRPr="00C236C6">
              <w:rPr>
                <w:color w:val="000000"/>
                <w:kern w:val="24"/>
                <w:sz w:val="18"/>
                <w:szCs w:val="18"/>
              </w:rPr>
              <w:t>Inclusion Australia</w:t>
            </w:r>
          </w:p>
        </w:tc>
        <w:tc>
          <w:tcPr>
            <w:tcW w:w="209" w:type="pct"/>
            <w:tcBorders>
              <w:top w:val="single" w:sz="8" w:space="0" w:color="D9D9D9"/>
              <w:left w:val="single" w:sz="8" w:space="0" w:color="D9D9D9"/>
              <w:bottom w:val="single" w:sz="8" w:space="0" w:color="D9D9D9"/>
              <w:right w:val="single" w:sz="8" w:space="0" w:color="FFFFFF"/>
            </w:tcBorders>
            <w:shd w:val="clear" w:color="auto" w:fill="auto"/>
          </w:tcPr>
          <w:p w14:paraId="4D0EE79D" w14:textId="367682EA" w:rsidR="000F7771" w:rsidRPr="00C236C6" w:rsidRDefault="000F7771" w:rsidP="000F7771">
            <w:pPr>
              <w:pStyle w:val="TabletextLeft"/>
              <w:spacing w:line="216" w:lineRule="auto"/>
              <w:rPr>
                <w:color w:val="000000" w:themeColor="text1"/>
                <w:sz w:val="18"/>
                <w:szCs w:val="18"/>
              </w:rPr>
            </w:pPr>
            <w:r>
              <w:rPr>
                <w:color w:val="000000" w:themeColor="text1"/>
                <w:sz w:val="18"/>
                <w:szCs w:val="18"/>
              </w:rPr>
              <w:t>62</w:t>
            </w:r>
          </w:p>
        </w:tc>
        <w:tc>
          <w:tcPr>
            <w:tcW w:w="2291" w:type="pct"/>
            <w:tcBorders>
              <w:top w:val="single" w:sz="8" w:space="0" w:color="D9D9D9"/>
              <w:left w:val="single" w:sz="8" w:space="0" w:color="FFFFFF"/>
              <w:bottom w:val="single" w:sz="8" w:space="0" w:color="D9D9D9"/>
              <w:right w:val="single" w:sz="8" w:space="0" w:color="FFFFFF"/>
            </w:tcBorders>
            <w:shd w:val="clear" w:color="auto" w:fill="auto"/>
          </w:tcPr>
          <w:p w14:paraId="672B64D1" w14:textId="7B891290" w:rsidR="000F7771" w:rsidRPr="00C236C6" w:rsidRDefault="000F7771" w:rsidP="000F7771">
            <w:pPr>
              <w:pStyle w:val="TabletextLeft"/>
              <w:spacing w:line="216" w:lineRule="auto"/>
              <w:rPr>
                <w:color w:val="000000" w:themeColor="text1"/>
                <w:sz w:val="18"/>
                <w:szCs w:val="18"/>
              </w:rPr>
            </w:pPr>
            <w:r w:rsidRPr="00B52413">
              <w:rPr>
                <w:color w:val="000000" w:themeColor="text1"/>
                <w:sz w:val="18"/>
                <w:szCs w:val="18"/>
              </w:rPr>
              <w:t>Lymphoma Australia</w:t>
            </w:r>
          </w:p>
        </w:tc>
      </w:tr>
      <w:tr w:rsidR="000F7771" w:rsidRPr="00CC207B" w14:paraId="58D9666B" w14:textId="77777777" w:rsidTr="00CC207B">
        <w:trPr>
          <w:trHeight w:val="42"/>
        </w:trPr>
        <w:tc>
          <w:tcPr>
            <w:tcW w:w="204" w:type="pct"/>
            <w:tcBorders>
              <w:top w:val="single" w:sz="8" w:space="0" w:color="D9D9D9"/>
              <w:left w:val="single" w:sz="8" w:space="0" w:color="FFFFFF"/>
              <w:bottom w:val="single" w:sz="8" w:space="0" w:color="D9D9D9"/>
              <w:right w:val="single" w:sz="8" w:space="0" w:color="FFFFFF"/>
            </w:tcBorders>
            <w:shd w:val="clear" w:color="auto" w:fill="auto"/>
          </w:tcPr>
          <w:p w14:paraId="3F8DD778" w14:textId="4A6BC653" w:rsidR="000F7771" w:rsidRPr="00C236C6" w:rsidRDefault="000F7771" w:rsidP="000F7771">
            <w:pPr>
              <w:pStyle w:val="TabletextLeft"/>
              <w:spacing w:line="216" w:lineRule="auto"/>
              <w:rPr>
                <w:color w:val="000000" w:themeColor="text1"/>
                <w:sz w:val="18"/>
                <w:szCs w:val="18"/>
              </w:rPr>
            </w:pPr>
            <w:r w:rsidRPr="00C236C6">
              <w:rPr>
                <w:color w:val="000000" w:themeColor="dark1"/>
                <w:kern w:val="24"/>
                <w:sz w:val="18"/>
                <w:szCs w:val="18"/>
              </w:rPr>
              <w:t>30</w:t>
            </w:r>
          </w:p>
        </w:tc>
        <w:tc>
          <w:tcPr>
            <w:tcW w:w="2296" w:type="pct"/>
            <w:tcBorders>
              <w:top w:val="single" w:sz="8" w:space="0" w:color="D9D9D9"/>
              <w:left w:val="single" w:sz="8" w:space="0" w:color="FFFFFF"/>
              <w:bottom w:val="single" w:sz="8" w:space="0" w:color="D9D9D9"/>
              <w:right w:val="single" w:sz="8" w:space="0" w:color="D9D9D9"/>
            </w:tcBorders>
            <w:shd w:val="clear" w:color="auto" w:fill="auto"/>
          </w:tcPr>
          <w:p w14:paraId="18A661F8" w14:textId="23A42DA7" w:rsidR="000F7771" w:rsidRPr="00C236C6" w:rsidRDefault="000F7771" w:rsidP="000F7771">
            <w:pPr>
              <w:pStyle w:val="TabletextLeft"/>
              <w:spacing w:line="216" w:lineRule="auto"/>
              <w:rPr>
                <w:color w:val="000000" w:themeColor="text1"/>
                <w:sz w:val="18"/>
                <w:szCs w:val="18"/>
              </w:rPr>
            </w:pPr>
            <w:r w:rsidRPr="00C236C6">
              <w:rPr>
                <w:color w:val="000000"/>
                <w:kern w:val="24"/>
                <w:sz w:val="18"/>
                <w:szCs w:val="18"/>
              </w:rPr>
              <w:t xml:space="preserve">Independent Health and Aged Care Pricing Authority </w:t>
            </w:r>
          </w:p>
        </w:tc>
        <w:tc>
          <w:tcPr>
            <w:tcW w:w="209" w:type="pct"/>
            <w:tcBorders>
              <w:top w:val="single" w:sz="8" w:space="0" w:color="D9D9D9"/>
              <w:left w:val="single" w:sz="8" w:space="0" w:color="D9D9D9"/>
              <w:bottom w:val="single" w:sz="8" w:space="0" w:color="D9D9D9"/>
              <w:right w:val="single" w:sz="8" w:space="0" w:color="FFFFFF"/>
            </w:tcBorders>
            <w:shd w:val="clear" w:color="auto" w:fill="auto"/>
          </w:tcPr>
          <w:p w14:paraId="2E4FDB6B" w14:textId="549A0A0F" w:rsidR="000F7771" w:rsidRPr="00C236C6" w:rsidRDefault="000F7771" w:rsidP="000F7771">
            <w:pPr>
              <w:pStyle w:val="TabletextLeft"/>
              <w:spacing w:line="216" w:lineRule="auto"/>
              <w:rPr>
                <w:color w:val="000000" w:themeColor="text1"/>
                <w:sz w:val="18"/>
                <w:szCs w:val="18"/>
              </w:rPr>
            </w:pPr>
            <w:r>
              <w:rPr>
                <w:color w:val="000000" w:themeColor="text1"/>
                <w:sz w:val="18"/>
                <w:szCs w:val="18"/>
              </w:rPr>
              <w:t>63</w:t>
            </w:r>
          </w:p>
        </w:tc>
        <w:tc>
          <w:tcPr>
            <w:tcW w:w="2291" w:type="pct"/>
            <w:tcBorders>
              <w:top w:val="single" w:sz="8" w:space="0" w:color="D9D9D9"/>
              <w:left w:val="single" w:sz="8" w:space="0" w:color="FFFFFF"/>
              <w:bottom w:val="single" w:sz="8" w:space="0" w:color="D9D9D9"/>
              <w:right w:val="single" w:sz="8" w:space="0" w:color="FFFFFF"/>
            </w:tcBorders>
            <w:shd w:val="clear" w:color="auto" w:fill="auto"/>
          </w:tcPr>
          <w:p w14:paraId="3F8FF7B3" w14:textId="3480C315" w:rsidR="000F7771" w:rsidRPr="00C236C6" w:rsidRDefault="000F7771" w:rsidP="000F7771">
            <w:pPr>
              <w:pStyle w:val="TabletextLeft"/>
              <w:spacing w:line="216" w:lineRule="auto"/>
              <w:rPr>
                <w:color w:val="000000" w:themeColor="text1"/>
                <w:sz w:val="18"/>
                <w:szCs w:val="18"/>
              </w:rPr>
            </w:pPr>
            <w:r>
              <w:rPr>
                <w:color w:val="000000" w:themeColor="text1"/>
                <w:sz w:val="18"/>
                <w:szCs w:val="18"/>
              </w:rPr>
              <w:t>Epworth Healthcare</w:t>
            </w:r>
          </w:p>
        </w:tc>
      </w:tr>
      <w:tr w:rsidR="000F7771" w:rsidRPr="00CC207B" w14:paraId="54C38211" w14:textId="77777777" w:rsidTr="00CC207B">
        <w:trPr>
          <w:trHeight w:val="42"/>
        </w:trPr>
        <w:tc>
          <w:tcPr>
            <w:tcW w:w="204" w:type="pct"/>
            <w:tcBorders>
              <w:top w:val="single" w:sz="8" w:space="0" w:color="D9D9D9"/>
              <w:left w:val="single" w:sz="8" w:space="0" w:color="FFFFFF"/>
              <w:bottom w:val="single" w:sz="8" w:space="0" w:color="D9D9D9"/>
              <w:right w:val="single" w:sz="8" w:space="0" w:color="FFFFFF"/>
            </w:tcBorders>
            <w:shd w:val="clear" w:color="auto" w:fill="auto"/>
          </w:tcPr>
          <w:p w14:paraId="273B0970" w14:textId="6C782ECA" w:rsidR="000F7771" w:rsidRPr="00C236C6" w:rsidRDefault="000F7771" w:rsidP="000F7771">
            <w:pPr>
              <w:pStyle w:val="TabletextLeft"/>
              <w:spacing w:line="216" w:lineRule="auto"/>
              <w:rPr>
                <w:color w:val="000000" w:themeColor="text1"/>
                <w:sz w:val="18"/>
                <w:szCs w:val="18"/>
              </w:rPr>
            </w:pPr>
            <w:r w:rsidRPr="00C236C6">
              <w:rPr>
                <w:color w:val="000000" w:themeColor="dark1"/>
                <w:kern w:val="24"/>
                <w:sz w:val="18"/>
                <w:szCs w:val="18"/>
              </w:rPr>
              <w:t>31</w:t>
            </w:r>
          </w:p>
        </w:tc>
        <w:tc>
          <w:tcPr>
            <w:tcW w:w="2296" w:type="pct"/>
            <w:tcBorders>
              <w:top w:val="single" w:sz="8" w:space="0" w:color="D9D9D9"/>
              <w:left w:val="single" w:sz="8" w:space="0" w:color="FFFFFF"/>
              <w:bottom w:val="single" w:sz="8" w:space="0" w:color="D9D9D9"/>
              <w:right w:val="single" w:sz="8" w:space="0" w:color="D9D9D9"/>
            </w:tcBorders>
            <w:shd w:val="clear" w:color="auto" w:fill="auto"/>
          </w:tcPr>
          <w:p w14:paraId="25877298" w14:textId="59A7F464" w:rsidR="000F7771" w:rsidRPr="00C236C6" w:rsidRDefault="000F7771" w:rsidP="000F7771">
            <w:pPr>
              <w:pStyle w:val="TabletextLeft"/>
              <w:spacing w:line="216" w:lineRule="auto"/>
              <w:rPr>
                <w:color w:val="000000" w:themeColor="text1"/>
                <w:sz w:val="18"/>
                <w:szCs w:val="18"/>
              </w:rPr>
            </w:pPr>
            <w:r w:rsidRPr="00C236C6">
              <w:rPr>
                <w:color w:val="000000"/>
                <w:kern w:val="24"/>
                <w:sz w:val="18"/>
                <w:szCs w:val="18"/>
              </w:rPr>
              <w:t xml:space="preserve">Leukaemia Foundation </w:t>
            </w:r>
          </w:p>
        </w:tc>
        <w:tc>
          <w:tcPr>
            <w:tcW w:w="209" w:type="pct"/>
            <w:tcBorders>
              <w:top w:val="single" w:sz="8" w:space="0" w:color="D9D9D9"/>
              <w:left w:val="single" w:sz="8" w:space="0" w:color="D9D9D9"/>
              <w:bottom w:val="single" w:sz="8" w:space="0" w:color="D9D9D9"/>
              <w:right w:val="nil"/>
            </w:tcBorders>
            <w:shd w:val="clear" w:color="auto" w:fill="auto"/>
          </w:tcPr>
          <w:p w14:paraId="066F765D" w14:textId="4AC8CA1B" w:rsidR="000F7771" w:rsidRPr="00C236C6" w:rsidRDefault="000F7771" w:rsidP="000F7771">
            <w:pPr>
              <w:pStyle w:val="TabletextLeft"/>
              <w:spacing w:line="216" w:lineRule="auto"/>
              <w:rPr>
                <w:color w:val="000000" w:themeColor="text1"/>
                <w:sz w:val="18"/>
                <w:szCs w:val="18"/>
              </w:rPr>
            </w:pPr>
            <w:r>
              <w:rPr>
                <w:color w:val="000000" w:themeColor="text1"/>
                <w:sz w:val="18"/>
                <w:szCs w:val="18"/>
              </w:rPr>
              <w:t>64</w:t>
            </w:r>
          </w:p>
        </w:tc>
        <w:tc>
          <w:tcPr>
            <w:tcW w:w="2291" w:type="pct"/>
            <w:tcBorders>
              <w:top w:val="single" w:sz="8" w:space="0" w:color="D9D9D9"/>
              <w:left w:val="nil"/>
              <w:bottom w:val="single" w:sz="8" w:space="0" w:color="D9D9D9"/>
              <w:right w:val="nil"/>
            </w:tcBorders>
            <w:shd w:val="clear" w:color="auto" w:fill="auto"/>
          </w:tcPr>
          <w:p w14:paraId="1EE5DD1D" w14:textId="13FE409B" w:rsidR="000F7771" w:rsidRPr="00C236C6" w:rsidRDefault="000F7771" w:rsidP="000F7771">
            <w:pPr>
              <w:pStyle w:val="TabletextLeft"/>
              <w:spacing w:line="216" w:lineRule="auto"/>
              <w:rPr>
                <w:color w:val="000000" w:themeColor="text1"/>
                <w:sz w:val="18"/>
                <w:szCs w:val="18"/>
              </w:rPr>
            </w:pPr>
            <w:r>
              <w:rPr>
                <w:color w:val="000000" w:themeColor="text1"/>
                <w:sz w:val="18"/>
                <w:szCs w:val="18"/>
              </w:rPr>
              <w:t>Cell Therapies</w:t>
            </w:r>
          </w:p>
        </w:tc>
      </w:tr>
      <w:tr w:rsidR="000F7771" w:rsidRPr="00CC207B" w14:paraId="2D6A3CAE" w14:textId="77777777" w:rsidTr="00CC207B">
        <w:trPr>
          <w:trHeight w:val="42"/>
        </w:trPr>
        <w:tc>
          <w:tcPr>
            <w:tcW w:w="204" w:type="pct"/>
            <w:tcBorders>
              <w:top w:val="single" w:sz="8" w:space="0" w:color="D9D9D9"/>
              <w:left w:val="single" w:sz="8" w:space="0" w:color="FFFFFF"/>
              <w:bottom w:val="single" w:sz="8" w:space="0" w:color="D9D9D9"/>
              <w:right w:val="single" w:sz="8" w:space="0" w:color="FFFFFF"/>
            </w:tcBorders>
            <w:shd w:val="clear" w:color="auto" w:fill="auto"/>
          </w:tcPr>
          <w:p w14:paraId="40BDD3D8" w14:textId="48567098" w:rsidR="000F7771" w:rsidRPr="00C236C6" w:rsidRDefault="000F7771" w:rsidP="000F7771">
            <w:pPr>
              <w:pStyle w:val="TabletextLeft"/>
              <w:spacing w:line="216" w:lineRule="auto"/>
              <w:rPr>
                <w:color w:val="000000" w:themeColor="dark1"/>
                <w:kern w:val="24"/>
                <w:sz w:val="18"/>
                <w:szCs w:val="18"/>
              </w:rPr>
            </w:pPr>
            <w:r w:rsidRPr="00C236C6">
              <w:rPr>
                <w:color w:val="000000" w:themeColor="dark1"/>
                <w:kern w:val="24"/>
                <w:sz w:val="18"/>
                <w:szCs w:val="18"/>
              </w:rPr>
              <w:t>32</w:t>
            </w:r>
          </w:p>
        </w:tc>
        <w:tc>
          <w:tcPr>
            <w:tcW w:w="2296" w:type="pct"/>
            <w:tcBorders>
              <w:top w:val="single" w:sz="8" w:space="0" w:color="D9D9D9"/>
              <w:left w:val="single" w:sz="8" w:space="0" w:color="FFFFFF"/>
              <w:bottom w:val="single" w:sz="8" w:space="0" w:color="D9D9D9"/>
              <w:right w:val="single" w:sz="8" w:space="0" w:color="D9D9D9"/>
            </w:tcBorders>
            <w:shd w:val="clear" w:color="auto" w:fill="auto"/>
          </w:tcPr>
          <w:p w14:paraId="4D74D81D" w14:textId="372A42BF" w:rsidR="000F7771" w:rsidRPr="00C236C6" w:rsidRDefault="000F7771" w:rsidP="000F7771">
            <w:pPr>
              <w:pStyle w:val="TabletextLeft"/>
              <w:spacing w:line="216" w:lineRule="auto"/>
              <w:rPr>
                <w:color w:val="000000"/>
                <w:kern w:val="24"/>
                <w:sz w:val="18"/>
                <w:szCs w:val="18"/>
              </w:rPr>
            </w:pPr>
            <w:r w:rsidRPr="00C236C6">
              <w:rPr>
                <w:color w:val="000000"/>
                <w:kern w:val="24"/>
                <w:sz w:val="18"/>
                <w:szCs w:val="18"/>
              </w:rPr>
              <w:t xml:space="preserve">Macquarie University </w:t>
            </w:r>
          </w:p>
        </w:tc>
        <w:tc>
          <w:tcPr>
            <w:tcW w:w="209" w:type="pct"/>
            <w:tcBorders>
              <w:top w:val="single" w:sz="8" w:space="0" w:color="D9D9D9"/>
              <w:left w:val="single" w:sz="8" w:space="0" w:color="D9D9D9"/>
              <w:bottom w:val="single" w:sz="8" w:space="0" w:color="D9D9D9"/>
              <w:right w:val="nil"/>
            </w:tcBorders>
            <w:shd w:val="clear" w:color="auto" w:fill="auto"/>
          </w:tcPr>
          <w:p w14:paraId="1693B7CA" w14:textId="5ADDD74D" w:rsidR="000F7771" w:rsidRDefault="000F7771" w:rsidP="000F7771">
            <w:pPr>
              <w:pStyle w:val="TabletextLeft"/>
              <w:spacing w:line="216" w:lineRule="auto"/>
              <w:rPr>
                <w:color w:val="000000" w:themeColor="text1"/>
                <w:sz w:val="18"/>
                <w:szCs w:val="18"/>
              </w:rPr>
            </w:pPr>
            <w:r>
              <w:rPr>
                <w:color w:val="000000" w:themeColor="text1"/>
                <w:sz w:val="18"/>
                <w:szCs w:val="18"/>
              </w:rPr>
              <w:t>65</w:t>
            </w:r>
          </w:p>
        </w:tc>
        <w:tc>
          <w:tcPr>
            <w:tcW w:w="2291" w:type="pct"/>
            <w:tcBorders>
              <w:top w:val="single" w:sz="8" w:space="0" w:color="D9D9D9"/>
              <w:left w:val="nil"/>
              <w:bottom w:val="single" w:sz="8" w:space="0" w:color="D9D9D9"/>
              <w:right w:val="nil"/>
            </w:tcBorders>
            <w:shd w:val="clear" w:color="auto" w:fill="auto"/>
          </w:tcPr>
          <w:p w14:paraId="3BFE7F66" w14:textId="3D9AAB37" w:rsidR="000F7771" w:rsidRPr="00B52413" w:rsidRDefault="00D56E3B" w:rsidP="000F7771">
            <w:pPr>
              <w:pStyle w:val="TabletextLeft"/>
              <w:spacing w:line="216" w:lineRule="auto"/>
              <w:rPr>
                <w:color w:val="000000" w:themeColor="text1"/>
                <w:sz w:val="18"/>
                <w:szCs w:val="18"/>
              </w:rPr>
            </w:pPr>
            <w:r w:rsidRPr="00D56E3B">
              <w:rPr>
                <w:color w:val="000000" w:themeColor="text1"/>
                <w:sz w:val="18"/>
                <w:szCs w:val="18"/>
              </w:rPr>
              <w:t>Peter MacCallum Cancer Centre</w:t>
            </w:r>
          </w:p>
        </w:tc>
      </w:tr>
      <w:tr w:rsidR="000F7771" w:rsidRPr="00CC207B" w14:paraId="32A7BADA" w14:textId="77777777" w:rsidTr="00CC207B">
        <w:trPr>
          <w:trHeight w:val="42"/>
        </w:trPr>
        <w:tc>
          <w:tcPr>
            <w:tcW w:w="204" w:type="pct"/>
            <w:tcBorders>
              <w:top w:val="single" w:sz="8" w:space="0" w:color="D9D9D9"/>
              <w:left w:val="single" w:sz="8" w:space="0" w:color="FFFFFF"/>
              <w:bottom w:val="single" w:sz="8" w:space="0" w:color="D9D9D9"/>
              <w:right w:val="single" w:sz="8" w:space="0" w:color="FFFFFF"/>
            </w:tcBorders>
            <w:shd w:val="clear" w:color="auto" w:fill="auto"/>
          </w:tcPr>
          <w:p w14:paraId="6C802A1D" w14:textId="1C73C976" w:rsidR="000F7771" w:rsidRPr="00C236C6" w:rsidRDefault="000F7771" w:rsidP="000F7771">
            <w:pPr>
              <w:pStyle w:val="TabletextLeft"/>
              <w:spacing w:line="216" w:lineRule="auto"/>
              <w:rPr>
                <w:color w:val="000000" w:themeColor="dark1"/>
                <w:kern w:val="24"/>
                <w:sz w:val="18"/>
                <w:szCs w:val="18"/>
              </w:rPr>
            </w:pPr>
            <w:r w:rsidRPr="00C236C6">
              <w:rPr>
                <w:color w:val="000000" w:themeColor="dark1"/>
                <w:kern w:val="24"/>
                <w:sz w:val="18"/>
                <w:szCs w:val="18"/>
              </w:rPr>
              <w:t>33</w:t>
            </w:r>
          </w:p>
        </w:tc>
        <w:tc>
          <w:tcPr>
            <w:tcW w:w="2296" w:type="pct"/>
            <w:tcBorders>
              <w:top w:val="single" w:sz="8" w:space="0" w:color="D9D9D9"/>
              <w:left w:val="single" w:sz="8" w:space="0" w:color="FFFFFF"/>
              <w:bottom w:val="single" w:sz="8" w:space="0" w:color="D9D9D9"/>
              <w:right w:val="single" w:sz="8" w:space="0" w:color="D9D9D9"/>
            </w:tcBorders>
            <w:shd w:val="clear" w:color="auto" w:fill="auto"/>
          </w:tcPr>
          <w:p w14:paraId="0BDC91C0" w14:textId="21047D73" w:rsidR="000F7771" w:rsidRPr="00C236C6" w:rsidRDefault="000F7771" w:rsidP="000F7771">
            <w:pPr>
              <w:pStyle w:val="TabletextLeft"/>
              <w:spacing w:line="216" w:lineRule="auto"/>
              <w:rPr>
                <w:color w:val="000000"/>
                <w:kern w:val="24"/>
                <w:sz w:val="18"/>
                <w:szCs w:val="18"/>
              </w:rPr>
            </w:pPr>
            <w:r w:rsidRPr="00C236C6">
              <w:rPr>
                <w:color w:val="000000"/>
                <w:kern w:val="24"/>
                <w:sz w:val="18"/>
                <w:szCs w:val="18"/>
              </w:rPr>
              <w:t xml:space="preserve">Medical Workforce Reform Advisory Committee </w:t>
            </w:r>
          </w:p>
        </w:tc>
        <w:tc>
          <w:tcPr>
            <w:tcW w:w="209" w:type="pct"/>
            <w:tcBorders>
              <w:top w:val="single" w:sz="8" w:space="0" w:color="D9D9D9"/>
              <w:left w:val="single" w:sz="8" w:space="0" w:color="D9D9D9"/>
              <w:bottom w:val="single" w:sz="8" w:space="0" w:color="D9D9D9"/>
              <w:right w:val="nil"/>
            </w:tcBorders>
            <w:shd w:val="clear" w:color="auto" w:fill="auto"/>
          </w:tcPr>
          <w:p w14:paraId="27D025EE" w14:textId="77777777" w:rsidR="000F7771" w:rsidRDefault="000F7771" w:rsidP="000F7771">
            <w:pPr>
              <w:pStyle w:val="TabletextLeft"/>
              <w:spacing w:line="216" w:lineRule="auto"/>
              <w:rPr>
                <w:color w:val="000000" w:themeColor="text1"/>
                <w:sz w:val="18"/>
                <w:szCs w:val="18"/>
              </w:rPr>
            </w:pPr>
          </w:p>
        </w:tc>
        <w:tc>
          <w:tcPr>
            <w:tcW w:w="2291" w:type="pct"/>
            <w:tcBorders>
              <w:top w:val="single" w:sz="8" w:space="0" w:color="D9D9D9"/>
              <w:left w:val="nil"/>
              <w:bottom w:val="single" w:sz="8" w:space="0" w:color="D9D9D9"/>
              <w:right w:val="nil"/>
            </w:tcBorders>
            <w:shd w:val="clear" w:color="auto" w:fill="auto"/>
          </w:tcPr>
          <w:p w14:paraId="774BD142" w14:textId="77777777" w:rsidR="000F7771" w:rsidRDefault="000F7771" w:rsidP="000F7771">
            <w:pPr>
              <w:pStyle w:val="TabletextLeft"/>
              <w:spacing w:line="216" w:lineRule="auto"/>
              <w:rPr>
                <w:color w:val="000000" w:themeColor="text1"/>
                <w:sz w:val="18"/>
                <w:szCs w:val="18"/>
              </w:rPr>
            </w:pPr>
          </w:p>
        </w:tc>
      </w:tr>
    </w:tbl>
    <w:p w14:paraId="67BA2E3A" w14:textId="77777777" w:rsidR="00F42175" w:rsidRPr="00F42175" w:rsidRDefault="00F42175" w:rsidP="00D47C58"/>
    <w:p w14:paraId="36E51BE0" w14:textId="6F5B020A" w:rsidR="00E95232" w:rsidRPr="005B45B2" w:rsidRDefault="00E95232" w:rsidP="005B45B2">
      <w:pPr>
        <w:sectPr w:rsidR="00E95232" w:rsidRPr="005B45B2" w:rsidSect="009E5F26">
          <w:pgSz w:w="11906" w:h="16838" w:code="9"/>
          <w:pgMar w:top="1276" w:right="720" w:bottom="720" w:left="720" w:header="680" w:footer="425" w:gutter="0"/>
          <w:cols w:space="284"/>
          <w:docGrid w:linePitch="360"/>
        </w:sectPr>
      </w:pPr>
    </w:p>
    <w:p w14:paraId="7DAD84B9" w14:textId="35466CB6" w:rsidR="00985C0B" w:rsidRDefault="00E30F7B" w:rsidP="0057185D">
      <w:pPr>
        <w:pStyle w:val="Appendixheading"/>
      </w:pPr>
      <w:bookmarkStart w:id="399" w:name="_Toc143291708"/>
      <w:bookmarkStart w:id="400" w:name="_Ref143788622"/>
      <w:bookmarkStart w:id="401" w:name="_Toc148968360"/>
      <w:bookmarkStart w:id="402" w:name="_Ref143000237"/>
      <w:r>
        <w:t>NH</w:t>
      </w:r>
      <w:r w:rsidR="00896285">
        <w:t>RA Addendum 2020-2025</w:t>
      </w:r>
      <w:r w:rsidR="002E2A1B">
        <w:t xml:space="preserve"> contents</w:t>
      </w:r>
      <w:bookmarkEnd w:id="399"/>
      <w:bookmarkEnd w:id="400"/>
      <w:bookmarkEnd w:id="401"/>
    </w:p>
    <w:bookmarkEnd w:id="402"/>
    <w:p w14:paraId="7038AD13" w14:textId="7D8A9D5F" w:rsidR="00E03CDD" w:rsidRDefault="00E03CDD" w:rsidP="00E03CDD">
      <w:r>
        <w:t>This appendix includes two tables:</w:t>
      </w:r>
    </w:p>
    <w:p w14:paraId="27094678" w14:textId="230BF634" w:rsidR="00C225AC" w:rsidRDefault="00C225AC" w:rsidP="00A850C3">
      <w:pPr>
        <w:pStyle w:val="ListParagraph"/>
        <w:numPr>
          <w:ilvl w:val="0"/>
          <w:numId w:val="29"/>
        </w:numPr>
      </w:pPr>
      <w:r>
        <w:fldChar w:fldCharType="begin" w:fldLock="1"/>
      </w:r>
      <w:r>
        <w:instrText xml:space="preserve"> REF _Ref144214592 \h </w:instrText>
      </w:r>
      <w:r>
        <w:fldChar w:fldCharType="separate"/>
      </w:r>
      <w:r w:rsidR="00FA10A4" w:rsidRPr="00A97309">
        <w:t xml:space="preserve">Table </w:t>
      </w:r>
      <w:r w:rsidR="00FA10A4">
        <w:rPr>
          <w:noProof/>
        </w:rPr>
        <w:t>10</w:t>
      </w:r>
      <w:r>
        <w:fldChar w:fldCharType="end"/>
      </w:r>
      <w:r>
        <w:t>: NHRA Addendum 2020-2025 Schedule</w:t>
      </w:r>
      <w:r w:rsidR="00683B21">
        <w:t>s</w:t>
      </w:r>
      <w:r>
        <w:t xml:space="preserve"> </w:t>
      </w:r>
      <w:r w:rsidR="00DC7179">
        <w:t>and key contents</w:t>
      </w:r>
    </w:p>
    <w:p w14:paraId="074C2AE8" w14:textId="318C937D" w:rsidR="00E03CDD" w:rsidRDefault="00C225AC" w:rsidP="00A850C3">
      <w:pPr>
        <w:pStyle w:val="ListParagraph"/>
        <w:numPr>
          <w:ilvl w:val="0"/>
          <w:numId w:val="29"/>
        </w:numPr>
      </w:pPr>
      <w:r>
        <w:fldChar w:fldCharType="begin" w:fldLock="1"/>
      </w:r>
      <w:r>
        <w:instrText xml:space="preserve"> REF _Ref144214595 \h </w:instrText>
      </w:r>
      <w:r>
        <w:fldChar w:fldCharType="separate"/>
      </w:r>
      <w:r w:rsidR="00FA10A4">
        <w:t xml:space="preserve">Table </w:t>
      </w:r>
      <w:r w:rsidR="00FA10A4">
        <w:rPr>
          <w:noProof/>
        </w:rPr>
        <w:t>11</w:t>
      </w:r>
      <w:r>
        <w:fldChar w:fldCharType="end"/>
      </w:r>
      <w:r w:rsidR="001B1F2E">
        <w:t xml:space="preserve">: </w:t>
      </w:r>
      <w:r w:rsidR="00683B21">
        <w:t xml:space="preserve">Key changes introduced through the </w:t>
      </w:r>
      <w:r w:rsidR="00683B21" w:rsidRPr="00683B21">
        <w:t>2020-2025 Addendum</w:t>
      </w:r>
      <w:r w:rsidR="00DF7812">
        <w:t xml:space="preserve"> (sourced from </w:t>
      </w:r>
      <w:r w:rsidR="00142376">
        <w:t>Commonwealth Department of Health and Aged Care)</w:t>
      </w:r>
      <w:r w:rsidR="00683B21">
        <w:t>.</w:t>
      </w:r>
    </w:p>
    <w:p w14:paraId="3E559DA1" w14:textId="7F5B4E06" w:rsidR="00E03CDD" w:rsidRPr="00A97309" w:rsidRDefault="00CE6044" w:rsidP="00C2024B">
      <w:pPr>
        <w:pStyle w:val="Caption"/>
      </w:pPr>
      <w:bookmarkStart w:id="403" w:name="_Ref144214592"/>
      <w:bookmarkStart w:id="404" w:name="_Toc148968374"/>
      <w:r w:rsidRPr="00A97309">
        <w:t xml:space="preserve">Table </w:t>
      </w:r>
      <w:r>
        <w:fldChar w:fldCharType="begin"/>
      </w:r>
      <w:r>
        <w:instrText xml:space="preserve"> SEQ Table \* ARABIC </w:instrText>
      </w:r>
      <w:r>
        <w:fldChar w:fldCharType="separate"/>
      </w:r>
      <w:r w:rsidR="003F5D51">
        <w:rPr>
          <w:noProof/>
        </w:rPr>
        <w:t>10</w:t>
      </w:r>
      <w:r>
        <w:rPr>
          <w:noProof/>
        </w:rPr>
        <w:fldChar w:fldCharType="end"/>
      </w:r>
      <w:bookmarkEnd w:id="403"/>
      <w:r w:rsidR="00E03CDD" w:rsidRPr="00A97309">
        <w:t xml:space="preserve">: </w:t>
      </w:r>
      <w:r w:rsidR="00E03CDD" w:rsidRPr="005D01B0">
        <w:t>NHRA Addendum 2020-2025 Schedule contents</w:t>
      </w:r>
      <w:bookmarkEnd w:id="404"/>
    </w:p>
    <w:tbl>
      <w:tblPr>
        <w:tblStyle w:val="Deloittetable"/>
        <w:tblW w:w="5000" w:type="pct"/>
        <w:tblLook w:val="04A0" w:firstRow="1" w:lastRow="0" w:firstColumn="1" w:lastColumn="0" w:noHBand="0" w:noVBand="1"/>
      </w:tblPr>
      <w:tblGrid>
        <w:gridCol w:w="1275"/>
        <w:gridCol w:w="7231"/>
        <w:gridCol w:w="1275"/>
        <w:gridCol w:w="5617"/>
      </w:tblGrid>
      <w:tr w:rsidR="00B25012" w:rsidRPr="00B25012" w14:paraId="1A8D0F4D" w14:textId="77777777" w:rsidTr="00F9704D">
        <w:trPr>
          <w:cnfStyle w:val="100000000000" w:firstRow="1" w:lastRow="0" w:firstColumn="0" w:lastColumn="0" w:oddVBand="0" w:evenVBand="0" w:oddHBand="0" w:evenHBand="0" w:firstRowFirstColumn="0" w:firstRowLastColumn="0" w:lastRowFirstColumn="0" w:lastRowLastColumn="0"/>
          <w:tblHeader/>
        </w:trPr>
        <w:tc>
          <w:tcPr>
            <w:tcW w:w="414" w:type="pct"/>
            <w:tcBorders>
              <w:top w:val="single" w:sz="24" w:space="0" w:color="0097A9" w:themeColor="accent5"/>
              <w:bottom w:val="single" w:sz="8" w:space="0" w:color="D9D9D9"/>
            </w:tcBorders>
          </w:tcPr>
          <w:p w14:paraId="758D001A" w14:textId="77777777" w:rsidR="00E03CDD" w:rsidRPr="00B25012" w:rsidRDefault="00E03CDD">
            <w:pPr>
              <w:pStyle w:val="TableHeadingLeft"/>
              <w:spacing w:line="240" w:lineRule="auto"/>
              <w:rPr>
                <w:color w:val="00707E" w:themeColor="accent5" w:themeShade="BF"/>
                <w:sz w:val="18"/>
                <w:szCs w:val="18"/>
              </w:rPr>
            </w:pPr>
            <w:r w:rsidRPr="00B25012">
              <w:rPr>
                <w:color w:val="00707E" w:themeColor="accent5" w:themeShade="BF"/>
                <w:sz w:val="18"/>
                <w:szCs w:val="18"/>
              </w:rPr>
              <w:t>Schedule</w:t>
            </w:r>
          </w:p>
        </w:tc>
        <w:tc>
          <w:tcPr>
            <w:tcW w:w="2348" w:type="pct"/>
            <w:tcBorders>
              <w:top w:val="single" w:sz="24" w:space="0" w:color="0097A9" w:themeColor="accent5"/>
              <w:bottom w:val="single" w:sz="8" w:space="0" w:color="D9D9D9"/>
            </w:tcBorders>
          </w:tcPr>
          <w:p w14:paraId="3D49E4C0" w14:textId="77777777" w:rsidR="00E03CDD" w:rsidRPr="00B25012" w:rsidRDefault="00E03CDD">
            <w:pPr>
              <w:pStyle w:val="TableHeadingLeft"/>
              <w:spacing w:line="240" w:lineRule="auto"/>
              <w:rPr>
                <w:color w:val="00707E" w:themeColor="accent5" w:themeShade="BF"/>
                <w:sz w:val="18"/>
                <w:szCs w:val="18"/>
              </w:rPr>
            </w:pPr>
            <w:r w:rsidRPr="00B25012">
              <w:rPr>
                <w:color w:val="00707E" w:themeColor="accent5" w:themeShade="BF"/>
                <w:sz w:val="18"/>
                <w:szCs w:val="18"/>
              </w:rPr>
              <w:t>Key content</w:t>
            </w:r>
          </w:p>
        </w:tc>
        <w:tc>
          <w:tcPr>
            <w:tcW w:w="414" w:type="pct"/>
            <w:tcBorders>
              <w:top w:val="single" w:sz="24" w:space="0" w:color="0097A9" w:themeColor="accent5"/>
              <w:bottom w:val="single" w:sz="8" w:space="0" w:color="D9D9D9"/>
            </w:tcBorders>
          </w:tcPr>
          <w:p w14:paraId="56D9649A" w14:textId="77777777" w:rsidR="00E03CDD" w:rsidRPr="00B25012" w:rsidRDefault="00E03CDD">
            <w:pPr>
              <w:pStyle w:val="TableHeadingLeft"/>
              <w:spacing w:line="240" w:lineRule="auto"/>
              <w:rPr>
                <w:color w:val="00707E" w:themeColor="accent5" w:themeShade="BF"/>
                <w:sz w:val="18"/>
                <w:szCs w:val="18"/>
              </w:rPr>
            </w:pPr>
            <w:r w:rsidRPr="00B25012">
              <w:rPr>
                <w:color w:val="00707E" w:themeColor="accent5" w:themeShade="BF"/>
                <w:sz w:val="18"/>
                <w:szCs w:val="18"/>
              </w:rPr>
              <w:t>Schedule</w:t>
            </w:r>
          </w:p>
        </w:tc>
        <w:tc>
          <w:tcPr>
            <w:tcW w:w="1824" w:type="pct"/>
            <w:tcBorders>
              <w:top w:val="single" w:sz="24" w:space="0" w:color="0097A9" w:themeColor="accent5"/>
              <w:bottom w:val="single" w:sz="8" w:space="0" w:color="D9D9D9"/>
            </w:tcBorders>
          </w:tcPr>
          <w:p w14:paraId="6CF55364" w14:textId="77777777" w:rsidR="00E03CDD" w:rsidRPr="00B25012" w:rsidRDefault="00E03CDD">
            <w:pPr>
              <w:pStyle w:val="TableHeadingLeft"/>
              <w:spacing w:line="240" w:lineRule="auto"/>
              <w:rPr>
                <w:color w:val="00707E" w:themeColor="accent5" w:themeShade="BF"/>
                <w:sz w:val="18"/>
                <w:szCs w:val="18"/>
              </w:rPr>
            </w:pPr>
            <w:r w:rsidRPr="00B25012">
              <w:rPr>
                <w:color w:val="00707E" w:themeColor="accent5" w:themeShade="BF"/>
                <w:sz w:val="18"/>
                <w:szCs w:val="18"/>
              </w:rPr>
              <w:t>Key content</w:t>
            </w:r>
          </w:p>
        </w:tc>
      </w:tr>
      <w:tr w:rsidR="00E03CDD" w:rsidRPr="00E20FEA" w14:paraId="7C3B5069" w14:textId="77777777" w:rsidTr="00F9704D">
        <w:trPr>
          <w:trHeight w:val="42"/>
        </w:trPr>
        <w:tc>
          <w:tcPr>
            <w:tcW w:w="414" w:type="pct"/>
            <w:tcBorders>
              <w:top w:val="single" w:sz="8" w:space="0" w:color="D9D9D9"/>
              <w:bottom w:val="single" w:sz="8" w:space="0" w:color="D9D9D9"/>
              <w:right w:val="nil"/>
            </w:tcBorders>
          </w:tcPr>
          <w:p w14:paraId="3090CD13" w14:textId="511AB29E" w:rsidR="00E03CDD" w:rsidRPr="002F2D17" w:rsidRDefault="00E03CDD">
            <w:pPr>
              <w:pStyle w:val="TabletextLeft"/>
              <w:spacing w:line="240" w:lineRule="auto"/>
              <w:rPr>
                <w:b/>
                <w:bCs/>
                <w:sz w:val="18"/>
                <w:szCs w:val="18"/>
              </w:rPr>
            </w:pPr>
            <w:r>
              <w:rPr>
                <w:b/>
                <w:sz w:val="18"/>
                <w:szCs w:val="18"/>
                <w:lang w:val="en-GB"/>
              </w:rPr>
              <w:t>Preliminaries - Principles, objectives, roles and responsibilities</w:t>
            </w:r>
          </w:p>
        </w:tc>
        <w:tc>
          <w:tcPr>
            <w:tcW w:w="2348" w:type="pct"/>
            <w:tcBorders>
              <w:top w:val="single" w:sz="8" w:space="0" w:color="D9D9D9"/>
              <w:left w:val="nil"/>
              <w:bottom w:val="single" w:sz="8" w:space="0" w:color="D9D9D9"/>
              <w:right w:val="nil"/>
            </w:tcBorders>
            <w:shd w:val="clear" w:color="auto" w:fill="auto"/>
          </w:tcPr>
          <w:p w14:paraId="13A26FE6" w14:textId="77777777" w:rsidR="003A50DE" w:rsidRDefault="003A50DE" w:rsidP="003A50DE">
            <w:pPr>
              <w:pStyle w:val="TabletextLeft"/>
              <w:numPr>
                <w:ilvl w:val="0"/>
                <w:numId w:val="24"/>
              </w:numPr>
              <w:spacing w:line="240" w:lineRule="auto"/>
              <w:ind w:left="170" w:right="0" w:hanging="170"/>
              <w:rPr>
                <w:sz w:val="18"/>
                <w:szCs w:val="18"/>
                <w:lang w:val="en-GB"/>
              </w:rPr>
            </w:pPr>
            <w:r>
              <w:rPr>
                <w:sz w:val="18"/>
                <w:szCs w:val="18"/>
                <w:lang w:val="en-GB"/>
              </w:rPr>
              <w:t>Shared intent, purpose and responsibility for the health system</w:t>
            </w:r>
          </w:p>
          <w:p w14:paraId="59AB77CF" w14:textId="0A677720" w:rsidR="003A50DE" w:rsidRDefault="003A50DE" w:rsidP="003A50DE">
            <w:pPr>
              <w:pStyle w:val="TabletextLeft"/>
              <w:numPr>
                <w:ilvl w:val="0"/>
                <w:numId w:val="24"/>
              </w:numPr>
              <w:spacing w:line="240" w:lineRule="auto"/>
              <w:ind w:left="170" w:right="0" w:hanging="170"/>
              <w:rPr>
                <w:sz w:val="18"/>
                <w:szCs w:val="18"/>
                <w:lang w:val="en-GB"/>
              </w:rPr>
            </w:pPr>
            <w:r>
              <w:rPr>
                <w:sz w:val="18"/>
                <w:szCs w:val="18"/>
                <w:lang w:val="en-GB"/>
              </w:rPr>
              <w:t xml:space="preserve">Re-affirms commitment to </w:t>
            </w:r>
            <w:r w:rsidR="00CC7077">
              <w:rPr>
                <w:sz w:val="18"/>
                <w:szCs w:val="18"/>
                <w:lang w:val="en-GB"/>
              </w:rPr>
              <w:t xml:space="preserve">National Healthcare Agreement </w:t>
            </w:r>
            <w:r>
              <w:rPr>
                <w:sz w:val="18"/>
                <w:szCs w:val="18"/>
                <w:lang w:val="en-GB"/>
              </w:rPr>
              <w:t>principles and objectives, Medicare Principles, financial arrangements including ABF, and shared commitments to closing the gap and improving mental health outcomes for Australians</w:t>
            </w:r>
          </w:p>
          <w:p w14:paraId="22203550" w14:textId="77777777" w:rsidR="00E03CDD" w:rsidRDefault="003A50DE">
            <w:pPr>
              <w:pStyle w:val="TabletextLeft"/>
              <w:numPr>
                <w:ilvl w:val="0"/>
                <w:numId w:val="24"/>
              </w:numPr>
              <w:spacing w:line="240" w:lineRule="auto"/>
              <w:ind w:left="170" w:right="0" w:hanging="170"/>
              <w:rPr>
                <w:sz w:val="18"/>
                <w:szCs w:val="18"/>
                <w:lang w:val="en-GB"/>
              </w:rPr>
            </w:pPr>
            <w:r>
              <w:rPr>
                <w:sz w:val="18"/>
                <w:szCs w:val="18"/>
                <w:lang w:val="en-GB"/>
              </w:rPr>
              <w:t>2020-2025 four</w:t>
            </w:r>
            <w:r w:rsidR="00E03CDD">
              <w:rPr>
                <w:sz w:val="18"/>
                <w:szCs w:val="18"/>
                <w:lang w:val="en-GB"/>
              </w:rPr>
              <w:t xml:space="preserve"> strategic priorities (includes long term reform focus) </w:t>
            </w:r>
          </w:p>
          <w:p w14:paraId="48AA143B" w14:textId="77777777" w:rsidR="00E03CDD" w:rsidRDefault="00E03CDD">
            <w:pPr>
              <w:pStyle w:val="TabletextLeft"/>
              <w:numPr>
                <w:ilvl w:val="0"/>
                <w:numId w:val="24"/>
              </w:numPr>
              <w:spacing w:line="240" w:lineRule="auto"/>
              <w:ind w:left="170" w:right="0" w:hanging="170"/>
              <w:rPr>
                <w:sz w:val="18"/>
                <w:szCs w:val="18"/>
                <w:lang w:val="en-GB"/>
              </w:rPr>
            </w:pPr>
            <w:r>
              <w:rPr>
                <w:sz w:val="18"/>
                <w:szCs w:val="18"/>
                <w:lang w:val="en-GB"/>
              </w:rPr>
              <w:t xml:space="preserve">Nationally unified/locally controlled architecture with broad set of objectives </w:t>
            </w:r>
          </w:p>
          <w:p w14:paraId="3FD6F0ED" w14:textId="77777777" w:rsidR="00E03CDD" w:rsidRDefault="00E03CDD">
            <w:pPr>
              <w:pStyle w:val="TabletextLeft"/>
              <w:numPr>
                <w:ilvl w:val="0"/>
                <w:numId w:val="24"/>
              </w:numPr>
              <w:spacing w:line="240" w:lineRule="auto"/>
              <w:ind w:left="170" w:right="0" w:hanging="170"/>
              <w:rPr>
                <w:sz w:val="18"/>
                <w:szCs w:val="18"/>
                <w:lang w:val="en-GB"/>
              </w:rPr>
            </w:pPr>
            <w:r>
              <w:rPr>
                <w:sz w:val="18"/>
                <w:szCs w:val="18"/>
                <w:lang w:val="en-GB"/>
              </w:rPr>
              <w:t xml:space="preserve">Breakdown of roles and responsibilities </w:t>
            </w:r>
          </w:p>
          <w:p w14:paraId="33E5979A" w14:textId="77777777" w:rsidR="00E03CDD" w:rsidRDefault="00E03CDD">
            <w:pPr>
              <w:pStyle w:val="TabletextLeft"/>
              <w:numPr>
                <w:ilvl w:val="0"/>
                <w:numId w:val="24"/>
              </w:numPr>
              <w:spacing w:line="240" w:lineRule="auto"/>
              <w:ind w:left="170" w:right="0" w:hanging="170"/>
              <w:rPr>
                <w:sz w:val="18"/>
                <w:szCs w:val="18"/>
                <w:lang w:val="en-GB"/>
              </w:rPr>
            </w:pPr>
            <w:r>
              <w:rPr>
                <w:sz w:val="18"/>
                <w:szCs w:val="18"/>
                <w:lang w:val="en-GB"/>
              </w:rPr>
              <w:t xml:space="preserve">Implementation mechanisms, principles and artefacts and reform commitments </w:t>
            </w:r>
          </w:p>
          <w:p w14:paraId="09F5D12E" w14:textId="54C78816" w:rsidR="00E03CDD" w:rsidRDefault="00E03CDD">
            <w:pPr>
              <w:pStyle w:val="TabletextLeft"/>
              <w:numPr>
                <w:ilvl w:val="0"/>
                <w:numId w:val="24"/>
              </w:numPr>
              <w:spacing w:line="240" w:lineRule="auto"/>
              <w:ind w:left="170" w:right="0" w:hanging="170"/>
              <w:rPr>
                <w:sz w:val="18"/>
                <w:szCs w:val="18"/>
                <w:lang w:val="en-GB"/>
              </w:rPr>
            </w:pPr>
            <w:r>
              <w:rPr>
                <w:sz w:val="18"/>
                <w:szCs w:val="18"/>
                <w:lang w:val="en-GB"/>
              </w:rPr>
              <w:t>Mid-</w:t>
            </w:r>
            <w:r w:rsidR="00B36E26">
              <w:rPr>
                <w:sz w:val="18"/>
                <w:szCs w:val="18"/>
                <w:lang w:val="en-GB"/>
              </w:rPr>
              <w:t>T</w:t>
            </w:r>
            <w:r>
              <w:rPr>
                <w:sz w:val="18"/>
                <w:szCs w:val="18"/>
                <w:lang w:val="en-GB"/>
              </w:rPr>
              <w:t>erm independent review</w:t>
            </w:r>
          </w:p>
          <w:p w14:paraId="2D84ABAC" w14:textId="36668A35" w:rsidR="00E03CDD" w:rsidRPr="00C236C6" w:rsidRDefault="00E03CDD">
            <w:pPr>
              <w:pStyle w:val="TabletextLeft"/>
              <w:numPr>
                <w:ilvl w:val="0"/>
                <w:numId w:val="24"/>
              </w:numPr>
              <w:spacing w:line="240" w:lineRule="auto"/>
              <w:ind w:left="170" w:right="0" w:hanging="170"/>
              <w:rPr>
                <w:sz w:val="18"/>
                <w:szCs w:val="18"/>
              </w:rPr>
            </w:pPr>
            <w:r>
              <w:rPr>
                <w:sz w:val="18"/>
                <w:szCs w:val="18"/>
                <w:lang w:val="en-GB"/>
              </w:rPr>
              <w:t xml:space="preserve">Process to amend and resolve disputes </w:t>
            </w:r>
          </w:p>
        </w:tc>
        <w:tc>
          <w:tcPr>
            <w:tcW w:w="414" w:type="pct"/>
            <w:tcBorders>
              <w:top w:val="single" w:sz="8" w:space="0" w:color="D9D9D9"/>
              <w:left w:val="nil"/>
              <w:bottom w:val="single" w:sz="8" w:space="0" w:color="D9D9D9"/>
              <w:right w:val="nil"/>
            </w:tcBorders>
          </w:tcPr>
          <w:p w14:paraId="55BAA22D" w14:textId="67E5463C" w:rsidR="00E03CDD" w:rsidRPr="002F2D17" w:rsidRDefault="00E03CDD">
            <w:pPr>
              <w:pStyle w:val="TabletextLeft"/>
              <w:spacing w:line="240" w:lineRule="auto"/>
              <w:ind w:left="0" w:right="0"/>
              <w:rPr>
                <w:b/>
                <w:bCs/>
                <w:sz w:val="18"/>
                <w:szCs w:val="18"/>
              </w:rPr>
            </w:pPr>
            <w:r>
              <w:rPr>
                <w:b/>
                <w:sz w:val="18"/>
                <w:szCs w:val="18"/>
                <w:lang w:val="en-GB"/>
              </w:rPr>
              <w:t>Schedule E - Local governance structures and reforms</w:t>
            </w:r>
          </w:p>
        </w:tc>
        <w:tc>
          <w:tcPr>
            <w:tcW w:w="1824" w:type="pct"/>
            <w:tcBorders>
              <w:top w:val="single" w:sz="8" w:space="0" w:color="D9D9D9"/>
              <w:left w:val="nil"/>
              <w:bottom w:val="single" w:sz="8" w:space="0" w:color="D9D9D9"/>
              <w:right w:val="nil"/>
            </w:tcBorders>
          </w:tcPr>
          <w:p w14:paraId="43B5B89C" w14:textId="77777777" w:rsidR="003A50DE" w:rsidRDefault="003A50DE" w:rsidP="003A50DE">
            <w:pPr>
              <w:pStyle w:val="TabletextLeft"/>
              <w:numPr>
                <w:ilvl w:val="0"/>
                <w:numId w:val="24"/>
              </w:numPr>
              <w:spacing w:line="240" w:lineRule="auto"/>
              <w:ind w:left="170" w:right="0" w:hanging="170"/>
              <w:rPr>
                <w:sz w:val="18"/>
                <w:szCs w:val="18"/>
                <w:lang w:val="en-GB"/>
              </w:rPr>
            </w:pPr>
            <w:r>
              <w:rPr>
                <w:sz w:val="18"/>
                <w:szCs w:val="18"/>
                <w:lang w:val="en-GB"/>
              </w:rPr>
              <w:t>LHNs: purpose, responsibilities, specification of LHN Service Agreements, structure/governance</w:t>
            </w:r>
          </w:p>
          <w:p w14:paraId="45878D0F" w14:textId="0FDFCA91" w:rsidR="00E03CDD" w:rsidRPr="00EC39E7" w:rsidRDefault="003A50DE">
            <w:pPr>
              <w:pStyle w:val="TabletextLeft"/>
              <w:numPr>
                <w:ilvl w:val="0"/>
                <w:numId w:val="24"/>
              </w:numPr>
              <w:spacing w:line="240" w:lineRule="auto"/>
              <w:ind w:left="170" w:right="0" w:hanging="170"/>
              <w:rPr>
                <w:sz w:val="18"/>
                <w:szCs w:val="18"/>
                <w:lang w:val="en-GB"/>
              </w:rPr>
            </w:pPr>
            <w:r>
              <w:rPr>
                <w:sz w:val="18"/>
                <w:szCs w:val="18"/>
                <w:lang w:val="en-GB"/>
              </w:rPr>
              <w:t>PHNs: purpose, responsibilities, Commonwealth</w:t>
            </w:r>
            <w:r w:rsidR="00415141">
              <w:rPr>
                <w:sz w:val="18"/>
                <w:szCs w:val="18"/>
                <w:lang w:val="en-GB"/>
              </w:rPr>
              <w:t xml:space="preserve">, </w:t>
            </w:r>
            <w:r>
              <w:rPr>
                <w:sz w:val="18"/>
                <w:szCs w:val="18"/>
                <w:lang w:val="en-GB"/>
              </w:rPr>
              <w:t>State</w:t>
            </w:r>
            <w:r w:rsidR="00415141">
              <w:rPr>
                <w:sz w:val="18"/>
                <w:szCs w:val="18"/>
                <w:lang w:val="en-GB"/>
              </w:rPr>
              <w:t xml:space="preserve"> and </w:t>
            </w:r>
            <w:r>
              <w:rPr>
                <w:sz w:val="18"/>
                <w:szCs w:val="18"/>
                <w:lang w:val="en-GB"/>
              </w:rPr>
              <w:t>Territory engagements around local and primary care service delivery, and Commonwealth commitment to</w:t>
            </w:r>
            <w:r w:rsidR="00EC39E7">
              <w:rPr>
                <w:sz w:val="18"/>
                <w:szCs w:val="18"/>
                <w:lang w:val="en-GB"/>
              </w:rPr>
              <w:t xml:space="preserve"> </w:t>
            </w:r>
            <w:r w:rsidRPr="00EC39E7">
              <w:rPr>
                <w:sz w:val="18"/>
                <w:szCs w:val="18"/>
                <w:lang w:val="en-GB"/>
              </w:rPr>
              <w:t xml:space="preserve">primary care reforms </w:t>
            </w:r>
          </w:p>
        </w:tc>
      </w:tr>
      <w:tr w:rsidR="00E03CDD" w:rsidRPr="00EE3297" w14:paraId="46C93041" w14:textId="77777777" w:rsidTr="00F9704D">
        <w:trPr>
          <w:trHeight w:val="42"/>
        </w:trPr>
        <w:tc>
          <w:tcPr>
            <w:tcW w:w="414" w:type="pct"/>
            <w:tcBorders>
              <w:top w:val="single" w:sz="8" w:space="0" w:color="D9D9D9"/>
              <w:bottom w:val="single" w:sz="8" w:space="0" w:color="D9D9D9"/>
              <w:right w:val="nil"/>
            </w:tcBorders>
          </w:tcPr>
          <w:p w14:paraId="0A88D5CB" w14:textId="22E52C25" w:rsidR="00E03CDD" w:rsidRPr="002F2D17" w:rsidRDefault="00E03CDD">
            <w:pPr>
              <w:pStyle w:val="TabletextLeft"/>
              <w:spacing w:line="240" w:lineRule="auto"/>
              <w:rPr>
                <w:b/>
                <w:bCs/>
                <w:sz w:val="18"/>
                <w:szCs w:val="18"/>
              </w:rPr>
            </w:pPr>
            <w:r>
              <w:rPr>
                <w:b/>
                <w:sz w:val="18"/>
                <w:szCs w:val="18"/>
                <w:lang w:val="en-GB"/>
              </w:rPr>
              <w:t>Schedule A - Funding elements, funding data reporting and sustainability</w:t>
            </w:r>
          </w:p>
        </w:tc>
        <w:tc>
          <w:tcPr>
            <w:tcW w:w="2348" w:type="pct"/>
            <w:tcBorders>
              <w:top w:val="single" w:sz="8" w:space="0" w:color="D9D9D9"/>
              <w:left w:val="nil"/>
              <w:bottom w:val="single" w:sz="8" w:space="0" w:color="D9D9D9"/>
              <w:right w:val="nil"/>
            </w:tcBorders>
            <w:shd w:val="clear" w:color="auto" w:fill="auto"/>
          </w:tcPr>
          <w:p w14:paraId="125330D4" w14:textId="77777777" w:rsidR="00E03CDD" w:rsidRDefault="00E03CDD">
            <w:pPr>
              <w:pStyle w:val="TabletextLeft"/>
              <w:numPr>
                <w:ilvl w:val="0"/>
                <w:numId w:val="24"/>
              </w:numPr>
              <w:spacing w:line="240" w:lineRule="auto"/>
              <w:ind w:left="170" w:right="0" w:hanging="170"/>
              <w:rPr>
                <w:sz w:val="18"/>
                <w:szCs w:val="18"/>
                <w:lang w:val="en-GB"/>
              </w:rPr>
            </w:pPr>
            <w:r>
              <w:rPr>
                <w:sz w:val="18"/>
                <w:szCs w:val="18"/>
                <w:lang w:val="en-GB"/>
              </w:rPr>
              <w:t>Funding arrangement principles</w:t>
            </w:r>
          </w:p>
          <w:p w14:paraId="1C84FBC0" w14:textId="77777777" w:rsidR="00E03CDD" w:rsidRDefault="00E03CDD">
            <w:pPr>
              <w:pStyle w:val="TabletextLeft"/>
              <w:numPr>
                <w:ilvl w:val="0"/>
                <w:numId w:val="24"/>
              </w:numPr>
              <w:spacing w:line="240" w:lineRule="auto"/>
              <w:ind w:left="170" w:right="0" w:hanging="170"/>
              <w:rPr>
                <w:sz w:val="18"/>
                <w:szCs w:val="18"/>
                <w:lang w:val="en-GB"/>
              </w:rPr>
            </w:pPr>
            <w:r>
              <w:rPr>
                <w:sz w:val="18"/>
                <w:szCs w:val="18"/>
                <w:lang w:val="en-GB"/>
              </w:rPr>
              <w:t>Commonwealth funding parameters</w:t>
            </w:r>
          </w:p>
          <w:p w14:paraId="34BABA36" w14:textId="77777777" w:rsidR="00E03CDD" w:rsidRDefault="00E03CDD">
            <w:pPr>
              <w:pStyle w:val="TabletextLeft"/>
              <w:numPr>
                <w:ilvl w:val="0"/>
                <w:numId w:val="24"/>
              </w:numPr>
              <w:spacing w:line="240" w:lineRule="auto"/>
              <w:ind w:left="170" w:right="0" w:hanging="170"/>
              <w:rPr>
                <w:sz w:val="18"/>
                <w:szCs w:val="18"/>
                <w:lang w:val="en-GB"/>
              </w:rPr>
            </w:pPr>
            <w:r>
              <w:rPr>
                <w:sz w:val="18"/>
                <w:szCs w:val="18"/>
                <w:lang w:val="en-GB"/>
              </w:rPr>
              <w:t xml:space="preserve">Public health </w:t>
            </w:r>
            <w:r w:rsidR="003A50DE">
              <w:rPr>
                <w:sz w:val="18"/>
                <w:szCs w:val="18"/>
                <w:lang w:val="en-GB"/>
              </w:rPr>
              <w:t xml:space="preserve">funding arrangements </w:t>
            </w:r>
            <w:r>
              <w:rPr>
                <w:sz w:val="18"/>
                <w:szCs w:val="18"/>
                <w:lang w:val="en-GB"/>
              </w:rPr>
              <w:t xml:space="preserve"> </w:t>
            </w:r>
          </w:p>
          <w:p w14:paraId="7A866BB3" w14:textId="77777777" w:rsidR="00E03CDD" w:rsidRDefault="00E03CDD">
            <w:pPr>
              <w:pStyle w:val="TabletextLeft"/>
              <w:numPr>
                <w:ilvl w:val="0"/>
                <w:numId w:val="24"/>
              </w:numPr>
              <w:spacing w:line="240" w:lineRule="auto"/>
              <w:ind w:left="170" w:right="0" w:hanging="170"/>
              <w:rPr>
                <w:sz w:val="18"/>
                <w:szCs w:val="18"/>
                <w:lang w:val="en-GB"/>
              </w:rPr>
            </w:pPr>
            <w:r>
              <w:rPr>
                <w:sz w:val="18"/>
                <w:szCs w:val="18"/>
                <w:lang w:val="en-GB"/>
              </w:rPr>
              <w:t>Public hospital services scope</w:t>
            </w:r>
          </w:p>
          <w:p w14:paraId="7FB58CB2" w14:textId="77777777" w:rsidR="00765EC6" w:rsidRDefault="003A50DE" w:rsidP="003A50DE">
            <w:pPr>
              <w:pStyle w:val="TabletextLeft"/>
              <w:numPr>
                <w:ilvl w:val="0"/>
                <w:numId w:val="24"/>
              </w:numPr>
              <w:spacing w:line="240" w:lineRule="auto"/>
              <w:ind w:left="170" w:right="0" w:hanging="170"/>
              <w:rPr>
                <w:sz w:val="18"/>
                <w:szCs w:val="18"/>
                <w:lang w:val="en-GB"/>
              </w:rPr>
            </w:pPr>
            <w:r>
              <w:rPr>
                <w:sz w:val="18"/>
                <w:szCs w:val="18"/>
                <w:lang w:val="en-GB"/>
              </w:rPr>
              <w:t xml:space="preserve">ABF arrangements, including principle of financial neutrality between public and private patients </w:t>
            </w:r>
          </w:p>
          <w:p w14:paraId="11DEBA2D" w14:textId="18408EDE" w:rsidR="003A50DE" w:rsidRDefault="003A50DE" w:rsidP="003A50DE">
            <w:pPr>
              <w:pStyle w:val="TabletextLeft"/>
              <w:numPr>
                <w:ilvl w:val="0"/>
                <w:numId w:val="24"/>
              </w:numPr>
              <w:spacing w:line="240" w:lineRule="auto"/>
              <w:ind w:left="170" w:right="0" w:hanging="170"/>
              <w:rPr>
                <w:sz w:val="18"/>
                <w:szCs w:val="18"/>
                <w:lang w:val="en-GB"/>
              </w:rPr>
            </w:pPr>
            <w:r>
              <w:rPr>
                <w:sz w:val="18"/>
                <w:szCs w:val="18"/>
                <w:lang w:val="en-GB"/>
              </w:rPr>
              <w:t>Objectives and principles of the NEP</w:t>
            </w:r>
          </w:p>
          <w:p w14:paraId="0C6162E3" w14:textId="77777777" w:rsidR="00765EC6" w:rsidRDefault="003A50DE" w:rsidP="00765EC6">
            <w:pPr>
              <w:pStyle w:val="TabletextLeft"/>
              <w:numPr>
                <w:ilvl w:val="0"/>
                <w:numId w:val="24"/>
              </w:numPr>
              <w:spacing w:line="240" w:lineRule="auto"/>
              <w:ind w:left="170" w:right="0" w:hanging="170"/>
              <w:rPr>
                <w:sz w:val="18"/>
                <w:szCs w:val="18"/>
                <w:lang w:val="en-GB"/>
              </w:rPr>
            </w:pPr>
            <w:r>
              <w:rPr>
                <w:sz w:val="18"/>
                <w:szCs w:val="18"/>
                <w:lang w:val="en-GB"/>
              </w:rPr>
              <w:t>Block funded services</w:t>
            </w:r>
          </w:p>
          <w:p w14:paraId="1173C47B" w14:textId="0F1B4907" w:rsidR="003A50DE" w:rsidRPr="00765EC6" w:rsidRDefault="003A50DE" w:rsidP="00765EC6">
            <w:pPr>
              <w:pStyle w:val="TabletextLeft"/>
              <w:numPr>
                <w:ilvl w:val="0"/>
                <w:numId w:val="24"/>
              </w:numPr>
              <w:spacing w:line="240" w:lineRule="auto"/>
              <w:ind w:left="170" w:right="0" w:hanging="170"/>
              <w:rPr>
                <w:sz w:val="18"/>
                <w:szCs w:val="18"/>
                <w:lang w:val="en-GB"/>
              </w:rPr>
            </w:pPr>
            <w:r w:rsidRPr="00765EC6">
              <w:rPr>
                <w:sz w:val="18"/>
                <w:szCs w:val="18"/>
                <w:lang w:val="en-GB"/>
              </w:rPr>
              <w:t>National funding cap, including operation of the soft cap, and adjustments for HACs, sentinel events, and avoidable readmissions</w:t>
            </w:r>
          </w:p>
          <w:p w14:paraId="21456E23" w14:textId="77777777" w:rsidR="003A50DE" w:rsidRDefault="003A50DE" w:rsidP="003A50DE">
            <w:pPr>
              <w:pStyle w:val="TabletextLeft"/>
              <w:numPr>
                <w:ilvl w:val="0"/>
                <w:numId w:val="24"/>
              </w:numPr>
              <w:spacing w:line="240" w:lineRule="auto"/>
              <w:ind w:left="170" w:right="0" w:hanging="170"/>
              <w:rPr>
                <w:sz w:val="18"/>
                <w:szCs w:val="18"/>
                <w:lang w:val="en-GB"/>
              </w:rPr>
            </w:pPr>
            <w:r>
              <w:rPr>
                <w:sz w:val="18"/>
                <w:szCs w:val="18"/>
                <w:lang w:val="en-GB"/>
              </w:rPr>
              <w:t>Calculating Commonwealth funding, including in-year and annual adjustments</w:t>
            </w:r>
          </w:p>
          <w:p w14:paraId="7F9F0B2E" w14:textId="5C0AEED7" w:rsidR="003A50DE" w:rsidRDefault="003A50DE" w:rsidP="003A50DE">
            <w:pPr>
              <w:pStyle w:val="TabletextLeft"/>
              <w:numPr>
                <w:ilvl w:val="0"/>
                <w:numId w:val="24"/>
              </w:numPr>
              <w:spacing w:line="240" w:lineRule="auto"/>
              <w:ind w:left="170" w:right="0" w:hanging="170"/>
              <w:rPr>
                <w:sz w:val="18"/>
                <w:szCs w:val="18"/>
                <w:lang w:val="en-GB"/>
              </w:rPr>
            </w:pPr>
            <w:r>
              <w:rPr>
                <w:sz w:val="18"/>
                <w:szCs w:val="18"/>
                <w:lang w:val="en-GB"/>
              </w:rPr>
              <w:t>Determining State</w:t>
            </w:r>
            <w:r w:rsidR="00415141">
              <w:rPr>
                <w:sz w:val="18"/>
                <w:szCs w:val="18"/>
                <w:lang w:val="en-GB"/>
              </w:rPr>
              <w:t xml:space="preserve"> and </w:t>
            </w:r>
            <w:r>
              <w:rPr>
                <w:sz w:val="18"/>
                <w:szCs w:val="18"/>
                <w:lang w:val="en-GB"/>
              </w:rPr>
              <w:t>Territory funding contributions</w:t>
            </w:r>
          </w:p>
          <w:p w14:paraId="137CD515" w14:textId="77777777" w:rsidR="00E03CDD" w:rsidRDefault="00E03CDD">
            <w:pPr>
              <w:pStyle w:val="TabletextLeft"/>
              <w:numPr>
                <w:ilvl w:val="0"/>
                <w:numId w:val="24"/>
              </w:numPr>
              <w:spacing w:line="240" w:lineRule="auto"/>
              <w:ind w:left="170" w:right="0" w:hanging="170"/>
              <w:rPr>
                <w:sz w:val="18"/>
                <w:szCs w:val="18"/>
                <w:lang w:val="en-GB"/>
              </w:rPr>
            </w:pPr>
            <w:r>
              <w:rPr>
                <w:sz w:val="18"/>
                <w:szCs w:val="18"/>
                <w:lang w:val="en-GB"/>
              </w:rPr>
              <w:t>Innovation: process of funding innovation through trials and impact on block or ABF funding</w:t>
            </w:r>
          </w:p>
          <w:p w14:paraId="3707335D" w14:textId="77777777" w:rsidR="00E03CDD" w:rsidRDefault="00E03CDD">
            <w:pPr>
              <w:pStyle w:val="TabletextLeft"/>
              <w:numPr>
                <w:ilvl w:val="0"/>
                <w:numId w:val="24"/>
              </w:numPr>
              <w:spacing w:line="240" w:lineRule="auto"/>
              <w:ind w:left="170" w:right="0" w:hanging="170"/>
              <w:rPr>
                <w:sz w:val="18"/>
                <w:szCs w:val="18"/>
                <w:lang w:val="en-GB"/>
              </w:rPr>
            </w:pPr>
            <w:r>
              <w:rPr>
                <w:sz w:val="18"/>
                <w:szCs w:val="18"/>
                <w:lang w:val="en-GB"/>
              </w:rPr>
              <w:t xml:space="preserve">Maintenance of effort </w:t>
            </w:r>
          </w:p>
          <w:p w14:paraId="2A4A3B1F" w14:textId="77777777" w:rsidR="00E03CDD" w:rsidRDefault="00E03CDD">
            <w:pPr>
              <w:pStyle w:val="TabletextLeft"/>
              <w:numPr>
                <w:ilvl w:val="0"/>
                <w:numId w:val="24"/>
              </w:numPr>
              <w:spacing w:line="240" w:lineRule="auto"/>
              <w:ind w:left="170" w:right="0" w:hanging="170"/>
              <w:rPr>
                <w:sz w:val="18"/>
                <w:szCs w:val="18"/>
                <w:lang w:val="en-GB"/>
              </w:rPr>
            </w:pPr>
            <w:r>
              <w:rPr>
                <w:sz w:val="18"/>
                <w:szCs w:val="18"/>
                <w:lang w:val="en-GB"/>
              </w:rPr>
              <w:t xml:space="preserve">Data provision and service level agreements </w:t>
            </w:r>
          </w:p>
          <w:p w14:paraId="7CCAE0E9" w14:textId="36EFE1F8" w:rsidR="003A50DE" w:rsidRDefault="003A50DE" w:rsidP="003A50DE">
            <w:pPr>
              <w:pStyle w:val="TabletextLeft"/>
              <w:numPr>
                <w:ilvl w:val="0"/>
                <w:numId w:val="24"/>
              </w:numPr>
              <w:spacing w:line="240" w:lineRule="auto"/>
              <w:ind w:left="170" w:right="0" w:hanging="170"/>
              <w:rPr>
                <w:sz w:val="18"/>
                <w:szCs w:val="18"/>
                <w:lang w:val="en-GB"/>
              </w:rPr>
            </w:pPr>
            <w:r>
              <w:rPr>
                <w:sz w:val="18"/>
                <w:szCs w:val="18"/>
                <w:lang w:val="en-GB"/>
              </w:rPr>
              <w:t>Principles for State</w:t>
            </w:r>
            <w:r w:rsidR="00415141">
              <w:rPr>
                <w:sz w:val="18"/>
                <w:szCs w:val="18"/>
                <w:lang w:val="en-GB"/>
              </w:rPr>
              <w:t xml:space="preserve"> and </w:t>
            </w:r>
            <w:r>
              <w:rPr>
                <w:sz w:val="18"/>
                <w:szCs w:val="18"/>
                <w:lang w:val="en-GB"/>
              </w:rPr>
              <w:t>Territory cross-border arrangements, including funding flows through, and operation of the Pool, Cross-border Agreements between jurisdictions and pricing</w:t>
            </w:r>
          </w:p>
          <w:p w14:paraId="0E2343E2" w14:textId="77777777" w:rsidR="003A50DE" w:rsidRDefault="003A50DE" w:rsidP="003A50DE">
            <w:pPr>
              <w:pStyle w:val="TabletextLeft"/>
              <w:numPr>
                <w:ilvl w:val="0"/>
                <w:numId w:val="24"/>
              </w:numPr>
              <w:spacing w:line="240" w:lineRule="auto"/>
              <w:ind w:left="170" w:right="0" w:hanging="170"/>
              <w:rPr>
                <w:sz w:val="18"/>
                <w:szCs w:val="18"/>
                <w:lang w:val="en-GB"/>
              </w:rPr>
            </w:pPr>
            <w:r>
              <w:rPr>
                <w:sz w:val="18"/>
                <w:szCs w:val="18"/>
                <w:lang w:val="en-GB"/>
              </w:rPr>
              <w:t>Cost-shifting: process for submissions and assessment</w:t>
            </w:r>
          </w:p>
          <w:p w14:paraId="79EFE4AE" w14:textId="6A6040A5" w:rsidR="003A50DE" w:rsidRDefault="003A50DE" w:rsidP="003A50DE">
            <w:pPr>
              <w:pStyle w:val="TabletextLeft"/>
              <w:numPr>
                <w:ilvl w:val="0"/>
                <w:numId w:val="24"/>
              </w:numPr>
              <w:spacing w:line="240" w:lineRule="auto"/>
              <w:ind w:left="170" w:right="0" w:hanging="170"/>
              <w:rPr>
                <w:sz w:val="18"/>
                <w:szCs w:val="18"/>
                <w:lang w:val="en-GB"/>
              </w:rPr>
            </w:pPr>
            <w:r>
              <w:rPr>
                <w:sz w:val="18"/>
                <w:szCs w:val="18"/>
                <w:lang w:val="en-GB"/>
              </w:rPr>
              <w:t>Pool operation</w:t>
            </w:r>
          </w:p>
          <w:p w14:paraId="0324CE2B" w14:textId="77777777" w:rsidR="00E03CDD" w:rsidRDefault="00E03CDD">
            <w:pPr>
              <w:pStyle w:val="TabletextLeft"/>
              <w:numPr>
                <w:ilvl w:val="0"/>
                <w:numId w:val="24"/>
              </w:numPr>
              <w:spacing w:line="240" w:lineRule="auto"/>
              <w:ind w:left="170" w:right="0" w:hanging="170"/>
              <w:rPr>
                <w:sz w:val="18"/>
                <w:szCs w:val="18"/>
                <w:lang w:val="en-GB"/>
              </w:rPr>
            </w:pPr>
            <w:r>
              <w:rPr>
                <w:sz w:val="18"/>
                <w:szCs w:val="18"/>
                <w:lang w:val="en-GB"/>
              </w:rPr>
              <w:t xml:space="preserve">Data quality and integrity </w:t>
            </w:r>
          </w:p>
          <w:p w14:paraId="3605EAEA" w14:textId="77777777" w:rsidR="003A50DE" w:rsidRDefault="003A50DE" w:rsidP="003A50DE">
            <w:pPr>
              <w:pStyle w:val="TabletextLeft"/>
              <w:numPr>
                <w:ilvl w:val="0"/>
                <w:numId w:val="24"/>
              </w:numPr>
              <w:spacing w:line="240" w:lineRule="auto"/>
              <w:ind w:left="170" w:right="0" w:hanging="170"/>
              <w:rPr>
                <w:sz w:val="18"/>
                <w:szCs w:val="18"/>
                <w:lang w:val="en-GB"/>
              </w:rPr>
            </w:pPr>
            <w:r>
              <w:rPr>
                <w:sz w:val="18"/>
                <w:szCs w:val="18"/>
                <w:lang w:val="en-GB"/>
              </w:rPr>
              <w:t>Pricing and funding for Quality and Safety: Sentinel events, HACs, avoidable readmissions</w:t>
            </w:r>
          </w:p>
          <w:p w14:paraId="1C11DBB1" w14:textId="77777777" w:rsidR="00E03CDD" w:rsidRDefault="00E03CDD">
            <w:pPr>
              <w:pStyle w:val="TabletextLeft"/>
              <w:numPr>
                <w:ilvl w:val="0"/>
                <w:numId w:val="24"/>
              </w:numPr>
              <w:spacing w:line="240" w:lineRule="auto"/>
              <w:ind w:left="170" w:right="0" w:hanging="170"/>
              <w:rPr>
                <w:sz w:val="18"/>
                <w:szCs w:val="18"/>
                <w:lang w:val="en-GB"/>
              </w:rPr>
            </w:pPr>
            <w:r>
              <w:rPr>
                <w:sz w:val="18"/>
                <w:szCs w:val="18"/>
                <w:lang w:val="en-GB"/>
              </w:rPr>
              <w:t xml:space="preserve">Private provision of public hospital services </w:t>
            </w:r>
          </w:p>
          <w:p w14:paraId="7425E71F" w14:textId="77777777" w:rsidR="003A50DE" w:rsidRDefault="003A50DE" w:rsidP="003A50DE">
            <w:pPr>
              <w:pStyle w:val="TabletextLeft"/>
              <w:numPr>
                <w:ilvl w:val="0"/>
                <w:numId w:val="24"/>
              </w:numPr>
              <w:spacing w:line="240" w:lineRule="auto"/>
              <w:ind w:left="170" w:right="0" w:hanging="170"/>
              <w:rPr>
                <w:sz w:val="18"/>
                <w:szCs w:val="18"/>
                <w:lang w:val="en-GB"/>
              </w:rPr>
            </w:pPr>
            <w:r>
              <w:rPr>
                <w:sz w:val="18"/>
                <w:szCs w:val="18"/>
                <w:lang w:val="en-GB"/>
              </w:rPr>
              <w:t>Veteran entitlements</w:t>
            </w:r>
          </w:p>
          <w:p w14:paraId="327D9EEB" w14:textId="6D207796" w:rsidR="00E03CDD" w:rsidRPr="00C236C6" w:rsidRDefault="00E03CDD">
            <w:pPr>
              <w:pStyle w:val="TabletextLeft"/>
              <w:numPr>
                <w:ilvl w:val="0"/>
                <w:numId w:val="24"/>
              </w:numPr>
              <w:spacing w:line="240" w:lineRule="auto"/>
              <w:ind w:left="170" w:right="0" w:hanging="170"/>
              <w:rPr>
                <w:sz w:val="18"/>
                <w:szCs w:val="18"/>
              </w:rPr>
            </w:pPr>
            <w:r>
              <w:rPr>
                <w:sz w:val="18"/>
                <w:szCs w:val="18"/>
                <w:lang w:val="en-GB"/>
              </w:rPr>
              <w:t xml:space="preserve">Nationally funded centres </w:t>
            </w:r>
          </w:p>
        </w:tc>
        <w:tc>
          <w:tcPr>
            <w:tcW w:w="414" w:type="pct"/>
            <w:tcBorders>
              <w:top w:val="single" w:sz="8" w:space="0" w:color="D9D9D9"/>
              <w:left w:val="nil"/>
              <w:bottom w:val="single" w:sz="8" w:space="0" w:color="D9D9D9"/>
              <w:right w:val="nil"/>
            </w:tcBorders>
          </w:tcPr>
          <w:p w14:paraId="18466980" w14:textId="2788618E" w:rsidR="00E03CDD" w:rsidRPr="002F2D17" w:rsidRDefault="00E03CDD">
            <w:pPr>
              <w:pStyle w:val="TabletextLeft"/>
              <w:spacing w:line="240" w:lineRule="auto"/>
              <w:ind w:left="0" w:right="0"/>
              <w:rPr>
                <w:b/>
                <w:bCs/>
                <w:sz w:val="18"/>
                <w:szCs w:val="18"/>
              </w:rPr>
            </w:pPr>
            <w:r>
              <w:rPr>
                <w:b/>
                <w:sz w:val="18"/>
                <w:szCs w:val="18"/>
                <w:lang w:val="en-GB"/>
              </w:rPr>
              <w:t>Schedule F - Health, disability and aged care interfaces</w:t>
            </w:r>
          </w:p>
        </w:tc>
        <w:tc>
          <w:tcPr>
            <w:tcW w:w="1824" w:type="pct"/>
            <w:tcBorders>
              <w:top w:val="single" w:sz="8" w:space="0" w:color="D9D9D9"/>
              <w:left w:val="nil"/>
              <w:bottom w:val="single" w:sz="8" w:space="0" w:color="D9D9D9"/>
              <w:right w:val="nil"/>
            </w:tcBorders>
          </w:tcPr>
          <w:p w14:paraId="1D658C71" w14:textId="77777777" w:rsidR="003A50DE" w:rsidRDefault="003A50DE" w:rsidP="003A50DE">
            <w:pPr>
              <w:pStyle w:val="TabletextLeft"/>
              <w:numPr>
                <w:ilvl w:val="0"/>
                <w:numId w:val="24"/>
              </w:numPr>
              <w:spacing w:line="240" w:lineRule="auto"/>
              <w:ind w:left="170" w:right="0" w:hanging="170"/>
              <w:rPr>
                <w:sz w:val="18"/>
                <w:szCs w:val="18"/>
                <w:lang w:val="en-GB"/>
              </w:rPr>
            </w:pPr>
            <w:r>
              <w:rPr>
                <w:sz w:val="18"/>
                <w:szCs w:val="18"/>
                <w:lang w:val="en-GB"/>
              </w:rPr>
              <w:t xml:space="preserve">Acknowledge system links across health, disability, aged care, primary care systems are collective responsibility including with ACCHOs </w:t>
            </w:r>
          </w:p>
          <w:p w14:paraId="5BC979CE" w14:textId="77777777" w:rsidR="003A50DE" w:rsidRDefault="003A50DE" w:rsidP="003A50DE">
            <w:pPr>
              <w:pStyle w:val="TabletextLeft"/>
              <w:numPr>
                <w:ilvl w:val="0"/>
                <w:numId w:val="24"/>
              </w:numPr>
              <w:spacing w:line="240" w:lineRule="auto"/>
              <w:ind w:left="170" w:right="0" w:hanging="170"/>
              <w:rPr>
                <w:sz w:val="18"/>
                <w:szCs w:val="18"/>
                <w:lang w:val="en-GB"/>
              </w:rPr>
            </w:pPr>
            <w:r>
              <w:rPr>
                <w:sz w:val="18"/>
                <w:szCs w:val="18"/>
                <w:lang w:val="en-GB"/>
              </w:rPr>
              <w:t xml:space="preserve">Breakdown of roles and responsibilities, and intersection with NDIS, aged care, primary care and related bodies </w:t>
            </w:r>
          </w:p>
          <w:p w14:paraId="5B52BADC" w14:textId="77777777" w:rsidR="003A50DE" w:rsidRDefault="003A50DE" w:rsidP="003A50DE">
            <w:pPr>
              <w:pStyle w:val="TabletextLeft"/>
              <w:numPr>
                <w:ilvl w:val="0"/>
                <w:numId w:val="24"/>
              </w:numPr>
              <w:spacing w:line="240" w:lineRule="auto"/>
              <w:ind w:left="170" w:right="0" w:hanging="170"/>
              <w:rPr>
                <w:sz w:val="18"/>
                <w:szCs w:val="18"/>
                <w:lang w:val="en-GB"/>
              </w:rPr>
            </w:pPr>
            <w:r>
              <w:rPr>
                <w:sz w:val="18"/>
                <w:szCs w:val="18"/>
                <w:lang w:val="en-GB"/>
              </w:rPr>
              <w:t>Commitment to develop health, primary, aged care and disability interface performance indicators</w:t>
            </w:r>
          </w:p>
          <w:p w14:paraId="11BE261F" w14:textId="0FD780C3" w:rsidR="00E03CDD" w:rsidRPr="002F2D17" w:rsidRDefault="00E03CDD">
            <w:pPr>
              <w:pStyle w:val="TabletextLeft"/>
              <w:numPr>
                <w:ilvl w:val="0"/>
                <w:numId w:val="24"/>
              </w:numPr>
              <w:spacing w:line="240" w:lineRule="auto"/>
              <w:ind w:left="170" w:right="0" w:hanging="170"/>
              <w:rPr>
                <w:sz w:val="18"/>
                <w:szCs w:val="18"/>
              </w:rPr>
            </w:pPr>
            <w:r>
              <w:rPr>
                <w:sz w:val="18"/>
                <w:szCs w:val="18"/>
                <w:lang w:val="en-GB"/>
              </w:rPr>
              <w:t xml:space="preserve">Governance to manage interface issues </w:t>
            </w:r>
          </w:p>
        </w:tc>
      </w:tr>
      <w:tr w:rsidR="00E03CDD" w:rsidRPr="00EE3297" w14:paraId="457E6D28" w14:textId="77777777" w:rsidTr="00F9704D">
        <w:trPr>
          <w:trHeight w:val="42"/>
        </w:trPr>
        <w:tc>
          <w:tcPr>
            <w:tcW w:w="414" w:type="pct"/>
            <w:tcBorders>
              <w:top w:val="single" w:sz="8" w:space="0" w:color="D9D9D9"/>
              <w:bottom w:val="single" w:sz="8" w:space="0" w:color="D9D9D9"/>
              <w:right w:val="nil"/>
            </w:tcBorders>
          </w:tcPr>
          <w:p w14:paraId="2F4D01E9" w14:textId="3C87EBAB" w:rsidR="00E03CDD" w:rsidRPr="002F2D17" w:rsidRDefault="00E03CDD">
            <w:pPr>
              <w:pStyle w:val="TabletextLeft"/>
              <w:spacing w:line="240" w:lineRule="auto"/>
              <w:rPr>
                <w:b/>
                <w:bCs/>
                <w:sz w:val="18"/>
                <w:szCs w:val="18"/>
              </w:rPr>
            </w:pPr>
            <w:r>
              <w:rPr>
                <w:b/>
                <w:sz w:val="18"/>
                <w:szCs w:val="18"/>
                <w:lang w:val="en-GB"/>
              </w:rPr>
              <w:t>Schedule B - National Bodies: purpose and data</w:t>
            </w:r>
          </w:p>
        </w:tc>
        <w:tc>
          <w:tcPr>
            <w:tcW w:w="2348" w:type="pct"/>
            <w:tcBorders>
              <w:top w:val="single" w:sz="8" w:space="0" w:color="D9D9D9"/>
              <w:left w:val="nil"/>
              <w:bottom w:val="single" w:sz="8" w:space="0" w:color="D9D9D9"/>
              <w:right w:val="nil"/>
            </w:tcBorders>
            <w:shd w:val="clear" w:color="auto" w:fill="auto"/>
          </w:tcPr>
          <w:p w14:paraId="5F55C9B2" w14:textId="77777777" w:rsidR="003A50DE" w:rsidRDefault="003A50DE" w:rsidP="003A50DE">
            <w:pPr>
              <w:pStyle w:val="TabletextLeft"/>
              <w:numPr>
                <w:ilvl w:val="0"/>
                <w:numId w:val="24"/>
              </w:numPr>
              <w:spacing w:line="240" w:lineRule="auto"/>
              <w:ind w:left="170" w:right="0" w:hanging="170"/>
              <w:rPr>
                <w:sz w:val="18"/>
                <w:szCs w:val="18"/>
                <w:lang w:val="en-GB"/>
              </w:rPr>
            </w:pPr>
            <w:r>
              <w:rPr>
                <w:sz w:val="18"/>
                <w:szCs w:val="18"/>
                <w:lang w:val="en-GB"/>
              </w:rPr>
              <w:t>Outline of the four NHRA national bodies</w:t>
            </w:r>
          </w:p>
          <w:p w14:paraId="7927A952" w14:textId="0C4408BC" w:rsidR="003A50DE" w:rsidRDefault="003A50DE" w:rsidP="003A50DE">
            <w:pPr>
              <w:pStyle w:val="TabletextLeft"/>
              <w:numPr>
                <w:ilvl w:val="0"/>
                <w:numId w:val="24"/>
              </w:numPr>
              <w:spacing w:line="240" w:lineRule="auto"/>
              <w:ind w:left="170" w:right="0" w:hanging="170"/>
              <w:rPr>
                <w:sz w:val="18"/>
                <w:szCs w:val="18"/>
                <w:lang w:val="en-GB"/>
              </w:rPr>
            </w:pPr>
            <w:r>
              <w:rPr>
                <w:sz w:val="18"/>
                <w:szCs w:val="18"/>
                <w:lang w:val="en-GB"/>
              </w:rPr>
              <w:t xml:space="preserve">Three national funding bodies: </w:t>
            </w:r>
            <w:r w:rsidR="00B3170E">
              <w:rPr>
                <w:sz w:val="18"/>
                <w:szCs w:val="18"/>
                <w:lang w:val="en-GB"/>
              </w:rPr>
              <w:t>e</w:t>
            </w:r>
            <w:r>
              <w:rPr>
                <w:sz w:val="18"/>
                <w:szCs w:val="18"/>
                <w:lang w:val="en-GB"/>
              </w:rPr>
              <w:t>stablishment, business rules and dispute resolution</w:t>
            </w:r>
          </w:p>
          <w:p w14:paraId="0197B211" w14:textId="77777777" w:rsidR="003A50DE" w:rsidRDefault="003A50DE" w:rsidP="003A50DE">
            <w:pPr>
              <w:pStyle w:val="TabletextLeft"/>
              <w:numPr>
                <w:ilvl w:val="0"/>
                <w:numId w:val="24"/>
              </w:numPr>
              <w:spacing w:line="240" w:lineRule="auto"/>
              <w:ind w:left="170" w:right="0" w:hanging="170"/>
              <w:rPr>
                <w:sz w:val="18"/>
                <w:szCs w:val="18"/>
                <w:lang w:val="en-GB"/>
              </w:rPr>
            </w:pPr>
            <w:r>
              <w:rPr>
                <w:sz w:val="18"/>
                <w:szCs w:val="18"/>
                <w:lang w:val="en-GB"/>
              </w:rPr>
              <w:t xml:space="preserve">IHPA: functions, governance, consultation </w:t>
            </w:r>
          </w:p>
          <w:p w14:paraId="3396F2A5" w14:textId="77777777" w:rsidR="003A50DE" w:rsidRDefault="003A50DE" w:rsidP="003A50DE">
            <w:pPr>
              <w:pStyle w:val="TabletextLeft"/>
              <w:numPr>
                <w:ilvl w:val="0"/>
                <w:numId w:val="24"/>
              </w:numPr>
              <w:spacing w:line="240" w:lineRule="auto"/>
              <w:ind w:left="170" w:right="0" w:hanging="170"/>
              <w:rPr>
                <w:sz w:val="18"/>
                <w:szCs w:val="18"/>
                <w:lang w:val="en-GB"/>
              </w:rPr>
            </w:pPr>
            <w:r>
              <w:rPr>
                <w:sz w:val="18"/>
                <w:szCs w:val="18"/>
                <w:lang w:val="en-GB"/>
              </w:rPr>
              <w:t>Administrator: functions, governance, consultation</w:t>
            </w:r>
          </w:p>
          <w:p w14:paraId="40E76DD2" w14:textId="77777777" w:rsidR="003A50DE" w:rsidRDefault="003A50DE" w:rsidP="003A50DE">
            <w:pPr>
              <w:pStyle w:val="TabletextLeft"/>
              <w:numPr>
                <w:ilvl w:val="0"/>
                <w:numId w:val="24"/>
              </w:numPr>
              <w:spacing w:line="240" w:lineRule="auto"/>
              <w:ind w:left="170" w:right="0" w:hanging="170"/>
              <w:rPr>
                <w:sz w:val="18"/>
                <w:szCs w:val="18"/>
                <w:lang w:val="en-GB"/>
              </w:rPr>
            </w:pPr>
            <w:r>
              <w:rPr>
                <w:sz w:val="18"/>
                <w:szCs w:val="18"/>
                <w:lang w:val="en-GB"/>
              </w:rPr>
              <w:t>ACSQHC: functions, governance, consultation</w:t>
            </w:r>
          </w:p>
          <w:p w14:paraId="096CFA61" w14:textId="77777777" w:rsidR="003A50DE" w:rsidRDefault="003A50DE" w:rsidP="003A50DE">
            <w:pPr>
              <w:pStyle w:val="TabletextLeft"/>
              <w:numPr>
                <w:ilvl w:val="0"/>
                <w:numId w:val="24"/>
              </w:numPr>
              <w:spacing w:line="240" w:lineRule="auto"/>
              <w:ind w:left="170" w:right="0" w:hanging="170"/>
              <w:rPr>
                <w:sz w:val="18"/>
                <w:szCs w:val="18"/>
                <w:lang w:val="en-GB"/>
              </w:rPr>
            </w:pPr>
            <w:r>
              <w:rPr>
                <w:sz w:val="18"/>
                <w:szCs w:val="18"/>
                <w:lang w:val="en-GB"/>
              </w:rPr>
              <w:t>AIHW: functions, consultation</w:t>
            </w:r>
          </w:p>
          <w:p w14:paraId="34CE1861" w14:textId="77777777" w:rsidR="00E03CDD" w:rsidRDefault="00E03CDD">
            <w:pPr>
              <w:pStyle w:val="TabletextLeft"/>
              <w:numPr>
                <w:ilvl w:val="0"/>
                <w:numId w:val="24"/>
              </w:numPr>
              <w:spacing w:line="240" w:lineRule="auto"/>
              <w:ind w:left="170" w:right="0" w:hanging="170"/>
              <w:rPr>
                <w:sz w:val="18"/>
                <w:szCs w:val="18"/>
                <w:lang w:val="en-GB"/>
              </w:rPr>
            </w:pPr>
            <w:r>
              <w:rPr>
                <w:sz w:val="18"/>
                <w:szCs w:val="18"/>
                <w:lang w:val="en-GB"/>
              </w:rPr>
              <w:t>Data requirements for national bodies</w:t>
            </w:r>
          </w:p>
          <w:p w14:paraId="443FE757" w14:textId="618A2378" w:rsidR="00E03CDD" w:rsidRPr="00C236C6" w:rsidRDefault="00E03CDD">
            <w:pPr>
              <w:pStyle w:val="TabletextLeft"/>
              <w:numPr>
                <w:ilvl w:val="0"/>
                <w:numId w:val="24"/>
              </w:numPr>
              <w:spacing w:line="240" w:lineRule="auto"/>
              <w:ind w:left="170" w:right="0" w:hanging="170"/>
              <w:rPr>
                <w:sz w:val="18"/>
                <w:szCs w:val="18"/>
              </w:rPr>
            </w:pPr>
            <w:r>
              <w:rPr>
                <w:sz w:val="18"/>
                <w:szCs w:val="18"/>
                <w:lang w:val="en-GB"/>
              </w:rPr>
              <w:t>Statements of assurance on data integrity across system</w:t>
            </w:r>
          </w:p>
        </w:tc>
        <w:tc>
          <w:tcPr>
            <w:tcW w:w="414" w:type="pct"/>
            <w:tcBorders>
              <w:top w:val="single" w:sz="8" w:space="0" w:color="D9D9D9"/>
              <w:left w:val="nil"/>
              <w:bottom w:val="single" w:sz="8" w:space="0" w:color="D9D9D9"/>
              <w:right w:val="nil"/>
            </w:tcBorders>
          </w:tcPr>
          <w:p w14:paraId="629ABD22" w14:textId="37FBE755" w:rsidR="00E03CDD" w:rsidRPr="002F2D17" w:rsidRDefault="00E03CDD">
            <w:pPr>
              <w:pStyle w:val="TabletextLeft"/>
              <w:spacing w:line="240" w:lineRule="auto"/>
              <w:ind w:left="0" w:right="0"/>
              <w:rPr>
                <w:b/>
                <w:bCs/>
                <w:sz w:val="18"/>
                <w:szCs w:val="18"/>
              </w:rPr>
            </w:pPr>
            <w:r>
              <w:rPr>
                <w:b/>
                <w:sz w:val="18"/>
                <w:szCs w:val="18"/>
                <w:lang w:val="en-GB"/>
              </w:rPr>
              <w:t>Schedule G - Business rules: charging, complaints, private patients</w:t>
            </w:r>
          </w:p>
        </w:tc>
        <w:tc>
          <w:tcPr>
            <w:tcW w:w="1824" w:type="pct"/>
            <w:tcBorders>
              <w:top w:val="single" w:sz="8" w:space="0" w:color="D9D9D9"/>
              <w:left w:val="nil"/>
              <w:bottom w:val="single" w:sz="8" w:space="0" w:color="D9D9D9"/>
              <w:right w:val="nil"/>
            </w:tcBorders>
          </w:tcPr>
          <w:p w14:paraId="05D7AF5B" w14:textId="77777777" w:rsidR="003A50DE" w:rsidRDefault="003A50DE" w:rsidP="003A50DE">
            <w:pPr>
              <w:pStyle w:val="TabletextLeft"/>
              <w:numPr>
                <w:ilvl w:val="0"/>
                <w:numId w:val="24"/>
              </w:numPr>
              <w:spacing w:line="240" w:lineRule="auto"/>
              <w:ind w:left="170" w:right="0" w:hanging="170"/>
              <w:rPr>
                <w:sz w:val="18"/>
                <w:szCs w:val="18"/>
                <w:lang w:val="en-GB"/>
              </w:rPr>
            </w:pPr>
            <w:r>
              <w:rPr>
                <w:sz w:val="18"/>
                <w:szCs w:val="18"/>
                <w:lang w:val="en-GB"/>
              </w:rPr>
              <w:t>Public patient charges</w:t>
            </w:r>
          </w:p>
          <w:p w14:paraId="42C7FE7F" w14:textId="77777777" w:rsidR="003A50DE" w:rsidRDefault="003A50DE" w:rsidP="003A50DE">
            <w:pPr>
              <w:pStyle w:val="TabletextLeft"/>
              <w:numPr>
                <w:ilvl w:val="0"/>
                <w:numId w:val="24"/>
              </w:numPr>
              <w:spacing w:line="240" w:lineRule="auto"/>
              <w:ind w:left="170" w:right="0" w:hanging="170"/>
              <w:rPr>
                <w:sz w:val="18"/>
                <w:szCs w:val="18"/>
                <w:lang w:val="en-GB"/>
              </w:rPr>
            </w:pPr>
            <w:r>
              <w:rPr>
                <w:sz w:val="18"/>
                <w:szCs w:val="18"/>
                <w:lang w:val="en-GB"/>
              </w:rPr>
              <w:t>Charges for patients other than public patients</w:t>
            </w:r>
          </w:p>
          <w:p w14:paraId="0D7B3970" w14:textId="77777777" w:rsidR="003A50DE" w:rsidRDefault="003A50DE" w:rsidP="003A50DE">
            <w:pPr>
              <w:pStyle w:val="TabletextLeft"/>
              <w:numPr>
                <w:ilvl w:val="0"/>
                <w:numId w:val="24"/>
              </w:numPr>
              <w:spacing w:line="240" w:lineRule="auto"/>
              <w:ind w:left="170" w:right="0" w:hanging="170"/>
              <w:rPr>
                <w:sz w:val="18"/>
                <w:szCs w:val="18"/>
                <w:lang w:val="en-GB"/>
              </w:rPr>
            </w:pPr>
            <w:r>
              <w:rPr>
                <w:sz w:val="18"/>
                <w:szCs w:val="18"/>
                <w:lang w:val="en-GB"/>
              </w:rPr>
              <w:t xml:space="preserve">Patient arrangements, including public/private election process and informed financial consent </w:t>
            </w:r>
          </w:p>
          <w:p w14:paraId="4B57355C" w14:textId="77777777" w:rsidR="003A50DE" w:rsidRDefault="003A50DE" w:rsidP="003A50DE">
            <w:pPr>
              <w:pStyle w:val="TabletextLeft"/>
              <w:numPr>
                <w:ilvl w:val="0"/>
                <w:numId w:val="24"/>
              </w:numPr>
              <w:spacing w:line="240" w:lineRule="auto"/>
              <w:ind w:left="170" w:right="0" w:hanging="170"/>
              <w:rPr>
                <w:sz w:val="18"/>
                <w:szCs w:val="18"/>
                <w:lang w:val="en-GB"/>
              </w:rPr>
            </w:pPr>
            <w:r>
              <w:rPr>
                <w:sz w:val="18"/>
                <w:szCs w:val="18"/>
                <w:lang w:val="en-GB"/>
              </w:rPr>
              <w:t>Data provision on private patients in public hospitals and processes</w:t>
            </w:r>
          </w:p>
          <w:p w14:paraId="25E46188" w14:textId="6BA6E2AF" w:rsidR="00E03CDD" w:rsidRPr="002F2D17" w:rsidRDefault="00E03CDD">
            <w:pPr>
              <w:pStyle w:val="TabletextLeft"/>
              <w:numPr>
                <w:ilvl w:val="0"/>
                <w:numId w:val="24"/>
              </w:numPr>
              <w:spacing w:line="240" w:lineRule="auto"/>
              <w:ind w:left="170" w:right="0" w:hanging="170"/>
              <w:rPr>
                <w:sz w:val="18"/>
                <w:szCs w:val="18"/>
              </w:rPr>
            </w:pPr>
            <w:r>
              <w:rPr>
                <w:sz w:val="18"/>
                <w:szCs w:val="18"/>
                <w:lang w:val="en-GB"/>
              </w:rPr>
              <w:t xml:space="preserve">Minimum requirements </w:t>
            </w:r>
            <w:r w:rsidR="003A50DE">
              <w:rPr>
                <w:sz w:val="18"/>
                <w:szCs w:val="18"/>
                <w:lang w:val="en-GB"/>
              </w:rPr>
              <w:t>for admitted</w:t>
            </w:r>
            <w:r>
              <w:rPr>
                <w:sz w:val="18"/>
                <w:szCs w:val="18"/>
                <w:lang w:val="en-GB"/>
              </w:rPr>
              <w:t xml:space="preserve"> patient election forms</w:t>
            </w:r>
          </w:p>
        </w:tc>
      </w:tr>
      <w:tr w:rsidR="00E03CDD" w:rsidRPr="00EE3297" w14:paraId="0DBA45C1" w14:textId="77777777" w:rsidTr="00F9704D">
        <w:trPr>
          <w:trHeight w:val="42"/>
        </w:trPr>
        <w:tc>
          <w:tcPr>
            <w:tcW w:w="414" w:type="pct"/>
            <w:tcBorders>
              <w:top w:val="single" w:sz="8" w:space="0" w:color="D9D9D9"/>
              <w:bottom w:val="single" w:sz="8" w:space="0" w:color="D9D9D9"/>
              <w:right w:val="nil"/>
            </w:tcBorders>
          </w:tcPr>
          <w:p w14:paraId="1E2E6DB4" w14:textId="23998CDA" w:rsidR="00E03CDD" w:rsidRPr="002F2D17" w:rsidRDefault="00E03CDD">
            <w:pPr>
              <w:pStyle w:val="TabletextLeft"/>
              <w:spacing w:line="240" w:lineRule="auto"/>
              <w:rPr>
                <w:b/>
                <w:bCs/>
                <w:sz w:val="18"/>
                <w:szCs w:val="18"/>
              </w:rPr>
            </w:pPr>
            <w:r>
              <w:rPr>
                <w:b/>
                <w:sz w:val="18"/>
                <w:szCs w:val="18"/>
                <w:lang w:val="en-GB"/>
              </w:rPr>
              <w:t>Schedule C - Long-term reform principles</w:t>
            </w:r>
          </w:p>
        </w:tc>
        <w:tc>
          <w:tcPr>
            <w:tcW w:w="2348" w:type="pct"/>
            <w:tcBorders>
              <w:top w:val="single" w:sz="8" w:space="0" w:color="D9D9D9"/>
              <w:left w:val="nil"/>
              <w:bottom w:val="single" w:sz="8" w:space="0" w:color="D9D9D9"/>
              <w:right w:val="nil"/>
            </w:tcBorders>
            <w:shd w:val="clear" w:color="auto" w:fill="auto"/>
          </w:tcPr>
          <w:p w14:paraId="7E633D68" w14:textId="77777777" w:rsidR="003A50DE" w:rsidRDefault="003A50DE" w:rsidP="003A50DE">
            <w:pPr>
              <w:pStyle w:val="TabletextLeft"/>
              <w:numPr>
                <w:ilvl w:val="0"/>
                <w:numId w:val="24"/>
              </w:numPr>
              <w:spacing w:line="240" w:lineRule="auto"/>
              <w:ind w:left="170" w:right="0" w:hanging="170"/>
              <w:rPr>
                <w:sz w:val="18"/>
                <w:szCs w:val="18"/>
                <w:lang w:val="en-GB"/>
              </w:rPr>
            </w:pPr>
            <w:r>
              <w:rPr>
                <w:sz w:val="18"/>
                <w:szCs w:val="18"/>
                <w:lang w:val="en-GB"/>
              </w:rPr>
              <w:t>Commit to shared action on four strategic priorities, with six long-term reform areas:</w:t>
            </w:r>
          </w:p>
          <w:p w14:paraId="4037B817" w14:textId="77777777" w:rsidR="00E03CDD" w:rsidRDefault="00E03CDD">
            <w:pPr>
              <w:pStyle w:val="TabletextLeft"/>
              <w:numPr>
                <w:ilvl w:val="0"/>
                <w:numId w:val="24"/>
              </w:numPr>
              <w:tabs>
                <w:tab w:val="num" w:pos="1703"/>
              </w:tabs>
              <w:spacing w:line="240" w:lineRule="auto"/>
              <w:ind w:left="569" w:right="0" w:hanging="284"/>
              <w:rPr>
                <w:sz w:val="18"/>
                <w:szCs w:val="18"/>
                <w:lang w:val="en-GB"/>
              </w:rPr>
            </w:pPr>
            <w:r>
              <w:rPr>
                <w:sz w:val="18"/>
                <w:szCs w:val="18"/>
                <w:lang w:val="en-GB"/>
              </w:rPr>
              <w:t xml:space="preserve">Nationally cohesive health </w:t>
            </w:r>
            <w:r w:rsidR="003A50DE">
              <w:rPr>
                <w:sz w:val="18"/>
                <w:szCs w:val="18"/>
                <w:lang w:val="en-GB"/>
              </w:rPr>
              <w:t>technology assessment</w:t>
            </w:r>
            <w:r>
              <w:rPr>
                <w:sz w:val="18"/>
                <w:szCs w:val="18"/>
                <w:lang w:val="en-GB"/>
              </w:rPr>
              <w:t xml:space="preserve"> </w:t>
            </w:r>
          </w:p>
          <w:p w14:paraId="349E2731" w14:textId="77777777" w:rsidR="00E03CDD" w:rsidRDefault="00E03CDD">
            <w:pPr>
              <w:pStyle w:val="TabletextLeft"/>
              <w:numPr>
                <w:ilvl w:val="0"/>
                <w:numId w:val="24"/>
              </w:numPr>
              <w:tabs>
                <w:tab w:val="num" w:pos="1703"/>
              </w:tabs>
              <w:spacing w:line="240" w:lineRule="auto"/>
              <w:ind w:left="569" w:right="0" w:hanging="284"/>
              <w:rPr>
                <w:sz w:val="18"/>
                <w:szCs w:val="18"/>
                <w:lang w:val="en-GB"/>
              </w:rPr>
            </w:pPr>
            <w:r>
              <w:rPr>
                <w:sz w:val="18"/>
                <w:szCs w:val="18"/>
                <w:lang w:val="en-GB"/>
              </w:rPr>
              <w:t>Paying for value and outcomes</w:t>
            </w:r>
          </w:p>
          <w:p w14:paraId="32525EAA" w14:textId="77777777" w:rsidR="00E03CDD" w:rsidRDefault="00E03CDD">
            <w:pPr>
              <w:pStyle w:val="TabletextLeft"/>
              <w:numPr>
                <w:ilvl w:val="0"/>
                <w:numId w:val="24"/>
              </w:numPr>
              <w:tabs>
                <w:tab w:val="num" w:pos="1703"/>
              </w:tabs>
              <w:spacing w:line="240" w:lineRule="auto"/>
              <w:ind w:left="569" w:right="0" w:hanging="284"/>
              <w:rPr>
                <w:sz w:val="18"/>
                <w:szCs w:val="18"/>
                <w:lang w:val="en-GB"/>
              </w:rPr>
            </w:pPr>
            <w:r>
              <w:rPr>
                <w:sz w:val="18"/>
                <w:szCs w:val="18"/>
                <w:lang w:val="en-GB"/>
              </w:rPr>
              <w:t xml:space="preserve">Joint planning and funding at local level </w:t>
            </w:r>
          </w:p>
          <w:p w14:paraId="1D066DC3" w14:textId="77777777" w:rsidR="00E03CDD" w:rsidRDefault="00E03CDD">
            <w:pPr>
              <w:pStyle w:val="TabletextLeft"/>
              <w:numPr>
                <w:ilvl w:val="0"/>
                <w:numId w:val="24"/>
              </w:numPr>
              <w:tabs>
                <w:tab w:val="num" w:pos="1703"/>
              </w:tabs>
              <w:spacing w:line="240" w:lineRule="auto"/>
              <w:ind w:left="569" w:right="0" w:hanging="284"/>
              <w:rPr>
                <w:sz w:val="18"/>
                <w:szCs w:val="18"/>
                <w:lang w:val="en-GB"/>
              </w:rPr>
            </w:pPr>
            <w:r>
              <w:rPr>
                <w:sz w:val="18"/>
                <w:szCs w:val="18"/>
                <w:lang w:val="en-GB"/>
              </w:rPr>
              <w:t>Health literacy</w:t>
            </w:r>
          </w:p>
          <w:p w14:paraId="1AAD88B1" w14:textId="77777777" w:rsidR="00E03CDD" w:rsidRDefault="00E03CDD">
            <w:pPr>
              <w:pStyle w:val="TabletextLeft"/>
              <w:numPr>
                <w:ilvl w:val="0"/>
                <w:numId w:val="24"/>
              </w:numPr>
              <w:tabs>
                <w:tab w:val="num" w:pos="1703"/>
              </w:tabs>
              <w:spacing w:line="240" w:lineRule="auto"/>
              <w:ind w:left="569" w:right="0" w:hanging="284"/>
              <w:rPr>
                <w:sz w:val="18"/>
                <w:szCs w:val="18"/>
                <w:lang w:val="en-GB"/>
              </w:rPr>
            </w:pPr>
            <w:r>
              <w:rPr>
                <w:sz w:val="18"/>
                <w:szCs w:val="18"/>
                <w:lang w:val="en-GB"/>
              </w:rPr>
              <w:t xml:space="preserve">Prevention and wellbeing </w:t>
            </w:r>
          </w:p>
          <w:p w14:paraId="4F06475F" w14:textId="0E61A048" w:rsidR="00E03CDD" w:rsidRPr="00C236C6" w:rsidRDefault="00E03CDD">
            <w:pPr>
              <w:pStyle w:val="TabletextLeft"/>
              <w:numPr>
                <w:ilvl w:val="0"/>
                <w:numId w:val="24"/>
              </w:numPr>
              <w:tabs>
                <w:tab w:val="num" w:pos="1703"/>
              </w:tabs>
              <w:spacing w:line="240" w:lineRule="auto"/>
              <w:ind w:left="569" w:right="0" w:hanging="284"/>
              <w:rPr>
                <w:sz w:val="18"/>
                <w:szCs w:val="18"/>
              </w:rPr>
            </w:pPr>
            <w:r>
              <w:rPr>
                <w:sz w:val="18"/>
                <w:szCs w:val="18"/>
                <w:lang w:val="en-GB"/>
              </w:rPr>
              <w:t>Enhanced health data</w:t>
            </w:r>
          </w:p>
        </w:tc>
        <w:tc>
          <w:tcPr>
            <w:tcW w:w="414" w:type="pct"/>
            <w:tcBorders>
              <w:top w:val="single" w:sz="8" w:space="0" w:color="D9D9D9"/>
              <w:left w:val="nil"/>
              <w:bottom w:val="single" w:sz="8" w:space="0" w:color="D9D9D9"/>
              <w:right w:val="nil"/>
            </w:tcBorders>
          </w:tcPr>
          <w:p w14:paraId="3EECF3B5" w14:textId="2DE5374F" w:rsidR="00E03CDD" w:rsidRPr="002F2D17" w:rsidRDefault="00E03CDD">
            <w:pPr>
              <w:pStyle w:val="TabletextLeft"/>
              <w:spacing w:line="240" w:lineRule="auto"/>
              <w:ind w:left="0" w:right="0"/>
              <w:rPr>
                <w:b/>
                <w:bCs/>
                <w:sz w:val="18"/>
                <w:szCs w:val="18"/>
              </w:rPr>
            </w:pPr>
            <w:r>
              <w:rPr>
                <w:b/>
                <w:sz w:val="18"/>
                <w:szCs w:val="18"/>
                <w:lang w:val="en-GB"/>
              </w:rPr>
              <w:t>Appendix A - Definitions</w:t>
            </w:r>
          </w:p>
        </w:tc>
        <w:tc>
          <w:tcPr>
            <w:tcW w:w="1824" w:type="pct"/>
            <w:tcBorders>
              <w:top w:val="single" w:sz="8" w:space="0" w:color="D9D9D9"/>
              <w:left w:val="nil"/>
              <w:bottom w:val="single" w:sz="8" w:space="0" w:color="D9D9D9"/>
              <w:right w:val="nil"/>
            </w:tcBorders>
          </w:tcPr>
          <w:p w14:paraId="234E4BAF" w14:textId="65EF9FC8" w:rsidR="00E03CDD" w:rsidRDefault="00E03CDD">
            <w:pPr>
              <w:pStyle w:val="TabletextLeft"/>
              <w:spacing w:line="240" w:lineRule="auto"/>
              <w:ind w:left="0" w:right="0"/>
              <w:rPr>
                <w:sz w:val="18"/>
                <w:szCs w:val="18"/>
              </w:rPr>
            </w:pPr>
            <w:r>
              <w:rPr>
                <w:sz w:val="18"/>
                <w:szCs w:val="18"/>
                <w:lang w:val="en-GB"/>
              </w:rPr>
              <w:t>Definitions</w:t>
            </w:r>
          </w:p>
        </w:tc>
      </w:tr>
      <w:tr w:rsidR="00E03CDD" w:rsidRPr="00EE3297" w14:paraId="1E9ACE4D" w14:textId="77777777" w:rsidTr="00F9704D">
        <w:trPr>
          <w:trHeight w:val="42"/>
        </w:trPr>
        <w:tc>
          <w:tcPr>
            <w:tcW w:w="414" w:type="pct"/>
            <w:tcBorders>
              <w:top w:val="single" w:sz="8" w:space="0" w:color="D9D9D9"/>
              <w:bottom w:val="single" w:sz="8" w:space="0" w:color="D9D9D9"/>
              <w:right w:val="nil"/>
            </w:tcBorders>
          </w:tcPr>
          <w:p w14:paraId="3E12B409" w14:textId="69918196" w:rsidR="00E03CDD" w:rsidRPr="002F2D17" w:rsidRDefault="00E03CDD">
            <w:pPr>
              <w:pStyle w:val="TabletextLeft"/>
              <w:spacing w:line="240" w:lineRule="auto"/>
              <w:rPr>
                <w:b/>
                <w:bCs/>
                <w:sz w:val="18"/>
                <w:szCs w:val="18"/>
              </w:rPr>
            </w:pPr>
            <w:r>
              <w:rPr>
                <w:b/>
                <w:sz w:val="18"/>
                <w:szCs w:val="18"/>
                <w:lang w:val="en-GB"/>
              </w:rPr>
              <w:t>Schedule D - Transparency and performance reporting</w:t>
            </w:r>
          </w:p>
        </w:tc>
        <w:tc>
          <w:tcPr>
            <w:tcW w:w="2348" w:type="pct"/>
            <w:tcBorders>
              <w:top w:val="single" w:sz="8" w:space="0" w:color="D9D9D9"/>
              <w:left w:val="nil"/>
              <w:bottom w:val="single" w:sz="8" w:space="0" w:color="D9D9D9"/>
              <w:right w:val="nil"/>
            </w:tcBorders>
            <w:shd w:val="clear" w:color="auto" w:fill="auto"/>
          </w:tcPr>
          <w:p w14:paraId="0E255945" w14:textId="77777777" w:rsidR="00E03CDD" w:rsidRDefault="00E03CDD">
            <w:pPr>
              <w:pStyle w:val="TabletextLeft"/>
              <w:numPr>
                <w:ilvl w:val="0"/>
                <w:numId w:val="24"/>
              </w:numPr>
              <w:spacing w:line="240" w:lineRule="auto"/>
              <w:ind w:left="170" w:right="0" w:hanging="170"/>
              <w:rPr>
                <w:sz w:val="18"/>
                <w:szCs w:val="18"/>
                <w:lang w:val="en-GB"/>
              </w:rPr>
            </w:pPr>
            <w:r>
              <w:rPr>
                <w:sz w:val="18"/>
                <w:szCs w:val="18"/>
                <w:lang w:val="en-GB"/>
              </w:rPr>
              <w:t>AHPF is single reporting framework for healthcare reporting</w:t>
            </w:r>
          </w:p>
          <w:p w14:paraId="49DE769F" w14:textId="77777777" w:rsidR="003A50DE" w:rsidRDefault="003A50DE" w:rsidP="003A50DE">
            <w:pPr>
              <w:pStyle w:val="TabletextLeft"/>
              <w:numPr>
                <w:ilvl w:val="0"/>
                <w:numId w:val="24"/>
              </w:numPr>
              <w:spacing w:line="240" w:lineRule="auto"/>
              <w:ind w:left="170" w:right="0" w:hanging="170"/>
              <w:rPr>
                <w:sz w:val="18"/>
                <w:szCs w:val="18"/>
                <w:lang w:val="en-GB"/>
              </w:rPr>
            </w:pPr>
            <w:r>
              <w:rPr>
                <w:sz w:val="18"/>
                <w:szCs w:val="18"/>
                <w:lang w:val="en-GB"/>
              </w:rPr>
              <w:t>Four agreed actions for this Addendum:</w:t>
            </w:r>
          </w:p>
          <w:p w14:paraId="76798155" w14:textId="77777777" w:rsidR="003A50DE" w:rsidRDefault="003A50DE" w:rsidP="003A50DE">
            <w:pPr>
              <w:pStyle w:val="TabletextLeft"/>
              <w:numPr>
                <w:ilvl w:val="0"/>
                <w:numId w:val="24"/>
              </w:numPr>
              <w:spacing w:line="240" w:lineRule="auto"/>
              <w:ind w:left="170" w:right="0" w:hanging="170"/>
              <w:rPr>
                <w:sz w:val="18"/>
                <w:szCs w:val="18"/>
                <w:lang w:val="en-GB"/>
              </w:rPr>
            </w:pPr>
            <w:r>
              <w:rPr>
                <w:sz w:val="18"/>
                <w:szCs w:val="18"/>
                <w:lang w:val="en-GB"/>
              </w:rPr>
              <w:t>Whole-of-system performance indicators</w:t>
            </w:r>
          </w:p>
          <w:p w14:paraId="2E639656" w14:textId="77777777" w:rsidR="003A50DE" w:rsidRDefault="003A50DE" w:rsidP="003A50DE">
            <w:pPr>
              <w:pStyle w:val="TabletextLeft"/>
              <w:numPr>
                <w:ilvl w:val="0"/>
                <w:numId w:val="24"/>
              </w:numPr>
              <w:spacing w:line="240" w:lineRule="auto"/>
              <w:ind w:left="170" w:right="0" w:hanging="170"/>
              <w:rPr>
                <w:sz w:val="18"/>
                <w:szCs w:val="18"/>
                <w:lang w:val="en-GB"/>
              </w:rPr>
            </w:pPr>
            <w:r>
              <w:rPr>
                <w:sz w:val="18"/>
                <w:szCs w:val="18"/>
                <w:lang w:val="en-GB"/>
              </w:rPr>
              <w:t>Revised performance benchmarks</w:t>
            </w:r>
          </w:p>
          <w:p w14:paraId="70C22622" w14:textId="77777777" w:rsidR="00E15446" w:rsidRDefault="003A50DE" w:rsidP="00E15446">
            <w:pPr>
              <w:pStyle w:val="TabletextLeft"/>
              <w:numPr>
                <w:ilvl w:val="0"/>
                <w:numId w:val="24"/>
              </w:numPr>
              <w:spacing w:line="240" w:lineRule="auto"/>
              <w:ind w:left="170" w:right="0" w:hanging="170"/>
              <w:rPr>
                <w:sz w:val="18"/>
                <w:szCs w:val="18"/>
                <w:lang w:val="en-GB"/>
              </w:rPr>
            </w:pPr>
            <w:r>
              <w:rPr>
                <w:sz w:val="18"/>
                <w:szCs w:val="18"/>
                <w:lang w:val="en-GB"/>
              </w:rPr>
              <w:t>Mechanism for governance</w:t>
            </w:r>
          </w:p>
          <w:p w14:paraId="5EAC0FF3" w14:textId="543783A5" w:rsidR="00E03CDD" w:rsidRPr="00E15446" w:rsidRDefault="003A50DE" w:rsidP="00E15446">
            <w:pPr>
              <w:pStyle w:val="TabletextLeft"/>
              <w:numPr>
                <w:ilvl w:val="0"/>
                <w:numId w:val="24"/>
              </w:numPr>
              <w:spacing w:line="240" w:lineRule="auto"/>
              <w:ind w:left="170" w:right="0" w:hanging="170"/>
              <w:rPr>
                <w:sz w:val="18"/>
                <w:szCs w:val="18"/>
                <w:lang w:val="en-GB"/>
              </w:rPr>
            </w:pPr>
            <w:r w:rsidRPr="00E15446">
              <w:rPr>
                <w:sz w:val="18"/>
                <w:szCs w:val="18"/>
                <w:lang w:val="en-GB"/>
              </w:rPr>
              <w:t>Proposed approach for measuring value in the health system</w:t>
            </w:r>
          </w:p>
        </w:tc>
        <w:tc>
          <w:tcPr>
            <w:tcW w:w="414" w:type="pct"/>
            <w:tcBorders>
              <w:top w:val="single" w:sz="8" w:space="0" w:color="D9D9D9"/>
              <w:left w:val="nil"/>
              <w:bottom w:val="single" w:sz="8" w:space="0" w:color="D9D9D9"/>
              <w:right w:val="nil"/>
            </w:tcBorders>
          </w:tcPr>
          <w:p w14:paraId="09ECCDD3" w14:textId="0FA5CC99" w:rsidR="00E03CDD" w:rsidRPr="002F2D17" w:rsidRDefault="00E03CDD">
            <w:pPr>
              <w:pStyle w:val="TabletextLeft"/>
              <w:spacing w:line="240" w:lineRule="auto"/>
              <w:ind w:left="0" w:right="0"/>
              <w:rPr>
                <w:b/>
                <w:bCs/>
                <w:sz w:val="18"/>
                <w:szCs w:val="18"/>
              </w:rPr>
            </w:pPr>
            <w:r>
              <w:rPr>
                <w:b/>
                <w:sz w:val="18"/>
                <w:szCs w:val="18"/>
                <w:lang w:val="en-GB"/>
              </w:rPr>
              <w:t>Appendix B - Highly specialised therapies governance</w:t>
            </w:r>
          </w:p>
        </w:tc>
        <w:tc>
          <w:tcPr>
            <w:tcW w:w="1824" w:type="pct"/>
            <w:tcBorders>
              <w:top w:val="single" w:sz="8" w:space="0" w:color="D9D9D9"/>
              <w:left w:val="nil"/>
              <w:bottom w:val="single" w:sz="8" w:space="0" w:color="D9D9D9"/>
              <w:right w:val="nil"/>
            </w:tcBorders>
          </w:tcPr>
          <w:p w14:paraId="5CA0C462" w14:textId="27FFDF7B" w:rsidR="00E03CDD" w:rsidRPr="00C236C6" w:rsidRDefault="00E03CDD">
            <w:pPr>
              <w:pStyle w:val="TabletextLeft"/>
              <w:spacing w:line="240" w:lineRule="auto"/>
              <w:ind w:left="0" w:right="0"/>
              <w:rPr>
                <w:sz w:val="18"/>
                <w:szCs w:val="18"/>
              </w:rPr>
            </w:pPr>
            <w:r>
              <w:rPr>
                <w:sz w:val="18"/>
                <w:szCs w:val="18"/>
                <w:lang w:val="en-GB"/>
              </w:rPr>
              <w:t xml:space="preserve">Governance </w:t>
            </w:r>
            <w:r w:rsidR="003A50DE">
              <w:rPr>
                <w:sz w:val="18"/>
                <w:szCs w:val="18"/>
                <w:lang w:val="en-GB"/>
              </w:rPr>
              <w:t xml:space="preserve">arrangements </w:t>
            </w:r>
            <w:r>
              <w:rPr>
                <w:sz w:val="18"/>
                <w:szCs w:val="18"/>
                <w:lang w:val="en-GB"/>
              </w:rPr>
              <w:t xml:space="preserve">for new highly specialised therapy </w:t>
            </w:r>
          </w:p>
        </w:tc>
      </w:tr>
    </w:tbl>
    <w:p w14:paraId="3902DFEF" w14:textId="77777777" w:rsidR="00E03CDD" w:rsidRPr="00E03CDD" w:rsidRDefault="00E03CDD" w:rsidP="00E03CDD"/>
    <w:p w14:paraId="307E303D" w14:textId="4943BE69" w:rsidR="00E03CDD" w:rsidRPr="00A97309" w:rsidRDefault="00E03CDD" w:rsidP="00C2024B">
      <w:pPr>
        <w:pStyle w:val="Caption"/>
      </w:pPr>
      <w:bookmarkStart w:id="405" w:name="_Ref144214595"/>
      <w:bookmarkStart w:id="406" w:name="_Toc148968375"/>
      <w:r>
        <w:t xml:space="preserve">Table </w:t>
      </w:r>
      <w:r>
        <w:fldChar w:fldCharType="begin"/>
      </w:r>
      <w:r>
        <w:instrText xml:space="preserve"> SEQ Table \* ARABIC </w:instrText>
      </w:r>
      <w:r>
        <w:fldChar w:fldCharType="separate"/>
      </w:r>
      <w:r w:rsidR="003F5D51">
        <w:rPr>
          <w:noProof/>
        </w:rPr>
        <w:t>11</w:t>
      </w:r>
      <w:r>
        <w:rPr>
          <w:noProof/>
        </w:rPr>
        <w:fldChar w:fldCharType="end"/>
      </w:r>
      <w:bookmarkEnd w:id="405"/>
      <w:r w:rsidRPr="00A97309">
        <w:t xml:space="preserve">: </w:t>
      </w:r>
      <w:r>
        <w:t>2020-2025 Addendum changes</w:t>
      </w:r>
      <w:r w:rsidR="00142376">
        <w:t xml:space="preserve"> </w:t>
      </w:r>
      <w:r w:rsidR="00142376" w:rsidRPr="00142376">
        <w:t>(sourced from Commonwealth Department of Health and Aged Care)</w:t>
      </w:r>
      <w:bookmarkEnd w:id="406"/>
    </w:p>
    <w:tbl>
      <w:tblPr>
        <w:tblStyle w:val="Deloittetable"/>
        <w:tblW w:w="5000" w:type="pct"/>
        <w:tblLook w:val="04A0" w:firstRow="1" w:lastRow="0" w:firstColumn="1" w:lastColumn="0" w:noHBand="0" w:noVBand="1"/>
      </w:tblPr>
      <w:tblGrid>
        <w:gridCol w:w="1987"/>
        <w:gridCol w:w="11622"/>
        <w:gridCol w:w="1789"/>
      </w:tblGrid>
      <w:tr w:rsidR="00B25012" w:rsidRPr="00B25012" w14:paraId="68E4AC9F" w14:textId="77777777" w:rsidTr="00775D12">
        <w:trPr>
          <w:cnfStyle w:val="100000000000" w:firstRow="1" w:lastRow="0" w:firstColumn="0" w:lastColumn="0" w:oddVBand="0" w:evenVBand="0" w:oddHBand="0" w:evenHBand="0" w:firstRowFirstColumn="0" w:firstRowLastColumn="0" w:lastRowFirstColumn="0" w:lastRowLastColumn="0"/>
          <w:tblHeader/>
        </w:trPr>
        <w:tc>
          <w:tcPr>
            <w:tcW w:w="645" w:type="pct"/>
            <w:tcBorders>
              <w:top w:val="single" w:sz="24" w:space="0" w:color="0097A9" w:themeColor="accent5"/>
              <w:bottom w:val="single" w:sz="8" w:space="0" w:color="D9D9D9"/>
            </w:tcBorders>
            <w:shd w:val="clear" w:color="auto" w:fill="auto"/>
          </w:tcPr>
          <w:p w14:paraId="740D5A84" w14:textId="77777777" w:rsidR="00E03CDD" w:rsidRPr="00B25012" w:rsidRDefault="00E03CDD" w:rsidP="00B36DB8">
            <w:pPr>
              <w:pStyle w:val="Tableheading"/>
              <w:spacing w:line="216" w:lineRule="auto"/>
              <w:rPr>
                <w:color w:val="00707E" w:themeColor="accent5" w:themeShade="BF"/>
                <w:sz w:val="18"/>
                <w:szCs w:val="18"/>
              </w:rPr>
            </w:pPr>
            <w:r w:rsidRPr="00B25012">
              <w:rPr>
                <w:color w:val="00707E" w:themeColor="accent5" w:themeShade="BF"/>
                <w:sz w:val="18"/>
                <w:szCs w:val="18"/>
              </w:rPr>
              <w:t>Key area of change</w:t>
            </w:r>
          </w:p>
        </w:tc>
        <w:tc>
          <w:tcPr>
            <w:tcW w:w="3774" w:type="pct"/>
            <w:tcBorders>
              <w:top w:val="single" w:sz="24" w:space="0" w:color="0097A9" w:themeColor="accent5"/>
              <w:bottom w:val="single" w:sz="8" w:space="0" w:color="D9D9D9"/>
            </w:tcBorders>
          </w:tcPr>
          <w:p w14:paraId="3F56694C" w14:textId="77777777" w:rsidR="00E03CDD" w:rsidRPr="00B25012" w:rsidRDefault="00E03CDD" w:rsidP="00B36DB8">
            <w:pPr>
              <w:pStyle w:val="Tableheading"/>
              <w:spacing w:line="216" w:lineRule="auto"/>
              <w:rPr>
                <w:color w:val="00707E" w:themeColor="accent5" w:themeShade="BF"/>
                <w:sz w:val="18"/>
                <w:szCs w:val="18"/>
              </w:rPr>
            </w:pPr>
            <w:r w:rsidRPr="00B25012">
              <w:rPr>
                <w:color w:val="00707E" w:themeColor="accent5" w:themeShade="BF"/>
                <w:sz w:val="18"/>
                <w:szCs w:val="18"/>
              </w:rPr>
              <w:t>Description of change</w:t>
            </w:r>
          </w:p>
        </w:tc>
        <w:tc>
          <w:tcPr>
            <w:tcW w:w="581" w:type="pct"/>
            <w:tcBorders>
              <w:top w:val="single" w:sz="24" w:space="0" w:color="0097A9" w:themeColor="accent5"/>
              <w:bottom w:val="single" w:sz="8" w:space="0" w:color="D9D9D9"/>
            </w:tcBorders>
          </w:tcPr>
          <w:p w14:paraId="71125F73" w14:textId="77777777" w:rsidR="00E03CDD" w:rsidRPr="00B25012" w:rsidRDefault="00E03CDD" w:rsidP="00B36DB8">
            <w:pPr>
              <w:pStyle w:val="Tableheading"/>
              <w:spacing w:line="216" w:lineRule="auto"/>
              <w:rPr>
                <w:color w:val="00707E" w:themeColor="accent5" w:themeShade="BF"/>
                <w:sz w:val="18"/>
                <w:szCs w:val="18"/>
              </w:rPr>
            </w:pPr>
            <w:r w:rsidRPr="00B25012">
              <w:rPr>
                <w:color w:val="00707E" w:themeColor="accent5" w:themeShade="BF"/>
                <w:sz w:val="18"/>
                <w:szCs w:val="18"/>
              </w:rPr>
              <w:t>NHRA reference</w:t>
            </w:r>
          </w:p>
        </w:tc>
      </w:tr>
      <w:tr w:rsidR="00E03CDD" w:rsidRPr="00185E1D" w14:paraId="35F6887E" w14:textId="77777777" w:rsidTr="00775D12">
        <w:trPr>
          <w:trHeight w:val="745"/>
        </w:trPr>
        <w:tc>
          <w:tcPr>
            <w:tcW w:w="645" w:type="pct"/>
            <w:tcBorders>
              <w:top w:val="single" w:sz="8" w:space="0" w:color="D9D9D9"/>
              <w:left w:val="nil"/>
              <w:bottom w:val="single" w:sz="8" w:space="0" w:color="D9D9D9"/>
              <w:right w:val="nil"/>
            </w:tcBorders>
            <w:shd w:val="clear" w:color="auto" w:fill="auto"/>
          </w:tcPr>
          <w:p w14:paraId="27BF34B1" w14:textId="77777777" w:rsidR="00E03CDD" w:rsidRPr="00185E1D" w:rsidRDefault="00E03CDD" w:rsidP="00B36DB8">
            <w:pPr>
              <w:pStyle w:val="TabletextLeft"/>
              <w:spacing w:line="216" w:lineRule="auto"/>
              <w:rPr>
                <w:b/>
                <w:bCs/>
                <w:sz w:val="18"/>
                <w:szCs w:val="18"/>
              </w:rPr>
            </w:pPr>
            <w:r w:rsidRPr="00185E1D">
              <w:rPr>
                <w:b/>
                <w:bCs/>
                <w:sz w:val="18"/>
                <w:szCs w:val="18"/>
              </w:rPr>
              <w:t>Equitable access to highly specialised therapies</w:t>
            </w:r>
          </w:p>
        </w:tc>
        <w:tc>
          <w:tcPr>
            <w:tcW w:w="3774" w:type="pct"/>
            <w:tcBorders>
              <w:top w:val="single" w:sz="8" w:space="0" w:color="D9D9D9"/>
              <w:left w:val="nil"/>
              <w:bottom w:val="single" w:sz="8" w:space="0" w:color="D9D9D9"/>
              <w:right w:val="nil"/>
            </w:tcBorders>
            <w:shd w:val="clear" w:color="auto" w:fill="auto"/>
          </w:tcPr>
          <w:p w14:paraId="6D553779" w14:textId="77777777" w:rsidR="00E03CDD" w:rsidRPr="00185E1D" w:rsidRDefault="00E03CDD" w:rsidP="00B36DB8">
            <w:pPr>
              <w:pStyle w:val="TabletextLeft"/>
              <w:spacing w:line="216" w:lineRule="auto"/>
              <w:rPr>
                <w:sz w:val="18"/>
                <w:szCs w:val="18"/>
              </w:rPr>
            </w:pPr>
            <w:r w:rsidRPr="00185E1D">
              <w:rPr>
                <w:sz w:val="18"/>
                <w:szCs w:val="18"/>
              </w:rPr>
              <w:t>Strengthens funding arrangements to ensure Australians with some of the rarest conditions have access to new, lifesaving highly specialised therapies in public hospitals.</w:t>
            </w:r>
            <w:r>
              <w:rPr>
                <w:sz w:val="18"/>
                <w:szCs w:val="18"/>
              </w:rPr>
              <w:t xml:space="preserve"> </w:t>
            </w:r>
            <w:r w:rsidRPr="00185E1D">
              <w:rPr>
                <w:sz w:val="18"/>
                <w:szCs w:val="18"/>
              </w:rPr>
              <w:t>This include</w:t>
            </w:r>
            <w:r>
              <w:rPr>
                <w:sz w:val="18"/>
                <w:szCs w:val="18"/>
              </w:rPr>
              <w:t>s</w:t>
            </w:r>
            <w:r w:rsidRPr="00185E1D">
              <w:rPr>
                <w:sz w:val="18"/>
                <w:szCs w:val="18"/>
              </w:rPr>
              <w:t xml:space="preserve">: </w:t>
            </w:r>
          </w:p>
          <w:p w14:paraId="793E209A" w14:textId="62F00201" w:rsidR="00E03CDD" w:rsidRPr="00185E1D" w:rsidRDefault="00E03CDD" w:rsidP="00A850C3">
            <w:pPr>
              <w:pStyle w:val="TabletextLeft"/>
              <w:numPr>
                <w:ilvl w:val="3"/>
                <w:numId w:val="27"/>
              </w:numPr>
              <w:spacing w:line="216" w:lineRule="auto"/>
              <w:ind w:left="432" w:hanging="284"/>
              <w:rPr>
                <w:sz w:val="18"/>
                <w:szCs w:val="18"/>
              </w:rPr>
            </w:pPr>
            <w:r w:rsidRPr="00185E1D">
              <w:rPr>
                <w:sz w:val="18"/>
                <w:szCs w:val="18"/>
              </w:rPr>
              <w:t>Equal sharing of costs between the Commonwealth</w:t>
            </w:r>
            <w:r w:rsidR="00050D37">
              <w:rPr>
                <w:sz w:val="18"/>
                <w:szCs w:val="18"/>
              </w:rPr>
              <w:t>,</w:t>
            </w:r>
            <w:r w:rsidRPr="00185E1D">
              <w:rPr>
                <w:sz w:val="18"/>
                <w:szCs w:val="18"/>
              </w:rPr>
              <w:t xml:space="preserve"> States</w:t>
            </w:r>
            <w:r w:rsidR="00050D37">
              <w:rPr>
                <w:sz w:val="18"/>
                <w:szCs w:val="18"/>
              </w:rPr>
              <w:t xml:space="preserve"> and </w:t>
            </w:r>
            <w:r w:rsidRPr="00185E1D">
              <w:rPr>
                <w:sz w:val="18"/>
                <w:szCs w:val="18"/>
              </w:rPr>
              <w:t>Territories for high costs therapies (which exceed $200,000 per patient)</w:t>
            </w:r>
            <w:r>
              <w:rPr>
                <w:sz w:val="18"/>
                <w:szCs w:val="18"/>
              </w:rPr>
              <w:t>.</w:t>
            </w:r>
            <w:r w:rsidRPr="00185E1D">
              <w:rPr>
                <w:sz w:val="18"/>
                <w:szCs w:val="18"/>
              </w:rPr>
              <w:t xml:space="preserve"> </w:t>
            </w:r>
          </w:p>
          <w:p w14:paraId="5F75B9B1" w14:textId="77777777" w:rsidR="00E03CDD" w:rsidRPr="00185E1D" w:rsidRDefault="00E03CDD" w:rsidP="00A850C3">
            <w:pPr>
              <w:pStyle w:val="TabletextLeft"/>
              <w:numPr>
                <w:ilvl w:val="3"/>
                <w:numId w:val="27"/>
              </w:numPr>
              <w:spacing w:line="216" w:lineRule="auto"/>
              <w:ind w:left="432" w:hanging="284"/>
              <w:rPr>
                <w:sz w:val="18"/>
                <w:szCs w:val="18"/>
              </w:rPr>
            </w:pPr>
            <w:r w:rsidRPr="00185E1D">
              <w:rPr>
                <w:sz w:val="18"/>
                <w:szCs w:val="18"/>
              </w:rPr>
              <w:t xml:space="preserve">Greater transparency and improved consultation processes so all jurisdictions can engage and be informed in the Medical Services Advisory Committee (MSAC) decision making process, which recommends new high cost treatments that are suitable for delivery in public hospitals. </w:t>
            </w:r>
          </w:p>
        </w:tc>
        <w:tc>
          <w:tcPr>
            <w:tcW w:w="581" w:type="pct"/>
            <w:tcBorders>
              <w:top w:val="single" w:sz="8" w:space="0" w:color="D9D9D9"/>
              <w:left w:val="nil"/>
              <w:bottom w:val="single" w:sz="8" w:space="0" w:color="D9D9D9"/>
              <w:right w:val="nil"/>
            </w:tcBorders>
            <w:shd w:val="clear" w:color="auto" w:fill="auto"/>
          </w:tcPr>
          <w:p w14:paraId="42619DFB" w14:textId="77777777" w:rsidR="00E03CDD" w:rsidRPr="00185E1D" w:rsidRDefault="00E03CDD" w:rsidP="00B36DB8">
            <w:pPr>
              <w:pStyle w:val="TabletextLeft"/>
              <w:spacing w:line="216" w:lineRule="auto"/>
              <w:rPr>
                <w:sz w:val="18"/>
                <w:szCs w:val="18"/>
              </w:rPr>
            </w:pPr>
            <w:r w:rsidRPr="00185E1D">
              <w:rPr>
                <w:sz w:val="18"/>
                <w:szCs w:val="18"/>
              </w:rPr>
              <w:t>C11-C12, Appendix B</w:t>
            </w:r>
          </w:p>
        </w:tc>
      </w:tr>
      <w:tr w:rsidR="00E03CDD" w:rsidRPr="00185E1D" w14:paraId="5CD44E4B" w14:textId="77777777" w:rsidTr="00775D12">
        <w:tc>
          <w:tcPr>
            <w:tcW w:w="645" w:type="pct"/>
            <w:tcBorders>
              <w:top w:val="single" w:sz="8" w:space="0" w:color="D9D9D9"/>
              <w:left w:val="nil"/>
              <w:bottom w:val="single" w:sz="8" w:space="0" w:color="D9D9D9"/>
              <w:right w:val="nil"/>
            </w:tcBorders>
            <w:shd w:val="clear" w:color="auto" w:fill="auto"/>
          </w:tcPr>
          <w:p w14:paraId="4DDF093D" w14:textId="77777777" w:rsidR="00E03CDD" w:rsidRPr="00185E1D" w:rsidRDefault="00E03CDD" w:rsidP="00B36DB8">
            <w:pPr>
              <w:pStyle w:val="TabletextLeft"/>
              <w:spacing w:line="216" w:lineRule="auto"/>
              <w:rPr>
                <w:b/>
                <w:bCs/>
                <w:sz w:val="18"/>
                <w:szCs w:val="18"/>
              </w:rPr>
            </w:pPr>
            <w:r w:rsidRPr="00185E1D">
              <w:rPr>
                <w:b/>
                <w:bCs/>
                <w:sz w:val="18"/>
                <w:szCs w:val="18"/>
              </w:rPr>
              <w:t>Private patients in public hospitals</w:t>
            </w:r>
          </w:p>
        </w:tc>
        <w:tc>
          <w:tcPr>
            <w:tcW w:w="3774" w:type="pct"/>
            <w:tcBorders>
              <w:top w:val="single" w:sz="8" w:space="0" w:color="D9D9D9"/>
              <w:left w:val="nil"/>
              <w:bottom w:val="single" w:sz="8" w:space="0" w:color="D9D9D9"/>
              <w:right w:val="nil"/>
            </w:tcBorders>
            <w:shd w:val="clear" w:color="auto" w:fill="auto"/>
          </w:tcPr>
          <w:p w14:paraId="00723D3C" w14:textId="77777777" w:rsidR="00E03CDD" w:rsidRPr="00185E1D" w:rsidRDefault="00E03CDD" w:rsidP="00B36DB8">
            <w:pPr>
              <w:pStyle w:val="TabletextLeft"/>
              <w:spacing w:line="216" w:lineRule="auto"/>
              <w:rPr>
                <w:sz w:val="18"/>
                <w:szCs w:val="18"/>
              </w:rPr>
            </w:pPr>
            <w:r w:rsidRPr="00185E1D">
              <w:rPr>
                <w:sz w:val="18"/>
                <w:szCs w:val="18"/>
              </w:rPr>
              <w:t xml:space="preserve">All Governments agreed to the principle that their funding models will be financially neutral, regardless of whether a patient elects to be private or public in a public hospital. </w:t>
            </w:r>
          </w:p>
        </w:tc>
        <w:tc>
          <w:tcPr>
            <w:tcW w:w="581" w:type="pct"/>
            <w:tcBorders>
              <w:top w:val="single" w:sz="8" w:space="0" w:color="D9D9D9"/>
              <w:left w:val="nil"/>
              <w:bottom w:val="single" w:sz="8" w:space="0" w:color="D9D9D9"/>
              <w:right w:val="nil"/>
            </w:tcBorders>
            <w:shd w:val="clear" w:color="auto" w:fill="auto"/>
          </w:tcPr>
          <w:p w14:paraId="39A3D2A1" w14:textId="77777777" w:rsidR="00E03CDD" w:rsidRPr="00185E1D" w:rsidRDefault="00E03CDD" w:rsidP="00B36DB8">
            <w:pPr>
              <w:pStyle w:val="TabletextLeft"/>
              <w:spacing w:line="216" w:lineRule="auto"/>
              <w:rPr>
                <w:sz w:val="18"/>
                <w:szCs w:val="18"/>
              </w:rPr>
            </w:pPr>
            <w:r w:rsidRPr="00185E1D">
              <w:rPr>
                <w:sz w:val="18"/>
                <w:szCs w:val="18"/>
              </w:rPr>
              <w:t>A13, A43-A44</w:t>
            </w:r>
          </w:p>
        </w:tc>
      </w:tr>
      <w:tr w:rsidR="00E03CDD" w:rsidRPr="00185E1D" w14:paraId="4FC9B660" w14:textId="77777777" w:rsidTr="00775D12">
        <w:tc>
          <w:tcPr>
            <w:tcW w:w="645" w:type="pct"/>
            <w:tcBorders>
              <w:top w:val="single" w:sz="8" w:space="0" w:color="D9D9D9"/>
              <w:left w:val="nil"/>
              <w:bottom w:val="single" w:sz="8" w:space="0" w:color="D9D9D9"/>
              <w:right w:val="nil"/>
            </w:tcBorders>
            <w:shd w:val="clear" w:color="auto" w:fill="auto"/>
          </w:tcPr>
          <w:p w14:paraId="57CC7673" w14:textId="77777777" w:rsidR="00E03CDD" w:rsidRPr="00185E1D" w:rsidRDefault="00E03CDD" w:rsidP="00B36DB8">
            <w:pPr>
              <w:pStyle w:val="TabletextLeft"/>
              <w:spacing w:line="216" w:lineRule="auto"/>
              <w:rPr>
                <w:b/>
                <w:bCs/>
                <w:sz w:val="18"/>
                <w:szCs w:val="18"/>
              </w:rPr>
            </w:pPr>
            <w:r w:rsidRPr="00185E1D">
              <w:rPr>
                <w:b/>
                <w:bCs/>
                <w:sz w:val="18"/>
                <w:szCs w:val="18"/>
              </w:rPr>
              <w:t>Compliance</w:t>
            </w:r>
          </w:p>
        </w:tc>
        <w:tc>
          <w:tcPr>
            <w:tcW w:w="3774" w:type="pct"/>
            <w:tcBorders>
              <w:top w:val="single" w:sz="8" w:space="0" w:color="D9D9D9"/>
              <w:left w:val="nil"/>
              <w:bottom w:val="single" w:sz="8" w:space="0" w:color="D9D9D9"/>
              <w:right w:val="nil"/>
            </w:tcBorders>
            <w:shd w:val="clear" w:color="auto" w:fill="auto"/>
          </w:tcPr>
          <w:p w14:paraId="59E9067F" w14:textId="0E2FA8C6" w:rsidR="00E03CDD" w:rsidRPr="00185E1D" w:rsidRDefault="00E03CDD" w:rsidP="00B36DB8">
            <w:pPr>
              <w:pStyle w:val="TabletextLeft"/>
              <w:spacing w:line="216" w:lineRule="auto"/>
              <w:rPr>
                <w:sz w:val="18"/>
                <w:szCs w:val="18"/>
              </w:rPr>
            </w:pPr>
            <w:r w:rsidRPr="00185E1D">
              <w:rPr>
                <w:sz w:val="18"/>
                <w:szCs w:val="18"/>
              </w:rPr>
              <w:t>States</w:t>
            </w:r>
            <w:r w:rsidR="00050D37">
              <w:rPr>
                <w:sz w:val="18"/>
                <w:szCs w:val="18"/>
              </w:rPr>
              <w:t xml:space="preserve"> and </w:t>
            </w:r>
            <w:r w:rsidRPr="00185E1D">
              <w:rPr>
                <w:sz w:val="18"/>
                <w:szCs w:val="18"/>
              </w:rPr>
              <w:t>Territories agreed to improved collection, sharing and matching of data to ensure the Australian Government pays appropriately for services. If data matching validates that hospital activity has been paid for twice, the Administrator can provide the information required for the Commonwealth to recover these amounts, or for the States</w:t>
            </w:r>
            <w:r w:rsidR="00050D37">
              <w:rPr>
                <w:sz w:val="18"/>
                <w:szCs w:val="18"/>
              </w:rPr>
              <w:t xml:space="preserve"> and </w:t>
            </w:r>
            <w:r w:rsidRPr="00185E1D">
              <w:rPr>
                <w:sz w:val="18"/>
                <w:szCs w:val="18"/>
              </w:rPr>
              <w:t>Territories to repay the owed amounts.</w:t>
            </w:r>
          </w:p>
        </w:tc>
        <w:tc>
          <w:tcPr>
            <w:tcW w:w="581" w:type="pct"/>
            <w:tcBorders>
              <w:top w:val="single" w:sz="8" w:space="0" w:color="D9D9D9"/>
              <w:left w:val="nil"/>
              <w:bottom w:val="single" w:sz="8" w:space="0" w:color="D9D9D9"/>
              <w:right w:val="nil"/>
            </w:tcBorders>
            <w:shd w:val="clear" w:color="auto" w:fill="auto"/>
          </w:tcPr>
          <w:p w14:paraId="5BAB257B" w14:textId="77777777" w:rsidR="00E03CDD" w:rsidRPr="00185E1D" w:rsidRDefault="00E03CDD" w:rsidP="00B36DB8">
            <w:pPr>
              <w:pStyle w:val="TabletextLeft"/>
              <w:spacing w:line="216" w:lineRule="auto"/>
              <w:rPr>
                <w:sz w:val="18"/>
                <w:szCs w:val="18"/>
              </w:rPr>
            </w:pPr>
            <w:r w:rsidRPr="00185E1D">
              <w:rPr>
                <w:sz w:val="18"/>
                <w:szCs w:val="18"/>
              </w:rPr>
              <w:t>A11-A12, B75</w:t>
            </w:r>
          </w:p>
        </w:tc>
      </w:tr>
      <w:tr w:rsidR="00E03CDD" w:rsidRPr="00185E1D" w14:paraId="1DA823FE" w14:textId="77777777" w:rsidTr="00775D12">
        <w:tc>
          <w:tcPr>
            <w:tcW w:w="645" w:type="pct"/>
            <w:tcBorders>
              <w:top w:val="single" w:sz="8" w:space="0" w:color="D9D9D9"/>
              <w:left w:val="nil"/>
              <w:bottom w:val="single" w:sz="8" w:space="0" w:color="D9D9D9"/>
              <w:right w:val="nil"/>
            </w:tcBorders>
            <w:shd w:val="clear" w:color="auto" w:fill="auto"/>
          </w:tcPr>
          <w:p w14:paraId="086660C9" w14:textId="77777777" w:rsidR="00E03CDD" w:rsidRPr="00185E1D" w:rsidRDefault="00E03CDD" w:rsidP="00B36DB8">
            <w:pPr>
              <w:pStyle w:val="TabletextLeft"/>
              <w:spacing w:line="216" w:lineRule="auto"/>
              <w:rPr>
                <w:b/>
                <w:bCs/>
                <w:sz w:val="18"/>
                <w:szCs w:val="18"/>
              </w:rPr>
            </w:pPr>
            <w:r w:rsidRPr="00185E1D">
              <w:rPr>
                <w:b/>
                <w:bCs/>
                <w:sz w:val="18"/>
                <w:szCs w:val="18"/>
              </w:rPr>
              <w:t>Role of national bodies</w:t>
            </w:r>
          </w:p>
        </w:tc>
        <w:tc>
          <w:tcPr>
            <w:tcW w:w="3774" w:type="pct"/>
            <w:tcBorders>
              <w:top w:val="single" w:sz="8" w:space="0" w:color="D9D9D9"/>
              <w:left w:val="nil"/>
              <w:bottom w:val="single" w:sz="8" w:space="0" w:color="D9D9D9"/>
              <w:right w:val="nil"/>
            </w:tcBorders>
            <w:shd w:val="clear" w:color="auto" w:fill="auto"/>
          </w:tcPr>
          <w:p w14:paraId="24FB62B4" w14:textId="6F0ED322" w:rsidR="00E03CDD" w:rsidRPr="00185E1D" w:rsidRDefault="00E03CDD" w:rsidP="00B36DB8">
            <w:pPr>
              <w:pStyle w:val="TabletextLeft"/>
              <w:spacing w:line="216" w:lineRule="auto"/>
              <w:rPr>
                <w:sz w:val="18"/>
                <w:szCs w:val="18"/>
              </w:rPr>
            </w:pPr>
            <w:r w:rsidRPr="00185E1D">
              <w:rPr>
                <w:sz w:val="18"/>
                <w:szCs w:val="18"/>
              </w:rPr>
              <w:t>Provides increased clarity on the processes for national bodies to follow in ensuring consultation and consideration of all Parties’ views with respect to changes in the funding system. Also includes a new section on the functions of AIHW in relation to implementing the NHRA.</w:t>
            </w:r>
          </w:p>
        </w:tc>
        <w:tc>
          <w:tcPr>
            <w:tcW w:w="581" w:type="pct"/>
            <w:tcBorders>
              <w:top w:val="single" w:sz="8" w:space="0" w:color="D9D9D9"/>
              <w:left w:val="nil"/>
              <w:bottom w:val="single" w:sz="8" w:space="0" w:color="D9D9D9"/>
              <w:right w:val="nil"/>
            </w:tcBorders>
            <w:shd w:val="clear" w:color="auto" w:fill="auto"/>
          </w:tcPr>
          <w:p w14:paraId="5B065999" w14:textId="77777777" w:rsidR="00E03CDD" w:rsidRPr="00185E1D" w:rsidRDefault="00E03CDD" w:rsidP="00B36DB8">
            <w:pPr>
              <w:pStyle w:val="TabletextLeft"/>
              <w:spacing w:line="216" w:lineRule="auto"/>
              <w:rPr>
                <w:sz w:val="18"/>
                <w:szCs w:val="18"/>
              </w:rPr>
            </w:pPr>
            <w:r w:rsidRPr="00185E1D">
              <w:rPr>
                <w:sz w:val="18"/>
                <w:szCs w:val="18"/>
              </w:rPr>
              <w:t>Schedule B</w:t>
            </w:r>
          </w:p>
        </w:tc>
      </w:tr>
      <w:tr w:rsidR="00E03CDD" w:rsidRPr="00185E1D" w14:paraId="2B946C20" w14:textId="77777777" w:rsidTr="00775D12">
        <w:tc>
          <w:tcPr>
            <w:tcW w:w="645" w:type="pct"/>
            <w:tcBorders>
              <w:top w:val="single" w:sz="8" w:space="0" w:color="D9D9D9"/>
              <w:left w:val="nil"/>
              <w:bottom w:val="single" w:sz="8" w:space="0" w:color="D9D9D9"/>
              <w:right w:val="nil"/>
            </w:tcBorders>
            <w:shd w:val="clear" w:color="auto" w:fill="auto"/>
          </w:tcPr>
          <w:p w14:paraId="56797FD8" w14:textId="77777777" w:rsidR="00E03CDD" w:rsidRPr="00185E1D" w:rsidRDefault="00E03CDD" w:rsidP="00B36DB8">
            <w:pPr>
              <w:pStyle w:val="TabletextLeft"/>
              <w:spacing w:line="216" w:lineRule="auto"/>
              <w:rPr>
                <w:b/>
                <w:bCs/>
                <w:sz w:val="18"/>
                <w:szCs w:val="18"/>
              </w:rPr>
            </w:pPr>
            <w:r w:rsidRPr="00185E1D">
              <w:rPr>
                <w:b/>
                <w:bCs/>
                <w:sz w:val="18"/>
                <w:szCs w:val="18"/>
              </w:rPr>
              <w:t>Long-term health reforms</w:t>
            </w:r>
          </w:p>
        </w:tc>
        <w:tc>
          <w:tcPr>
            <w:tcW w:w="3774" w:type="pct"/>
            <w:tcBorders>
              <w:top w:val="single" w:sz="8" w:space="0" w:color="D9D9D9"/>
              <w:left w:val="nil"/>
              <w:bottom w:val="single" w:sz="8" w:space="0" w:color="D9D9D9"/>
              <w:right w:val="nil"/>
            </w:tcBorders>
            <w:shd w:val="clear" w:color="auto" w:fill="auto"/>
          </w:tcPr>
          <w:p w14:paraId="0AC9CE31" w14:textId="0323AE76" w:rsidR="00E03CDD" w:rsidRPr="00185E1D" w:rsidRDefault="00E03CDD" w:rsidP="00B36DB8">
            <w:pPr>
              <w:pStyle w:val="TabletextLeft"/>
              <w:spacing w:line="216" w:lineRule="auto"/>
              <w:rPr>
                <w:sz w:val="18"/>
                <w:szCs w:val="18"/>
              </w:rPr>
            </w:pPr>
            <w:r w:rsidRPr="00185E1D">
              <w:rPr>
                <w:sz w:val="18"/>
                <w:szCs w:val="18"/>
              </w:rPr>
              <w:t xml:space="preserve">All Governments committed to working together on long-term system-wide reforms, which aim to provide person-centred care in the most appropriate setting, reduce avoidable hospitalisations, and improve system sustainability. The six </w:t>
            </w:r>
            <w:r>
              <w:rPr>
                <w:sz w:val="18"/>
                <w:szCs w:val="18"/>
              </w:rPr>
              <w:t>LTRs</w:t>
            </w:r>
            <w:r w:rsidRPr="00185E1D">
              <w:rPr>
                <w:sz w:val="18"/>
                <w:szCs w:val="18"/>
              </w:rPr>
              <w:t xml:space="preserve"> are identified in section </w:t>
            </w:r>
            <w:r w:rsidRPr="00185E1D">
              <w:rPr>
                <w:sz w:val="18"/>
                <w:szCs w:val="18"/>
              </w:rPr>
              <w:fldChar w:fldCharType="begin" w:fldLock="1"/>
            </w:r>
            <w:r w:rsidRPr="00185E1D">
              <w:rPr>
                <w:sz w:val="18"/>
                <w:szCs w:val="18"/>
              </w:rPr>
              <w:instrText xml:space="preserve"> REF _Ref144113173 \w \h </w:instrText>
            </w:r>
            <w:r>
              <w:rPr>
                <w:sz w:val="18"/>
                <w:szCs w:val="18"/>
              </w:rPr>
              <w:instrText xml:space="preserve"> \* MERGEFORMAT </w:instrText>
            </w:r>
            <w:r w:rsidRPr="00185E1D">
              <w:rPr>
                <w:sz w:val="18"/>
                <w:szCs w:val="18"/>
              </w:rPr>
            </w:r>
            <w:r w:rsidRPr="00185E1D">
              <w:rPr>
                <w:sz w:val="18"/>
                <w:szCs w:val="18"/>
              </w:rPr>
              <w:fldChar w:fldCharType="separate"/>
            </w:r>
            <w:r w:rsidR="00FA10A4">
              <w:rPr>
                <w:sz w:val="18"/>
                <w:szCs w:val="18"/>
              </w:rPr>
              <w:t>2.1</w:t>
            </w:r>
            <w:r w:rsidRPr="00185E1D">
              <w:rPr>
                <w:sz w:val="18"/>
                <w:szCs w:val="18"/>
              </w:rPr>
              <w:fldChar w:fldCharType="end"/>
            </w:r>
            <w:r w:rsidRPr="00185E1D">
              <w:rPr>
                <w:sz w:val="18"/>
                <w:szCs w:val="18"/>
              </w:rPr>
              <w:t xml:space="preserve">. This </w:t>
            </w:r>
            <w:r>
              <w:rPr>
                <w:sz w:val="18"/>
                <w:szCs w:val="18"/>
              </w:rPr>
              <w:t>includes</w:t>
            </w:r>
            <w:r w:rsidRPr="00185E1D">
              <w:rPr>
                <w:sz w:val="18"/>
                <w:szCs w:val="18"/>
              </w:rPr>
              <w:t>:</w:t>
            </w:r>
          </w:p>
          <w:p w14:paraId="7AF7EF23" w14:textId="77777777" w:rsidR="00E03CDD" w:rsidRPr="00185E1D" w:rsidRDefault="00E03CDD" w:rsidP="00A850C3">
            <w:pPr>
              <w:pStyle w:val="TabletextLeft"/>
              <w:numPr>
                <w:ilvl w:val="3"/>
                <w:numId w:val="27"/>
              </w:numPr>
              <w:spacing w:line="216" w:lineRule="auto"/>
              <w:ind w:left="432" w:hanging="284"/>
              <w:rPr>
                <w:sz w:val="18"/>
                <w:szCs w:val="18"/>
              </w:rPr>
            </w:pPr>
            <w:r w:rsidRPr="00185E1D">
              <w:rPr>
                <w:sz w:val="18"/>
                <w:szCs w:val="18"/>
              </w:rPr>
              <w:t xml:space="preserve">Governments </w:t>
            </w:r>
            <w:r>
              <w:rPr>
                <w:sz w:val="18"/>
                <w:szCs w:val="18"/>
              </w:rPr>
              <w:t xml:space="preserve">being </w:t>
            </w:r>
            <w:r w:rsidRPr="00185E1D">
              <w:rPr>
                <w:sz w:val="18"/>
                <w:szCs w:val="18"/>
              </w:rPr>
              <w:t xml:space="preserve">supported to trial, evaluate, and refine different models of care at increasing levels of ambition. </w:t>
            </w:r>
          </w:p>
          <w:p w14:paraId="149DFA8B" w14:textId="1E37E8F9" w:rsidR="00E03CDD" w:rsidRPr="00185E1D" w:rsidRDefault="00E03CDD" w:rsidP="00A850C3">
            <w:pPr>
              <w:pStyle w:val="TabletextLeft"/>
              <w:numPr>
                <w:ilvl w:val="3"/>
                <w:numId w:val="27"/>
              </w:numPr>
              <w:spacing w:line="216" w:lineRule="auto"/>
              <w:ind w:left="432" w:hanging="284"/>
              <w:rPr>
                <w:sz w:val="18"/>
                <w:szCs w:val="18"/>
              </w:rPr>
            </w:pPr>
            <w:r w:rsidRPr="00185E1D">
              <w:rPr>
                <w:sz w:val="18"/>
                <w:szCs w:val="18"/>
              </w:rPr>
              <w:t>States</w:t>
            </w:r>
            <w:r w:rsidR="00050D37">
              <w:rPr>
                <w:sz w:val="18"/>
                <w:szCs w:val="18"/>
              </w:rPr>
              <w:t xml:space="preserve"> and </w:t>
            </w:r>
            <w:r w:rsidRPr="00185E1D">
              <w:rPr>
                <w:sz w:val="18"/>
                <w:szCs w:val="18"/>
              </w:rPr>
              <w:t xml:space="preserve">Territories encouraged to identify opportunities to scale-up initiatives where appropriate for implementation on a broader scale. </w:t>
            </w:r>
          </w:p>
          <w:p w14:paraId="0BA15E79" w14:textId="77777777" w:rsidR="00E03CDD" w:rsidRPr="00185E1D" w:rsidRDefault="00E03CDD" w:rsidP="00A850C3">
            <w:pPr>
              <w:pStyle w:val="TabletextLeft"/>
              <w:numPr>
                <w:ilvl w:val="3"/>
                <w:numId w:val="27"/>
              </w:numPr>
              <w:spacing w:line="216" w:lineRule="auto"/>
              <w:ind w:left="432" w:hanging="284"/>
              <w:rPr>
                <w:sz w:val="18"/>
                <w:szCs w:val="18"/>
              </w:rPr>
            </w:pPr>
            <w:r w:rsidRPr="00185E1D">
              <w:rPr>
                <w:sz w:val="18"/>
                <w:szCs w:val="18"/>
              </w:rPr>
              <w:t xml:space="preserve">Collaboration between </w:t>
            </w:r>
            <w:r>
              <w:rPr>
                <w:sz w:val="18"/>
                <w:szCs w:val="18"/>
              </w:rPr>
              <w:t>G</w:t>
            </w:r>
            <w:r w:rsidRPr="00185E1D">
              <w:rPr>
                <w:sz w:val="18"/>
                <w:szCs w:val="18"/>
              </w:rPr>
              <w:t xml:space="preserve">overnments to agree what works and </w:t>
            </w:r>
            <w:r>
              <w:rPr>
                <w:sz w:val="18"/>
                <w:szCs w:val="18"/>
              </w:rPr>
              <w:t>identify how</w:t>
            </w:r>
            <w:r w:rsidRPr="00185E1D">
              <w:rPr>
                <w:sz w:val="18"/>
                <w:szCs w:val="18"/>
              </w:rPr>
              <w:t xml:space="preserve"> successful features </w:t>
            </w:r>
            <w:r>
              <w:rPr>
                <w:sz w:val="18"/>
                <w:szCs w:val="18"/>
              </w:rPr>
              <w:t xml:space="preserve">are incorporated </w:t>
            </w:r>
            <w:r w:rsidRPr="00185E1D">
              <w:rPr>
                <w:sz w:val="18"/>
                <w:szCs w:val="18"/>
              </w:rPr>
              <w:t xml:space="preserve">into the system as a whole (particularly around planning, funding arrangements and data collection/reporting). </w:t>
            </w:r>
          </w:p>
          <w:p w14:paraId="48B1EF5E" w14:textId="77777777" w:rsidR="00E03CDD" w:rsidRPr="00185E1D" w:rsidRDefault="00E03CDD" w:rsidP="00A850C3">
            <w:pPr>
              <w:pStyle w:val="TabletextLeft"/>
              <w:numPr>
                <w:ilvl w:val="3"/>
                <w:numId w:val="27"/>
              </w:numPr>
              <w:spacing w:line="216" w:lineRule="auto"/>
              <w:ind w:left="432" w:hanging="284"/>
              <w:rPr>
                <w:sz w:val="18"/>
                <w:szCs w:val="18"/>
              </w:rPr>
            </w:pPr>
            <w:r w:rsidRPr="00185E1D">
              <w:rPr>
                <w:sz w:val="18"/>
                <w:szCs w:val="18"/>
              </w:rPr>
              <w:t>Improvements in health data</w:t>
            </w:r>
            <w:r>
              <w:rPr>
                <w:sz w:val="18"/>
                <w:szCs w:val="18"/>
              </w:rPr>
              <w:t xml:space="preserve"> </w:t>
            </w:r>
            <w:r w:rsidRPr="00185E1D">
              <w:rPr>
                <w:sz w:val="18"/>
                <w:szCs w:val="18"/>
              </w:rPr>
              <w:t xml:space="preserve">and streamlined health technology assessment </w:t>
            </w:r>
            <w:r>
              <w:rPr>
                <w:sz w:val="18"/>
                <w:szCs w:val="18"/>
              </w:rPr>
              <w:t xml:space="preserve">(HTA) </w:t>
            </w:r>
            <w:r w:rsidRPr="00185E1D">
              <w:rPr>
                <w:sz w:val="18"/>
                <w:szCs w:val="18"/>
              </w:rPr>
              <w:t>processes.</w:t>
            </w:r>
          </w:p>
          <w:p w14:paraId="6D38D7D1" w14:textId="77777777" w:rsidR="00E03CDD" w:rsidRPr="00185E1D" w:rsidRDefault="00E03CDD" w:rsidP="00A850C3">
            <w:pPr>
              <w:pStyle w:val="TabletextLeft"/>
              <w:numPr>
                <w:ilvl w:val="3"/>
                <w:numId w:val="27"/>
              </w:numPr>
              <w:spacing w:line="216" w:lineRule="auto"/>
              <w:ind w:left="432" w:hanging="284"/>
              <w:rPr>
                <w:sz w:val="18"/>
                <w:szCs w:val="18"/>
              </w:rPr>
            </w:pPr>
            <w:r w:rsidRPr="00185E1D">
              <w:rPr>
                <w:sz w:val="18"/>
                <w:szCs w:val="18"/>
              </w:rPr>
              <w:t>Governments working with the health sector to better understand and remove systemic barriers to improving health care.</w:t>
            </w:r>
          </w:p>
        </w:tc>
        <w:tc>
          <w:tcPr>
            <w:tcW w:w="581" w:type="pct"/>
            <w:tcBorders>
              <w:top w:val="single" w:sz="8" w:space="0" w:color="D9D9D9"/>
              <w:left w:val="nil"/>
              <w:bottom w:val="single" w:sz="8" w:space="0" w:color="D9D9D9"/>
              <w:right w:val="nil"/>
            </w:tcBorders>
            <w:shd w:val="clear" w:color="auto" w:fill="auto"/>
          </w:tcPr>
          <w:p w14:paraId="38BC51A1" w14:textId="77777777" w:rsidR="00E03CDD" w:rsidRPr="00185E1D" w:rsidRDefault="00E03CDD" w:rsidP="00B36DB8">
            <w:pPr>
              <w:pStyle w:val="TabletextLeft"/>
              <w:spacing w:line="216" w:lineRule="auto"/>
              <w:rPr>
                <w:sz w:val="18"/>
                <w:szCs w:val="18"/>
              </w:rPr>
            </w:pPr>
            <w:r w:rsidRPr="00185E1D">
              <w:rPr>
                <w:sz w:val="18"/>
                <w:szCs w:val="18"/>
              </w:rPr>
              <w:t>Schedule C</w:t>
            </w:r>
          </w:p>
        </w:tc>
      </w:tr>
      <w:tr w:rsidR="00E03CDD" w:rsidRPr="00185E1D" w14:paraId="06C82DD7" w14:textId="77777777" w:rsidTr="00775D12">
        <w:tc>
          <w:tcPr>
            <w:tcW w:w="645" w:type="pct"/>
            <w:tcBorders>
              <w:top w:val="single" w:sz="8" w:space="0" w:color="D9D9D9"/>
              <w:left w:val="nil"/>
              <w:bottom w:val="single" w:sz="8" w:space="0" w:color="D9D9D9"/>
              <w:right w:val="nil"/>
            </w:tcBorders>
            <w:shd w:val="clear" w:color="auto" w:fill="auto"/>
          </w:tcPr>
          <w:p w14:paraId="7804CAE8" w14:textId="77777777" w:rsidR="00E03CDD" w:rsidRPr="00185E1D" w:rsidRDefault="00E03CDD" w:rsidP="00B36DB8">
            <w:pPr>
              <w:pStyle w:val="TabletextLeft"/>
              <w:spacing w:line="216" w:lineRule="auto"/>
              <w:rPr>
                <w:b/>
                <w:bCs/>
                <w:sz w:val="18"/>
                <w:szCs w:val="18"/>
              </w:rPr>
            </w:pPr>
            <w:r w:rsidRPr="00185E1D">
              <w:rPr>
                <w:b/>
                <w:bCs/>
                <w:sz w:val="18"/>
                <w:szCs w:val="18"/>
              </w:rPr>
              <w:t>Innovative models of care</w:t>
            </w:r>
          </w:p>
        </w:tc>
        <w:tc>
          <w:tcPr>
            <w:tcW w:w="3774" w:type="pct"/>
            <w:tcBorders>
              <w:top w:val="single" w:sz="8" w:space="0" w:color="D9D9D9"/>
              <w:left w:val="nil"/>
              <w:bottom w:val="single" w:sz="8" w:space="0" w:color="D9D9D9"/>
              <w:right w:val="nil"/>
            </w:tcBorders>
            <w:shd w:val="clear" w:color="auto" w:fill="auto"/>
          </w:tcPr>
          <w:p w14:paraId="6AE92AD4" w14:textId="77777777" w:rsidR="00E03CDD" w:rsidRPr="00185E1D" w:rsidRDefault="00E03CDD" w:rsidP="00B36DB8">
            <w:pPr>
              <w:pStyle w:val="TabletextLeft"/>
              <w:spacing w:line="216" w:lineRule="auto"/>
              <w:rPr>
                <w:sz w:val="18"/>
                <w:szCs w:val="18"/>
              </w:rPr>
            </w:pPr>
            <w:r w:rsidRPr="00185E1D">
              <w:rPr>
                <w:sz w:val="18"/>
                <w:szCs w:val="18"/>
              </w:rPr>
              <w:t>Enabled States and Territories to trial new models of care to improve the health of Australians, while reducing demand on hospitals. This supports the delivery of programs that provide care more flexibly, to give patients care where and when they need it.</w:t>
            </w:r>
          </w:p>
        </w:tc>
        <w:tc>
          <w:tcPr>
            <w:tcW w:w="581" w:type="pct"/>
            <w:tcBorders>
              <w:top w:val="single" w:sz="8" w:space="0" w:color="D9D9D9"/>
              <w:left w:val="nil"/>
              <w:bottom w:val="single" w:sz="8" w:space="0" w:color="D9D9D9"/>
              <w:right w:val="nil"/>
            </w:tcBorders>
            <w:shd w:val="clear" w:color="auto" w:fill="auto"/>
          </w:tcPr>
          <w:p w14:paraId="0E1CED4C" w14:textId="77777777" w:rsidR="00E03CDD" w:rsidRPr="00185E1D" w:rsidRDefault="00E03CDD" w:rsidP="00B36DB8">
            <w:pPr>
              <w:pStyle w:val="TabletextLeft"/>
              <w:spacing w:line="216" w:lineRule="auto"/>
              <w:rPr>
                <w:sz w:val="18"/>
                <w:szCs w:val="18"/>
              </w:rPr>
            </w:pPr>
            <w:r w:rsidRPr="00185E1D">
              <w:rPr>
                <w:sz w:val="18"/>
                <w:szCs w:val="18"/>
              </w:rPr>
              <w:t>A96 –A101</w:t>
            </w:r>
          </w:p>
        </w:tc>
      </w:tr>
      <w:tr w:rsidR="00E03CDD" w:rsidRPr="00185E1D" w14:paraId="21498433" w14:textId="77777777" w:rsidTr="00775D12">
        <w:tc>
          <w:tcPr>
            <w:tcW w:w="645" w:type="pct"/>
            <w:tcBorders>
              <w:top w:val="single" w:sz="8" w:space="0" w:color="D9D9D9"/>
              <w:left w:val="nil"/>
              <w:bottom w:val="single" w:sz="8" w:space="0" w:color="D9D9D9"/>
              <w:right w:val="nil"/>
            </w:tcBorders>
            <w:shd w:val="clear" w:color="auto" w:fill="auto"/>
          </w:tcPr>
          <w:p w14:paraId="4893518B" w14:textId="0755E31C" w:rsidR="00E03CDD" w:rsidRPr="00185E1D" w:rsidRDefault="00FA2CB9" w:rsidP="00B36DB8">
            <w:pPr>
              <w:pStyle w:val="TabletextLeft"/>
              <w:spacing w:line="216" w:lineRule="auto"/>
              <w:rPr>
                <w:b/>
                <w:bCs/>
                <w:sz w:val="18"/>
                <w:szCs w:val="18"/>
              </w:rPr>
            </w:pPr>
            <w:r w:rsidRPr="00FA2CB9">
              <w:rPr>
                <w:b/>
                <w:bCs/>
                <w:sz w:val="18"/>
                <w:szCs w:val="18"/>
              </w:rPr>
              <w:t>Aboriginal and Torres Strait Islander</w:t>
            </w:r>
            <w:r w:rsidR="00E03CDD" w:rsidRPr="00185E1D">
              <w:rPr>
                <w:b/>
                <w:bCs/>
                <w:sz w:val="18"/>
                <w:szCs w:val="18"/>
              </w:rPr>
              <w:t xml:space="preserve"> peoples’ health outcomes</w:t>
            </w:r>
          </w:p>
        </w:tc>
        <w:tc>
          <w:tcPr>
            <w:tcW w:w="3774" w:type="pct"/>
            <w:tcBorders>
              <w:top w:val="single" w:sz="8" w:space="0" w:color="D9D9D9"/>
              <w:left w:val="nil"/>
              <w:bottom w:val="single" w:sz="8" w:space="0" w:color="D9D9D9"/>
              <w:right w:val="nil"/>
            </w:tcBorders>
            <w:shd w:val="clear" w:color="auto" w:fill="auto"/>
          </w:tcPr>
          <w:p w14:paraId="56AC236D" w14:textId="6C1F879B" w:rsidR="00E03CDD" w:rsidRPr="00185E1D" w:rsidRDefault="00E03CDD" w:rsidP="00B36DB8">
            <w:pPr>
              <w:pStyle w:val="TabletextLeft"/>
              <w:spacing w:line="216" w:lineRule="auto"/>
              <w:rPr>
                <w:sz w:val="18"/>
                <w:szCs w:val="18"/>
              </w:rPr>
            </w:pPr>
            <w:r w:rsidRPr="00185E1D">
              <w:rPr>
                <w:sz w:val="18"/>
                <w:szCs w:val="18"/>
              </w:rPr>
              <w:t xml:space="preserve">Includes specific reference to efforts that demonstrate the commitment of all </w:t>
            </w:r>
            <w:r>
              <w:rPr>
                <w:sz w:val="18"/>
                <w:szCs w:val="18"/>
              </w:rPr>
              <w:t>G</w:t>
            </w:r>
            <w:r w:rsidRPr="00185E1D">
              <w:rPr>
                <w:sz w:val="18"/>
                <w:szCs w:val="18"/>
              </w:rPr>
              <w:t xml:space="preserve">overnments to working with communities to closing the gap in disadvantage and life expectancy of </w:t>
            </w:r>
            <w:r w:rsidR="00FA2CB9" w:rsidRPr="00FA2CB9">
              <w:rPr>
                <w:sz w:val="18"/>
                <w:szCs w:val="18"/>
              </w:rPr>
              <w:t>Aboriginal and Torres Strait Islander</w:t>
            </w:r>
            <w:r w:rsidRPr="00185E1D">
              <w:rPr>
                <w:sz w:val="18"/>
                <w:szCs w:val="18"/>
              </w:rPr>
              <w:t xml:space="preserve"> peoples. This includes: </w:t>
            </w:r>
          </w:p>
          <w:p w14:paraId="24D7F5F3" w14:textId="3B299DDA" w:rsidR="00E03CDD" w:rsidRPr="00185E1D" w:rsidRDefault="00E03CDD" w:rsidP="00A850C3">
            <w:pPr>
              <w:pStyle w:val="TabletextLeft"/>
              <w:numPr>
                <w:ilvl w:val="3"/>
                <w:numId w:val="27"/>
              </w:numPr>
              <w:spacing w:line="216" w:lineRule="auto"/>
              <w:ind w:left="432" w:hanging="284"/>
              <w:rPr>
                <w:sz w:val="18"/>
                <w:szCs w:val="18"/>
              </w:rPr>
            </w:pPr>
            <w:r w:rsidRPr="00185E1D">
              <w:rPr>
                <w:sz w:val="18"/>
                <w:szCs w:val="18"/>
              </w:rPr>
              <w:t xml:space="preserve">Working in partnership with </w:t>
            </w:r>
            <w:r w:rsidR="00FA2CB9" w:rsidRPr="00FA2CB9">
              <w:rPr>
                <w:sz w:val="18"/>
                <w:szCs w:val="18"/>
              </w:rPr>
              <w:t>Aboriginal and Torres Strait Islander</w:t>
            </w:r>
            <w:r w:rsidRPr="00185E1D">
              <w:rPr>
                <w:sz w:val="18"/>
                <w:szCs w:val="18"/>
              </w:rPr>
              <w:t xml:space="preserve"> communities to co-design approaches tailored to their needs through a shared decision making approach, recognising and enabling </w:t>
            </w:r>
            <w:r w:rsidR="00FA2CB9" w:rsidRPr="00FA2CB9">
              <w:rPr>
                <w:sz w:val="18"/>
                <w:szCs w:val="18"/>
              </w:rPr>
              <w:t>Aboriginal and Torres Strait Islander</w:t>
            </w:r>
            <w:r w:rsidRPr="00185E1D">
              <w:rPr>
                <w:sz w:val="18"/>
                <w:szCs w:val="18"/>
              </w:rPr>
              <w:t xml:space="preserve"> leadership and local decision making processes.</w:t>
            </w:r>
          </w:p>
          <w:p w14:paraId="0C032D98" w14:textId="60F4AA5A" w:rsidR="00E03CDD" w:rsidRPr="00185E1D" w:rsidRDefault="00E03CDD" w:rsidP="00A850C3">
            <w:pPr>
              <w:pStyle w:val="TabletextLeft"/>
              <w:numPr>
                <w:ilvl w:val="3"/>
                <w:numId w:val="27"/>
              </w:numPr>
              <w:spacing w:line="216" w:lineRule="auto"/>
              <w:ind w:left="432" w:hanging="284"/>
              <w:rPr>
                <w:sz w:val="18"/>
                <w:szCs w:val="18"/>
              </w:rPr>
            </w:pPr>
            <w:r w:rsidRPr="00185E1D">
              <w:rPr>
                <w:sz w:val="18"/>
                <w:szCs w:val="18"/>
              </w:rPr>
              <w:t xml:space="preserve">Working in partnership with </w:t>
            </w:r>
            <w:r w:rsidR="00FA2CB9" w:rsidRPr="00FA2CB9">
              <w:rPr>
                <w:sz w:val="18"/>
                <w:szCs w:val="18"/>
              </w:rPr>
              <w:t>Aboriginal and Torres Strait Islander</w:t>
            </w:r>
            <w:r w:rsidRPr="00185E1D">
              <w:rPr>
                <w:sz w:val="18"/>
                <w:szCs w:val="18"/>
              </w:rPr>
              <w:t xml:space="preserve"> people to co-develop and co-deliver culturally safe and secure health services across the whole health system.</w:t>
            </w:r>
          </w:p>
          <w:p w14:paraId="70F8CA2D" w14:textId="6183078F" w:rsidR="00E03CDD" w:rsidRPr="00185E1D" w:rsidRDefault="00E03CDD" w:rsidP="00A850C3">
            <w:pPr>
              <w:pStyle w:val="TabletextLeft"/>
              <w:numPr>
                <w:ilvl w:val="3"/>
                <w:numId w:val="27"/>
              </w:numPr>
              <w:spacing w:line="216" w:lineRule="auto"/>
              <w:ind w:left="432" w:hanging="284"/>
              <w:rPr>
                <w:sz w:val="18"/>
                <w:szCs w:val="18"/>
              </w:rPr>
            </w:pPr>
            <w:r w:rsidRPr="00185E1D">
              <w:rPr>
                <w:sz w:val="18"/>
                <w:szCs w:val="18"/>
              </w:rPr>
              <w:t xml:space="preserve">Developing a National </w:t>
            </w:r>
            <w:r w:rsidR="00FA2CB9" w:rsidRPr="00FA2CB9">
              <w:rPr>
                <w:sz w:val="18"/>
                <w:szCs w:val="18"/>
              </w:rPr>
              <w:t>Aboriginal and Torres Strait Islander</w:t>
            </w:r>
            <w:r w:rsidRPr="00185E1D">
              <w:rPr>
                <w:sz w:val="18"/>
                <w:szCs w:val="18"/>
              </w:rPr>
              <w:t xml:space="preserve"> Health Workforce Plan.</w:t>
            </w:r>
          </w:p>
          <w:p w14:paraId="137115C3" w14:textId="668B14AC" w:rsidR="00E03CDD" w:rsidRPr="00185E1D" w:rsidRDefault="00E03CDD" w:rsidP="00A850C3">
            <w:pPr>
              <w:pStyle w:val="TabletextLeft"/>
              <w:numPr>
                <w:ilvl w:val="3"/>
                <w:numId w:val="27"/>
              </w:numPr>
              <w:spacing w:line="216" w:lineRule="auto"/>
              <w:ind w:left="432" w:hanging="284"/>
              <w:rPr>
                <w:sz w:val="18"/>
                <w:szCs w:val="18"/>
              </w:rPr>
            </w:pPr>
            <w:r w:rsidRPr="00185E1D">
              <w:rPr>
                <w:sz w:val="18"/>
                <w:szCs w:val="18"/>
              </w:rPr>
              <w:t xml:space="preserve">Monitoring the impact of the reforms through </w:t>
            </w:r>
            <w:r w:rsidR="00FA2CB9" w:rsidRPr="00FA2CB9">
              <w:rPr>
                <w:sz w:val="18"/>
                <w:szCs w:val="18"/>
              </w:rPr>
              <w:t>Aboriginal and Torres Strait Islander</w:t>
            </w:r>
            <w:r w:rsidRPr="00185E1D">
              <w:rPr>
                <w:sz w:val="18"/>
                <w:szCs w:val="18"/>
              </w:rPr>
              <w:t xml:space="preserve"> led evaluation to ensure they remain appropriate.</w:t>
            </w:r>
          </w:p>
        </w:tc>
        <w:tc>
          <w:tcPr>
            <w:tcW w:w="581" w:type="pct"/>
            <w:tcBorders>
              <w:top w:val="single" w:sz="8" w:space="0" w:color="D9D9D9"/>
              <w:left w:val="nil"/>
              <w:bottom w:val="single" w:sz="8" w:space="0" w:color="D9D9D9"/>
              <w:right w:val="nil"/>
            </w:tcBorders>
            <w:shd w:val="clear" w:color="auto" w:fill="auto"/>
          </w:tcPr>
          <w:p w14:paraId="745CA597" w14:textId="77777777" w:rsidR="00E03CDD" w:rsidRPr="00185E1D" w:rsidRDefault="00E03CDD" w:rsidP="00B36DB8">
            <w:pPr>
              <w:pStyle w:val="TabletextLeft"/>
              <w:spacing w:line="216" w:lineRule="auto"/>
              <w:rPr>
                <w:sz w:val="18"/>
                <w:szCs w:val="18"/>
              </w:rPr>
            </w:pPr>
            <w:r w:rsidRPr="00185E1D">
              <w:rPr>
                <w:sz w:val="18"/>
                <w:szCs w:val="18"/>
              </w:rPr>
              <w:t>Preliminaries 9 (g)</w:t>
            </w:r>
          </w:p>
        </w:tc>
      </w:tr>
      <w:tr w:rsidR="00E03CDD" w:rsidRPr="00185E1D" w14:paraId="064885F1" w14:textId="77777777" w:rsidTr="00775D12">
        <w:tc>
          <w:tcPr>
            <w:tcW w:w="645" w:type="pct"/>
            <w:tcBorders>
              <w:top w:val="single" w:sz="8" w:space="0" w:color="D9D9D9"/>
              <w:left w:val="nil"/>
              <w:bottom w:val="single" w:sz="8" w:space="0" w:color="D9D9D9"/>
              <w:right w:val="nil"/>
            </w:tcBorders>
            <w:shd w:val="clear" w:color="auto" w:fill="auto"/>
          </w:tcPr>
          <w:p w14:paraId="1C615333" w14:textId="77777777" w:rsidR="00E03CDD" w:rsidRPr="00185E1D" w:rsidRDefault="00E03CDD" w:rsidP="00B36DB8">
            <w:pPr>
              <w:pStyle w:val="TabletextLeft"/>
              <w:spacing w:line="216" w:lineRule="auto"/>
              <w:rPr>
                <w:b/>
                <w:bCs/>
                <w:sz w:val="18"/>
                <w:szCs w:val="18"/>
              </w:rPr>
            </w:pPr>
            <w:r w:rsidRPr="00185E1D">
              <w:rPr>
                <w:b/>
                <w:bCs/>
                <w:sz w:val="18"/>
                <w:szCs w:val="18"/>
              </w:rPr>
              <w:t>Mental health</w:t>
            </w:r>
          </w:p>
        </w:tc>
        <w:tc>
          <w:tcPr>
            <w:tcW w:w="3774" w:type="pct"/>
            <w:tcBorders>
              <w:top w:val="single" w:sz="8" w:space="0" w:color="D9D9D9"/>
              <w:left w:val="nil"/>
              <w:bottom w:val="single" w:sz="8" w:space="0" w:color="D9D9D9"/>
              <w:right w:val="nil"/>
            </w:tcBorders>
            <w:shd w:val="clear" w:color="auto" w:fill="auto"/>
          </w:tcPr>
          <w:p w14:paraId="5CC1879E" w14:textId="77777777" w:rsidR="00E03CDD" w:rsidRPr="00185E1D" w:rsidRDefault="00E03CDD" w:rsidP="00B36DB8">
            <w:pPr>
              <w:pStyle w:val="TabletextLeft"/>
              <w:spacing w:line="216" w:lineRule="auto"/>
              <w:rPr>
                <w:sz w:val="18"/>
                <w:szCs w:val="18"/>
              </w:rPr>
            </w:pPr>
            <w:r w:rsidRPr="00185E1D">
              <w:rPr>
                <w:sz w:val="18"/>
                <w:szCs w:val="18"/>
              </w:rPr>
              <w:t>Includes a commitment to improving mental health outcomes and preventing suicides by reforming the provision of mental health care across the key areas of prevention, diagnosis, treatment and recovery.</w:t>
            </w:r>
          </w:p>
        </w:tc>
        <w:tc>
          <w:tcPr>
            <w:tcW w:w="581" w:type="pct"/>
            <w:tcBorders>
              <w:top w:val="single" w:sz="8" w:space="0" w:color="D9D9D9"/>
              <w:left w:val="nil"/>
              <w:bottom w:val="single" w:sz="8" w:space="0" w:color="D9D9D9"/>
              <w:right w:val="nil"/>
            </w:tcBorders>
            <w:shd w:val="clear" w:color="auto" w:fill="auto"/>
          </w:tcPr>
          <w:p w14:paraId="077CAC2B" w14:textId="77777777" w:rsidR="00E03CDD" w:rsidRPr="00185E1D" w:rsidRDefault="00E03CDD" w:rsidP="00B36DB8">
            <w:pPr>
              <w:pStyle w:val="TabletextLeft"/>
              <w:spacing w:line="216" w:lineRule="auto"/>
              <w:rPr>
                <w:sz w:val="18"/>
                <w:szCs w:val="18"/>
              </w:rPr>
            </w:pPr>
            <w:r w:rsidRPr="00185E1D">
              <w:rPr>
                <w:sz w:val="18"/>
                <w:szCs w:val="18"/>
              </w:rPr>
              <w:t>Preliminaries 1 (j), 6</w:t>
            </w:r>
          </w:p>
          <w:p w14:paraId="54E59316" w14:textId="77777777" w:rsidR="00E03CDD" w:rsidRPr="00185E1D" w:rsidRDefault="00E03CDD" w:rsidP="00B36DB8">
            <w:pPr>
              <w:pStyle w:val="TabletextLeft"/>
              <w:spacing w:line="216" w:lineRule="auto"/>
              <w:rPr>
                <w:sz w:val="18"/>
                <w:szCs w:val="18"/>
              </w:rPr>
            </w:pPr>
            <w:r w:rsidRPr="00185E1D">
              <w:rPr>
                <w:sz w:val="18"/>
                <w:szCs w:val="18"/>
              </w:rPr>
              <w:t>Schedule E - E40 (b)</w:t>
            </w:r>
          </w:p>
        </w:tc>
      </w:tr>
      <w:tr w:rsidR="00E03CDD" w:rsidRPr="00185E1D" w14:paraId="0D8B95A6" w14:textId="77777777" w:rsidTr="00775D12">
        <w:tc>
          <w:tcPr>
            <w:tcW w:w="645" w:type="pct"/>
            <w:tcBorders>
              <w:top w:val="single" w:sz="8" w:space="0" w:color="D9D9D9"/>
              <w:left w:val="nil"/>
              <w:bottom w:val="single" w:sz="8" w:space="0" w:color="D9D9D9"/>
              <w:right w:val="nil"/>
            </w:tcBorders>
            <w:shd w:val="clear" w:color="auto" w:fill="auto"/>
          </w:tcPr>
          <w:p w14:paraId="274724F3" w14:textId="77777777" w:rsidR="00E03CDD" w:rsidRPr="00185E1D" w:rsidRDefault="00E03CDD" w:rsidP="00B36DB8">
            <w:pPr>
              <w:pStyle w:val="TabletextLeft"/>
              <w:spacing w:line="216" w:lineRule="auto"/>
              <w:rPr>
                <w:b/>
                <w:bCs/>
                <w:sz w:val="18"/>
                <w:szCs w:val="18"/>
              </w:rPr>
            </w:pPr>
            <w:r w:rsidRPr="00185E1D">
              <w:rPr>
                <w:b/>
                <w:bCs/>
                <w:sz w:val="18"/>
                <w:szCs w:val="18"/>
              </w:rPr>
              <w:t xml:space="preserve">Rural and regional health </w:t>
            </w:r>
          </w:p>
        </w:tc>
        <w:tc>
          <w:tcPr>
            <w:tcW w:w="3774" w:type="pct"/>
            <w:tcBorders>
              <w:top w:val="single" w:sz="8" w:space="0" w:color="D9D9D9"/>
              <w:left w:val="nil"/>
              <w:bottom w:val="single" w:sz="8" w:space="0" w:color="D9D9D9"/>
              <w:right w:val="nil"/>
            </w:tcBorders>
            <w:shd w:val="clear" w:color="auto" w:fill="auto"/>
          </w:tcPr>
          <w:p w14:paraId="6F61532B" w14:textId="77777777" w:rsidR="00E03CDD" w:rsidRPr="00185E1D" w:rsidRDefault="00E03CDD" w:rsidP="00B36DB8">
            <w:pPr>
              <w:pStyle w:val="TabletextLeft"/>
              <w:spacing w:line="216" w:lineRule="auto"/>
              <w:rPr>
                <w:sz w:val="18"/>
                <w:szCs w:val="18"/>
              </w:rPr>
            </w:pPr>
            <w:r w:rsidRPr="00185E1D">
              <w:rPr>
                <w:sz w:val="18"/>
                <w:szCs w:val="18"/>
              </w:rPr>
              <w:t>Clarifies that the Commonwealth, States and Territories will be jointly responsible for identifying rural and remote areas where there is limited access to health and related services with a view to developing new models of care to address equity of access and improve outcomes.</w:t>
            </w:r>
          </w:p>
        </w:tc>
        <w:tc>
          <w:tcPr>
            <w:tcW w:w="581" w:type="pct"/>
            <w:tcBorders>
              <w:top w:val="single" w:sz="8" w:space="0" w:color="D9D9D9"/>
              <w:left w:val="nil"/>
              <w:bottom w:val="single" w:sz="8" w:space="0" w:color="D9D9D9"/>
              <w:right w:val="nil"/>
            </w:tcBorders>
            <w:shd w:val="clear" w:color="auto" w:fill="auto"/>
          </w:tcPr>
          <w:p w14:paraId="03C0911C" w14:textId="77777777" w:rsidR="00E03CDD" w:rsidRPr="00185E1D" w:rsidRDefault="00E03CDD" w:rsidP="00B36DB8">
            <w:pPr>
              <w:pStyle w:val="TabletextLeft"/>
              <w:spacing w:line="216" w:lineRule="auto"/>
              <w:rPr>
                <w:sz w:val="18"/>
                <w:szCs w:val="18"/>
              </w:rPr>
            </w:pPr>
            <w:r w:rsidRPr="00185E1D">
              <w:rPr>
                <w:sz w:val="18"/>
                <w:szCs w:val="18"/>
              </w:rPr>
              <w:t>Preliminaries 9(h)</w:t>
            </w:r>
          </w:p>
        </w:tc>
      </w:tr>
      <w:tr w:rsidR="00E03CDD" w:rsidRPr="00185E1D" w14:paraId="182978FC" w14:textId="77777777" w:rsidTr="00775D12">
        <w:tc>
          <w:tcPr>
            <w:tcW w:w="645" w:type="pct"/>
            <w:tcBorders>
              <w:top w:val="single" w:sz="8" w:space="0" w:color="D9D9D9"/>
              <w:left w:val="nil"/>
              <w:bottom w:val="single" w:sz="8" w:space="0" w:color="D9D9D9"/>
              <w:right w:val="nil"/>
            </w:tcBorders>
            <w:shd w:val="clear" w:color="auto" w:fill="auto"/>
          </w:tcPr>
          <w:p w14:paraId="3EF8B6CE" w14:textId="77777777" w:rsidR="00E03CDD" w:rsidRPr="00185E1D" w:rsidRDefault="00E03CDD" w:rsidP="00B36DB8">
            <w:pPr>
              <w:pStyle w:val="TabletextLeft"/>
              <w:spacing w:line="216" w:lineRule="auto"/>
              <w:rPr>
                <w:b/>
                <w:bCs/>
                <w:sz w:val="18"/>
                <w:szCs w:val="18"/>
              </w:rPr>
            </w:pPr>
            <w:r w:rsidRPr="00185E1D">
              <w:rPr>
                <w:b/>
                <w:bCs/>
                <w:sz w:val="18"/>
                <w:szCs w:val="18"/>
              </w:rPr>
              <w:t>Local governance</w:t>
            </w:r>
          </w:p>
        </w:tc>
        <w:tc>
          <w:tcPr>
            <w:tcW w:w="3774" w:type="pct"/>
            <w:tcBorders>
              <w:top w:val="single" w:sz="8" w:space="0" w:color="D9D9D9"/>
              <w:left w:val="nil"/>
              <w:bottom w:val="single" w:sz="8" w:space="0" w:color="D9D9D9"/>
              <w:right w:val="nil"/>
            </w:tcBorders>
            <w:shd w:val="clear" w:color="auto" w:fill="auto"/>
          </w:tcPr>
          <w:p w14:paraId="6689CAD6" w14:textId="77777777" w:rsidR="00E03CDD" w:rsidRPr="00185E1D" w:rsidRDefault="00E03CDD" w:rsidP="00B36DB8">
            <w:pPr>
              <w:pStyle w:val="TabletextLeft"/>
              <w:spacing w:line="216" w:lineRule="auto"/>
              <w:rPr>
                <w:sz w:val="18"/>
                <w:szCs w:val="18"/>
              </w:rPr>
            </w:pPr>
            <w:r w:rsidRPr="00185E1D">
              <w:rPr>
                <w:sz w:val="18"/>
                <w:szCs w:val="18"/>
              </w:rPr>
              <w:t>Reiterates the roles and responsibilities of LHNs and contemporises references to the PHNs.</w:t>
            </w:r>
          </w:p>
        </w:tc>
        <w:tc>
          <w:tcPr>
            <w:tcW w:w="581" w:type="pct"/>
            <w:tcBorders>
              <w:top w:val="single" w:sz="8" w:space="0" w:color="D9D9D9"/>
              <w:left w:val="nil"/>
              <w:bottom w:val="single" w:sz="8" w:space="0" w:color="D9D9D9"/>
              <w:right w:val="nil"/>
            </w:tcBorders>
            <w:shd w:val="clear" w:color="auto" w:fill="auto"/>
          </w:tcPr>
          <w:p w14:paraId="4F3750F4" w14:textId="77777777" w:rsidR="00E03CDD" w:rsidRPr="00185E1D" w:rsidRDefault="00E03CDD" w:rsidP="00B36DB8">
            <w:pPr>
              <w:pStyle w:val="TabletextLeft"/>
              <w:spacing w:line="216" w:lineRule="auto"/>
              <w:rPr>
                <w:sz w:val="18"/>
                <w:szCs w:val="18"/>
              </w:rPr>
            </w:pPr>
            <w:r w:rsidRPr="00185E1D">
              <w:rPr>
                <w:sz w:val="18"/>
                <w:szCs w:val="18"/>
              </w:rPr>
              <w:t>Schedule E</w:t>
            </w:r>
          </w:p>
        </w:tc>
      </w:tr>
      <w:tr w:rsidR="00E03CDD" w:rsidRPr="00185E1D" w14:paraId="5075313A" w14:textId="77777777" w:rsidTr="00775D12">
        <w:tc>
          <w:tcPr>
            <w:tcW w:w="645" w:type="pct"/>
            <w:tcBorders>
              <w:top w:val="single" w:sz="8" w:space="0" w:color="D9D9D9"/>
              <w:left w:val="nil"/>
              <w:bottom w:val="single" w:sz="8" w:space="0" w:color="D9D9D9"/>
              <w:right w:val="nil"/>
            </w:tcBorders>
            <w:shd w:val="clear" w:color="auto" w:fill="auto"/>
          </w:tcPr>
          <w:p w14:paraId="0A1314F2" w14:textId="77777777" w:rsidR="00E03CDD" w:rsidRPr="00185E1D" w:rsidRDefault="00E03CDD" w:rsidP="00B36DB8">
            <w:pPr>
              <w:pStyle w:val="TabletextLeft"/>
              <w:spacing w:line="216" w:lineRule="auto"/>
              <w:rPr>
                <w:b/>
                <w:bCs/>
                <w:sz w:val="18"/>
                <w:szCs w:val="18"/>
              </w:rPr>
            </w:pPr>
            <w:r w:rsidRPr="00185E1D">
              <w:rPr>
                <w:b/>
                <w:bCs/>
                <w:sz w:val="18"/>
                <w:szCs w:val="18"/>
              </w:rPr>
              <w:t>Aged care, disability and primary care interface issues – Aged care and disability</w:t>
            </w:r>
          </w:p>
        </w:tc>
        <w:tc>
          <w:tcPr>
            <w:tcW w:w="3774" w:type="pct"/>
            <w:tcBorders>
              <w:top w:val="single" w:sz="8" w:space="0" w:color="D9D9D9"/>
              <w:left w:val="nil"/>
              <w:bottom w:val="single" w:sz="8" w:space="0" w:color="D9D9D9"/>
              <w:right w:val="nil"/>
            </w:tcBorders>
            <w:shd w:val="clear" w:color="auto" w:fill="auto"/>
          </w:tcPr>
          <w:p w14:paraId="191740A3" w14:textId="77777777" w:rsidR="00E03CDD" w:rsidRPr="00185E1D" w:rsidRDefault="00E03CDD" w:rsidP="00B36DB8">
            <w:pPr>
              <w:pStyle w:val="TabletextLeft"/>
              <w:spacing w:line="216" w:lineRule="auto"/>
              <w:rPr>
                <w:sz w:val="18"/>
                <w:szCs w:val="18"/>
              </w:rPr>
            </w:pPr>
            <w:r w:rsidRPr="00185E1D">
              <w:rPr>
                <w:sz w:val="18"/>
                <w:szCs w:val="18"/>
              </w:rPr>
              <w:t>Contemporises the shared and individual responsibilities of the Commonwealth, States and Territories with respect to health, disability and aged care services.</w:t>
            </w:r>
            <w:r>
              <w:rPr>
                <w:sz w:val="18"/>
                <w:szCs w:val="18"/>
              </w:rPr>
              <w:t xml:space="preserve"> </w:t>
            </w:r>
            <w:r w:rsidRPr="00185E1D">
              <w:rPr>
                <w:sz w:val="18"/>
                <w:szCs w:val="18"/>
              </w:rPr>
              <w:t>This includes:</w:t>
            </w:r>
          </w:p>
          <w:p w14:paraId="2C1773F3" w14:textId="77777777" w:rsidR="00E03CDD" w:rsidRPr="00185E1D" w:rsidRDefault="00E03CDD" w:rsidP="00A850C3">
            <w:pPr>
              <w:pStyle w:val="TabletextLeft"/>
              <w:numPr>
                <w:ilvl w:val="3"/>
                <w:numId w:val="27"/>
              </w:numPr>
              <w:spacing w:line="216" w:lineRule="auto"/>
              <w:ind w:left="432" w:hanging="284"/>
              <w:rPr>
                <w:sz w:val="18"/>
                <w:szCs w:val="18"/>
              </w:rPr>
            </w:pPr>
            <w:r w:rsidRPr="00185E1D">
              <w:rPr>
                <w:sz w:val="18"/>
                <w:szCs w:val="18"/>
              </w:rPr>
              <w:t>Provisions for the development of new data collections and performance indicators to monitor the impact of interface performance on client outcomes.</w:t>
            </w:r>
          </w:p>
          <w:p w14:paraId="1AC7F6BD" w14:textId="77777777" w:rsidR="00E03CDD" w:rsidRPr="00185E1D" w:rsidRDefault="00E03CDD" w:rsidP="00A850C3">
            <w:pPr>
              <w:pStyle w:val="TabletextLeft"/>
              <w:numPr>
                <w:ilvl w:val="3"/>
                <w:numId w:val="27"/>
              </w:numPr>
              <w:spacing w:line="216" w:lineRule="auto"/>
              <w:ind w:left="432" w:hanging="284"/>
              <w:rPr>
                <w:sz w:val="18"/>
                <w:szCs w:val="18"/>
              </w:rPr>
            </w:pPr>
            <w:r w:rsidRPr="00185E1D">
              <w:rPr>
                <w:sz w:val="18"/>
                <w:szCs w:val="18"/>
              </w:rPr>
              <w:t>New clauses to support exploration of the impact of housing security, provision and assistance on people’s health outcomes.</w:t>
            </w:r>
          </w:p>
          <w:p w14:paraId="045172C0" w14:textId="77777777" w:rsidR="00E03CDD" w:rsidRPr="00185E1D" w:rsidRDefault="00E03CDD" w:rsidP="00A850C3">
            <w:pPr>
              <w:pStyle w:val="TabletextLeft"/>
              <w:numPr>
                <w:ilvl w:val="3"/>
                <w:numId w:val="27"/>
              </w:numPr>
              <w:spacing w:line="216" w:lineRule="auto"/>
              <w:ind w:left="432" w:hanging="284"/>
              <w:rPr>
                <w:sz w:val="18"/>
                <w:szCs w:val="18"/>
              </w:rPr>
            </w:pPr>
            <w:r w:rsidRPr="00185E1D">
              <w:rPr>
                <w:sz w:val="18"/>
                <w:szCs w:val="18"/>
              </w:rPr>
              <w:t>Clearer governance arrangements to provide an oversight mechanism to monitor and address issues.</w:t>
            </w:r>
          </w:p>
        </w:tc>
        <w:tc>
          <w:tcPr>
            <w:tcW w:w="581" w:type="pct"/>
            <w:vMerge w:val="restart"/>
            <w:tcBorders>
              <w:top w:val="single" w:sz="8" w:space="0" w:color="D9D9D9"/>
              <w:left w:val="nil"/>
              <w:right w:val="nil"/>
            </w:tcBorders>
            <w:shd w:val="clear" w:color="auto" w:fill="auto"/>
          </w:tcPr>
          <w:p w14:paraId="43ABEB2B" w14:textId="77777777" w:rsidR="00E03CDD" w:rsidRPr="00185E1D" w:rsidRDefault="00E03CDD" w:rsidP="00B36DB8">
            <w:pPr>
              <w:pStyle w:val="TabletextLeft"/>
              <w:spacing w:line="216" w:lineRule="auto"/>
              <w:rPr>
                <w:sz w:val="18"/>
                <w:szCs w:val="18"/>
              </w:rPr>
            </w:pPr>
            <w:r w:rsidRPr="00185E1D">
              <w:rPr>
                <w:sz w:val="18"/>
                <w:szCs w:val="18"/>
              </w:rPr>
              <w:t xml:space="preserve">E37 – 40, Schedule F </w:t>
            </w:r>
          </w:p>
          <w:p w14:paraId="3569AC09" w14:textId="77777777" w:rsidR="00E03CDD" w:rsidRPr="00185E1D" w:rsidRDefault="00E03CDD" w:rsidP="00B36DB8">
            <w:pPr>
              <w:pStyle w:val="TabletextLeft"/>
              <w:spacing w:line="216" w:lineRule="auto"/>
              <w:rPr>
                <w:sz w:val="18"/>
                <w:szCs w:val="18"/>
              </w:rPr>
            </w:pPr>
            <w:r w:rsidRPr="00185E1D">
              <w:rPr>
                <w:sz w:val="18"/>
                <w:szCs w:val="18"/>
              </w:rPr>
              <w:t>Roles and responsibilities (F3-F9)</w:t>
            </w:r>
          </w:p>
          <w:p w14:paraId="31F99FD3" w14:textId="77777777" w:rsidR="00E03CDD" w:rsidRPr="00185E1D" w:rsidRDefault="00E03CDD" w:rsidP="00B36DB8">
            <w:pPr>
              <w:pStyle w:val="TabletextLeft"/>
              <w:spacing w:line="216" w:lineRule="auto"/>
              <w:rPr>
                <w:sz w:val="18"/>
                <w:szCs w:val="18"/>
              </w:rPr>
            </w:pPr>
            <w:r w:rsidRPr="00185E1D">
              <w:rPr>
                <w:sz w:val="18"/>
                <w:szCs w:val="18"/>
              </w:rPr>
              <w:t>Activities and governance (F10 –F16)</w:t>
            </w:r>
          </w:p>
        </w:tc>
      </w:tr>
      <w:tr w:rsidR="00E03CDD" w:rsidRPr="00185E1D" w14:paraId="6DA65103" w14:textId="77777777" w:rsidTr="00775D12">
        <w:tc>
          <w:tcPr>
            <w:tcW w:w="645" w:type="pct"/>
            <w:tcBorders>
              <w:top w:val="single" w:sz="8" w:space="0" w:color="D9D9D9"/>
              <w:left w:val="nil"/>
              <w:bottom w:val="single" w:sz="8" w:space="0" w:color="D9D9D9"/>
              <w:right w:val="nil"/>
            </w:tcBorders>
            <w:shd w:val="clear" w:color="auto" w:fill="auto"/>
          </w:tcPr>
          <w:p w14:paraId="3AEE542A" w14:textId="77777777" w:rsidR="00E03CDD" w:rsidRPr="00185E1D" w:rsidRDefault="00E03CDD" w:rsidP="00B36DB8">
            <w:pPr>
              <w:pStyle w:val="TabletextLeft"/>
              <w:spacing w:line="216" w:lineRule="auto"/>
              <w:rPr>
                <w:b/>
                <w:bCs/>
                <w:sz w:val="18"/>
                <w:szCs w:val="18"/>
              </w:rPr>
            </w:pPr>
            <w:r w:rsidRPr="00185E1D">
              <w:rPr>
                <w:b/>
                <w:bCs/>
                <w:sz w:val="18"/>
                <w:szCs w:val="18"/>
              </w:rPr>
              <w:t>Aged care, disability and primary care interface issues – Primary care</w:t>
            </w:r>
          </w:p>
        </w:tc>
        <w:tc>
          <w:tcPr>
            <w:tcW w:w="3774" w:type="pct"/>
            <w:tcBorders>
              <w:top w:val="single" w:sz="8" w:space="0" w:color="D9D9D9"/>
              <w:left w:val="nil"/>
              <w:bottom w:val="single" w:sz="8" w:space="0" w:color="D9D9D9"/>
              <w:right w:val="nil"/>
            </w:tcBorders>
            <w:shd w:val="clear" w:color="auto" w:fill="auto"/>
          </w:tcPr>
          <w:p w14:paraId="641F9DC8" w14:textId="77777777" w:rsidR="00E03CDD" w:rsidRPr="00185E1D" w:rsidRDefault="00E03CDD" w:rsidP="00B36DB8">
            <w:pPr>
              <w:pStyle w:val="TabletextLeft"/>
              <w:spacing w:line="216" w:lineRule="auto"/>
              <w:rPr>
                <w:sz w:val="18"/>
                <w:szCs w:val="18"/>
              </w:rPr>
            </w:pPr>
            <w:r w:rsidRPr="00185E1D">
              <w:rPr>
                <w:sz w:val="18"/>
                <w:szCs w:val="18"/>
              </w:rPr>
              <w:t>Includes stronger references to integrated care and better articulates all parties’ commitment to reducing ED demand, avoidable hospital admissions and extended stays.</w:t>
            </w:r>
          </w:p>
        </w:tc>
        <w:tc>
          <w:tcPr>
            <w:tcW w:w="581" w:type="pct"/>
            <w:vMerge/>
            <w:tcBorders>
              <w:left w:val="nil"/>
              <w:bottom w:val="single" w:sz="8" w:space="0" w:color="D9D9D9"/>
              <w:right w:val="nil"/>
            </w:tcBorders>
            <w:shd w:val="clear" w:color="auto" w:fill="auto"/>
          </w:tcPr>
          <w:p w14:paraId="2BF4E949" w14:textId="77777777" w:rsidR="00E03CDD" w:rsidRPr="00185E1D" w:rsidRDefault="00E03CDD" w:rsidP="00B36DB8">
            <w:pPr>
              <w:pStyle w:val="TabletextLeft"/>
              <w:spacing w:line="216" w:lineRule="auto"/>
              <w:rPr>
                <w:sz w:val="18"/>
                <w:szCs w:val="18"/>
              </w:rPr>
            </w:pPr>
          </w:p>
        </w:tc>
      </w:tr>
      <w:tr w:rsidR="00E03CDD" w:rsidRPr="00185E1D" w14:paraId="4754EE41" w14:textId="77777777" w:rsidTr="00775D12">
        <w:tc>
          <w:tcPr>
            <w:tcW w:w="645" w:type="pct"/>
            <w:tcBorders>
              <w:top w:val="single" w:sz="8" w:space="0" w:color="D9D9D9"/>
              <w:left w:val="nil"/>
              <w:bottom w:val="single" w:sz="8" w:space="0" w:color="D9D9D9"/>
              <w:right w:val="nil"/>
            </w:tcBorders>
            <w:shd w:val="clear" w:color="auto" w:fill="auto"/>
          </w:tcPr>
          <w:p w14:paraId="207EC279" w14:textId="77777777" w:rsidR="00E03CDD" w:rsidRPr="00185E1D" w:rsidRDefault="00E03CDD" w:rsidP="00B36DB8">
            <w:pPr>
              <w:pStyle w:val="TabletextLeft"/>
              <w:spacing w:line="216" w:lineRule="auto"/>
              <w:rPr>
                <w:b/>
                <w:bCs/>
                <w:sz w:val="18"/>
                <w:szCs w:val="18"/>
              </w:rPr>
            </w:pPr>
            <w:r w:rsidRPr="00185E1D">
              <w:rPr>
                <w:b/>
                <w:bCs/>
                <w:sz w:val="18"/>
                <w:szCs w:val="18"/>
              </w:rPr>
              <w:t>Transparency and reporting</w:t>
            </w:r>
          </w:p>
        </w:tc>
        <w:tc>
          <w:tcPr>
            <w:tcW w:w="3774" w:type="pct"/>
            <w:tcBorders>
              <w:top w:val="single" w:sz="8" w:space="0" w:color="D9D9D9"/>
              <w:left w:val="nil"/>
              <w:bottom w:val="single" w:sz="8" w:space="0" w:color="D9D9D9"/>
              <w:right w:val="nil"/>
            </w:tcBorders>
            <w:shd w:val="clear" w:color="auto" w:fill="auto"/>
          </w:tcPr>
          <w:p w14:paraId="39F76277" w14:textId="6174C800" w:rsidR="00E03CDD" w:rsidRPr="00185E1D" w:rsidRDefault="00E03CDD" w:rsidP="00B36DB8">
            <w:pPr>
              <w:pStyle w:val="TabletextLeft"/>
              <w:spacing w:line="216" w:lineRule="auto"/>
              <w:rPr>
                <w:sz w:val="18"/>
                <w:szCs w:val="18"/>
              </w:rPr>
            </w:pPr>
            <w:r>
              <w:rPr>
                <w:sz w:val="18"/>
                <w:szCs w:val="18"/>
              </w:rPr>
              <w:t>I</w:t>
            </w:r>
            <w:r w:rsidRPr="00185E1D">
              <w:rPr>
                <w:sz w:val="18"/>
                <w:szCs w:val="18"/>
              </w:rPr>
              <w:t>ncludes a contemporised reference to the AHPF as the agreed single framework to support system-wide reporting on Australia’s health and health care performance. A national monitoring and reporting framework will improve the measurement of impact and build the case for greater investment in prevention over time.</w:t>
            </w:r>
          </w:p>
        </w:tc>
        <w:tc>
          <w:tcPr>
            <w:tcW w:w="581" w:type="pct"/>
            <w:tcBorders>
              <w:top w:val="single" w:sz="8" w:space="0" w:color="D9D9D9"/>
              <w:left w:val="nil"/>
              <w:bottom w:val="single" w:sz="8" w:space="0" w:color="D9D9D9"/>
              <w:right w:val="nil"/>
            </w:tcBorders>
            <w:shd w:val="clear" w:color="auto" w:fill="auto"/>
          </w:tcPr>
          <w:p w14:paraId="62894625" w14:textId="77777777" w:rsidR="00E03CDD" w:rsidRPr="00185E1D" w:rsidRDefault="00E03CDD" w:rsidP="00B36DB8">
            <w:pPr>
              <w:pStyle w:val="TabletextLeft"/>
              <w:spacing w:line="216" w:lineRule="auto"/>
              <w:rPr>
                <w:sz w:val="18"/>
                <w:szCs w:val="18"/>
              </w:rPr>
            </w:pPr>
            <w:r w:rsidRPr="00185E1D">
              <w:rPr>
                <w:sz w:val="18"/>
                <w:szCs w:val="18"/>
              </w:rPr>
              <w:t>Schedule D (D1 – D11)</w:t>
            </w:r>
          </w:p>
        </w:tc>
      </w:tr>
    </w:tbl>
    <w:p w14:paraId="73A04299" w14:textId="77777777" w:rsidR="007A47DB" w:rsidRPr="008B5789" w:rsidRDefault="007A47DB" w:rsidP="004A420D">
      <w:bookmarkStart w:id="407" w:name="_Ref143000208"/>
      <w:bookmarkStart w:id="408" w:name="_Toc143291709"/>
    </w:p>
    <w:p w14:paraId="7B0C509C" w14:textId="7389416F" w:rsidR="008B5789" w:rsidRPr="008B5789" w:rsidRDefault="008B5789" w:rsidP="004A420D">
      <w:pPr>
        <w:sectPr w:rsidR="008B5789" w:rsidRPr="008B5789" w:rsidSect="00411C4C">
          <w:pgSz w:w="16838" w:h="11906" w:orient="landscape" w:code="9"/>
          <w:pgMar w:top="1276" w:right="720" w:bottom="720" w:left="720" w:header="680" w:footer="425" w:gutter="0"/>
          <w:cols w:space="284"/>
          <w:docGrid w:linePitch="360"/>
        </w:sectPr>
      </w:pPr>
    </w:p>
    <w:p w14:paraId="223C4CF5" w14:textId="4DB4B5C9" w:rsidR="007A47DB" w:rsidRDefault="00775D12" w:rsidP="0057185D">
      <w:pPr>
        <w:pStyle w:val="Appendixheading"/>
      </w:pPr>
      <w:bookmarkStart w:id="409" w:name="_Ref144375835"/>
      <w:bookmarkStart w:id="410" w:name="_Toc148968361"/>
      <w:r>
        <w:t>H</w:t>
      </w:r>
      <w:r w:rsidR="00682D29" w:rsidRPr="00682D29">
        <w:t xml:space="preserve">ealth </w:t>
      </w:r>
      <w:r w:rsidR="00911B0D">
        <w:t>related</w:t>
      </w:r>
      <w:r w:rsidR="00682D29" w:rsidRPr="00682D29">
        <w:t xml:space="preserve"> </w:t>
      </w:r>
      <w:r w:rsidR="00D113E0">
        <w:t>national</w:t>
      </w:r>
      <w:r w:rsidR="00682D29" w:rsidRPr="00682D29">
        <w:t xml:space="preserve"> </w:t>
      </w:r>
      <w:r w:rsidR="00D113E0">
        <w:t>A</w:t>
      </w:r>
      <w:r w:rsidR="00682D29" w:rsidRPr="00682D29">
        <w:t>greements</w:t>
      </w:r>
      <w:bookmarkEnd w:id="409"/>
      <w:r w:rsidR="003F5D51">
        <w:rPr>
          <w:rFonts w:ascii="ZWAdobeF" w:hAnsi="ZWAdobeF" w:cs="ZWAdobeF"/>
          <w:sz w:val="2"/>
          <w:szCs w:val="2"/>
        </w:rPr>
        <w:t>178F</w:t>
      </w:r>
      <w:r w:rsidR="00F92533">
        <w:rPr>
          <w:rStyle w:val="FootnoteReference"/>
        </w:rPr>
        <w:footnoteReference w:id="180"/>
      </w:r>
      <w:bookmarkEnd w:id="410"/>
    </w:p>
    <w:p w14:paraId="5C853781" w14:textId="77777777" w:rsidR="008B5789" w:rsidRDefault="008B5789" w:rsidP="008B5789">
      <w:pPr>
        <w:spacing w:after="0" w:line="240" w:lineRule="auto"/>
      </w:pPr>
    </w:p>
    <w:p w14:paraId="0C8201A7" w14:textId="77777777" w:rsidR="00A56CA1" w:rsidRDefault="00A56CA1" w:rsidP="008B5789">
      <w:pPr>
        <w:spacing w:after="0" w:line="240" w:lineRule="auto"/>
        <w:sectPr w:rsidR="00A56CA1" w:rsidSect="007A47DB">
          <w:pgSz w:w="11906" w:h="16838" w:code="9"/>
          <w:pgMar w:top="720" w:right="720" w:bottom="720" w:left="1276" w:header="680" w:footer="425" w:gutter="0"/>
          <w:cols w:space="284"/>
          <w:docGrid w:linePitch="360"/>
        </w:sectPr>
      </w:pPr>
    </w:p>
    <w:p w14:paraId="3188EE98" w14:textId="3D270771" w:rsidR="00A835C3" w:rsidRDefault="00A835C3" w:rsidP="00A56CA1">
      <w:pPr>
        <w:pStyle w:val="ListBullet"/>
      </w:pPr>
      <w:r>
        <w:t>National Mental Health and Suicide Prevention Agreement</w:t>
      </w:r>
    </w:p>
    <w:p w14:paraId="6D35FAA8" w14:textId="6E51FA0F" w:rsidR="00A835C3" w:rsidRDefault="00A835C3" w:rsidP="00A56CA1">
      <w:pPr>
        <w:pStyle w:val="ListBullet"/>
      </w:pPr>
      <w:r>
        <w:t>Organ and Tissue National Program</w:t>
      </w:r>
    </w:p>
    <w:p w14:paraId="4ADDFD23" w14:textId="5810DE01" w:rsidR="00A835C3" w:rsidRDefault="00A835C3" w:rsidP="00A56CA1">
      <w:pPr>
        <w:pStyle w:val="ListBullet"/>
      </w:pPr>
      <w:r>
        <w:t>National Blood Arrangements</w:t>
      </w:r>
    </w:p>
    <w:p w14:paraId="4144F62A" w14:textId="19A3F709" w:rsidR="00A835C3" w:rsidRDefault="00A835C3" w:rsidP="00A56CA1">
      <w:pPr>
        <w:pStyle w:val="ListBullet"/>
      </w:pPr>
      <w:r>
        <w:t>Pharmaceutical Reform Agreement</w:t>
      </w:r>
    </w:p>
    <w:p w14:paraId="0DA489EB" w14:textId="018D693D" w:rsidR="00A835C3" w:rsidRDefault="00A835C3" w:rsidP="00A56CA1">
      <w:pPr>
        <w:pStyle w:val="ListBullet"/>
      </w:pPr>
      <w:r>
        <w:t>National Partnership on Public Dental Services for Adults</w:t>
      </w:r>
    </w:p>
    <w:p w14:paraId="7C4BBBFB" w14:textId="2B635EC9" w:rsidR="00A835C3" w:rsidRDefault="00A56CA1" w:rsidP="00A56CA1">
      <w:pPr>
        <w:pStyle w:val="ListBullet"/>
      </w:pPr>
      <w:r>
        <w:t>IGA</w:t>
      </w:r>
      <w:r w:rsidR="00A835C3">
        <w:t xml:space="preserve"> on National Digital Health</w:t>
      </w:r>
    </w:p>
    <w:p w14:paraId="0077948F" w14:textId="017BAEA5" w:rsidR="00A835C3" w:rsidRDefault="00A835C3" w:rsidP="00A56CA1">
      <w:pPr>
        <w:pStyle w:val="ListBullet"/>
      </w:pPr>
      <w:r>
        <w:t xml:space="preserve">First Nations </w:t>
      </w:r>
      <w:r w:rsidR="00A56CA1">
        <w:t>p</w:t>
      </w:r>
      <w:r>
        <w:t>eople</w:t>
      </w:r>
      <w:r w:rsidR="00A56CA1">
        <w:t xml:space="preserve"> Agreement</w:t>
      </w:r>
      <w:r>
        <w:t>s</w:t>
      </w:r>
      <w:r w:rsidR="003C68D4">
        <w:t>/Strategies</w:t>
      </w:r>
      <w:r>
        <w:t>:</w:t>
      </w:r>
    </w:p>
    <w:p w14:paraId="068AD58B" w14:textId="044F7072" w:rsidR="00A835C3" w:rsidRDefault="00A835C3" w:rsidP="004A420D">
      <w:pPr>
        <w:pStyle w:val="Subdotpoint"/>
        <w:ind w:left="851"/>
      </w:pPr>
      <w:r>
        <w:t xml:space="preserve">National Agreement on Closing the Gap </w:t>
      </w:r>
    </w:p>
    <w:p w14:paraId="172EF3B1" w14:textId="36102D54" w:rsidR="00A835C3" w:rsidRDefault="00A835C3" w:rsidP="004A420D">
      <w:pPr>
        <w:pStyle w:val="Subdotpoint"/>
        <w:ind w:left="851"/>
      </w:pPr>
      <w:r>
        <w:t>National Aboriginal and Torres Strait Islander Health Plan 2021 - 2031</w:t>
      </w:r>
    </w:p>
    <w:p w14:paraId="7F478321" w14:textId="7D84ADB8" w:rsidR="00A835C3" w:rsidRDefault="00A835C3" w:rsidP="004A420D">
      <w:pPr>
        <w:pStyle w:val="Subdotpoint"/>
        <w:spacing w:after="0"/>
        <w:ind w:left="851" w:hanging="357"/>
      </w:pPr>
      <w:r>
        <w:t>National Aboriginal and Torres Strait Islander Health Workforce Strategic Framework and Implementation Plan 2021 - 2031</w:t>
      </w:r>
    </w:p>
    <w:p w14:paraId="757E81E7" w14:textId="60F8EEDE" w:rsidR="00A835C3" w:rsidRDefault="00A835C3" w:rsidP="00A56CA1">
      <w:pPr>
        <w:pStyle w:val="ListBullet"/>
      </w:pPr>
      <w:r>
        <w:t>Health Innovation Fund Agreements</w:t>
      </w:r>
    </w:p>
    <w:p w14:paraId="114A6325" w14:textId="06B6F41D" w:rsidR="00A835C3" w:rsidRDefault="00A835C3" w:rsidP="00A56CA1">
      <w:pPr>
        <w:pStyle w:val="ListBullet"/>
      </w:pPr>
      <w:r>
        <w:t>National Workforce Plan</w:t>
      </w:r>
    </w:p>
    <w:p w14:paraId="6DCA4F64" w14:textId="5C37B01B" w:rsidR="00A835C3" w:rsidRDefault="00A835C3" w:rsidP="00A56CA1">
      <w:pPr>
        <w:pStyle w:val="ListBullet"/>
      </w:pPr>
      <w:r>
        <w:t>National Medical Workforce Strategy</w:t>
      </w:r>
    </w:p>
    <w:p w14:paraId="05549E13" w14:textId="47A24AF5" w:rsidR="00A835C3" w:rsidRDefault="00A835C3" w:rsidP="00A56CA1">
      <w:pPr>
        <w:pStyle w:val="ListBullet"/>
      </w:pPr>
      <w:r>
        <w:t>Strengthening Medicare Taskforce</w:t>
      </w:r>
    </w:p>
    <w:p w14:paraId="1A41045D" w14:textId="2F94297C" w:rsidR="00A835C3" w:rsidRPr="008A4851" w:rsidRDefault="00A835C3" w:rsidP="00A56CA1">
      <w:pPr>
        <w:pStyle w:val="ListBullet"/>
      </w:pPr>
      <w:r w:rsidRPr="008A4851">
        <w:t xml:space="preserve">NDIS </w:t>
      </w:r>
    </w:p>
    <w:p w14:paraId="004BF02A" w14:textId="1E7F846B" w:rsidR="00A835C3" w:rsidRDefault="00A835C3" w:rsidP="00A56CA1">
      <w:pPr>
        <w:pStyle w:val="ListBullet"/>
      </w:pPr>
      <w:r>
        <w:t>Commonwealth Support to South Australia Home Quarantine Application</w:t>
      </w:r>
    </w:p>
    <w:p w14:paraId="7C491F72" w14:textId="4AAEDBE2" w:rsidR="00A835C3" w:rsidRDefault="00A835C3" w:rsidP="00A56CA1">
      <w:pPr>
        <w:pStyle w:val="ListBullet"/>
      </w:pPr>
      <w:r>
        <w:t>Community Health and Hospitals Program - QLD</w:t>
      </w:r>
    </w:p>
    <w:p w14:paraId="1C48655A" w14:textId="0B82CF42" w:rsidR="00A835C3" w:rsidRDefault="00A835C3" w:rsidP="00A56CA1">
      <w:pPr>
        <w:pStyle w:val="ListBullet"/>
      </w:pPr>
      <w:r>
        <w:t>Achieving Better Health Outcomes</w:t>
      </w:r>
    </w:p>
    <w:p w14:paraId="2064EA9D" w14:textId="5C7DBC34" w:rsidR="00A835C3" w:rsidRDefault="00A835C3" w:rsidP="00A56CA1">
      <w:pPr>
        <w:pStyle w:val="ListBullet"/>
      </w:pPr>
      <w:r>
        <w:t>Addressing blood-borne viruses and sexually transmissible infections in the Torres Strait</w:t>
      </w:r>
    </w:p>
    <w:p w14:paraId="5A89565C" w14:textId="3CA6D804" w:rsidR="00A835C3" w:rsidRDefault="00A835C3" w:rsidP="00A56CA1">
      <w:pPr>
        <w:pStyle w:val="ListBullet"/>
      </w:pPr>
      <w:r>
        <w:t>Child Development Assessment Service in the Macarthur region: temporary 4-year multidisciplinary enhancement</w:t>
      </w:r>
    </w:p>
    <w:p w14:paraId="61C2F2A4" w14:textId="5F6551DE" w:rsidR="00A835C3" w:rsidRDefault="00A835C3" w:rsidP="00A56CA1">
      <w:pPr>
        <w:pStyle w:val="ListBullet"/>
      </w:pPr>
      <w:r>
        <w:t>Communicable diseases of public health concern - Access to HIV treatment for people who are not eligible for Medicare</w:t>
      </w:r>
    </w:p>
    <w:p w14:paraId="0EE37B03" w14:textId="5501CBAF" w:rsidR="00A835C3" w:rsidRDefault="00A835C3" w:rsidP="00A56CA1">
      <w:pPr>
        <w:pStyle w:val="ListBullet"/>
      </w:pPr>
      <w:r>
        <w:t>Community Health and Hospital Program for Tasmania</w:t>
      </w:r>
      <w:r w:rsidR="00131F44">
        <w:t>, ACT and VIC</w:t>
      </w:r>
    </w:p>
    <w:p w14:paraId="6CB35900" w14:textId="6D50B51B" w:rsidR="00A835C3" w:rsidRDefault="00A835C3" w:rsidP="00A56CA1">
      <w:pPr>
        <w:pStyle w:val="ListBullet"/>
      </w:pPr>
      <w:r>
        <w:t xml:space="preserve">Community Health and Hospitals Program and Other Initiatives </w:t>
      </w:r>
      <w:r w:rsidR="0042170E">
        <w:t>–</w:t>
      </w:r>
      <w:r>
        <w:t xml:space="preserve"> SA</w:t>
      </w:r>
      <w:r w:rsidR="0042170E">
        <w:t xml:space="preserve"> and NT</w:t>
      </w:r>
    </w:p>
    <w:p w14:paraId="652ACACD" w14:textId="3728E4FB" w:rsidR="00A835C3" w:rsidRDefault="00A835C3" w:rsidP="00A56CA1">
      <w:pPr>
        <w:pStyle w:val="ListBullet"/>
      </w:pPr>
      <w:r>
        <w:t>Community Health and Hospitals Program NSW Eating Disorder Initiative</w:t>
      </w:r>
    </w:p>
    <w:p w14:paraId="30F10918" w14:textId="7211A4D7" w:rsidR="00A835C3" w:rsidRDefault="00A835C3" w:rsidP="004A420D">
      <w:pPr>
        <w:pStyle w:val="ListBullet"/>
        <w:ind w:right="-296"/>
      </w:pPr>
      <w:r>
        <w:t>Community Health and Hospitals Program Queensland 2018-19 Initiatives</w:t>
      </w:r>
    </w:p>
    <w:p w14:paraId="29F6A07B" w14:textId="20CF9AF3" w:rsidR="00A835C3" w:rsidRDefault="00A835C3" w:rsidP="00A56CA1">
      <w:pPr>
        <w:pStyle w:val="ListBullet"/>
      </w:pPr>
      <w:r>
        <w:t>Community Health and Hospitals Program Remote Point of Care Pathology Testing NT Initiative</w:t>
      </w:r>
    </w:p>
    <w:p w14:paraId="75776273" w14:textId="38F4D7C1" w:rsidR="00A835C3" w:rsidRDefault="00A835C3" w:rsidP="00A56CA1">
      <w:pPr>
        <w:pStyle w:val="ListBullet"/>
      </w:pPr>
      <w:r>
        <w:t>Community Health and Hospitals Program South Australia Hospital Discharge Pilot</w:t>
      </w:r>
    </w:p>
    <w:p w14:paraId="0008D8D5" w14:textId="0E5D7BCB" w:rsidR="00A835C3" w:rsidRDefault="00A835C3" w:rsidP="00A56CA1">
      <w:pPr>
        <w:pStyle w:val="ListBullet"/>
      </w:pPr>
      <w:r>
        <w:t>Community Health and Hospitals Program Tasmanian 2019-20 and 2020-21 Initiatives</w:t>
      </w:r>
    </w:p>
    <w:p w14:paraId="6E730B03" w14:textId="716B886B" w:rsidR="00A835C3" w:rsidRDefault="00A835C3" w:rsidP="00A56CA1">
      <w:pPr>
        <w:pStyle w:val="ListBullet"/>
      </w:pPr>
      <w:r>
        <w:t>Community Health and Hospitals Program VIC's Eating Disorder Initiative</w:t>
      </w:r>
    </w:p>
    <w:p w14:paraId="4E7A75AA" w14:textId="2B26EA7A" w:rsidR="00A835C3" w:rsidRDefault="00A835C3" w:rsidP="00A56CA1">
      <w:pPr>
        <w:pStyle w:val="ListBullet"/>
      </w:pPr>
      <w:r>
        <w:t>Community Health and Hospitals Program Victoria's Children's Colorectal Service</w:t>
      </w:r>
    </w:p>
    <w:p w14:paraId="4B00E0E2" w14:textId="4653AF5A" w:rsidR="00A835C3" w:rsidRDefault="00A835C3" w:rsidP="00A56CA1">
      <w:pPr>
        <w:pStyle w:val="ListBullet"/>
      </w:pPr>
      <w:r>
        <w:t>Community Health and Hospitals Program Western Australian Initiatives</w:t>
      </w:r>
    </w:p>
    <w:p w14:paraId="7BC02E0B" w14:textId="6D2760E5" w:rsidR="00A835C3" w:rsidRDefault="00A835C3" w:rsidP="00A56CA1">
      <w:pPr>
        <w:pStyle w:val="ListBullet"/>
      </w:pPr>
      <w:r>
        <w:t>Comprehensive Children's Cancer Centre (CCCC) at Sydney Children's Hospital, Randwick</w:t>
      </w:r>
    </w:p>
    <w:p w14:paraId="16B34413" w14:textId="6747DF92" w:rsidR="00A835C3" w:rsidRDefault="00A835C3" w:rsidP="00A56CA1">
      <w:pPr>
        <w:pStyle w:val="ListBullet"/>
      </w:pPr>
      <w:r>
        <w:t>Comprehensive Palliative Care in Aged Care</w:t>
      </w:r>
    </w:p>
    <w:p w14:paraId="76474BEA" w14:textId="2ABAA166" w:rsidR="00A835C3" w:rsidRDefault="00A835C3" w:rsidP="00A56CA1">
      <w:pPr>
        <w:pStyle w:val="ListBullet"/>
      </w:pPr>
      <w:r>
        <w:t>Construction of the Launceston Hospice</w:t>
      </w:r>
    </w:p>
    <w:p w14:paraId="283846FF" w14:textId="11AE75D9" w:rsidR="00A835C3" w:rsidRDefault="00A835C3" w:rsidP="00A56CA1">
      <w:pPr>
        <w:pStyle w:val="ListBullet"/>
      </w:pPr>
      <w:r>
        <w:t>Construction of Western Australian Children's Hospice</w:t>
      </w:r>
    </w:p>
    <w:p w14:paraId="12086933" w14:textId="294807D9" w:rsidR="00A835C3" w:rsidRDefault="00A835C3" w:rsidP="00A56CA1">
      <w:pPr>
        <w:pStyle w:val="ListBullet"/>
      </w:pPr>
      <w:r>
        <w:t>COVID-19 Response</w:t>
      </w:r>
    </w:p>
    <w:p w14:paraId="67B884B8" w14:textId="04881198" w:rsidR="00A835C3" w:rsidRDefault="00A835C3" w:rsidP="00A56CA1">
      <w:pPr>
        <w:pStyle w:val="ListBullet"/>
      </w:pPr>
      <w:r>
        <w:t>Dengue and Other Disease Mitigation through Mosquito Control in Tennant Creek</w:t>
      </w:r>
    </w:p>
    <w:p w14:paraId="2CC873B7" w14:textId="6D4FABEC" w:rsidR="00A835C3" w:rsidRDefault="00A835C3" w:rsidP="00A56CA1">
      <w:pPr>
        <w:pStyle w:val="ListBullet"/>
      </w:pPr>
      <w:r>
        <w:t>Elimination of Trachoma in Indigenous Communities</w:t>
      </w:r>
    </w:p>
    <w:p w14:paraId="210C0A66" w14:textId="3DA6ED7D" w:rsidR="00A835C3" w:rsidRDefault="00A835C3" w:rsidP="00A56CA1">
      <w:pPr>
        <w:pStyle w:val="ListBullet"/>
      </w:pPr>
      <w:r>
        <w:t>Essential Vaccines</w:t>
      </w:r>
    </w:p>
    <w:p w14:paraId="65F7B981" w14:textId="1FA508AE" w:rsidR="00A835C3" w:rsidRDefault="00A835C3" w:rsidP="00A56CA1">
      <w:pPr>
        <w:pStyle w:val="ListBullet"/>
      </w:pPr>
      <w:r>
        <w:t>Expansion of Clare Holland House</w:t>
      </w:r>
    </w:p>
    <w:p w14:paraId="6B946A85" w14:textId="640D85B9" w:rsidR="00A835C3" w:rsidRDefault="00A835C3" w:rsidP="00A56CA1">
      <w:pPr>
        <w:pStyle w:val="ListBullet"/>
      </w:pPr>
      <w:r>
        <w:t>Extension of Encouraging More Clinical Trials in Australia</w:t>
      </w:r>
    </w:p>
    <w:p w14:paraId="37C7564B" w14:textId="48463A2A" w:rsidR="00A835C3" w:rsidRDefault="00A835C3" w:rsidP="00A56CA1">
      <w:pPr>
        <w:pStyle w:val="ListBullet"/>
      </w:pPr>
      <w:r>
        <w:t>Fighting Cancer - Regional Cancer Treatment Centres for Radiation Therapy</w:t>
      </w:r>
    </w:p>
    <w:p w14:paraId="75465D53" w14:textId="599C6C1A" w:rsidR="00A835C3" w:rsidRDefault="00A835C3" w:rsidP="00A56CA1">
      <w:pPr>
        <w:pStyle w:val="ListBullet"/>
      </w:pPr>
      <w:r>
        <w:t xml:space="preserve">Health Infrastructure Projects in Western Australia </w:t>
      </w:r>
    </w:p>
    <w:p w14:paraId="50633168" w14:textId="589DEAFC" w:rsidR="00A835C3" w:rsidRDefault="00A835C3" w:rsidP="00A56CA1">
      <w:pPr>
        <w:pStyle w:val="ListBullet"/>
      </w:pPr>
      <w:r>
        <w:t>Home for the Matildas - high performance facility</w:t>
      </w:r>
    </w:p>
    <w:p w14:paraId="086B3C53" w14:textId="3E9435C2" w:rsidR="00A835C3" w:rsidRDefault="00A835C3" w:rsidP="00A56CA1">
      <w:pPr>
        <w:pStyle w:val="ListBullet"/>
      </w:pPr>
      <w:r>
        <w:t>Japanese Encephalitis Virus Mitigation through Mosquito Surveillance and Control</w:t>
      </w:r>
    </w:p>
    <w:p w14:paraId="14F5F1F4" w14:textId="4C27BF18" w:rsidR="00A835C3" w:rsidRDefault="00A835C3" w:rsidP="00A56CA1">
      <w:pPr>
        <w:pStyle w:val="ListBullet"/>
      </w:pPr>
      <w:r>
        <w:t>Japanese Encephalitis virus vaccines - intradermal administration clinical trial</w:t>
      </w:r>
    </w:p>
    <w:p w14:paraId="3A4FE127" w14:textId="0847BDB5" w:rsidR="00A835C3" w:rsidRDefault="00A835C3" w:rsidP="00A56CA1">
      <w:pPr>
        <w:pStyle w:val="ListBullet"/>
      </w:pPr>
      <w:r>
        <w:t>John Flynn Prevocational Doctor Program</w:t>
      </w:r>
    </w:p>
    <w:p w14:paraId="257D61E6" w14:textId="5BA4B624" w:rsidR="00A835C3" w:rsidRDefault="00A835C3" w:rsidP="00A56CA1">
      <w:pPr>
        <w:pStyle w:val="ListBullet"/>
      </w:pPr>
      <w:r>
        <w:t>Kangaroo Island Community Health Outreach Program</w:t>
      </w:r>
    </w:p>
    <w:p w14:paraId="56216808" w14:textId="212EDAAD" w:rsidR="00A835C3" w:rsidRDefault="00A835C3" w:rsidP="00A56CA1">
      <w:pPr>
        <w:pStyle w:val="ListBullet"/>
      </w:pPr>
      <w:r>
        <w:t>Lymphoedema Compression Garment Scheme</w:t>
      </w:r>
    </w:p>
    <w:p w14:paraId="6B9BF174" w14:textId="03A451E4" w:rsidR="00A835C3" w:rsidRDefault="00A835C3" w:rsidP="00A56CA1">
      <w:pPr>
        <w:pStyle w:val="ListBullet"/>
      </w:pPr>
      <w:r>
        <w:t>Managing Torres Strait/Papua New Guinea Cross Border Health Issues in the Torres Strait Islands</w:t>
      </w:r>
    </w:p>
    <w:p w14:paraId="588AE095" w14:textId="0A1A8A10" w:rsidR="00A835C3" w:rsidRDefault="00A835C3" w:rsidP="00A56CA1">
      <w:pPr>
        <w:pStyle w:val="ListBullet"/>
      </w:pPr>
      <w:r>
        <w:t>Medicare Urgent Care Clinics</w:t>
      </w:r>
    </w:p>
    <w:p w14:paraId="62D68E44" w14:textId="2CEDB5EE" w:rsidR="00A835C3" w:rsidRDefault="00A835C3" w:rsidP="00A56CA1">
      <w:pPr>
        <w:pStyle w:val="ListBullet"/>
      </w:pPr>
      <w:r>
        <w:t>Mental Health Emergency Supports for NSW</w:t>
      </w:r>
    </w:p>
    <w:p w14:paraId="5C1CB43F" w14:textId="7FEAA8C3" w:rsidR="00A835C3" w:rsidRDefault="00A835C3" w:rsidP="00A56CA1">
      <w:pPr>
        <w:pStyle w:val="ListBullet"/>
      </w:pPr>
      <w:r>
        <w:t>Mosquito Control in the Torres Strait Protected Zone</w:t>
      </w:r>
    </w:p>
    <w:p w14:paraId="543BC428" w14:textId="41C82443" w:rsidR="00A835C3" w:rsidRDefault="00A835C3" w:rsidP="00A56CA1">
      <w:pPr>
        <w:pStyle w:val="ListBullet"/>
      </w:pPr>
      <w:r>
        <w:t>National Bowel Cancer Screening Program - Participant Follow up Function</w:t>
      </w:r>
    </w:p>
    <w:p w14:paraId="13E10242" w14:textId="1D4DEA60" w:rsidR="00A835C3" w:rsidRDefault="00A835C3" w:rsidP="00A56CA1">
      <w:pPr>
        <w:pStyle w:val="ListBullet"/>
      </w:pPr>
      <w:r>
        <w:t>Operation of Hummingbird House</w:t>
      </w:r>
    </w:p>
    <w:p w14:paraId="3A205BA5" w14:textId="1AECBAC9" w:rsidR="00A835C3" w:rsidRDefault="00A835C3" w:rsidP="00A56CA1">
      <w:pPr>
        <w:pStyle w:val="ListBullet"/>
      </w:pPr>
      <w:r>
        <w:t>OzFoodNet Program</w:t>
      </w:r>
    </w:p>
    <w:p w14:paraId="06688F3A" w14:textId="089099B2" w:rsidR="00A835C3" w:rsidRDefault="00A835C3" w:rsidP="00A56CA1">
      <w:pPr>
        <w:pStyle w:val="ListBullet"/>
      </w:pPr>
      <w:r>
        <w:t>Palliative Care Services Navigation Pilot</w:t>
      </w:r>
    </w:p>
    <w:p w14:paraId="744B6614" w14:textId="705FABCB" w:rsidR="00A835C3" w:rsidRDefault="00A835C3" w:rsidP="00A56CA1">
      <w:pPr>
        <w:pStyle w:val="ListBullet"/>
      </w:pPr>
      <w:r>
        <w:t>Prevention of Avoidable Hospital Admissions, Obesity and Chronic Disease</w:t>
      </w:r>
    </w:p>
    <w:p w14:paraId="0B980E72" w14:textId="5B219606" w:rsidR="00A835C3" w:rsidRDefault="00A835C3" w:rsidP="00A56CA1">
      <w:pPr>
        <w:pStyle w:val="ListBullet"/>
      </w:pPr>
      <w:r>
        <w:t>Primary Care Pilot</w:t>
      </w:r>
    </w:p>
    <w:p w14:paraId="636EE495" w14:textId="3DF3A89E" w:rsidR="00A835C3" w:rsidRDefault="00A835C3" w:rsidP="00A56CA1">
      <w:pPr>
        <w:pStyle w:val="ListBullet"/>
      </w:pPr>
      <w:r>
        <w:t>Project Agreement for National Coronial Information System (NCIS)</w:t>
      </w:r>
    </w:p>
    <w:p w14:paraId="304418AC" w14:textId="40A26104" w:rsidR="00A835C3" w:rsidRDefault="00A835C3" w:rsidP="00A56CA1">
      <w:pPr>
        <w:pStyle w:val="ListBullet"/>
      </w:pPr>
      <w:r>
        <w:t>Proton Beam Facility</w:t>
      </w:r>
    </w:p>
    <w:p w14:paraId="3F735195" w14:textId="6E9819DF" w:rsidR="00A835C3" w:rsidRDefault="00A835C3" w:rsidP="00A56CA1">
      <w:pPr>
        <w:pStyle w:val="ListBullet"/>
      </w:pPr>
      <w:r>
        <w:t>Public Dental Services for Adults - 2022-23</w:t>
      </w:r>
    </w:p>
    <w:p w14:paraId="460D8577" w14:textId="248C7CFA" w:rsidR="00A835C3" w:rsidRDefault="00A835C3" w:rsidP="00A56CA1">
      <w:pPr>
        <w:pStyle w:val="ListBullet"/>
      </w:pPr>
      <w:r>
        <w:t>Queensland 2032 Olympic and Paralympic Games Candidature</w:t>
      </w:r>
    </w:p>
    <w:p w14:paraId="0FC5F2E3" w14:textId="5CB46FCA" w:rsidR="00A835C3" w:rsidRDefault="00A835C3" w:rsidP="00A56CA1">
      <w:pPr>
        <w:pStyle w:val="ListBullet"/>
      </w:pPr>
      <w:r>
        <w:t>Rheumatic Fever Strategy</w:t>
      </w:r>
    </w:p>
    <w:p w14:paraId="38039AF9" w14:textId="3179208F" w:rsidR="00A835C3" w:rsidRDefault="00A835C3" w:rsidP="00A56CA1">
      <w:pPr>
        <w:pStyle w:val="ListBullet"/>
      </w:pPr>
      <w:r>
        <w:t>Royal Darwin National Critical Care and Trauma Response Centre</w:t>
      </w:r>
    </w:p>
    <w:p w14:paraId="7D5D183F" w14:textId="32C617D7" w:rsidR="00A835C3" w:rsidRDefault="00A835C3" w:rsidP="00A56CA1">
      <w:pPr>
        <w:pStyle w:val="ListBullet"/>
      </w:pPr>
      <w:r>
        <w:t>South Australia Cancer Genomics Laboratory Establishment</w:t>
      </w:r>
    </w:p>
    <w:p w14:paraId="77782843" w14:textId="6DBC5290" w:rsidR="00A835C3" w:rsidRDefault="00A835C3" w:rsidP="00A56CA1">
      <w:pPr>
        <w:pStyle w:val="ListBullet"/>
      </w:pPr>
      <w:r>
        <w:t>South Australian Adult Mental Health Centre</w:t>
      </w:r>
    </w:p>
    <w:p w14:paraId="57AD8A73" w14:textId="74826890" w:rsidR="00A835C3" w:rsidRDefault="00A835C3" w:rsidP="00A56CA1">
      <w:pPr>
        <w:pStyle w:val="ListBullet"/>
      </w:pPr>
      <w:r>
        <w:t>Specialist Dementia Care Program - Phase One</w:t>
      </w:r>
    </w:p>
    <w:p w14:paraId="37A53E36" w14:textId="72807DF0" w:rsidR="00A835C3" w:rsidRDefault="00A835C3" w:rsidP="00A56CA1">
      <w:pPr>
        <w:pStyle w:val="ListBullet"/>
      </w:pPr>
      <w:r>
        <w:t>Stillbirth autopsies and Investigations</w:t>
      </w:r>
    </w:p>
    <w:p w14:paraId="7DB3444E" w14:textId="0F89E4BF" w:rsidR="00A835C3" w:rsidRDefault="00A835C3" w:rsidP="00A56CA1">
      <w:pPr>
        <w:pStyle w:val="ListBullet"/>
      </w:pPr>
      <w:r>
        <w:t>Surge Capacity for BreastScreen Australia</w:t>
      </w:r>
    </w:p>
    <w:p w14:paraId="61505387" w14:textId="3B617683" w:rsidR="00A835C3" w:rsidRDefault="00A835C3" w:rsidP="00A56CA1">
      <w:pPr>
        <w:pStyle w:val="ListBullet"/>
      </w:pPr>
      <w:r>
        <w:t>The Provision of COVID-19 Quarantine Arrangements at the Northern Territory Centre for National Resilience for Organised National Repatriation of Australians</w:t>
      </w:r>
    </w:p>
    <w:p w14:paraId="61A15129" w14:textId="671A33C2" w:rsidR="00A835C3" w:rsidRDefault="00A835C3" w:rsidP="00A56CA1">
      <w:pPr>
        <w:pStyle w:val="ListBullet"/>
      </w:pPr>
      <w:r>
        <w:t>Transfer of the Mersey Community Hospital</w:t>
      </w:r>
    </w:p>
    <w:p w14:paraId="04B37A0C" w14:textId="0E3AF212" w:rsidR="00A835C3" w:rsidRDefault="00A835C3" w:rsidP="00A56CA1">
      <w:pPr>
        <w:pStyle w:val="ListBullet"/>
      </w:pPr>
      <w:r>
        <w:t>Vaccine Preventable Diseases Surveillance</w:t>
      </w:r>
    </w:p>
    <w:p w14:paraId="745DE444" w14:textId="782E75F3" w:rsidR="00A835C3" w:rsidRDefault="00A835C3" w:rsidP="00A56CA1">
      <w:pPr>
        <w:pStyle w:val="ListBullet"/>
      </w:pPr>
      <w:r>
        <w:t>Western Australia Comprehensive Cancer Centre</w:t>
      </w:r>
    </w:p>
    <w:p w14:paraId="510AF099" w14:textId="43E373DD" w:rsidR="00A835C3" w:rsidRDefault="00A835C3" w:rsidP="00A56CA1">
      <w:pPr>
        <w:pStyle w:val="ListBullet"/>
      </w:pPr>
      <w:r>
        <w:t>Western Australian Hospital Infrastructure Package</w:t>
      </w:r>
    </w:p>
    <w:p w14:paraId="21D5894A" w14:textId="54E2D6DB" w:rsidR="007A47DB" w:rsidRDefault="00A835C3" w:rsidP="00A56CA1">
      <w:pPr>
        <w:pStyle w:val="ListBullet"/>
      </w:pPr>
      <w:r>
        <w:t>Worker Screening Design Support</w:t>
      </w:r>
    </w:p>
    <w:p w14:paraId="72862647" w14:textId="77777777" w:rsidR="00A56CA1" w:rsidRDefault="00A56CA1" w:rsidP="007A47DB">
      <w:pPr>
        <w:sectPr w:rsidR="00A56CA1" w:rsidSect="00D113E0">
          <w:type w:val="continuous"/>
          <w:pgSz w:w="11906" w:h="16838" w:code="9"/>
          <w:pgMar w:top="720" w:right="720" w:bottom="720" w:left="1276" w:header="680" w:footer="425" w:gutter="0"/>
          <w:cols w:num="2" w:space="12"/>
          <w:docGrid w:linePitch="360"/>
        </w:sectPr>
      </w:pPr>
    </w:p>
    <w:p w14:paraId="047ADEF4" w14:textId="0EA659B0" w:rsidR="00F3245F" w:rsidRDefault="006065F7" w:rsidP="0057185D">
      <w:pPr>
        <w:pStyle w:val="Appendixheading"/>
      </w:pPr>
      <w:bookmarkStart w:id="411" w:name="_Toc148968362"/>
      <w:bookmarkStart w:id="412" w:name="_Ref145599960"/>
      <w:r>
        <w:t>S</w:t>
      </w:r>
      <w:r w:rsidR="00420F2F" w:rsidRPr="00420F2F">
        <w:t>ummary of international developments on high value care and integrated funding systems</w:t>
      </w:r>
      <w:bookmarkEnd w:id="411"/>
    </w:p>
    <w:p w14:paraId="7095F527" w14:textId="396B2C6D" w:rsidR="00831BBA" w:rsidRPr="00A97309" w:rsidRDefault="00831BBA" w:rsidP="00C2024B">
      <w:pPr>
        <w:pStyle w:val="Caption"/>
      </w:pPr>
      <w:bookmarkStart w:id="413" w:name="_Toc148968376"/>
      <w:r w:rsidRPr="00A97309">
        <w:t xml:space="preserve">Table </w:t>
      </w:r>
      <w:r>
        <w:fldChar w:fldCharType="begin"/>
      </w:r>
      <w:r>
        <w:instrText xml:space="preserve"> SEQ Table \* ARABIC </w:instrText>
      </w:r>
      <w:r>
        <w:fldChar w:fldCharType="separate"/>
      </w:r>
      <w:r w:rsidR="003F5D51">
        <w:rPr>
          <w:noProof/>
        </w:rPr>
        <w:t>12</w:t>
      </w:r>
      <w:r>
        <w:rPr>
          <w:noProof/>
        </w:rPr>
        <w:fldChar w:fldCharType="end"/>
      </w:r>
      <w:r w:rsidRPr="00A97309">
        <w:t>:</w:t>
      </w:r>
      <w:r w:rsidR="00573C52">
        <w:t xml:space="preserve"> </w:t>
      </w:r>
      <w:r w:rsidR="00573C52" w:rsidRPr="00573C52">
        <w:t>High-level summary of international developments on high value care and integrated funding systems</w:t>
      </w:r>
      <w:bookmarkEnd w:id="413"/>
    </w:p>
    <w:tbl>
      <w:tblPr>
        <w:tblStyle w:val="Deloittetable"/>
        <w:tblW w:w="4971" w:type="pct"/>
        <w:tblLook w:val="04A0" w:firstRow="1" w:lastRow="0" w:firstColumn="1" w:lastColumn="0" w:noHBand="0" w:noVBand="1"/>
      </w:tblPr>
      <w:tblGrid>
        <w:gridCol w:w="1207"/>
        <w:gridCol w:w="14102"/>
      </w:tblGrid>
      <w:tr w:rsidR="00B25012" w:rsidRPr="00B25012" w14:paraId="068022C4" w14:textId="77777777" w:rsidTr="00573C52">
        <w:trPr>
          <w:cnfStyle w:val="100000000000" w:firstRow="1" w:lastRow="0" w:firstColumn="0" w:lastColumn="0" w:oddVBand="0" w:evenVBand="0" w:oddHBand="0" w:evenHBand="0" w:firstRowFirstColumn="0" w:firstRowLastColumn="0" w:lastRowFirstColumn="0" w:lastRowLastColumn="0"/>
          <w:tblHeader/>
        </w:trPr>
        <w:tc>
          <w:tcPr>
            <w:tcW w:w="278" w:type="pct"/>
            <w:tcBorders>
              <w:top w:val="single" w:sz="24" w:space="0" w:color="0097A9" w:themeColor="accent5"/>
              <w:bottom w:val="single" w:sz="8" w:space="0" w:color="D9D9D9"/>
            </w:tcBorders>
          </w:tcPr>
          <w:p w14:paraId="43EAC417" w14:textId="652DE6D5" w:rsidR="00831BBA" w:rsidRPr="00B25012" w:rsidRDefault="005433E7" w:rsidP="004F57C8">
            <w:pPr>
              <w:pStyle w:val="TableHeadingLeft"/>
              <w:spacing w:line="192" w:lineRule="auto"/>
              <w:rPr>
                <w:color w:val="00707E" w:themeColor="accent5" w:themeShade="BF"/>
                <w:sz w:val="18"/>
                <w:szCs w:val="18"/>
              </w:rPr>
            </w:pPr>
            <w:r w:rsidRPr="00B25012">
              <w:rPr>
                <w:color w:val="00707E" w:themeColor="accent5" w:themeShade="BF"/>
                <w:sz w:val="18"/>
                <w:szCs w:val="18"/>
              </w:rPr>
              <w:t>Country</w:t>
            </w:r>
          </w:p>
        </w:tc>
        <w:tc>
          <w:tcPr>
            <w:tcW w:w="4722" w:type="pct"/>
            <w:tcBorders>
              <w:top w:val="single" w:sz="24" w:space="0" w:color="0097A9" w:themeColor="accent5"/>
              <w:bottom w:val="single" w:sz="8" w:space="0" w:color="D9D9D9"/>
            </w:tcBorders>
          </w:tcPr>
          <w:p w14:paraId="3E7AC263" w14:textId="4BD6F039" w:rsidR="00831BBA" w:rsidRPr="00B25012" w:rsidRDefault="00573C52" w:rsidP="004F57C8">
            <w:pPr>
              <w:pStyle w:val="TableHeadingLeft"/>
              <w:spacing w:line="192" w:lineRule="auto"/>
              <w:rPr>
                <w:color w:val="00707E" w:themeColor="accent5" w:themeShade="BF"/>
                <w:sz w:val="18"/>
                <w:szCs w:val="18"/>
              </w:rPr>
            </w:pPr>
            <w:r w:rsidRPr="00B25012">
              <w:rPr>
                <w:color w:val="00707E" w:themeColor="accent5" w:themeShade="BF"/>
                <w:sz w:val="18"/>
                <w:szCs w:val="18"/>
              </w:rPr>
              <w:t>High-level summary</w:t>
            </w:r>
          </w:p>
        </w:tc>
      </w:tr>
      <w:tr w:rsidR="00831BBA" w:rsidRPr="00CD33BD" w14:paraId="37DFA818" w14:textId="77777777" w:rsidTr="00573C52">
        <w:trPr>
          <w:trHeight w:val="42"/>
        </w:trPr>
        <w:tc>
          <w:tcPr>
            <w:tcW w:w="278" w:type="pct"/>
            <w:tcBorders>
              <w:top w:val="single" w:sz="8" w:space="0" w:color="D9D9D9"/>
              <w:left w:val="nil"/>
              <w:bottom w:val="single" w:sz="8" w:space="0" w:color="D9D9D9"/>
              <w:right w:val="nil"/>
            </w:tcBorders>
            <w:shd w:val="clear" w:color="auto" w:fill="auto"/>
          </w:tcPr>
          <w:p w14:paraId="54C2787B" w14:textId="3A14E248" w:rsidR="00831BBA" w:rsidRPr="00C236C6" w:rsidRDefault="00573C52" w:rsidP="004F57C8">
            <w:pPr>
              <w:pStyle w:val="TabletextLeft"/>
              <w:spacing w:line="192" w:lineRule="auto"/>
              <w:rPr>
                <w:sz w:val="18"/>
                <w:szCs w:val="18"/>
              </w:rPr>
            </w:pPr>
            <w:r>
              <w:rPr>
                <w:sz w:val="18"/>
                <w:szCs w:val="18"/>
              </w:rPr>
              <w:t>Denmark</w:t>
            </w:r>
          </w:p>
        </w:tc>
        <w:tc>
          <w:tcPr>
            <w:tcW w:w="4722" w:type="pct"/>
            <w:tcBorders>
              <w:top w:val="single" w:sz="8" w:space="0" w:color="D9D9D9"/>
              <w:left w:val="nil"/>
              <w:bottom w:val="single" w:sz="8" w:space="0" w:color="D9D9D9"/>
              <w:right w:val="nil"/>
            </w:tcBorders>
            <w:shd w:val="clear" w:color="auto" w:fill="auto"/>
          </w:tcPr>
          <w:p w14:paraId="5694D61B" w14:textId="77777777" w:rsidR="00357B88" w:rsidRPr="00357B88" w:rsidRDefault="00357B88" w:rsidP="00A850C3">
            <w:pPr>
              <w:pStyle w:val="TabletextLeft"/>
              <w:numPr>
                <w:ilvl w:val="0"/>
                <w:numId w:val="41"/>
              </w:numPr>
              <w:spacing w:line="192" w:lineRule="auto"/>
              <w:ind w:left="420" w:hanging="283"/>
              <w:rPr>
                <w:sz w:val="18"/>
                <w:szCs w:val="18"/>
              </w:rPr>
            </w:pPr>
            <w:r w:rsidRPr="00357B88">
              <w:rPr>
                <w:sz w:val="18"/>
                <w:szCs w:val="18"/>
              </w:rPr>
              <w:t>Approximately 6-7 years ago Denmark revised their ABF model to remove unnecessary and low-value care. This approach was informed from the Choosing Wisely construct and materials from Canada.</w:t>
            </w:r>
          </w:p>
          <w:p w14:paraId="26E6B15D" w14:textId="77777777" w:rsidR="00357B88" w:rsidRPr="00357B88" w:rsidRDefault="00357B88" w:rsidP="00A850C3">
            <w:pPr>
              <w:pStyle w:val="TabletextLeft"/>
              <w:numPr>
                <w:ilvl w:val="0"/>
                <w:numId w:val="41"/>
              </w:numPr>
              <w:spacing w:line="192" w:lineRule="auto"/>
              <w:ind w:left="420" w:hanging="283"/>
              <w:rPr>
                <w:sz w:val="18"/>
                <w:szCs w:val="18"/>
              </w:rPr>
            </w:pPr>
            <w:r w:rsidRPr="00357B88">
              <w:rPr>
                <w:sz w:val="18"/>
                <w:szCs w:val="18"/>
              </w:rPr>
              <w:t>Hospitals are actively incentivised to proactively remove low-value care from their hospitals. This means that they are not financially penalised for avoided procedures or admissions. Their intention is to take a whole of system approach to the management of individual patients.</w:t>
            </w:r>
          </w:p>
          <w:p w14:paraId="4456253F" w14:textId="7B2EF14E" w:rsidR="00831BBA" w:rsidRPr="00C236C6" w:rsidRDefault="00357B88" w:rsidP="00A850C3">
            <w:pPr>
              <w:pStyle w:val="TabletextLeft"/>
              <w:numPr>
                <w:ilvl w:val="0"/>
                <w:numId w:val="41"/>
              </w:numPr>
              <w:spacing w:line="192" w:lineRule="auto"/>
              <w:ind w:left="420" w:hanging="283"/>
              <w:rPr>
                <w:sz w:val="18"/>
                <w:szCs w:val="18"/>
              </w:rPr>
            </w:pPr>
            <w:r w:rsidRPr="00357B88">
              <w:rPr>
                <w:sz w:val="18"/>
                <w:szCs w:val="18"/>
              </w:rPr>
              <w:t>They do acknowledge that they have an impending shortage of GPs in their primary care settings. As such, their focus currently is to embed the changes to low-value care into the established models of care.</w:t>
            </w:r>
          </w:p>
        </w:tc>
      </w:tr>
      <w:tr w:rsidR="00357B88" w:rsidRPr="00CD33BD" w14:paraId="4E22B925" w14:textId="77777777" w:rsidTr="00573C52">
        <w:trPr>
          <w:trHeight w:val="42"/>
        </w:trPr>
        <w:tc>
          <w:tcPr>
            <w:tcW w:w="278" w:type="pct"/>
            <w:tcBorders>
              <w:top w:val="single" w:sz="8" w:space="0" w:color="D9D9D9"/>
              <w:left w:val="nil"/>
              <w:bottom w:val="single" w:sz="8" w:space="0" w:color="D9D9D9"/>
              <w:right w:val="nil"/>
            </w:tcBorders>
            <w:shd w:val="clear" w:color="auto" w:fill="auto"/>
          </w:tcPr>
          <w:p w14:paraId="1F3517FA" w14:textId="1F1D5187" w:rsidR="00357B88" w:rsidRDefault="00357B88" w:rsidP="004F57C8">
            <w:pPr>
              <w:pStyle w:val="TabletextLeft"/>
              <w:spacing w:line="192" w:lineRule="auto"/>
              <w:rPr>
                <w:sz w:val="18"/>
                <w:szCs w:val="18"/>
              </w:rPr>
            </w:pPr>
            <w:r>
              <w:rPr>
                <w:sz w:val="18"/>
                <w:szCs w:val="18"/>
              </w:rPr>
              <w:t>USA</w:t>
            </w:r>
          </w:p>
        </w:tc>
        <w:tc>
          <w:tcPr>
            <w:tcW w:w="4722" w:type="pct"/>
            <w:tcBorders>
              <w:top w:val="single" w:sz="8" w:space="0" w:color="D9D9D9"/>
              <w:left w:val="nil"/>
              <w:bottom w:val="single" w:sz="8" w:space="0" w:color="D9D9D9"/>
              <w:right w:val="nil"/>
            </w:tcBorders>
            <w:shd w:val="clear" w:color="auto" w:fill="auto"/>
          </w:tcPr>
          <w:p w14:paraId="681BF8BB" w14:textId="77777777" w:rsidR="00BF1A99" w:rsidRPr="00BF1A99" w:rsidRDefault="00BF1A99" w:rsidP="00A850C3">
            <w:pPr>
              <w:pStyle w:val="TabletextLeft"/>
              <w:numPr>
                <w:ilvl w:val="0"/>
                <w:numId w:val="41"/>
              </w:numPr>
              <w:spacing w:line="192" w:lineRule="auto"/>
              <w:ind w:left="420" w:hanging="283"/>
              <w:rPr>
                <w:sz w:val="18"/>
                <w:szCs w:val="18"/>
              </w:rPr>
            </w:pPr>
            <w:r w:rsidRPr="00BF1A99">
              <w:rPr>
                <w:sz w:val="18"/>
                <w:szCs w:val="18"/>
              </w:rPr>
              <w:t xml:space="preserve">To maximise population health financial performance and align incentives to deliver both well and sick care, provider organisations are pushing to have 40% of their revenue managed under ‘value-based care’ contracts. </w:t>
            </w:r>
          </w:p>
          <w:p w14:paraId="142208EF" w14:textId="77777777" w:rsidR="00BF1A99" w:rsidRPr="00BF1A99" w:rsidRDefault="00BF1A99" w:rsidP="00A850C3">
            <w:pPr>
              <w:pStyle w:val="TabletextLeft"/>
              <w:numPr>
                <w:ilvl w:val="0"/>
                <w:numId w:val="41"/>
              </w:numPr>
              <w:spacing w:line="192" w:lineRule="auto"/>
              <w:ind w:left="420" w:hanging="283"/>
              <w:rPr>
                <w:sz w:val="18"/>
                <w:szCs w:val="18"/>
              </w:rPr>
            </w:pPr>
            <w:r w:rsidRPr="00BF1A99">
              <w:rPr>
                <w:sz w:val="18"/>
                <w:szCs w:val="18"/>
              </w:rPr>
              <w:t>The 40% mark is viewed as the ‘tipping point’ at which a hospital’s value-based care opportunities start to outweigh fee-for-service revenue reductions. Success within value-based care arrangements necessitates alignment of payer contracting and payment reform with care model transformation.</w:t>
            </w:r>
          </w:p>
          <w:p w14:paraId="52E59F72" w14:textId="13AC3547" w:rsidR="00357B88" w:rsidRPr="00357B88" w:rsidRDefault="00BF1A99" w:rsidP="00A850C3">
            <w:pPr>
              <w:pStyle w:val="TabletextLeft"/>
              <w:numPr>
                <w:ilvl w:val="0"/>
                <w:numId w:val="41"/>
              </w:numPr>
              <w:spacing w:line="192" w:lineRule="auto"/>
              <w:ind w:left="420" w:hanging="283"/>
              <w:rPr>
                <w:sz w:val="18"/>
                <w:szCs w:val="18"/>
              </w:rPr>
            </w:pPr>
            <w:r w:rsidRPr="00BF1A99">
              <w:rPr>
                <w:sz w:val="18"/>
                <w:szCs w:val="18"/>
              </w:rPr>
              <w:t>Evidence from the US has reported an association between ABF and: 1) shorter length of stays in acute care and 2) greater use of post-acute care</w:t>
            </w:r>
            <w:r>
              <w:rPr>
                <w:sz w:val="18"/>
                <w:szCs w:val="18"/>
              </w:rPr>
              <w:t>.</w:t>
            </w:r>
          </w:p>
        </w:tc>
      </w:tr>
      <w:tr w:rsidR="00BF1A99" w:rsidRPr="00CD33BD" w14:paraId="7C2C9ADC" w14:textId="77777777" w:rsidTr="00AA7A60">
        <w:trPr>
          <w:trHeight w:val="42"/>
        </w:trPr>
        <w:tc>
          <w:tcPr>
            <w:tcW w:w="278" w:type="pct"/>
            <w:tcBorders>
              <w:top w:val="single" w:sz="8" w:space="0" w:color="D9D9D9"/>
              <w:left w:val="nil"/>
              <w:bottom w:val="single" w:sz="8" w:space="0" w:color="D9D9D9"/>
              <w:right w:val="nil"/>
            </w:tcBorders>
            <w:shd w:val="clear" w:color="auto" w:fill="auto"/>
          </w:tcPr>
          <w:p w14:paraId="5EFC4194" w14:textId="28AEC0AE" w:rsidR="00BF1A99" w:rsidRDefault="00AA7A60" w:rsidP="004F57C8">
            <w:pPr>
              <w:pStyle w:val="TabletextLeft"/>
              <w:spacing w:line="192" w:lineRule="auto"/>
              <w:rPr>
                <w:sz w:val="18"/>
                <w:szCs w:val="18"/>
              </w:rPr>
            </w:pPr>
            <w:r>
              <w:rPr>
                <w:sz w:val="18"/>
                <w:szCs w:val="18"/>
              </w:rPr>
              <w:t>Netherlands</w:t>
            </w:r>
            <w:r w:rsidR="003F5D51">
              <w:rPr>
                <w:rFonts w:ascii="ZWAdobeF" w:hAnsi="ZWAdobeF" w:cs="ZWAdobeF"/>
                <w:sz w:val="2"/>
                <w:szCs w:val="2"/>
              </w:rPr>
              <w:t>179F</w:t>
            </w:r>
            <w:r w:rsidR="004B1D8D">
              <w:rPr>
                <w:rStyle w:val="FootnoteReference"/>
                <w:sz w:val="18"/>
                <w:szCs w:val="18"/>
              </w:rPr>
              <w:footnoteReference w:id="181"/>
            </w:r>
          </w:p>
        </w:tc>
        <w:tc>
          <w:tcPr>
            <w:tcW w:w="4722" w:type="pct"/>
            <w:tcBorders>
              <w:top w:val="single" w:sz="8" w:space="0" w:color="D9D9D9"/>
              <w:left w:val="nil"/>
              <w:bottom w:val="single" w:sz="8" w:space="0" w:color="D9D9D9"/>
              <w:right w:val="nil"/>
            </w:tcBorders>
            <w:shd w:val="clear" w:color="auto" w:fill="auto"/>
          </w:tcPr>
          <w:p w14:paraId="402A5D9C" w14:textId="55B15770" w:rsidR="00AA7A60" w:rsidRPr="00AA7A60" w:rsidRDefault="00AA7A60" w:rsidP="00A850C3">
            <w:pPr>
              <w:pStyle w:val="TabletextLeft"/>
              <w:numPr>
                <w:ilvl w:val="0"/>
                <w:numId w:val="41"/>
              </w:numPr>
              <w:spacing w:line="192" w:lineRule="auto"/>
              <w:ind w:left="420" w:hanging="283"/>
              <w:rPr>
                <w:sz w:val="18"/>
                <w:szCs w:val="18"/>
              </w:rPr>
            </w:pPr>
            <w:r w:rsidRPr="00AA7A60">
              <w:rPr>
                <w:sz w:val="18"/>
                <w:szCs w:val="18"/>
              </w:rPr>
              <w:t xml:space="preserve">The Dutch embarked upon a reform of their health care system in January 2006. Since </w:t>
            </w:r>
            <w:r w:rsidR="004A420D" w:rsidRPr="00AA7A60">
              <w:rPr>
                <w:sz w:val="18"/>
                <w:szCs w:val="18"/>
              </w:rPr>
              <w:t>then,</w:t>
            </w:r>
            <w:r w:rsidRPr="00AA7A60">
              <w:rPr>
                <w:sz w:val="18"/>
                <w:szCs w:val="18"/>
              </w:rPr>
              <w:t xml:space="preserve"> the Netherlands has functioned as a hybrid system that is both publicly and privately run (before 2006 it was mostly a public system), although strongly regulated by the government, which mandates and determines a basic insurance scheme for all citizens. </w:t>
            </w:r>
          </w:p>
          <w:p w14:paraId="0E6CBA1D" w14:textId="3456060F" w:rsidR="00BF1A99" w:rsidRPr="00BF1A99" w:rsidRDefault="00AA7A60" w:rsidP="00A850C3">
            <w:pPr>
              <w:pStyle w:val="TabletextLeft"/>
              <w:numPr>
                <w:ilvl w:val="0"/>
                <w:numId w:val="41"/>
              </w:numPr>
              <w:spacing w:line="192" w:lineRule="auto"/>
              <w:ind w:left="420" w:hanging="283"/>
              <w:rPr>
                <w:sz w:val="18"/>
                <w:szCs w:val="18"/>
              </w:rPr>
            </w:pPr>
            <w:r w:rsidRPr="00AA7A60">
              <w:rPr>
                <w:sz w:val="18"/>
                <w:szCs w:val="18"/>
              </w:rPr>
              <w:t>At Santeon, a collaboration of seven top clinical hospitals focusing on value based healthcare, a pilot program at one of the hospitals has resulted in a model with some, but not all, ‘Integrated Patient Units’ elements. At this point (at Nov 2020), the pilot involves teams responsible for four medical conditions; they are accountable for the quality outcomes but not for the financial side.</w:t>
            </w:r>
          </w:p>
        </w:tc>
      </w:tr>
      <w:tr w:rsidR="00AA7A60" w:rsidRPr="00CD33BD" w14:paraId="07910DE5" w14:textId="77777777" w:rsidTr="00AA7A60">
        <w:trPr>
          <w:trHeight w:val="42"/>
        </w:trPr>
        <w:tc>
          <w:tcPr>
            <w:tcW w:w="278" w:type="pct"/>
            <w:tcBorders>
              <w:top w:val="single" w:sz="8" w:space="0" w:color="D9D9D9"/>
              <w:left w:val="nil"/>
              <w:bottom w:val="single" w:sz="8" w:space="0" w:color="D9D9D9"/>
              <w:right w:val="nil"/>
            </w:tcBorders>
            <w:shd w:val="clear" w:color="auto" w:fill="auto"/>
          </w:tcPr>
          <w:p w14:paraId="491B235F" w14:textId="532292D3" w:rsidR="00AA7A60" w:rsidRDefault="00AA7A60" w:rsidP="004F57C8">
            <w:pPr>
              <w:pStyle w:val="TabletextLeft"/>
              <w:spacing w:line="192" w:lineRule="auto"/>
              <w:rPr>
                <w:sz w:val="18"/>
                <w:szCs w:val="18"/>
              </w:rPr>
            </w:pPr>
            <w:r>
              <w:rPr>
                <w:sz w:val="18"/>
                <w:szCs w:val="18"/>
              </w:rPr>
              <w:t>Norway</w:t>
            </w:r>
            <w:r w:rsidR="003F5D51">
              <w:rPr>
                <w:rFonts w:ascii="ZWAdobeF" w:hAnsi="ZWAdobeF" w:cs="ZWAdobeF"/>
                <w:sz w:val="2"/>
                <w:szCs w:val="2"/>
              </w:rPr>
              <w:t>180F</w:t>
            </w:r>
            <w:r w:rsidR="00725B44">
              <w:rPr>
                <w:rStyle w:val="FootnoteReference"/>
                <w:sz w:val="18"/>
                <w:szCs w:val="18"/>
              </w:rPr>
              <w:footnoteReference w:id="182"/>
            </w:r>
          </w:p>
        </w:tc>
        <w:tc>
          <w:tcPr>
            <w:tcW w:w="4722" w:type="pct"/>
            <w:tcBorders>
              <w:top w:val="single" w:sz="8" w:space="0" w:color="D9D9D9"/>
              <w:left w:val="nil"/>
              <w:bottom w:val="single" w:sz="8" w:space="0" w:color="D9D9D9"/>
              <w:right w:val="nil"/>
            </w:tcBorders>
            <w:shd w:val="clear" w:color="auto" w:fill="auto"/>
          </w:tcPr>
          <w:p w14:paraId="70DC083D" w14:textId="77777777" w:rsidR="006E7B97" w:rsidRPr="006E7B97" w:rsidRDefault="006E7B97" w:rsidP="00A850C3">
            <w:pPr>
              <w:pStyle w:val="TabletextLeft"/>
              <w:numPr>
                <w:ilvl w:val="0"/>
                <w:numId w:val="41"/>
              </w:numPr>
              <w:spacing w:line="192" w:lineRule="auto"/>
              <w:ind w:left="420" w:hanging="283"/>
              <w:rPr>
                <w:sz w:val="18"/>
                <w:szCs w:val="18"/>
              </w:rPr>
            </w:pPr>
            <w:r w:rsidRPr="006E7B97">
              <w:rPr>
                <w:sz w:val="18"/>
                <w:szCs w:val="18"/>
              </w:rPr>
              <w:t>In Norway, mandatory bundled payments contracts for dialysis and four high-cost treatment programs were introduced in 2019 on a national level.</w:t>
            </w:r>
          </w:p>
          <w:p w14:paraId="4434F01D" w14:textId="77777777" w:rsidR="006E7B97" w:rsidRPr="006E7B97" w:rsidRDefault="006E7B97" w:rsidP="00A850C3">
            <w:pPr>
              <w:pStyle w:val="TabletextLeft"/>
              <w:numPr>
                <w:ilvl w:val="0"/>
                <w:numId w:val="41"/>
              </w:numPr>
              <w:spacing w:line="192" w:lineRule="auto"/>
              <w:ind w:left="420" w:hanging="283"/>
              <w:rPr>
                <w:sz w:val="18"/>
                <w:szCs w:val="18"/>
              </w:rPr>
            </w:pPr>
            <w:r w:rsidRPr="006E7B97">
              <w:rPr>
                <w:sz w:val="18"/>
                <w:szCs w:val="18"/>
              </w:rPr>
              <w:t>In 2020, the very first procedure-based bundle for hip replacement was implemented, including surgery, hospital stay, and hospital follow-up visits.</w:t>
            </w:r>
          </w:p>
          <w:p w14:paraId="3DEC6E5D" w14:textId="77777777" w:rsidR="006E7B97" w:rsidRPr="006E7B97" w:rsidRDefault="006E7B97" w:rsidP="00A850C3">
            <w:pPr>
              <w:pStyle w:val="TabletextLeft"/>
              <w:numPr>
                <w:ilvl w:val="0"/>
                <w:numId w:val="41"/>
              </w:numPr>
              <w:spacing w:line="192" w:lineRule="auto"/>
              <w:ind w:left="420" w:hanging="283"/>
              <w:rPr>
                <w:sz w:val="18"/>
                <w:szCs w:val="18"/>
              </w:rPr>
            </w:pPr>
            <w:r w:rsidRPr="006E7B97">
              <w:rPr>
                <w:sz w:val="18"/>
                <w:szCs w:val="18"/>
              </w:rPr>
              <w:t>Rehabilitation and post-acute care are left out to reduce risk for participants and to secure a controlled implementation within hospital setting.</w:t>
            </w:r>
          </w:p>
          <w:p w14:paraId="3252B9DB" w14:textId="77777777" w:rsidR="006E7B97" w:rsidRPr="006E7B97" w:rsidRDefault="006E7B97" w:rsidP="00A850C3">
            <w:pPr>
              <w:pStyle w:val="TabletextLeft"/>
              <w:numPr>
                <w:ilvl w:val="0"/>
                <w:numId w:val="41"/>
              </w:numPr>
              <w:spacing w:line="192" w:lineRule="auto"/>
              <w:ind w:left="420" w:hanging="283"/>
              <w:rPr>
                <w:sz w:val="18"/>
                <w:szCs w:val="18"/>
              </w:rPr>
            </w:pPr>
            <w:r w:rsidRPr="006E7B97">
              <w:rPr>
                <w:sz w:val="18"/>
                <w:szCs w:val="18"/>
              </w:rPr>
              <w:t>In Norway, to promote the integration of specialty care (managed by the four Regional Health Authorities) and primary care (overseen by municipalities), the national government introduced reforms in 2008 and implemented several national plans. The key element of the reform was to make the municipalities more economically accountable for patients after discharge from specialised care, incentivising shorter hospital stays and a closer follow-up of patients post discharge.</w:t>
            </w:r>
          </w:p>
          <w:p w14:paraId="2AB0D8C2" w14:textId="77777777" w:rsidR="006E7B97" w:rsidRPr="006E7B97" w:rsidRDefault="006E7B97" w:rsidP="00A850C3">
            <w:pPr>
              <w:pStyle w:val="TabletextLeft"/>
              <w:numPr>
                <w:ilvl w:val="0"/>
                <w:numId w:val="41"/>
              </w:numPr>
              <w:spacing w:line="192" w:lineRule="auto"/>
              <w:ind w:left="420" w:hanging="283"/>
              <w:rPr>
                <w:sz w:val="18"/>
                <w:szCs w:val="18"/>
              </w:rPr>
            </w:pPr>
            <w:r w:rsidRPr="006E7B97">
              <w:rPr>
                <w:sz w:val="18"/>
                <w:szCs w:val="18"/>
              </w:rPr>
              <w:t xml:space="preserve">The reform has been heavily debated, as municipalities have struggled with capacity and to provide good enough care for high-need, high-cost patients. </w:t>
            </w:r>
          </w:p>
          <w:p w14:paraId="3128DC1D" w14:textId="5D7847EB" w:rsidR="00AA7A60" w:rsidRPr="00AA7A60" w:rsidRDefault="006E7B97" w:rsidP="00A850C3">
            <w:pPr>
              <w:pStyle w:val="TabletextLeft"/>
              <w:numPr>
                <w:ilvl w:val="0"/>
                <w:numId w:val="41"/>
              </w:numPr>
              <w:spacing w:line="192" w:lineRule="auto"/>
              <w:ind w:left="420" w:hanging="283"/>
              <w:rPr>
                <w:sz w:val="18"/>
                <w:szCs w:val="18"/>
              </w:rPr>
            </w:pPr>
            <w:r w:rsidRPr="006E7B97">
              <w:rPr>
                <w:sz w:val="18"/>
                <w:szCs w:val="18"/>
              </w:rPr>
              <w:t>The Norwegian government has just launched a collaboration program between local hospitals and primary care centers in nearby municipalities.</w:t>
            </w:r>
          </w:p>
        </w:tc>
      </w:tr>
      <w:tr w:rsidR="006E7B97" w:rsidRPr="00CD33BD" w14:paraId="0081DC6F" w14:textId="77777777" w:rsidTr="004F57C8">
        <w:trPr>
          <w:trHeight w:val="25"/>
        </w:trPr>
        <w:tc>
          <w:tcPr>
            <w:tcW w:w="278" w:type="pct"/>
            <w:tcBorders>
              <w:top w:val="single" w:sz="8" w:space="0" w:color="D9D9D9"/>
              <w:left w:val="nil"/>
              <w:bottom w:val="single" w:sz="8" w:space="0" w:color="D9D9D9"/>
              <w:right w:val="nil"/>
            </w:tcBorders>
            <w:shd w:val="clear" w:color="auto" w:fill="auto"/>
          </w:tcPr>
          <w:p w14:paraId="19743D3D" w14:textId="70678AA8" w:rsidR="006E7B97" w:rsidRDefault="006E7B97" w:rsidP="004F57C8">
            <w:pPr>
              <w:pStyle w:val="TabletextLeft"/>
              <w:spacing w:line="192" w:lineRule="auto"/>
              <w:rPr>
                <w:sz w:val="18"/>
                <w:szCs w:val="18"/>
              </w:rPr>
            </w:pPr>
            <w:r>
              <w:rPr>
                <w:sz w:val="18"/>
                <w:szCs w:val="18"/>
              </w:rPr>
              <w:t>England</w:t>
            </w:r>
            <w:r w:rsidR="003F5D51">
              <w:rPr>
                <w:rFonts w:ascii="ZWAdobeF" w:hAnsi="ZWAdobeF" w:cs="ZWAdobeF"/>
                <w:sz w:val="2"/>
                <w:szCs w:val="2"/>
              </w:rPr>
              <w:t>181F</w:t>
            </w:r>
            <w:r w:rsidR="00F86F12">
              <w:rPr>
                <w:rStyle w:val="FootnoteReference"/>
                <w:sz w:val="18"/>
                <w:szCs w:val="18"/>
              </w:rPr>
              <w:footnoteReference w:id="183"/>
            </w:r>
          </w:p>
        </w:tc>
        <w:tc>
          <w:tcPr>
            <w:tcW w:w="4722" w:type="pct"/>
            <w:tcBorders>
              <w:top w:val="single" w:sz="8" w:space="0" w:color="D9D9D9"/>
              <w:left w:val="nil"/>
              <w:bottom w:val="single" w:sz="8" w:space="0" w:color="D9D9D9"/>
              <w:right w:val="nil"/>
            </w:tcBorders>
            <w:shd w:val="clear" w:color="auto" w:fill="auto"/>
          </w:tcPr>
          <w:p w14:paraId="27E96CAD" w14:textId="77777777" w:rsidR="004B1D8D" w:rsidRPr="004B1D8D" w:rsidRDefault="004B1D8D" w:rsidP="00A850C3">
            <w:pPr>
              <w:pStyle w:val="TabletextLeft"/>
              <w:numPr>
                <w:ilvl w:val="0"/>
                <w:numId w:val="41"/>
              </w:numPr>
              <w:spacing w:line="192" w:lineRule="auto"/>
              <w:ind w:left="420" w:hanging="283"/>
              <w:rPr>
                <w:sz w:val="18"/>
                <w:szCs w:val="18"/>
              </w:rPr>
            </w:pPr>
            <w:r w:rsidRPr="004B1D8D">
              <w:rPr>
                <w:sz w:val="18"/>
                <w:szCs w:val="18"/>
              </w:rPr>
              <w:t>NHS England has not widely introduced bundled payments yet but does work with a payment scheme — known as the best practice tariffs (BPT) — that rewards providers who deliver high-quality care through predefined patient-pathways.</w:t>
            </w:r>
          </w:p>
          <w:p w14:paraId="1B5E0210" w14:textId="40FAEF6E" w:rsidR="006E7B97" w:rsidRPr="006E7B97" w:rsidRDefault="004B1D8D" w:rsidP="00A850C3">
            <w:pPr>
              <w:pStyle w:val="TabletextLeft"/>
              <w:numPr>
                <w:ilvl w:val="0"/>
                <w:numId w:val="41"/>
              </w:numPr>
              <w:spacing w:line="192" w:lineRule="auto"/>
              <w:ind w:left="420" w:hanging="283"/>
              <w:rPr>
                <w:sz w:val="18"/>
                <w:szCs w:val="18"/>
              </w:rPr>
            </w:pPr>
            <w:r w:rsidRPr="004B1D8D">
              <w:rPr>
                <w:sz w:val="18"/>
                <w:szCs w:val="18"/>
              </w:rPr>
              <w:t>The goal of BPT is to reduce clinical variation by promoting the adoption of best practices. In this scheme, the NHS defined a set of criteria for various conditions (so far 22) that are likely to result in improvements in care processes from admission to discharge. Providers who participate in the BPT scheme receive a somewhat lower base rate for a procedure and, if they meet all the criteria, they receive additional funding that, by far, offsets the base rate reduction. There are also fines for breaching indicators of quality of care, e.g., unplanned readmissions within 30 days of previous discharge.</w:t>
            </w:r>
          </w:p>
        </w:tc>
      </w:tr>
    </w:tbl>
    <w:p w14:paraId="2F0DEA68" w14:textId="77777777" w:rsidR="008B5789" w:rsidRDefault="008B5789" w:rsidP="008B5789">
      <w:bookmarkStart w:id="414" w:name="_Ref145599753"/>
      <w:bookmarkEnd w:id="412"/>
    </w:p>
    <w:p w14:paraId="28155F6F" w14:textId="1EB208F2" w:rsidR="005F7E6A" w:rsidRDefault="005F7E6A" w:rsidP="0057185D">
      <w:pPr>
        <w:pStyle w:val="Appendixheading"/>
      </w:pPr>
      <w:bookmarkStart w:id="415" w:name="_Ref148605868"/>
      <w:bookmarkStart w:id="416" w:name="_Toc148968363"/>
      <w:r w:rsidRPr="009A1339">
        <w:t xml:space="preserve">NHRA Interim Quantitative Performance Framework </w:t>
      </w:r>
      <w:r>
        <w:t xml:space="preserve">themes and </w:t>
      </w:r>
      <w:bookmarkEnd w:id="407"/>
      <w:bookmarkEnd w:id="408"/>
      <w:r>
        <w:t>indic</w:t>
      </w:r>
      <w:r w:rsidR="00C27273">
        <w:t>a</w:t>
      </w:r>
      <w:r>
        <w:t>tors</w:t>
      </w:r>
      <w:bookmarkEnd w:id="414"/>
      <w:bookmarkEnd w:id="415"/>
      <w:bookmarkEnd w:id="416"/>
    </w:p>
    <w:p w14:paraId="56FAE623" w14:textId="45E810C0" w:rsidR="005F7E6A" w:rsidRPr="00A97309" w:rsidRDefault="005F7E6A" w:rsidP="00C2024B">
      <w:pPr>
        <w:pStyle w:val="Caption"/>
      </w:pPr>
      <w:bookmarkStart w:id="417" w:name="_Toc148968377"/>
      <w:r w:rsidRPr="00A97309">
        <w:t xml:space="preserve">Table </w:t>
      </w:r>
      <w:r>
        <w:fldChar w:fldCharType="begin"/>
      </w:r>
      <w:r>
        <w:instrText xml:space="preserve"> SEQ Table \* ARABIC </w:instrText>
      </w:r>
      <w:r>
        <w:fldChar w:fldCharType="separate"/>
      </w:r>
      <w:r w:rsidR="003F5D51">
        <w:rPr>
          <w:noProof/>
        </w:rPr>
        <w:t>13</w:t>
      </w:r>
      <w:r>
        <w:rPr>
          <w:noProof/>
        </w:rPr>
        <w:fldChar w:fldCharType="end"/>
      </w:r>
      <w:r w:rsidRPr="00A97309">
        <w:t xml:space="preserve">: </w:t>
      </w:r>
      <w:r w:rsidRPr="00CE6044">
        <w:t>NHRA Interim Quantitative Performance Framework themes and indictors</w:t>
      </w:r>
      <w:bookmarkEnd w:id="417"/>
    </w:p>
    <w:tbl>
      <w:tblPr>
        <w:tblStyle w:val="Deloittetable"/>
        <w:tblW w:w="5000" w:type="pct"/>
        <w:tblLayout w:type="fixed"/>
        <w:tblLook w:val="04A0" w:firstRow="1" w:lastRow="0" w:firstColumn="1" w:lastColumn="0" w:noHBand="0" w:noVBand="1"/>
      </w:tblPr>
      <w:tblGrid>
        <w:gridCol w:w="1133"/>
        <w:gridCol w:w="1420"/>
        <w:gridCol w:w="6378"/>
        <w:gridCol w:w="6467"/>
      </w:tblGrid>
      <w:tr w:rsidR="00B25012" w:rsidRPr="00B25012" w14:paraId="110ABC46" w14:textId="77777777" w:rsidTr="00FE5417">
        <w:trPr>
          <w:cnfStyle w:val="100000000000" w:firstRow="1" w:lastRow="0" w:firstColumn="0" w:lastColumn="0" w:oddVBand="0" w:evenVBand="0" w:oddHBand="0" w:evenHBand="0" w:firstRowFirstColumn="0" w:firstRowLastColumn="0" w:lastRowFirstColumn="0" w:lastRowLastColumn="0"/>
          <w:tblHeader/>
        </w:trPr>
        <w:tc>
          <w:tcPr>
            <w:tcW w:w="368" w:type="pct"/>
            <w:tcBorders>
              <w:top w:val="single" w:sz="24" w:space="0" w:color="0097A9" w:themeColor="accent5"/>
              <w:bottom w:val="single" w:sz="8" w:space="0" w:color="D9D9D9"/>
            </w:tcBorders>
          </w:tcPr>
          <w:p w14:paraId="1977B996" w14:textId="77777777" w:rsidR="001121C3" w:rsidRPr="00B25012" w:rsidRDefault="001121C3" w:rsidP="00FE5417">
            <w:pPr>
              <w:pStyle w:val="TableHeadingLeft"/>
              <w:spacing w:line="216" w:lineRule="auto"/>
              <w:rPr>
                <w:color w:val="00707E" w:themeColor="accent5" w:themeShade="BF"/>
                <w:sz w:val="18"/>
                <w:szCs w:val="18"/>
              </w:rPr>
            </w:pPr>
            <w:bookmarkStart w:id="418" w:name="_Ref144390586"/>
            <w:r w:rsidRPr="00B25012">
              <w:rPr>
                <w:color w:val="00707E" w:themeColor="accent5" w:themeShade="BF"/>
                <w:sz w:val="18"/>
                <w:szCs w:val="18"/>
              </w:rPr>
              <w:t>Theme</w:t>
            </w:r>
          </w:p>
        </w:tc>
        <w:tc>
          <w:tcPr>
            <w:tcW w:w="461" w:type="pct"/>
            <w:tcBorders>
              <w:top w:val="single" w:sz="24" w:space="0" w:color="0097A9" w:themeColor="accent5"/>
              <w:bottom w:val="single" w:sz="8" w:space="0" w:color="D9D9D9"/>
            </w:tcBorders>
          </w:tcPr>
          <w:p w14:paraId="211763A5" w14:textId="77777777" w:rsidR="001121C3" w:rsidRPr="00B25012" w:rsidRDefault="001121C3" w:rsidP="00FE5417">
            <w:pPr>
              <w:pStyle w:val="TableHeadingLeft"/>
              <w:spacing w:line="216" w:lineRule="auto"/>
              <w:rPr>
                <w:color w:val="00707E" w:themeColor="accent5" w:themeShade="BF"/>
                <w:sz w:val="18"/>
                <w:szCs w:val="18"/>
              </w:rPr>
            </w:pPr>
            <w:r w:rsidRPr="00B25012">
              <w:rPr>
                <w:color w:val="00707E" w:themeColor="accent5" w:themeShade="BF"/>
                <w:sz w:val="18"/>
                <w:szCs w:val="18"/>
              </w:rPr>
              <w:t>Sub-Theme</w:t>
            </w:r>
          </w:p>
        </w:tc>
        <w:tc>
          <w:tcPr>
            <w:tcW w:w="2071" w:type="pct"/>
            <w:tcBorders>
              <w:top w:val="single" w:sz="24" w:space="0" w:color="0097A9" w:themeColor="accent5"/>
              <w:bottom w:val="single" w:sz="8" w:space="0" w:color="D9D9D9"/>
            </w:tcBorders>
          </w:tcPr>
          <w:p w14:paraId="1956749B" w14:textId="77777777" w:rsidR="001121C3" w:rsidRPr="00B25012" w:rsidRDefault="001121C3" w:rsidP="00FE5417">
            <w:pPr>
              <w:pStyle w:val="TableHeadingLeft"/>
              <w:spacing w:line="216" w:lineRule="auto"/>
              <w:rPr>
                <w:color w:val="00707E" w:themeColor="accent5" w:themeShade="BF"/>
                <w:sz w:val="18"/>
                <w:szCs w:val="18"/>
              </w:rPr>
            </w:pPr>
            <w:r w:rsidRPr="00B25012">
              <w:rPr>
                <w:color w:val="00707E" w:themeColor="accent5" w:themeShade="BF"/>
                <w:sz w:val="18"/>
                <w:szCs w:val="18"/>
              </w:rPr>
              <w:t>Indicator measure</w:t>
            </w:r>
          </w:p>
        </w:tc>
        <w:tc>
          <w:tcPr>
            <w:tcW w:w="2100" w:type="pct"/>
            <w:tcBorders>
              <w:top w:val="single" w:sz="24" w:space="0" w:color="0097A9" w:themeColor="accent5"/>
              <w:bottom w:val="single" w:sz="8" w:space="0" w:color="D9D9D9"/>
            </w:tcBorders>
          </w:tcPr>
          <w:p w14:paraId="24C4129C" w14:textId="77777777" w:rsidR="001121C3" w:rsidRPr="00B25012" w:rsidRDefault="001121C3" w:rsidP="00FE5417">
            <w:pPr>
              <w:pStyle w:val="TableHeadingLeft"/>
              <w:spacing w:line="216" w:lineRule="auto"/>
              <w:rPr>
                <w:color w:val="00707E" w:themeColor="accent5" w:themeShade="BF"/>
                <w:sz w:val="18"/>
                <w:szCs w:val="18"/>
              </w:rPr>
            </w:pPr>
            <w:r w:rsidRPr="00B25012">
              <w:rPr>
                <w:color w:val="00707E" w:themeColor="accent5" w:themeShade="BF"/>
                <w:sz w:val="18"/>
                <w:szCs w:val="18"/>
              </w:rPr>
              <w:t>Measure purpose</w:t>
            </w:r>
          </w:p>
        </w:tc>
      </w:tr>
      <w:tr w:rsidR="00FE5417" w:rsidRPr="00FE5417" w14:paraId="44C31651" w14:textId="77777777" w:rsidTr="00FE5417">
        <w:trPr>
          <w:trHeight w:val="42"/>
        </w:trPr>
        <w:tc>
          <w:tcPr>
            <w:tcW w:w="368" w:type="pct"/>
            <w:vMerge w:val="restart"/>
            <w:tcBorders>
              <w:top w:val="single" w:sz="8" w:space="0" w:color="D9D9D9"/>
              <w:left w:val="nil"/>
              <w:right w:val="nil"/>
            </w:tcBorders>
          </w:tcPr>
          <w:p w14:paraId="63E5757C" w14:textId="77777777" w:rsidR="001121C3" w:rsidRPr="00FE5417" w:rsidRDefault="001121C3" w:rsidP="00FE5417">
            <w:pPr>
              <w:pStyle w:val="TabletextLeft"/>
              <w:spacing w:line="216" w:lineRule="auto"/>
              <w:rPr>
                <w:sz w:val="18"/>
                <w:szCs w:val="18"/>
              </w:rPr>
            </w:pPr>
            <w:r w:rsidRPr="00FE5417">
              <w:rPr>
                <w:sz w:val="18"/>
                <w:szCs w:val="18"/>
              </w:rPr>
              <w:t>Equity</w:t>
            </w:r>
          </w:p>
        </w:tc>
        <w:tc>
          <w:tcPr>
            <w:tcW w:w="461" w:type="pct"/>
            <w:vMerge w:val="restart"/>
            <w:tcBorders>
              <w:top w:val="single" w:sz="8" w:space="0" w:color="D9D9D9"/>
              <w:left w:val="nil"/>
              <w:right w:val="nil"/>
            </w:tcBorders>
            <w:shd w:val="clear" w:color="auto" w:fill="auto"/>
          </w:tcPr>
          <w:p w14:paraId="74D90EC1" w14:textId="77777777" w:rsidR="001121C3" w:rsidRPr="00FE5417" w:rsidRDefault="001121C3" w:rsidP="00FE5417">
            <w:pPr>
              <w:pStyle w:val="TabletextLeft"/>
              <w:spacing w:line="216" w:lineRule="auto"/>
              <w:rPr>
                <w:sz w:val="18"/>
                <w:szCs w:val="18"/>
              </w:rPr>
            </w:pPr>
            <w:r w:rsidRPr="00FE5417">
              <w:rPr>
                <w:sz w:val="18"/>
                <w:szCs w:val="18"/>
              </w:rPr>
              <w:t>Rural and remote</w:t>
            </w:r>
          </w:p>
        </w:tc>
        <w:tc>
          <w:tcPr>
            <w:tcW w:w="2071" w:type="pct"/>
            <w:tcBorders>
              <w:top w:val="single" w:sz="8" w:space="0" w:color="D9D9D9"/>
              <w:left w:val="nil"/>
              <w:bottom w:val="single" w:sz="8" w:space="0" w:color="D9D9D9"/>
              <w:right w:val="nil"/>
            </w:tcBorders>
            <w:shd w:val="clear" w:color="auto" w:fill="auto"/>
          </w:tcPr>
          <w:p w14:paraId="4617F3DB" w14:textId="77777777" w:rsidR="001121C3" w:rsidRPr="00FE5417" w:rsidRDefault="001121C3" w:rsidP="00FE5417">
            <w:pPr>
              <w:pStyle w:val="TabletextLeft"/>
              <w:spacing w:line="216" w:lineRule="auto"/>
              <w:rPr>
                <w:sz w:val="18"/>
                <w:szCs w:val="18"/>
              </w:rPr>
            </w:pPr>
            <w:r w:rsidRPr="00FE5417">
              <w:rPr>
                <w:sz w:val="18"/>
                <w:szCs w:val="18"/>
              </w:rPr>
              <w:t xml:space="preserve">Ratio of hospital beds in rural/regional/metro areas per 1,000 total population and per 1,000 aged 65+ over time </w:t>
            </w:r>
          </w:p>
        </w:tc>
        <w:tc>
          <w:tcPr>
            <w:tcW w:w="2100" w:type="pct"/>
            <w:tcBorders>
              <w:top w:val="single" w:sz="8" w:space="0" w:color="D9D9D9"/>
              <w:left w:val="nil"/>
              <w:bottom w:val="single" w:sz="8" w:space="0" w:color="D9D9D9"/>
              <w:right w:val="nil"/>
            </w:tcBorders>
            <w:shd w:val="clear" w:color="auto" w:fill="auto"/>
          </w:tcPr>
          <w:p w14:paraId="1FF2E836" w14:textId="77777777" w:rsidR="001121C3" w:rsidRPr="00FE5417" w:rsidRDefault="001121C3" w:rsidP="00FE5417">
            <w:pPr>
              <w:pStyle w:val="TabletextLeft"/>
              <w:spacing w:line="216" w:lineRule="auto"/>
              <w:rPr>
                <w:sz w:val="18"/>
                <w:szCs w:val="18"/>
              </w:rPr>
            </w:pPr>
            <w:r w:rsidRPr="00FE5417">
              <w:rPr>
                <w:color w:val="000000"/>
                <w:sz w:val="18"/>
                <w:szCs w:val="18"/>
              </w:rPr>
              <w:t>Is there an equitable distribution of hospital beds and health workforce?</w:t>
            </w:r>
          </w:p>
        </w:tc>
      </w:tr>
      <w:tr w:rsidR="00FE5417" w:rsidRPr="00FE5417" w14:paraId="03777F5B" w14:textId="77777777" w:rsidTr="00FE5417">
        <w:trPr>
          <w:trHeight w:val="42"/>
        </w:trPr>
        <w:tc>
          <w:tcPr>
            <w:tcW w:w="368" w:type="pct"/>
            <w:vMerge/>
            <w:tcBorders>
              <w:left w:val="nil"/>
              <w:right w:val="nil"/>
            </w:tcBorders>
          </w:tcPr>
          <w:p w14:paraId="0B3BEBD5" w14:textId="77777777" w:rsidR="001121C3" w:rsidRPr="00FE5417" w:rsidRDefault="001121C3" w:rsidP="00FE5417">
            <w:pPr>
              <w:pStyle w:val="TabletextLeft"/>
              <w:spacing w:line="216" w:lineRule="auto"/>
              <w:rPr>
                <w:sz w:val="18"/>
                <w:szCs w:val="18"/>
              </w:rPr>
            </w:pPr>
          </w:p>
        </w:tc>
        <w:tc>
          <w:tcPr>
            <w:tcW w:w="461" w:type="pct"/>
            <w:vMerge/>
            <w:tcBorders>
              <w:left w:val="nil"/>
              <w:bottom w:val="single" w:sz="8" w:space="0" w:color="D9D9D9"/>
              <w:right w:val="nil"/>
            </w:tcBorders>
          </w:tcPr>
          <w:p w14:paraId="14D30C05" w14:textId="77777777" w:rsidR="001121C3" w:rsidRPr="00FE5417" w:rsidRDefault="001121C3" w:rsidP="00FE5417">
            <w:pPr>
              <w:pStyle w:val="TabletextLeft"/>
              <w:spacing w:line="216" w:lineRule="auto"/>
              <w:rPr>
                <w:sz w:val="18"/>
                <w:szCs w:val="18"/>
              </w:rPr>
            </w:pPr>
          </w:p>
        </w:tc>
        <w:tc>
          <w:tcPr>
            <w:tcW w:w="2071" w:type="pct"/>
            <w:tcBorders>
              <w:top w:val="single" w:sz="8" w:space="0" w:color="D9D9D9"/>
              <w:left w:val="nil"/>
              <w:bottom w:val="single" w:sz="8" w:space="0" w:color="D9D9D9"/>
              <w:right w:val="nil"/>
            </w:tcBorders>
            <w:shd w:val="clear" w:color="auto" w:fill="auto"/>
          </w:tcPr>
          <w:p w14:paraId="7F80D3C9" w14:textId="77777777" w:rsidR="001121C3" w:rsidRPr="00FE5417" w:rsidRDefault="001121C3" w:rsidP="00FE5417">
            <w:pPr>
              <w:pStyle w:val="TabletextLeft"/>
              <w:spacing w:line="216" w:lineRule="auto"/>
              <w:rPr>
                <w:sz w:val="18"/>
                <w:szCs w:val="18"/>
              </w:rPr>
            </w:pPr>
            <w:r w:rsidRPr="00FE5417">
              <w:rPr>
                <w:sz w:val="18"/>
                <w:szCs w:val="18"/>
              </w:rPr>
              <w:t>Hospital separations per capita in rural/regional/metro areas over time</w:t>
            </w:r>
          </w:p>
        </w:tc>
        <w:tc>
          <w:tcPr>
            <w:tcW w:w="2100" w:type="pct"/>
            <w:tcBorders>
              <w:top w:val="single" w:sz="8" w:space="0" w:color="D9D9D9"/>
              <w:left w:val="nil"/>
              <w:bottom w:val="single" w:sz="8" w:space="0" w:color="D9D9D9"/>
              <w:right w:val="nil"/>
            </w:tcBorders>
            <w:shd w:val="clear" w:color="auto" w:fill="auto"/>
          </w:tcPr>
          <w:p w14:paraId="0C49BA29" w14:textId="77777777" w:rsidR="001121C3" w:rsidRPr="00FE5417" w:rsidRDefault="001121C3" w:rsidP="00FE5417">
            <w:pPr>
              <w:pStyle w:val="TabletextLeft"/>
              <w:spacing w:line="216" w:lineRule="auto"/>
              <w:rPr>
                <w:sz w:val="18"/>
                <w:szCs w:val="18"/>
              </w:rPr>
            </w:pPr>
            <w:r w:rsidRPr="00FE5417">
              <w:rPr>
                <w:color w:val="000000"/>
                <w:sz w:val="18"/>
                <w:szCs w:val="18"/>
              </w:rPr>
              <w:t>Do selected equity groups have similar rates of hospital separations compared to metro areas?</w:t>
            </w:r>
          </w:p>
        </w:tc>
      </w:tr>
      <w:tr w:rsidR="00FE5417" w:rsidRPr="00FE5417" w14:paraId="607260D5" w14:textId="77777777" w:rsidTr="00FE5417">
        <w:trPr>
          <w:trHeight w:val="42"/>
        </w:trPr>
        <w:tc>
          <w:tcPr>
            <w:tcW w:w="368" w:type="pct"/>
            <w:vMerge/>
            <w:tcBorders>
              <w:left w:val="nil"/>
              <w:right w:val="nil"/>
            </w:tcBorders>
          </w:tcPr>
          <w:p w14:paraId="1A5D6BFA" w14:textId="77777777" w:rsidR="001121C3" w:rsidRPr="00FE5417" w:rsidRDefault="001121C3" w:rsidP="00FE5417">
            <w:pPr>
              <w:pStyle w:val="TabletextLeft"/>
              <w:spacing w:line="216" w:lineRule="auto"/>
              <w:rPr>
                <w:sz w:val="18"/>
                <w:szCs w:val="18"/>
              </w:rPr>
            </w:pPr>
          </w:p>
        </w:tc>
        <w:tc>
          <w:tcPr>
            <w:tcW w:w="461" w:type="pct"/>
            <w:tcBorders>
              <w:top w:val="single" w:sz="8" w:space="0" w:color="D9D9D9"/>
              <w:left w:val="nil"/>
              <w:bottom w:val="single" w:sz="8" w:space="0" w:color="D9D9D9"/>
              <w:right w:val="nil"/>
            </w:tcBorders>
            <w:shd w:val="clear" w:color="auto" w:fill="auto"/>
          </w:tcPr>
          <w:p w14:paraId="0D0405DA" w14:textId="77777777" w:rsidR="001121C3" w:rsidRPr="00FE5417" w:rsidRDefault="001121C3" w:rsidP="00FE5417">
            <w:pPr>
              <w:pStyle w:val="TabletextLeft"/>
              <w:spacing w:line="216" w:lineRule="auto"/>
              <w:rPr>
                <w:sz w:val="18"/>
                <w:szCs w:val="18"/>
              </w:rPr>
            </w:pPr>
            <w:r w:rsidRPr="00FE5417">
              <w:rPr>
                <w:sz w:val="18"/>
                <w:szCs w:val="18"/>
              </w:rPr>
              <w:t>Multiple equity groups</w:t>
            </w:r>
          </w:p>
        </w:tc>
        <w:tc>
          <w:tcPr>
            <w:tcW w:w="2071" w:type="pct"/>
            <w:tcBorders>
              <w:top w:val="single" w:sz="8" w:space="0" w:color="D9D9D9"/>
              <w:left w:val="nil"/>
              <w:bottom w:val="single" w:sz="8" w:space="0" w:color="D9D9D9"/>
              <w:right w:val="nil"/>
            </w:tcBorders>
            <w:shd w:val="clear" w:color="auto" w:fill="auto"/>
          </w:tcPr>
          <w:p w14:paraId="6E61403A" w14:textId="77777777" w:rsidR="001121C3" w:rsidRPr="00FE5417" w:rsidRDefault="001121C3" w:rsidP="00FE5417">
            <w:pPr>
              <w:pStyle w:val="TabletextLeft"/>
              <w:spacing w:line="216" w:lineRule="auto"/>
              <w:rPr>
                <w:sz w:val="18"/>
                <w:szCs w:val="18"/>
              </w:rPr>
            </w:pPr>
            <w:r w:rsidRPr="00FE5417">
              <w:rPr>
                <w:sz w:val="18"/>
                <w:szCs w:val="18"/>
              </w:rPr>
              <w:t>Median waiting times for Elective Surgery by rural/regional/metro, Indigenous status, CALD status and SEIFA over time</w:t>
            </w:r>
          </w:p>
        </w:tc>
        <w:tc>
          <w:tcPr>
            <w:tcW w:w="2100" w:type="pct"/>
            <w:tcBorders>
              <w:top w:val="single" w:sz="8" w:space="0" w:color="D9D9D9"/>
              <w:left w:val="nil"/>
              <w:bottom w:val="single" w:sz="8" w:space="0" w:color="D9D9D9"/>
              <w:right w:val="nil"/>
            </w:tcBorders>
            <w:shd w:val="clear" w:color="auto" w:fill="auto"/>
          </w:tcPr>
          <w:p w14:paraId="23E9EE94" w14:textId="77777777" w:rsidR="001121C3" w:rsidRPr="00FE5417" w:rsidRDefault="001121C3" w:rsidP="00FE5417">
            <w:pPr>
              <w:pStyle w:val="TabletextLeft"/>
              <w:spacing w:line="216" w:lineRule="auto"/>
              <w:rPr>
                <w:sz w:val="18"/>
                <w:szCs w:val="18"/>
              </w:rPr>
            </w:pPr>
            <w:r w:rsidRPr="00FE5417">
              <w:rPr>
                <w:color w:val="000000"/>
                <w:sz w:val="18"/>
                <w:szCs w:val="18"/>
              </w:rPr>
              <w:t>Are Indigenous patients waiting longer for elective surgery than non-Indigenous patients?</w:t>
            </w:r>
          </w:p>
        </w:tc>
      </w:tr>
      <w:tr w:rsidR="00FE5417" w:rsidRPr="00FE5417" w14:paraId="5C8DB56E" w14:textId="77777777" w:rsidTr="00FE5417">
        <w:trPr>
          <w:trHeight w:val="42"/>
        </w:trPr>
        <w:tc>
          <w:tcPr>
            <w:tcW w:w="368" w:type="pct"/>
            <w:vMerge/>
            <w:tcBorders>
              <w:left w:val="nil"/>
              <w:right w:val="nil"/>
            </w:tcBorders>
          </w:tcPr>
          <w:p w14:paraId="1EF9A6A5" w14:textId="77777777" w:rsidR="001121C3" w:rsidRPr="00FE5417" w:rsidRDefault="001121C3" w:rsidP="00FE5417">
            <w:pPr>
              <w:pStyle w:val="TabletextLeft"/>
              <w:spacing w:line="216" w:lineRule="auto"/>
              <w:rPr>
                <w:sz w:val="18"/>
                <w:szCs w:val="18"/>
              </w:rPr>
            </w:pPr>
          </w:p>
        </w:tc>
        <w:tc>
          <w:tcPr>
            <w:tcW w:w="461" w:type="pct"/>
            <w:tcBorders>
              <w:top w:val="single" w:sz="8" w:space="0" w:color="D9D9D9"/>
              <w:left w:val="nil"/>
              <w:bottom w:val="single" w:sz="8" w:space="0" w:color="D9D9D9"/>
              <w:right w:val="nil"/>
            </w:tcBorders>
            <w:shd w:val="clear" w:color="auto" w:fill="auto"/>
          </w:tcPr>
          <w:p w14:paraId="6A7AC48E" w14:textId="77777777" w:rsidR="001121C3" w:rsidRPr="00FE5417" w:rsidRDefault="001121C3" w:rsidP="00FE5417">
            <w:pPr>
              <w:pStyle w:val="TabletextLeft"/>
              <w:spacing w:line="216" w:lineRule="auto"/>
              <w:rPr>
                <w:sz w:val="18"/>
                <w:szCs w:val="18"/>
              </w:rPr>
            </w:pPr>
            <w:r w:rsidRPr="00FE5417">
              <w:rPr>
                <w:sz w:val="18"/>
                <w:szCs w:val="18"/>
              </w:rPr>
              <w:t>Mental health</w:t>
            </w:r>
          </w:p>
        </w:tc>
        <w:tc>
          <w:tcPr>
            <w:tcW w:w="2071" w:type="pct"/>
            <w:tcBorders>
              <w:top w:val="single" w:sz="8" w:space="0" w:color="D9D9D9"/>
              <w:left w:val="nil"/>
              <w:bottom w:val="single" w:sz="8" w:space="0" w:color="D9D9D9"/>
              <w:right w:val="nil"/>
            </w:tcBorders>
            <w:shd w:val="clear" w:color="auto" w:fill="auto"/>
          </w:tcPr>
          <w:p w14:paraId="02D379C5" w14:textId="77777777" w:rsidR="001121C3" w:rsidRPr="00FE5417" w:rsidRDefault="001121C3" w:rsidP="00FE5417">
            <w:pPr>
              <w:pStyle w:val="TabletextLeft"/>
              <w:spacing w:line="216" w:lineRule="auto"/>
              <w:rPr>
                <w:sz w:val="18"/>
                <w:szCs w:val="18"/>
              </w:rPr>
            </w:pPr>
            <w:r w:rsidRPr="00FE5417">
              <w:rPr>
                <w:sz w:val="18"/>
                <w:szCs w:val="18"/>
              </w:rPr>
              <w:t>Proportion of patients being treated with Mental Health Services in rural/regional/metro areas, per capita – per incidence rate, by Indigenous status, CALD status and SEIFA over time</w:t>
            </w:r>
          </w:p>
        </w:tc>
        <w:tc>
          <w:tcPr>
            <w:tcW w:w="2100" w:type="pct"/>
            <w:tcBorders>
              <w:top w:val="single" w:sz="8" w:space="0" w:color="D9D9D9"/>
              <w:left w:val="nil"/>
              <w:bottom w:val="single" w:sz="8" w:space="0" w:color="D9D9D9"/>
              <w:right w:val="nil"/>
            </w:tcBorders>
            <w:shd w:val="clear" w:color="auto" w:fill="auto"/>
          </w:tcPr>
          <w:p w14:paraId="05F3298D" w14:textId="77777777" w:rsidR="001121C3" w:rsidRPr="00FE5417" w:rsidRDefault="001121C3" w:rsidP="00FE5417">
            <w:pPr>
              <w:pStyle w:val="TabletextLeft"/>
              <w:spacing w:line="216" w:lineRule="auto"/>
              <w:rPr>
                <w:sz w:val="18"/>
                <w:szCs w:val="18"/>
              </w:rPr>
            </w:pPr>
            <w:r w:rsidRPr="00FE5417">
              <w:rPr>
                <w:sz w:val="18"/>
                <w:szCs w:val="18"/>
              </w:rPr>
              <w:t>Do selected equity groups have similar access to mental health services compared to metro areas, when adjusted for the incidence of mental illness within those equity groups?</w:t>
            </w:r>
          </w:p>
        </w:tc>
      </w:tr>
      <w:tr w:rsidR="00FE5417" w:rsidRPr="00FE5417" w14:paraId="4DA6FB56" w14:textId="77777777" w:rsidTr="00FE5417">
        <w:trPr>
          <w:trHeight w:val="42"/>
        </w:trPr>
        <w:tc>
          <w:tcPr>
            <w:tcW w:w="368" w:type="pct"/>
            <w:vMerge/>
            <w:tcBorders>
              <w:left w:val="nil"/>
              <w:right w:val="nil"/>
            </w:tcBorders>
          </w:tcPr>
          <w:p w14:paraId="43761811" w14:textId="77777777" w:rsidR="00B7506F" w:rsidRPr="00FE5417" w:rsidRDefault="00B7506F" w:rsidP="00FE5417">
            <w:pPr>
              <w:pStyle w:val="TabletextLeft"/>
              <w:spacing w:line="216" w:lineRule="auto"/>
              <w:rPr>
                <w:sz w:val="18"/>
                <w:szCs w:val="18"/>
              </w:rPr>
            </w:pPr>
          </w:p>
        </w:tc>
        <w:tc>
          <w:tcPr>
            <w:tcW w:w="461" w:type="pct"/>
            <w:vMerge w:val="restart"/>
            <w:tcBorders>
              <w:top w:val="single" w:sz="8" w:space="0" w:color="D9D9D9"/>
              <w:left w:val="nil"/>
              <w:right w:val="nil"/>
            </w:tcBorders>
            <w:shd w:val="clear" w:color="auto" w:fill="auto"/>
          </w:tcPr>
          <w:p w14:paraId="248609F0" w14:textId="77777777" w:rsidR="00B7506F" w:rsidRPr="00FE5417" w:rsidRDefault="00B7506F" w:rsidP="00FE5417">
            <w:pPr>
              <w:pStyle w:val="TabletextLeft"/>
              <w:spacing w:line="216" w:lineRule="auto"/>
              <w:rPr>
                <w:sz w:val="18"/>
                <w:szCs w:val="18"/>
              </w:rPr>
            </w:pPr>
            <w:r w:rsidRPr="00FE5417">
              <w:rPr>
                <w:sz w:val="18"/>
                <w:szCs w:val="18"/>
              </w:rPr>
              <w:t>Indigenous</w:t>
            </w:r>
          </w:p>
        </w:tc>
        <w:tc>
          <w:tcPr>
            <w:tcW w:w="2071" w:type="pct"/>
            <w:tcBorders>
              <w:top w:val="single" w:sz="8" w:space="0" w:color="D9D9D9"/>
              <w:left w:val="nil"/>
              <w:bottom w:val="single" w:sz="8" w:space="0" w:color="D9D9D9"/>
              <w:right w:val="nil"/>
            </w:tcBorders>
            <w:shd w:val="clear" w:color="auto" w:fill="auto"/>
          </w:tcPr>
          <w:p w14:paraId="4537F3C9" w14:textId="77777777" w:rsidR="00B7506F" w:rsidRPr="00FE5417" w:rsidRDefault="00B7506F" w:rsidP="00FE5417">
            <w:pPr>
              <w:pStyle w:val="TabletextLeft"/>
              <w:spacing w:line="216" w:lineRule="auto"/>
              <w:rPr>
                <w:sz w:val="18"/>
                <w:szCs w:val="18"/>
              </w:rPr>
            </w:pPr>
            <w:r w:rsidRPr="00FE5417">
              <w:rPr>
                <w:sz w:val="18"/>
                <w:szCs w:val="18"/>
              </w:rPr>
              <w:t>Qualitative indicators need to be identified, e.g., surveys</w:t>
            </w:r>
          </w:p>
        </w:tc>
        <w:tc>
          <w:tcPr>
            <w:tcW w:w="2100" w:type="pct"/>
            <w:tcBorders>
              <w:top w:val="single" w:sz="8" w:space="0" w:color="D9D9D9"/>
              <w:left w:val="nil"/>
              <w:bottom w:val="single" w:sz="8" w:space="0" w:color="D9D9D9"/>
              <w:right w:val="nil"/>
            </w:tcBorders>
            <w:shd w:val="clear" w:color="auto" w:fill="auto"/>
          </w:tcPr>
          <w:p w14:paraId="0E903752" w14:textId="77777777" w:rsidR="00B7506F" w:rsidRPr="00FE5417" w:rsidRDefault="00B7506F" w:rsidP="00FE5417">
            <w:pPr>
              <w:pStyle w:val="TabletextLeft"/>
              <w:spacing w:line="216" w:lineRule="auto"/>
              <w:rPr>
                <w:sz w:val="18"/>
                <w:szCs w:val="18"/>
              </w:rPr>
            </w:pPr>
            <w:r w:rsidRPr="00FE5417">
              <w:rPr>
                <w:sz w:val="18"/>
                <w:szCs w:val="18"/>
              </w:rPr>
              <w:t>Are there available surveys or other data measures that can be used to indicate the level of cultural safety in the provision of public hospital services?</w:t>
            </w:r>
          </w:p>
        </w:tc>
      </w:tr>
      <w:tr w:rsidR="00FE5417" w:rsidRPr="00FE5417" w14:paraId="79DA731E" w14:textId="77777777" w:rsidTr="00FE5417">
        <w:trPr>
          <w:trHeight w:val="42"/>
        </w:trPr>
        <w:tc>
          <w:tcPr>
            <w:tcW w:w="368" w:type="pct"/>
            <w:vMerge/>
            <w:tcBorders>
              <w:left w:val="nil"/>
              <w:bottom w:val="single" w:sz="8" w:space="0" w:color="D9D9D9"/>
              <w:right w:val="nil"/>
            </w:tcBorders>
          </w:tcPr>
          <w:p w14:paraId="1A04F513" w14:textId="77777777" w:rsidR="00B7506F" w:rsidRPr="00FE5417" w:rsidRDefault="00B7506F" w:rsidP="00FE5417">
            <w:pPr>
              <w:pStyle w:val="TabletextLeft"/>
              <w:spacing w:line="216" w:lineRule="auto"/>
              <w:rPr>
                <w:sz w:val="18"/>
                <w:szCs w:val="18"/>
              </w:rPr>
            </w:pPr>
          </w:p>
        </w:tc>
        <w:tc>
          <w:tcPr>
            <w:tcW w:w="461" w:type="pct"/>
            <w:vMerge/>
            <w:tcBorders>
              <w:left w:val="nil"/>
              <w:bottom w:val="single" w:sz="8" w:space="0" w:color="D9D9D9"/>
              <w:right w:val="nil"/>
            </w:tcBorders>
            <w:shd w:val="clear" w:color="auto" w:fill="auto"/>
          </w:tcPr>
          <w:p w14:paraId="4B3AA3C8" w14:textId="77777777" w:rsidR="00B7506F" w:rsidRPr="00FE5417" w:rsidRDefault="00B7506F" w:rsidP="00FE5417">
            <w:pPr>
              <w:pStyle w:val="TabletextLeft"/>
              <w:spacing w:line="216" w:lineRule="auto"/>
              <w:rPr>
                <w:sz w:val="18"/>
                <w:szCs w:val="18"/>
              </w:rPr>
            </w:pPr>
          </w:p>
        </w:tc>
        <w:tc>
          <w:tcPr>
            <w:tcW w:w="2071" w:type="pct"/>
            <w:tcBorders>
              <w:top w:val="single" w:sz="8" w:space="0" w:color="D9D9D9"/>
              <w:left w:val="nil"/>
              <w:bottom w:val="single" w:sz="8" w:space="0" w:color="D9D9D9"/>
              <w:right w:val="nil"/>
            </w:tcBorders>
            <w:shd w:val="clear" w:color="auto" w:fill="auto"/>
          </w:tcPr>
          <w:p w14:paraId="23AA0D3E" w14:textId="77777777" w:rsidR="00B7506F" w:rsidRPr="00FE5417" w:rsidRDefault="00B7506F" w:rsidP="00FE5417">
            <w:pPr>
              <w:pStyle w:val="TabletextLeft"/>
              <w:spacing w:line="216" w:lineRule="auto"/>
              <w:rPr>
                <w:sz w:val="18"/>
                <w:szCs w:val="18"/>
              </w:rPr>
            </w:pPr>
            <w:r w:rsidRPr="00FE5417">
              <w:rPr>
                <w:sz w:val="18"/>
                <w:szCs w:val="18"/>
              </w:rPr>
              <w:t>Number and ratio proportion of patients who did not wait, left or were discharged against medical advice by Indigenous status over time</w:t>
            </w:r>
          </w:p>
        </w:tc>
        <w:tc>
          <w:tcPr>
            <w:tcW w:w="2100" w:type="pct"/>
            <w:tcBorders>
              <w:top w:val="single" w:sz="8" w:space="0" w:color="D9D9D9"/>
              <w:left w:val="nil"/>
              <w:bottom w:val="single" w:sz="8" w:space="0" w:color="D9D9D9"/>
              <w:right w:val="nil"/>
            </w:tcBorders>
            <w:shd w:val="clear" w:color="auto" w:fill="auto"/>
          </w:tcPr>
          <w:p w14:paraId="4DCAD857" w14:textId="781FDEFB" w:rsidR="00B7506F" w:rsidRPr="00FE5417" w:rsidRDefault="00B7506F" w:rsidP="00FE5417">
            <w:pPr>
              <w:pStyle w:val="TabletextLeft"/>
              <w:spacing w:line="216" w:lineRule="auto"/>
              <w:rPr>
                <w:sz w:val="18"/>
                <w:szCs w:val="18"/>
              </w:rPr>
            </w:pPr>
            <w:r w:rsidRPr="00FE5417">
              <w:rPr>
                <w:sz w:val="18"/>
                <w:szCs w:val="18"/>
              </w:rPr>
              <w:t>Are Indigenous patients compared to non-</w:t>
            </w:r>
            <w:r w:rsidR="004E54BD" w:rsidRPr="00FE5417">
              <w:rPr>
                <w:sz w:val="18"/>
                <w:szCs w:val="18"/>
              </w:rPr>
              <w:t>I</w:t>
            </w:r>
            <w:r w:rsidRPr="00FE5417">
              <w:rPr>
                <w:sz w:val="18"/>
                <w:szCs w:val="18"/>
              </w:rPr>
              <w:t>ndigenous</w:t>
            </w:r>
            <w:r w:rsidR="004E54BD" w:rsidRPr="00FE5417">
              <w:rPr>
                <w:sz w:val="18"/>
                <w:szCs w:val="18"/>
              </w:rPr>
              <w:t xml:space="preserve"> Australian</w:t>
            </w:r>
            <w:r w:rsidRPr="00FE5417">
              <w:rPr>
                <w:sz w:val="18"/>
                <w:szCs w:val="18"/>
              </w:rPr>
              <w:t xml:space="preserve"> patients leaving without receiving care at elevated rates?</w:t>
            </w:r>
          </w:p>
        </w:tc>
      </w:tr>
      <w:tr w:rsidR="00FE5417" w:rsidRPr="00FE5417" w14:paraId="05F98C63" w14:textId="77777777" w:rsidTr="00FE5417">
        <w:trPr>
          <w:trHeight w:val="42"/>
        </w:trPr>
        <w:tc>
          <w:tcPr>
            <w:tcW w:w="368" w:type="pct"/>
            <w:vMerge w:val="restart"/>
            <w:tcBorders>
              <w:top w:val="single" w:sz="8" w:space="0" w:color="D9D9D9"/>
              <w:left w:val="nil"/>
              <w:right w:val="nil"/>
            </w:tcBorders>
            <w:shd w:val="clear" w:color="auto" w:fill="auto"/>
          </w:tcPr>
          <w:p w14:paraId="4C7F4D38" w14:textId="77777777" w:rsidR="001121C3" w:rsidRPr="00FE5417" w:rsidRDefault="001121C3" w:rsidP="00FE5417">
            <w:pPr>
              <w:pStyle w:val="TabletextLeft"/>
              <w:spacing w:line="216" w:lineRule="auto"/>
              <w:rPr>
                <w:sz w:val="18"/>
                <w:szCs w:val="18"/>
              </w:rPr>
            </w:pPr>
            <w:r w:rsidRPr="00FE5417">
              <w:rPr>
                <w:sz w:val="18"/>
                <w:szCs w:val="18"/>
              </w:rPr>
              <w:t>Effectiveness</w:t>
            </w:r>
          </w:p>
        </w:tc>
        <w:tc>
          <w:tcPr>
            <w:tcW w:w="461" w:type="pct"/>
            <w:tcBorders>
              <w:top w:val="single" w:sz="8" w:space="0" w:color="D9D9D9"/>
              <w:left w:val="nil"/>
              <w:bottom w:val="single" w:sz="8" w:space="0" w:color="D9D9D9"/>
              <w:right w:val="nil"/>
            </w:tcBorders>
            <w:shd w:val="clear" w:color="auto" w:fill="auto"/>
          </w:tcPr>
          <w:p w14:paraId="4AC238FB" w14:textId="77777777" w:rsidR="001121C3" w:rsidRPr="00FE5417" w:rsidRDefault="001121C3" w:rsidP="00FE5417">
            <w:pPr>
              <w:pStyle w:val="TabletextLeft"/>
              <w:spacing w:line="216" w:lineRule="auto"/>
              <w:rPr>
                <w:sz w:val="18"/>
                <w:szCs w:val="18"/>
              </w:rPr>
            </w:pPr>
            <w:r w:rsidRPr="00FE5417">
              <w:rPr>
                <w:sz w:val="18"/>
                <w:szCs w:val="18"/>
              </w:rPr>
              <w:t>Emergency departments</w:t>
            </w:r>
          </w:p>
        </w:tc>
        <w:tc>
          <w:tcPr>
            <w:tcW w:w="2071" w:type="pct"/>
            <w:tcBorders>
              <w:top w:val="single" w:sz="8" w:space="0" w:color="D9D9D9"/>
              <w:left w:val="nil"/>
              <w:bottom w:val="single" w:sz="8" w:space="0" w:color="D9D9D9"/>
              <w:right w:val="nil"/>
            </w:tcBorders>
            <w:shd w:val="clear" w:color="auto" w:fill="auto"/>
          </w:tcPr>
          <w:p w14:paraId="1810D4A5" w14:textId="77777777" w:rsidR="001121C3" w:rsidRPr="00FE5417" w:rsidRDefault="001121C3" w:rsidP="00FE5417">
            <w:pPr>
              <w:pStyle w:val="TabletextLeft"/>
              <w:spacing w:line="216" w:lineRule="auto"/>
              <w:rPr>
                <w:sz w:val="18"/>
                <w:szCs w:val="18"/>
              </w:rPr>
            </w:pPr>
            <w:r w:rsidRPr="00FE5417">
              <w:rPr>
                <w:sz w:val="18"/>
                <w:szCs w:val="18"/>
              </w:rPr>
              <w:t>Number and proportion of ED presentations that depart within 4 hours over time, compared against the growth in the number of ED presentations</w:t>
            </w:r>
          </w:p>
        </w:tc>
        <w:tc>
          <w:tcPr>
            <w:tcW w:w="2100" w:type="pct"/>
            <w:tcBorders>
              <w:top w:val="single" w:sz="8" w:space="0" w:color="D9D9D9"/>
              <w:left w:val="nil"/>
              <w:bottom w:val="single" w:sz="8" w:space="0" w:color="D9D9D9"/>
              <w:right w:val="nil"/>
            </w:tcBorders>
            <w:shd w:val="clear" w:color="auto" w:fill="auto"/>
          </w:tcPr>
          <w:p w14:paraId="58BA8127" w14:textId="77777777" w:rsidR="001121C3" w:rsidRPr="00FE5417" w:rsidRDefault="001121C3" w:rsidP="00FE5417">
            <w:pPr>
              <w:pStyle w:val="TabletextLeft"/>
              <w:spacing w:line="216" w:lineRule="auto"/>
              <w:rPr>
                <w:sz w:val="18"/>
                <w:szCs w:val="18"/>
              </w:rPr>
            </w:pPr>
            <w:r w:rsidRPr="00FE5417">
              <w:rPr>
                <w:sz w:val="18"/>
                <w:szCs w:val="18"/>
              </w:rPr>
              <w:t>Has the proportion of ED presentations that depart the ED within 4 hours changed over time?</w:t>
            </w:r>
          </w:p>
        </w:tc>
      </w:tr>
      <w:tr w:rsidR="00FE5417" w:rsidRPr="00FE5417" w14:paraId="03E0A3CD" w14:textId="77777777" w:rsidTr="00FE5417">
        <w:trPr>
          <w:trHeight w:val="42"/>
        </w:trPr>
        <w:tc>
          <w:tcPr>
            <w:tcW w:w="368" w:type="pct"/>
            <w:vMerge/>
            <w:tcBorders>
              <w:right w:val="nil"/>
            </w:tcBorders>
          </w:tcPr>
          <w:p w14:paraId="518B75ED" w14:textId="77777777" w:rsidR="00B7506F" w:rsidRPr="00FE5417" w:rsidRDefault="00B7506F" w:rsidP="00FE5417">
            <w:pPr>
              <w:pStyle w:val="TabletextLeft"/>
              <w:spacing w:line="216" w:lineRule="auto"/>
              <w:rPr>
                <w:sz w:val="18"/>
                <w:szCs w:val="18"/>
              </w:rPr>
            </w:pPr>
          </w:p>
        </w:tc>
        <w:tc>
          <w:tcPr>
            <w:tcW w:w="461" w:type="pct"/>
            <w:vMerge w:val="restart"/>
            <w:tcBorders>
              <w:top w:val="single" w:sz="8" w:space="0" w:color="D9D9D9"/>
              <w:right w:val="nil"/>
            </w:tcBorders>
          </w:tcPr>
          <w:p w14:paraId="6E37D545" w14:textId="77777777" w:rsidR="00B7506F" w:rsidRPr="00FE5417" w:rsidRDefault="00B7506F" w:rsidP="00FE5417">
            <w:pPr>
              <w:pStyle w:val="TabletextLeft"/>
              <w:spacing w:line="216" w:lineRule="auto"/>
              <w:rPr>
                <w:sz w:val="18"/>
                <w:szCs w:val="18"/>
              </w:rPr>
            </w:pPr>
            <w:r w:rsidRPr="00FE5417">
              <w:rPr>
                <w:sz w:val="18"/>
                <w:szCs w:val="18"/>
              </w:rPr>
              <w:t>Elective surgery</w:t>
            </w:r>
          </w:p>
        </w:tc>
        <w:tc>
          <w:tcPr>
            <w:tcW w:w="2071" w:type="pct"/>
            <w:tcBorders>
              <w:top w:val="single" w:sz="8" w:space="0" w:color="D9D9D9"/>
              <w:left w:val="nil"/>
              <w:bottom w:val="single" w:sz="8" w:space="0" w:color="D9D9D9"/>
              <w:right w:val="nil"/>
            </w:tcBorders>
            <w:shd w:val="clear" w:color="auto" w:fill="auto"/>
          </w:tcPr>
          <w:p w14:paraId="6EFD9F8A" w14:textId="77777777" w:rsidR="00B7506F" w:rsidRPr="00FE5417" w:rsidRDefault="00B7506F" w:rsidP="00FE5417">
            <w:pPr>
              <w:pStyle w:val="TabletextLeft"/>
              <w:spacing w:line="216" w:lineRule="auto"/>
              <w:rPr>
                <w:sz w:val="18"/>
                <w:szCs w:val="18"/>
              </w:rPr>
            </w:pPr>
            <w:r w:rsidRPr="00FE5417">
              <w:rPr>
                <w:sz w:val="18"/>
                <w:szCs w:val="18"/>
              </w:rPr>
              <w:t>Proportion of patients waiting longer than clinically recommended for elective surgery over time</w:t>
            </w:r>
          </w:p>
        </w:tc>
        <w:tc>
          <w:tcPr>
            <w:tcW w:w="2100" w:type="pct"/>
            <w:vMerge w:val="restart"/>
            <w:tcBorders>
              <w:top w:val="single" w:sz="8" w:space="0" w:color="D9D9D9"/>
              <w:left w:val="nil"/>
              <w:right w:val="nil"/>
            </w:tcBorders>
            <w:shd w:val="clear" w:color="auto" w:fill="auto"/>
          </w:tcPr>
          <w:p w14:paraId="12DE6B7E" w14:textId="77777777" w:rsidR="00B7506F" w:rsidRPr="00FE5417" w:rsidRDefault="00B7506F" w:rsidP="00FE5417">
            <w:pPr>
              <w:pStyle w:val="TabletextLeft"/>
              <w:spacing w:line="216" w:lineRule="auto"/>
              <w:rPr>
                <w:sz w:val="18"/>
                <w:szCs w:val="18"/>
              </w:rPr>
            </w:pPr>
            <w:r w:rsidRPr="00FE5417">
              <w:rPr>
                <w:sz w:val="18"/>
                <w:szCs w:val="18"/>
              </w:rPr>
              <w:t>Have elective surgery median waiting times improved over time?</w:t>
            </w:r>
          </w:p>
          <w:p w14:paraId="79CE8C13" w14:textId="77777777" w:rsidR="00B7506F" w:rsidRPr="00FE5417" w:rsidRDefault="00B7506F" w:rsidP="00FE5417">
            <w:pPr>
              <w:pStyle w:val="TabletextLeft"/>
              <w:spacing w:line="216" w:lineRule="auto"/>
              <w:rPr>
                <w:sz w:val="18"/>
                <w:szCs w:val="18"/>
              </w:rPr>
            </w:pPr>
            <w:r w:rsidRPr="00FE5417">
              <w:rPr>
                <w:sz w:val="18"/>
                <w:szCs w:val="18"/>
              </w:rPr>
              <w:t>What does the relationship between elective surgery median waiting times, inpatient separations, and inpatient activity tell us?</w:t>
            </w:r>
          </w:p>
        </w:tc>
      </w:tr>
      <w:tr w:rsidR="00FE5417" w:rsidRPr="00FE5417" w14:paraId="1879F37D" w14:textId="77777777" w:rsidTr="00FE5417">
        <w:trPr>
          <w:trHeight w:val="42"/>
        </w:trPr>
        <w:tc>
          <w:tcPr>
            <w:tcW w:w="368" w:type="pct"/>
            <w:vMerge/>
            <w:tcBorders>
              <w:right w:val="nil"/>
            </w:tcBorders>
          </w:tcPr>
          <w:p w14:paraId="5BF89C5A" w14:textId="77777777" w:rsidR="00B7506F" w:rsidRPr="00FE5417" w:rsidRDefault="00B7506F" w:rsidP="00FE5417">
            <w:pPr>
              <w:pStyle w:val="TabletextLeft"/>
              <w:spacing w:line="216" w:lineRule="auto"/>
              <w:rPr>
                <w:sz w:val="18"/>
                <w:szCs w:val="18"/>
              </w:rPr>
            </w:pPr>
          </w:p>
        </w:tc>
        <w:tc>
          <w:tcPr>
            <w:tcW w:w="461" w:type="pct"/>
            <w:vMerge/>
            <w:tcBorders>
              <w:right w:val="nil"/>
            </w:tcBorders>
          </w:tcPr>
          <w:p w14:paraId="6B932154" w14:textId="77777777" w:rsidR="00B7506F" w:rsidRPr="00FE5417" w:rsidRDefault="00B7506F" w:rsidP="00FE5417">
            <w:pPr>
              <w:pStyle w:val="TabletextLeft"/>
              <w:spacing w:line="216" w:lineRule="auto"/>
              <w:rPr>
                <w:sz w:val="18"/>
                <w:szCs w:val="18"/>
              </w:rPr>
            </w:pPr>
          </w:p>
        </w:tc>
        <w:tc>
          <w:tcPr>
            <w:tcW w:w="2071" w:type="pct"/>
            <w:tcBorders>
              <w:top w:val="single" w:sz="8" w:space="0" w:color="D9D9D9"/>
              <w:left w:val="nil"/>
              <w:bottom w:val="single" w:sz="8" w:space="0" w:color="D9D9D9"/>
              <w:right w:val="nil"/>
            </w:tcBorders>
            <w:shd w:val="clear" w:color="auto" w:fill="auto"/>
          </w:tcPr>
          <w:p w14:paraId="06727E4B" w14:textId="77777777" w:rsidR="00B7506F" w:rsidRPr="00FE5417" w:rsidRDefault="00B7506F" w:rsidP="00FE5417">
            <w:pPr>
              <w:pStyle w:val="TabletextLeft"/>
              <w:spacing w:line="216" w:lineRule="auto"/>
              <w:rPr>
                <w:sz w:val="18"/>
                <w:szCs w:val="18"/>
              </w:rPr>
            </w:pPr>
            <w:r w:rsidRPr="00FE5417">
              <w:rPr>
                <w:sz w:val="18"/>
                <w:szCs w:val="18"/>
              </w:rPr>
              <w:t>Median patient waiting time for elective surgery over time</w:t>
            </w:r>
          </w:p>
        </w:tc>
        <w:tc>
          <w:tcPr>
            <w:tcW w:w="2100" w:type="pct"/>
            <w:vMerge/>
            <w:tcBorders>
              <w:left w:val="nil"/>
              <w:right w:val="nil"/>
            </w:tcBorders>
            <w:shd w:val="clear" w:color="auto" w:fill="auto"/>
          </w:tcPr>
          <w:p w14:paraId="7163B093" w14:textId="77777777" w:rsidR="00B7506F" w:rsidRPr="00FE5417" w:rsidRDefault="00B7506F" w:rsidP="00FE5417">
            <w:pPr>
              <w:pStyle w:val="TabletextLeft"/>
              <w:spacing w:line="216" w:lineRule="auto"/>
              <w:rPr>
                <w:sz w:val="18"/>
                <w:szCs w:val="18"/>
              </w:rPr>
            </w:pPr>
          </w:p>
        </w:tc>
      </w:tr>
      <w:tr w:rsidR="00FE5417" w:rsidRPr="00FE5417" w14:paraId="307DA3A6" w14:textId="77777777" w:rsidTr="00FE5417">
        <w:trPr>
          <w:trHeight w:val="42"/>
        </w:trPr>
        <w:tc>
          <w:tcPr>
            <w:tcW w:w="368" w:type="pct"/>
            <w:vMerge/>
            <w:tcBorders>
              <w:right w:val="nil"/>
            </w:tcBorders>
          </w:tcPr>
          <w:p w14:paraId="197EAE19" w14:textId="77777777" w:rsidR="00B7506F" w:rsidRPr="00FE5417" w:rsidRDefault="00B7506F" w:rsidP="00FE5417">
            <w:pPr>
              <w:pStyle w:val="TabletextLeft"/>
              <w:spacing w:line="216" w:lineRule="auto"/>
              <w:rPr>
                <w:sz w:val="18"/>
                <w:szCs w:val="18"/>
              </w:rPr>
            </w:pPr>
          </w:p>
        </w:tc>
        <w:tc>
          <w:tcPr>
            <w:tcW w:w="461" w:type="pct"/>
            <w:vMerge/>
            <w:tcBorders>
              <w:bottom w:val="single" w:sz="8" w:space="0" w:color="D9D9D9"/>
              <w:right w:val="nil"/>
            </w:tcBorders>
          </w:tcPr>
          <w:p w14:paraId="2BE9A497" w14:textId="77777777" w:rsidR="00B7506F" w:rsidRPr="00FE5417" w:rsidRDefault="00B7506F" w:rsidP="00FE5417">
            <w:pPr>
              <w:pStyle w:val="TabletextLeft"/>
              <w:spacing w:line="216" w:lineRule="auto"/>
              <w:rPr>
                <w:sz w:val="18"/>
                <w:szCs w:val="18"/>
              </w:rPr>
            </w:pPr>
          </w:p>
        </w:tc>
        <w:tc>
          <w:tcPr>
            <w:tcW w:w="2071" w:type="pct"/>
            <w:tcBorders>
              <w:top w:val="single" w:sz="8" w:space="0" w:color="D9D9D9"/>
              <w:left w:val="nil"/>
              <w:bottom w:val="single" w:sz="8" w:space="0" w:color="D9D9D9"/>
              <w:right w:val="nil"/>
            </w:tcBorders>
            <w:shd w:val="clear" w:color="auto" w:fill="auto"/>
          </w:tcPr>
          <w:p w14:paraId="3D5BEE7A" w14:textId="77777777" w:rsidR="00B7506F" w:rsidRPr="00FE5417" w:rsidRDefault="00B7506F" w:rsidP="00FE5417">
            <w:pPr>
              <w:pStyle w:val="TabletextLeft"/>
              <w:spacing w:line="216" w:lineRule="auto"/>
              <w:rPr>
                <w:sz w:val="18"/>
                <w:szCs w:val="18"/>
              </w:rPr>
            </w:pPr>
            <w:r w:rsidRPr="00FE5417">
              <w:rPr>
                <w:sz w:val="18"/>
                <w:szCs w:val="18"/>
              </w:rPr>
              <w:t>Rate of elective surgery waiting list turnover over time</w:t>
            </w:r>
          </w:p>
        </w:tc>
        <w:tc>
          <w:tcPr>
            <w:tcW w:w="2100" w:type="pct"/>
            <w:vMerge/>
            <w:tcBorders>
              <w:left w:val="nil"/>
              <w:bottom w:val="single" w:sz="8" w:space="0" w:color="D9D9D9"/>
              <w:right w:val="nil"/>
            </w:tcBorders>
            <w:shd w:val="clear" w:color="auto" w:fill="auto"/>
          </w:tcPr>
          <w:p w14:paraId="0AD88BF3" w14:textId="77777777" w:rsidR="00B7506F" w:rsidRPr="00FE5417" w:rsidRDefault="00B7506F" w:rsidP="00FE5417">
            <w:pPr>
              <w:pStyle w:val="TabletextLeft"/>
              <w:spacing w:line="216" w:lineRule="auto"/>
              <w:rPr>
                <w:sz w:val="18"/>
                <w:szCs w:val="18"/>
              </w:rPr>
            </w:pPr>
          </w:p>
        </w:tc>
      </w:tr>
      <w:tr w:rsidR="00FE5417" w:rsidRPr="00FE5417" w14:paraId="11B1DB13" w14:textId="77777777" w:rsidTr="00FE5417">
        <w:trPr>
          <w:trHeight w:val="42"/>
        </w:trPr>
        <w:tc>
          <w:tcPr>
            <w:tcW w:w="368" w:type="pct"/>
            <w:vMerge/>
            <w:tcBorders>
              <w:left w:val="nil"/>
              <w:right w:val="nil"/>
            </w:tcBorders>
          </w:tcPr>
          <w:p w14:paraId="5EFBDDE3" w14:textId="77777777" w:rsidR="001121C3" w:rsidRPr="00FE5417" w:rsidRDefault="001121C3" w:rsidP="00FE5417">
            <w:pPr>
              <w:pStyle w:val="TabletextLeft"/>
              <w:spacing w:line="216" w:lineRule="auto"/>
              <w:rPr>
                <w:sz w:val="18"/>
                <w:szCs w:val="18"/>
              </w:rPr>
            </w:pPr>
          </w:p>
        </w:tc>
        <w:tc>
          <w:tcPr>
            <w:tcW w:w="461" w:type="pct"/>
            <w:vMerge w:val="restart"/>
            <w:tcBorders>
              <w:top w:val="single" w:sz="8" w:space="0" w:color="D9D9D9"/>
              <w:left w:val="nil"/>
              <w:right w:val="nil"/>
            </w:tcBorders>
            <w:shd w:val="clear" w:color="auto" w:fill="auto"/>
          </w:tcPr>
          <w:p w14:paraId="7F7C2B59" w14:textId="77777777" w:rsidR="001121C3" w:rsidRPr="00FE5417" w:rsidRDefault="001121C3" w:rsidP="00FE5417">
            <w:pPr>
              <w:pStyle w:val="TabletextLeft"/>
              <w:spacing w:line="216" w:lineRule="auto"/>
              <w:rPr>
                <w:sz w:val="18"/>
                <w:szCs w:val="18"/>
              </w:rPr>
            </w:pPr>
            <w:r w:rsidRPr="00FE5417">
              <w:rPr>
                <w:sz w:val="18"/>
                <w:szCs w:val="18"/>
              </w:rPr>
              <w:t>Outpatients</w:t>
            </w:r>
          </w:p>
        </w:tc>
        <w:tc>
          <w:tcPr>
            <w:tcW w:w="2071" w:type="pct"/>
            <w:tcBorders>
              <w:top w:val="single" w:sz="8" w:space="0" w:color="D9D9D9"/>
              <w:left w:val="nil"/>
              <w:bottom w:val="single" w:sz="8" w:space="0" w:color="D9D9D9"/>
              <w:right w:val="nil"/>
            </w:tcBorders>
            <w:shd w:val="clear" w:color="auto" w:fill="auto"/>
          </w:tcPr>
          <w:p w14:paraId="5997E606" w14:textId="77777777" w:rsidR="001121C3" w:rsidRPr="00FE5417" w:rsidRDefault="001121C3" w:rsidP="00FE5417">
            <w:pPr>
              <w:pStyle w:val="TabletextLeft"/>
              <w:spacing w:line="216" w:lineRule="auto"/>
              <w:rPr>
                <w:sz w:val="18"/>
                <w:szCs w:val="18"/>
              </w:rPr>
            </w:pPr>
            <w:r w:rsidRPr="00FE5417">
              <w:rPr>
                <w:sz w:val="18"/>
                <w:szCs w:val="18"/>
              </w:rPr>
              <w:t>Median patient waiting time for outpatient appointments over time</w:t>
            </w:r>
          </w:p>
        </w:tc>
        <w:tc>
          <w:tcPr>
            <w:tcW w:w="2100" w:type="pct"/>
            <w:vMerge w:val="restart"/>
            <w:tcBorders>
              <w:top w:val="single" w:sz="8" w:space="0" w:color="D9D9D9"/>
              <w:left w:val="nil"/>
              <w:right w:val="nil"/>
            </w:tcBorders>
            <w:shd w:val="clear" w:color="auto" w:fill="auto"/>
          </w:tcPr>
          <w:p w14:paraId="33605537" w14:textId="77777777" w:rsidR="001121C3" w:rsidRPr="00FE5417" w:rsidRDefault="001121C3" w:rsidP="00FE5417">
            <w:pPr>
              <w:pStyle w:val="TabletextLeft"/>
              <w:spacing w:line="216" w:lineRule="auto"/>
              <w:rPr>
                <w:sz w:val="18"/>
                <w:szCs w:val="18"/>
              </w:rPr>
            </w:pPr>
            <w:r w:rsidRPr="00FE5417">
              <w:rPr>
                <w:sz w:val="18"/>
                <w:szCs w:val="18"/>
              </w:rPr>
              <w:t>Have outpatient median waiting times improved over time, indicating improved patient access?</w:t>
            </w:r>
          </w:p>
        </w:tc>
      </w:tr>
      <w:tr w:rsidR="00FE5417" w:rsidRPr="00FE5417" w14:paraId="1BFFC590" w14:textId="77777777" w:rsidTr="00FE5417">
        <w:trPr>
          <w:trHeight w:val="42"/>
        </w:trPr>
        <w:tc>
          <w:tcPr>
            <w:tcW w:w="368" w:type="pct"/>
            <w:vMerge/>
            <w:tcBorders>
              <w:left w:val="nil"/>
              <w:right w:val="nil"/>
            </w:tcBorders>
          </w:tcPr>
          <w:p w14:paraId="6F2E354D" w14:textId="77777777" w:rsidR="001121C3" w:rsidRPr="00FE5417" w:rsidRDefault="001121C3" w:rsidP="00FE5417">
            <w:pPr>
              <w:pStyle w:val="TabletextLeft"/>
              <w:spacing w:line="216" w:lineRule="auto"/>
              <w:rPr>
                <w:sz w:val="18"/>
                <w:szCs w:val="18"/>
              </w:rPr>
            </w:pPr>
          </w:p>
        </w:tc>
        <w:tc>
          <w:tcPr>
            <w:tcW w:w="461" w:type="pct"/>
            <w:vMerge/>
            <w:tcBorders>
              <w:left w:val="nil"/>
              <w:bottom w:val="single" w:sz="8" w:space="0" w:color="D9D9D9"/>
              <w:right w:val="nil"/>
            </w:tcBorders>
            <w:shd w:val="clear" w:color="auto" w:fill="auto"/>
          </w:tcPr>
          <w:p w14:paraId="5ABFBD29" w14:textId="77777777" w:rsidR="001121C3" w:rsidRPr="00FE5417" w:rsidRDefault="001121C3" w:rsidP="00FE5417">
            <w:pPr>
              <w:pStyle w:val="TabletextLeft"/>
              <w:spacing w:line="216" w:lineRule="auto"/>
              <w:rPr>
                <w:sz w:val="18"/>
                <w:szCs w:val="18"/>
              </w:rPr>
            </w:pPr>
          </w:p>
        </w:tc>
        <w:tc>
          <w:tcPr>
            <w:tcW w:w="2071" w:type="pct"/>
            <w:tcBorders>
              <w:top w:val="single" w:sz="8" w:space="0" w:color="D9D9D9"/>
              <w:left w:val="nil"/>
              <w:bottom w:val="single" w:sz="8" w:space="0" w:color="D9D9D9"/>
              <w:right w:val="nil"/>
            </w:tcBorders>
            <w:shd w:val="clear" w:color="auto" w:fill="auto"/>
          </w:tcPr>
          <w:p w14:paraId="08C8C735" w14:textId="77777777" w:rsidR="001121C3" w:rsidRPr="00FE5417" w:rsidRDefault="001121C3" w:rsidP="00FE5417">
            <w:pPr>
              <w:pStyle w:val="TabletextLeft"/>
              <w:spacing w:line="216" w:lineRule="auto"/>
              <w:rPr>
                <w:sz w:val="18"/>
                <w:szCs w:val="18"/>
              </w:rPr>
            </w:pPr>
            <w:r w:rsidRPr="00FE5417">
              <w:rPr>
                <w:sz w:val="18"/>
                <w:szCs w:val="18"/>
              </w:rPr>
              <w:t>Number of patients on outpatient waiting lists over time</w:t>
            </w:r>
          </w:p>
        </w:tc>
        <w:tc>
          <w:tcPr>
            <w:tcW w:w="2100" w:type="pct"/>
            <w:vMerge/>
            <w:tcBorders>
              <w:left w:val="nil"/>
              <w:bottom w:val="single" w:sz="8" w:space="0" w:color="D9D9D9"/>
              <w:right w:val="nil"/>
            </w:tcBorders>
            <w:shd w:val="clear" w:color="auto" w:fill="auto"/>
          </w:tcPr>
          <w:p w14:paraId="198EF2A8" w14:textId="77777777" w:rsidR="001121C3" w:rsidRPr="00FE5417" w:rsidRDefault="001121C3" w:rsidP="00FE5417">
            <w:pPr>
              <w:pStyle w:val="TabletextLeft"/>
              <w:spacing w:line="216" w:lineRule="auto"/>
              <w:rPr>
                <w:sz w:val="18"/>
                <w:szCs w:val="18"/>
              </w:rPr>
            </w:pPr>
          </w:p>
        </w:tc>
      </w:tr>
      <w:tr w:rsidR="00FE5417" w:rsidRPr="00FE5417" w14:paraId="1DE0A789" w14:textId="77777777" w:rsidTr="00FE5417">
        <w:trPr>
          <w:trHeight w:val="42"/>
        </w:trPr>
        <w:tc>
          <w:tcPr>
            <w:tcW w:w="368" w:type="pct"/>
            <w:vMerge/>
            <w:tcBorders>
              <w:left w:val="nil"/>
              <w:right w:val="nil"/>
            </w:tcBorders>
          </w:tcPr>
          <w:p w14:paraId="3E4AF76F" w14:textId="77777777" w:rsidR="001121C3" w:rsidRPr="00FE5417" w:rsidRDefault="001121C3" w:rsidP="00FE5417">
            <w:pPr>
              <w:pStyle w:val="TabletextLeft"/>
              <w:spacing w:line="216" w:lineRule="auto"/>
              <w:rPr>
                <w:sz w:val="18"/>
                <w:szCs w:val="18"/>
              </w:rPr>
            </w:pPr>
          </w:p>
        </w:tc>
        <w:tc>
          <w:tcPr>
            <w:tcW w:w="461" w:type="pct"/>
            <w:tcBorders>
              <w:top w:val="single" w:sz="8" w:space="0" w:color="D9D9D9"/>
              <w:left w:val="nil"/>
              <w:bottom w:val="single" w:sz="8" w:space="0" w:color="D9D9D9"/>
              <w:right w:val="nil"/>
            </w:tcBorders>
            <w:shd w:val="clear" w:color="auto" w:fill="auto"/>
          </w:tcPr>
          <w:p w14:paraId="5D033A29" w14:textId="77777777" w:rsidR="001121C3" w:rsidRPr="00FE5417" w:rsidRDefault="001121C3" w:rsidP="00FE5417">
            <w:pPr>
              <w:pStyle w:val="TabletextLeft"/>
              <w:spacing w:line="216" w:lineRule="auto"/>
              <w:rPr>
                <w:sz w:val="18"/>
                <w:szCs w:val="18"/>
              </w:rPr>
            </w:pPr>
            <w:r w:rsidRPr="00FE5417">
              <w:rPr>
                <w:sz w:val="18"/>
                <w:szCs w:val="18"/>
              </w:rPr>
              <w:t>Mental health</w:t>
            </w:r>
          </w:p>
        </w:tc>
        <w:tc>
          <w:tcPr>
            <w:tcW w:w="2071" w:type="pct"/>
            <w:tcBorders>
              <w:top w:val="single" w:sz="8" w:space="0" w:color="D9D9D9"/>
              <w:left w:val="nil"/>
              <w:bottom w:val="single" w:sz="8" w:space="0" w:color="D9D9D9"/>
              <w:right w:val="nil"/>
            </w:tcBorders>
            <w:shd w:val="clear" w:color="auto" w:fill="auto"/>
          </w:tcPr>
          <w:p w14:paraId="5FDB12C1" w14:textId="77777777" w:rsidR="001121C3" w:rsidRPr="00FE5417" w:rsidRDefault="001121C3" w:rsidP="00FE5417">
            <w:pPr>
              <w:pStyle w:val="TabletextLeft"/>
              <w:spacing w:line="216" w:lineRule="auto"/>
              <w:rPr>
                <w:sz w:val="18"/>
                <w:szCs w:val="18"/>
              </w:rPr>
            </w:pPr>
            <w:r w:rsidRPr="00FE5417">
              <w:rPr>
                <w:sz w:val="18"/>
                <w:szCs w:val="18"/>
              </w:rPr>
              <w:t>Proportion who receive follow up community appointments</w:t>
            </w:r>
          </w:p>
        </w:tc>
        <w:tc>
          <w:tcPr>
            <w:tcW w:w="2100" w:type="pct"/>
            <w:tcBorders>
              <w:top w:val="single" w:sz="8" w:space="0" w:color="D9D9D9"/>
              <w:left w:val="nil"/>
              <w:bottom w:val="single" w:sz="8" w:space="0" w:color="D9D9D9"/>
              <w:right w:val="nil"/>
            </w:tcBorders>
            <w:shd w:val="clear" w:color="auto" w:fill="auto"/>
          </w:tcPr>
          <w:p w14:paraId="726B6A79" w14:textId="77777777" w:rsidR="001121C3" w:rsidRPr="00FE5417" w:rsidRDefault="001121C3" w:rsidP="00FE5417">
            <w:pPr>
              <w:pStyle w:val="TabletextLeft"/>
              <w:spacing w:line="216" w:lineRule="auto"/>
              <w:rPr>
                <w:sz w:val="18"/>
                <w:szCs w:val="18"/>
              </w:rPr>
            </w:pPr>
            <w:r w:rsidRPr="00FE5417">
              <w:rPr>
                <w:sz w:val="18"/>
                <w:szCs w:val="18"/>
              </w:rPr>
              <w:t>Has the rate of follow-up for mental health patients, after an acute inpatient episode of care changed over time?</w:t>
            </w:r>
          </w:p>
        </w:tc>
      </w:tr>
      <w:tr w:rsidR="00FE5417" w:rsidRPr="00FE5417" w14:paraId="35B9CDC1" w14:textId="77777777" w:rsidTr="00FE5417">
        <w:trPr>
          <w:trHeight w:val="42"/>
        </w:trPr>
        <w:tc>
          <w:tcPr>
            <w:tcW w:w="368" w:type="pct"/>
            <w:vMerge/>
            <w:tcBorders>
              <w:left w:val="nil"/>
              <w:right w:val="nil"/>
            </w:tcBorders>
          </w:tcPr>
          <w:p w14:paraId="4E87E4BF" w14:textId="77777777" w:rsidR="001121C3" w:rsidRPr="00FE5417" w:rsidRDefault="001121C3" w:rsidP="00FE5417">
            <w:pPr>
              <w:pStyle w:val="TabletextLeft"/>
              <w:spacing w:line="216" w:lineRule="auto"/>
              <w:rPr>
                <w:sz w:val="18"/>
                <w:szCs w:val="18"/>
              </w:rPr>
            </w:pPr>
          </w:p>
        </w:tc>
        <w:tc>
          <w:tcPr>
            <w:tcW w:w="461" w:type="pct"/>
            <w:vMerge w:val="restart"/>
            <w:tcBorders>
              <w:top w:val="single" w:sz="8" w:space="0" w:color="D9D9D9"/>
              <w:left w:val="nil"/>
              <w:right w:val="nil"/>
            </w:tcBorders>
            <w:shd w:val="clear" w:color="auto" w:fill="auto"/>
          </w:tcPr>
          <w:p w14:paraId="4E5F5325" w14:textId="77777777" w:rsidR="001121C3" w:rsidRPr="00FE5417" w:rsidRDefault="001121C3" w:rsidP="00FE5417">
            <w:pPr>
              <w:pStyle w:val="TabletextLeft"/>
              <w:spacing w:line="216" w:lineRule="auto"/>
              <w:rPr>
                <w:sz w:val="18"/>
                <w:szCs w:val="18"/>
              </w:rPr>
            </w:pPr>
            <w:r w:rsidRPr="00FE5417">
              <w:rPr>
                <w:sz w:val="18"/>
                <w:szCs w:val="18"/>
              </w:rPr>
              <w:t>Primary care</w:t>
            </w:r>
          </w:p>
        </w:tc>
        <w:tc>
          <w:tcPr>
            <w:tcW w:w="2071" w:type="pct"/>
            <w:tcBorders>
              <w:top w:val="single" w:sz="8" w:space="0" w:color="D9D9D9"/>
              <w:left w:val="nil"/>
              <w:bottom w:val="single" w:sz="8" w:space="0" w:color="D9D9D9"/>
              <w:right w:val="nil"/>
            </w:tcBorders>
            <w:shd w:val="clear" w:color="auto" w:fill="auto"/>
          </w:tcPr>
          <w:p w14:paraId="3A059187" w14:textId="77777777" w:rsidR="001121C3" w:rsidRPr="00FE5417" w:rsidRDefault="001121C3" w:rsidP="00FE5417">
            <w:pPr>
              <w:pStyle w:val="TabletextLeft"/>
              <w:spacing w:line="216" w:lineRule="auto"/>
              <w:rPr>
                <w:sz w:val="18"/>
                <w:szCs w:val="18"/>
              </w:rPr>
            </w:pPr>
            <w:r w:rsidRPr="00FE5417">
              <w:rPr>
                <w:sz w:val="18"/>
                <w:szCs w:val="18"/>
              </w:rPr>
              <w:t>Proportion of Bulk Billed GP services over time</w:t>
            </w:r>
          </w:p>
        </w:tc>
        <w:tc>
          <w:tcPr>
            <w:tcW w:w="2100" w:type="pct"/>
            <w:tcBorders>
              <w:top w:val="single" w:sz="8" w:space="0" w:color="D9D9D9"/>
              <w:left w:val="nil"/>
              <w:bottom w:val="single" w:sz="8" w:space="0" w:color="D9D9D9"/>
              <w:right w:val="nil"/>
            </w:tcBorders>
            <w:shd w:val="clear" w:color="auto" w:fill="auto"/>
          </w:tcPr>
          <w:p w14:paraId="02ACAEC8" w14:textId="77777777" w:rsidR="001121C3" w:rsidRPr="00FE5417" w:rsidRDefault="001121C3" w:rsidP="00FE5417">
            <w:pPr>
              <w:pStyle w:val="TabletextLeft"/>
              <w:spacing w:line="216" w:lineRule="auto"/>
              <w:rPr>
                <w:sz w:val="18"/>
                <w:szCs w:val="18"/>
              </w:rPr>
            </w:pPr>
            <w:r w:rsidRPr="00FE5417">
              <w:rPr>
                <w:color w:val="000000"/>
                <w:sz w:val="18"/>
                <w:szCs w:val="18"/>
              </w:rPr>
              <w:t>How has bulk billing rates for GP attendances changed over time, by key age groups?</w:t>
            </w:r>
          </w:p>
        </w:tc>
      </w:tr>
      <w:tr w:rsidR="00FE5417" w:rsidRPr="00FE5417" w14:paraId="797F3E0C" w14:textId="77777777" w:rsidTr="00FE5417">
        <w:trPr>
          <w:trHeight w:val="42"/>
        </w:trPr>
        <w:tc>
          <w:tcPr>
            <w:tcW w:w="368" w:type="pct"/>
            <w:vMerge/>
            <w:tcBorders>
              <w:left w:val="nil"/>
              <w:right w:val="nil"/>
            </w:tcBorders>
          </w:tcPr>
          <w:p w14:paraId="34172734" w14:textId="77777777" w:rsidR="001121C3" w:rsidRPr="00FE5417" w:rsidRDefault="001121C3" w:rsidP="00FE5417">
            <w:pPr>
              <w:pStyle w:val="TabletextLeft"/>
              <w:spacing w:line="216" w:lineRule="auto"/>
              <w:rPr>
                <w:sz w:val="18"/>
                <w:szCs w:val="18"/>
              </w:rPr>
            </w:pPr>
          </w:p>
        </w:tc>
        <w:tc>
          <w:tcPr>
            <w:tcW w:w="461" w:type="pct"/>
            <w:vMerge/>
            <w:tcBorders>
              <w:left w:val="nil"/>
              <w:right w:val="nil"/>
            </w:tcBorders>
            <w:shd w:val="clear" w:color="auto" w:fill="auto"/>
          </w:tcPr>
          <w:p w14:paraId="7747C84F" w14:textId="77777777" w:rsidR="001121C3" w:rsidRPr="00FE5417" w:rsidRDefault="001121C3" w:rsidP="00FE5417">
            <w:pPr>
              <w:pStyle w:val="TabletextLeft"/>
              <w:spacing w:line="216" w:lineRule="auto"/>
              <w:rPr>
                <w:sz w:val="18"/>
                <w:szCs w:val="18"/>
              </w:rPr>
            </w:pPr>
          </w:p>
        </w:tc>
        <w:tc>
          <w:tcPr>
            <w:tcW w:w="2071" w:type="pct"/>
            <w:tcBorders>
              <w:top w:val="single" w:sz="8" w:space="0" w:color="D9D9D9"/>
              <w:left w:val="nil"/>
              <w:bottom w:val="single" w:sz="8" w:space="0" w:color="D9D9D9"/>
              <w:right w:val="nil"/>
            </w:tcBorders>
            <w:shd w:val="clear" w:color="auto" w:fill="auto"/>
          </w:tcPr>
          <w:p w14:paraId="17DC7769" w14:textId="77777777" w:rsidR="001121C3" w:rsidRPr="00FE5417" w:rsidRDefault="001121C3" w:rsidP="00FE5417">
            <w:pPr>
              <w:pStyle w:val="TabletextLeft"/>
              <w:spacing w:line="216" w:lineRule="auto"/>
              <w:rPr>
                <w:sz w:val="18"/>
                <w:szCs w:val="18"/>
              </w:rPr>
            </w:pPr>
            <w:r w:rsidRPr="00FE5417">
              <w:rPr>
                <w:sz w:val="18"/>
                <w:szCs w:val="18"/>
              </w:rPr>
              <w:t>Average out of pocket patient costs for GP services over time</w:t>
            </w:r>
          </w:p>
        </w:tc>
        <w:tc>
          <w:tcPr>
            <w:tcW w:w="2100" w:type="pct"/>
            <w:tcBorders>
              <w:top w:val="single" w:sz="8" w:space="0" w:color="D9D9D9"/>
              <w:left w:val="nil"/>
              <w:bottom w:val="single" w:sz="8" w:space="0" w:color="D9D9D9"/>
              <w:right w:val="nil"/>
            </w:tcBorders>
            <w:shd w:val="clear" w:color="auto" w:fill="auto"/>
          </w:tcPr>
          <w:p w14:paraId="7FDDC298" w14:textId="77777777" w:rsidR="001121C3" w:rsidRPr="00FE5417" w:rsidRDefault="001121C3" w:rsidP="00FE5417">
            <w:pPr>
              <w:pStyle w:val="TabletextLeft"/>
              <w:spacing w:line="216" w:lineRule="auto"/>
              <w:rPr>
                <w:sz w:val="18"/>
                <w:szCs w:val="18"/>
              </w:rPr>
            </w:pPr>
            <w:r w:rsidRPr="00FE5417">
              <w:rPr>
                <w:color w:val="000000"/>
                <w:sz w:val="18"/>
                <w:szCs w:val="18"/>
              </w:rPr>
              <w:t>How has out of pocket costs for GP services changed over time?</w:t>
            </w:r>
          </w:p>
        </w:tc>
      </w:tr>
      <w:tr w:rsidR="00FE5417" w:rsidRPr="00FE5417" w14:paraId="06331225" w14:textId="77777777" w:rsidTr="00FE5417">
        <w:trPr>
          <w:trHeight w:val="42"/>
        </w:trPr>
        <w:tc>
          <w:tcPr>
            <w:tcW w:w="368" w:type="pct"/>
            <w:vMerge/>
            <w:tcBorders>
              <w:left w:val="nil"/>
              <w:right w:val="nil"/>
            </w:tcBorders>
          </w:tcPr>
          <w:p w14:paraId="217C43E1" w14:textId="77777777" w:rsidR="001121C3" w:rsidRPr="00FE5417" w:rsidRDefault="001121C3" w:rsidP="00FE5417">
            <w:pPr>
              <w:pStyle w:val="TabletextLeft"/>
              <w:spacing w:line="216" w:lineRule="auto"/>
              <w:rPr>
                <w:sz w:val="18"/>
                <w:szCs w:val="18"/>
              </w:rPr>
            </w:pPr>
          </w:p>
        </w:tc>
        <w:tc>
          <w:tcPr>
            <w:tcW w:w="461" w:type="pct"/>
            <w:vMerge/>
            <w:tcBorders>
              <w:left w:val="nil"/>
              <w:right w:val="nil"/>
            </w:tcBorders>
            <w:shd w:val="clear" w:color="auto" w:fill="auto"/>
          </w:tcPr>
          <w:p w14:paraId="3744C968" w14:textId="77777777" w:rsidR="001121C3" w:rsidRPr="00FE5417" w:rsidRDefault="001121C3" w:rsidP="00FE5417">
            <w:pPr>
              <w:pStyle w:val="TabletextLeft"/>
              <w:spacing w:line="216" w:lineRule="auto"/>
              <w:rPr>
                <w:sz w:val="18"/>
                <w:szCs w:val="18"/>
              </w:rPr>
            </w:pPr>
          </w:p>
        </w:tc>
        <w:tc>
          <w:tcPr>
            <w:tcW w:w="2071" w:type="pct"/>
            <w:tcBorders>
              <w:top w:val="single" w:sz="8" w:space="0" w:color="D9D9D9"/>
              <w:left w:val="nil"/>
              <w:bottom w:val="single" w:sz="8" w:space="0" w:color="D9D9D9"/>
              <w:right w:val="nil"/>
            </w:tcBorders>
            <w:shd w:val="clear" w:color="auto" w:fill="auto"/>
          </w:tcPr>
          <w:p w14:paraId="64EF7D3C" w14:textId="77777777" w:rsidR="001121C3" w:rsidRPr="00FE5417" w:rsidRDefault="001121C3" w:rsidP="00FE5417">
            <w:pPr>
              <w:pStyle w:val="TabletextLeft"/>
              <w:spacing w:line="216" w:lineRule="auto"/>
              <w:rPr>
                <w:sz w:val="18"/>
                <w:szCs w:val="18"/>
              </w:rPr>
            </w:pPr>
            <w:r w:rsidRPr="00FE5417">
              <w:rPr>
                <w:sz w:val="18"/>
                <w:szCs w:val="18"/>
              </w:rPr>
              <w:t>Number of GP primary health care services per capita over time</w:t>
            </w:r>
          </w:p>
        </w:tc>
        <w:tc>
          <w:tcPr>
            <w:tcW w:w="2100" w:type="pct"/>
            <w:tcBorders>
              <w:top w:val="single" w:sz="8" w:space="0" w:color="D9D9D9"/>
              <w:left w:val="nil"/>
              <w:bottom w:val="single" w:sz="8" w:space="0" w:color="D9D9D9"/>
              <w:right w:val="nil"/>
            </w:tcBorders>
            <w:shd w:val="clear" w:color="auto" w:fill="auto"/>
          </w:tcPr>
          <w:p w14:paraId="52A45A8F" w14:textId="77777777" w:rsidR="001121C3" w:rsidRPr="00FE5417" w:rsidRDefault="001121C3" w:rsidP="00FE5417">
            <w:pPr>
              <w:pStyle w:val="TabletextLeft"/>
              <w:spacing w:line="216" w:lineRule="auto"/>
              <w:rPr>
                <w:sz w:val="18"/>
                <w:szCs w:val="18"/>
              </w:rPr>
            </w:pPr>
            <w:r w:rsidRPr="00FE5417">
              <w:rPr>
                <w:color w:val="000000"/>
                <w:sz w:val="18"/>
                <w:szCs w:val="18"/>
              </w:rPr>
              <w:t>How has the number of GP attendances and number of GPs (FTE) changed over time?</w:t>
            </w:r>
          </w:p>
        </w:tc>
      </w:tr>
      <w:tr w:rsidR="00FE5417" w:rsidRPr="00FE5417" w14:paraId="61A95163" w14:textId="77777777" w:rsidTr="00FE5417">
        <w:trPr>
          <w:trHeight w:val="42"/>
        </w:trPr>
        <w:tc>
          <w:tcPr>
            <w:tcW w:w="368" w:type="pct"/>
            <w:vMerge/>
            <w:tcBorders>
              <w:left w:val="nil"/>
              <w:right w:val="nil"/>
            </w:tcBorders>
          </w:tcPr>
          <w:p w14:paraId="704BC205" w14:textId="77777777" w:rsidR="001121C3" w:rsidRPr="00FE5417" w:rsidRDefault="001121C3" w:rsidP="00FE5417">
            <w:pPr>
              <w:pStyle w:val="TabletextLeft"/>
              <w:spacing w:line="216" w:lineRule="auto"/>
              <w:rPr>
                <w:sz w:val="18"/>
                <w:szCs w:val="18"/>
              </w:rPr>
            </w:pPr>
          </w:p>
        </w:tc>
        <w:tc>
          <w:tcPr>
            <w:tcW w:w="461" w:type="pct"/>
            <w:vMerge/>
            <w:tcBorders>
              <w:left w:val="nil"/>
              <w:bottom w:val="single" w:sz="8" w:space="0" w:color="D9D9D9"/>
              <w:right w:val="nil"/>
            </w:tcBorders>
            <w:shd w:val="clear" w:color="auto" w:fill="auto"/>
          </w:tcPr>
          <w:p w14:paraId="255F3CF1" w14:textId="77777777" w:rsidR="001121C3" w:rsidRPr="00FE5417" w:rsidRDefault="001121C3" w:rsidP="00FE5417">
            <w:pPr>
              <w:pStyle w:val="TabletextLeft"/>
              <w:spacing w:line="216" w:lineRule="auto"/>
              <w:rPr>
                <w:sz w:val="18"/>
                <w:szCs w:val="18"/>
              </w:rPr>
            </w:pPr>
          </w:p>
        </w:tc>
        <w:tc>
          <w:tcPr>
            <w:tcW w:w="2071" w:type="pct"/>
            <w:tcBorders>
              <w:top w:val="single" w:sz="8" w:space="0" w:color="D9D9D9"/>
              <w:left w:val="nil"/>
              <w:bottom w:val="single" w:sz="8" w:space="0" w:color="D9D9D9"/>
              <w:right w:val="nil"/>
            </w:tcBorders>
            <w:shd w:val="clear" w:color="auto" w:fill="auto"/>
          </w:tcPr>
          <w:p w14:paraId="51B1BE98" w14:textId="77777777" w:rsidR="001121C3" w:rsidRPr="00FE5417" w:rsidRDefault="001121C3" w:rsidP="00FE5417">
            <w:pPr>
              <w:pStyle w:val="TabletextLeft"/>
              <w:spacing w:line="216" w:lineRule="auto"/>
              <w:rPr>
                <w:sz w:val="18"/>
                <w:szCs w:val="18"/>
              </w:rPr>
            </w:pPr>
            <w:r w:rsidRPr="00FE5417">
              <w:rPr>
                <w:sz w:val="18"/>
                <w:szCs w:val="18"/>
              </w:rPr>
              <w:t>Number of GP FTE per 100,000 population over time</w:t>
            </w:r>
          </w:p>
        </w:tc>
        <w:tc>
          <w:tcPr>
            <w:tcW w:w="2100" w:type="pct"/>
            <w:tcBorders>
              <w:top w:val="single" w:sz="8" w:space="0" w:color="D9D9D9"/>
              <w:left w:val="nil"/>
              <w:bottom w:val="single" w:sz="8" w:space="0" w:color="D9D9D9"/>
              <w:right w:val="nil"/>
            </w:tcBorders>
            <w:shd w:val="clear" w:color="auto" w:fill="auto"/>
          </w:tcPr>
          <w:p w14:paraId="2AE9AD47" w14:textId="77777777" w:rsidR="001121C3" w:rsidRPr="00FE5417" w:rsidRDefault="001121C3" w:rsidP="00FE5417">
            <w:pPr>
              <w:pStyle w:val="TabletextLeft"/>
              <w:spacing w:line="216" w:lineRule="auto"/>
              <w:rPr>
                <w:sz w:val="18"/>
                <w:szCs w:val="18"/>
              </w:rPr>
            </w:pPr>
            <w:r w:rsidRPr="00FE5417">
              <w:rPr>
                <w:color w:val="000000"/>
                <w:sz w:val="18"/>
                <w:szCs w:val="18"/>
              </w:rPr>
              <w:t>What is the difference in GP workforce (FTE) per 100,000 population on a geographic basis and how has this changed over time?</w:t>
            </w:r>
          </w:p>
        </w:tc>
      </w:tr>
      <w:tr w:rsidR="00FE5417" w:rsidRPr="00FE5417" w14:paraId="5AE5D587" w14:textId="77777777" w:rsidTr="00FE5417">
        <w:trPr>
          <w:trHeight w:val="42"/>
        </w:trPr>
        <w:tc>
          <w:tcPr>
            <w:tcW w:w="368" w:type="pct"/>
            <w:vMerge/>
            <w:tcBorders>
              <w:left w:val="nil"/>
              <w:right w:val="nil"/>
            </w:tcBorders>
            <w:shd w:val="clear" w:color="auto" w:fill="auto"/>
          </w:tcPr>
          <w:p w14:paraId="37A41F94" w14:textId="77777777" w:rsidR="001121C3" w:rsidRPr="00FE5417" w:rsidRDefault="001121C3" w:rsidP="00FE5417">
            <w:pPr>
              <w:pStyle w:val="TabletextLeft"/>
              <w:spacing w:line="216" w:lineRule="auto"/>
              <w:rPr>
                <w:sz w:val="18"/>
                <w:szCs w:val="18"/>
              </w:rPr>
            </w:pPr>
          </w:p>
        </w:tc>
        <w:tc>
          <w:tcPr>
            <w:tcW w:w="461" w:type="pct"/>
            <w:tcBorders>
              <w:top w:val="single" w:sz="8" w:space="0" w:color="D9D9D9"/>
              <w:left w:val="nil"/>
              <w:bottom w:val="single" w:sz="8" w:space="0" w:color="D9D9D9"/>
              <w:right w:val="nil"/>
            </w:tcBorders>
            <w:shd w:val="clear" w:color="auto" w:fill="auto"/>
          </w:tcPr>
          <w:p w14:paraId="2E5C37B9" w14:textId="77777777" w:rsidR="001121C3" w:rsidRPr="00FE5417" w:rsidRDefault="001121C3" w:rsidP="00FE5417">
            <w:pPr>
              <w:pStyle w:val="TabletextLeft"/>
              <w:spacing w:line="216" w:lineRule="auto"/>
              <w:rPr>
                <w:sz w:val="18"/>
                <w:szCs w:val="18"/>
              </w:rPr>
            </w:pPr>
            <w:r w:rsidRPr="00FE5417">
              <w:rPr>
                <w:sz w:val="18"/>
                <w:szCs w:val="18"/>
              </w:rPr>
              <w:t>Hospital acquired complications</w:t>
            </w:r>
          </w:p>
        </w:tc>
        <w:tc>
          <w:tcPr>
            <w:tcW w:w="2071" w:type="pct"/>
            <w:tcBorders>
              <w:top w:val="single" w:sz="8" w:space="0" w:color="D9D9D9"/>
              <w:left w:val="nil"/>
              <w:bottom w:val="single" w:sz="8" w:space="0" w:color="D9D9D9"/>
              <w:right w:val="nil"/>
            </w:tcBorders>
            <w:shd w:val="clear" w:color="auto" w:fill="auto"/>
          </w:tcPr>
          <w:p w14:paraId="22D28E93" w14:textId="77777777" w:rsidR="001121C3" w:rsidRPr="00FE5417" w:rsidRDefault="001121C3" w:rsidP="00FE5417">
            <w:pPr>
              <w:pStyle w:val="TabletextLeft"/>
              <w:spacing w:line="216" w:lineRule="auto"/>
              <w:rPr>
                <w:sz w:val="18"/>
                <w:szCs w:val="18"/>
              </w:rPr>
            </w:pPr>
            <w:r w:rsidRPr="00FE5417">
              <w:rPr>
                <w:sz w:val="18"/>
                <w:szCs w:val="18"/>
              </w:rPr>
              <w:t>Proportion of separations with a Hospital Acquired Complications (HAC) over time</w:t>
            </w:r>
          </w:p>
        </w:tc>
        <w:tc>
          <w:tcPr>
            <w:tcW w:w="2100" w:type="pct"/>
            <w:vMerge w:val="restart"/>
            <w:tcBorders>
              <w:top w:val="single" w:sz="8" w:space="0" w:color="D9D9D9"/>
              <w:left w:val="nil"/>
              <w:right w:val="nil"/>
            </w:tcBorders>
            <w:shd w:val="clear" w:color="auto" w:fill="auto"/>
          </w:tcPr>
          <w:p w14:paraId="02B45321" w14:textId="77777777" w:rsidR="001121C3" w:rsidRPr="00FE5417" w:rsidRDefault="001121C3" w:rsidP="00FE5417">
            <w:pPr>
              <w:pStyle w:val="TabletextLeft"/>
              <w:spacing w:line="216" w:lineRule="auto"/>
              <w:rPr>
                <w:sz w:val="18"/>
                <w:szCs w:val="18"/>
              </w:rPr>
            </w:pPr>
            <w:r w:rsidRPr="00FE5417">
              <w:rPr>
                <w:sz w:val="18"/>
                <w:szCs w:val="18"/>
              </w:rPr>
              <w:t>How has the linking of Quality and Safety into public hospital funding impacted performance?</w:t>
            </w:r>
          </w:p>
        </w:tc>
      </w:tr>
      <w:tr w:rsidR="00FE5417" w:rsidRPr="00FE5417" w14:paraId="22FD711A" w14:textId="77777777" w:rsidTr="00FE5417">
        <w:trPr>
          <w:trHeight w:val="42"/>
        </w:trPr>
        <w:tc>
          <w:tcPr>
            <w:tcW w:w="368" w:type="pct"/>
            <w:vMerge/>
            <w:tcBorders>
              <w:left w:val="nil"/>
              <w:right w:val="nil"/>
            </w:tcBorders>
            <w:shd w:val="clear" w:color="auto" w:fill="auto"/>
          </w:tcPr>
          <w:p w14:paraId="3E3D9342" w14:textId="77777777" w:rsidR="001121C3" w:rsidRPr="00FE5417" w:rsidRDefault="001121C3" w:rsidP="00FE5417">
            <w:pPr>
              <w:pStyle w:val="TabletextLeft"/>
              <w:spacing w:line="216" w:lineRule="auto"/>
              <w:rPr>
                <w:sz w:val="18"/>
                <w:szCs w:val="18"/>
              </w:rPr>
            </w:pPr>
          </w:p>
        </w:tc>
        <w:tc>
          <w:tcPr>
            <w:tcW w:w="461" w:type="pct"/>
            <w:tcBorders>
              <w:top w:val="single" w:sz="8" w:space="0" w:color="D9D9D9"/>
              <w:left w:val="nil"/>
              <w:bottom w:val="single" w:sz="4" w:space="0" w:color="D9D9D9" w:themeColor="background1" w:themeShade="D9"/>
              <w:right w:val="nil"/>
            </w:tcBorders>
            <w:shd w:val="clear" w:color="auto" w:fill="auto"/>
          </w:tcPr>
          <w:p w14:paraId="5B471514" w14:textId="77777777" w:rsidR="001121C3" w:rsidRPr="00FE5417" w:rsidRDefault="001121C3" w:rsidP="00FE5417">
            <w:pPr>
              <w:pStyle w:val="TabletextLeft"/>
              <w:spacing w:line="216" w:lineRule="auto"/>
              <w:rPr>
                <w:sz w:val="18"/>
                <w:szCs w:val="18"/>
              </w:rPr>
            </w:pPr>
            <w:r w:rsidRPr="00FE5417">
              <w:rPr>
                <w:sz w:val="18"/>
                <w:szCs w:val="18"/>
              </w:rPr>
              <w:t>Sentinel events</w:t>
            </w:r>
          </w:p>
        </w:tc>
        <w:tc>
          <w:tcPr>
            <w:tcW w:w="2071" w:type="pct"/>
            <w:tcBorders>
              <w:top w:val="single" w:sz="8" w:space="0" w:color="D9D9D9"/>
              <w:left w:val="nil"/>
              <w:bottom w:val="single" w:sz="4" w:space="0" w:color="D9D9D9" w:themeColor="background1" w:themeShade="D9"/>
              <w:right w:val="nil"/>
            </w:tcBorders>
            <w:shd w:val="clear" w:color="auto" w:fill="auto"/>
          </w:tcPr>
          <w:p w14:paraId="510092C1" w14:textId="77777777" w:rsidR="001121C3" w:rsidRPr="00FE5417" w:rsidRDefault="001121C3" w:rsidP="00FE5417">
            <w:pPr>
              <w:pStyle w:val="TabletextLeft"/>
              <w:spacing w:line="216" w:lineRule="auto"/>
              <w:rPr>
                <w:sz w:val="18"/>
                <w:szCs w:val="18"/>
              </w:rPr>
            </w:pPr>
            <w:r w:rsidRPr="00FE5417">
              <w:rPr>
                <w:sz w:val="18"/>
                <w:szCs w:val="18"/>
              </w:rPr>
              <w:t>Rate of Sentinel Events per 1000 separations, over time</w:t>
            </w:r>
          </w:p>
        </w:tc>
        <w:tc>
          <w:tcPr>
            <w:tcW w:w="2100" w:type="pct"/>
            <w:vMerge/>
            <w:tcBorders>
              <w:left w:val="nil"/>
              <w:bottom w:val="single" w:sz="4" w:space="0" w:color="D9D9D9" w:themeColor="background1" w:themeShade="D9"/>
              <w:right w:val="nil"/>
            </w:tcBorders>
            <w:shd w:val="clear" w:color="auto" w:fill="auto"/>
          </w:tcPr>
          <w:p w14:paraId="1E0AE4EF" w14:textId="77777777" w:rsidR="001121C3" w:rsidRPr="00FE5417" w:rsidRDefault="001121C3" w:rsidP="00FE5417">
            <w:pPr>
              <w:pStyle w:val="TabletextLeft"/>
              <w:spacing w:line="216" w:lineRule="auto"/>
              <w:rPr>
                <w:sz w:val="18"/>
                <w:szCs w:val="18"/>
              </w:rPr>
            </w:pPr>
          </w:p>
        </w:tc>
      </w:tr>
      <w:tr w:rsidR="00FE5417" w:rsidRPr="00FE5417" w14:paraId="7C4DC251" w14:textId="77777777" w:rsidTr="00FE5417">
        <w:trPr>
          <w:trHeight w:val="42"/>
        </w:trPr>
        <w:tc>
          <w:tcPr>
            <w:tcW w:w="368" w:type="pct"/>
            <w:vMerge/>
            <w:tcBorders>
              <w:left w:val="nil"/>
              <w:right w:val="nil"/>
            </w:tcBorders>
            <w:shd w:val="clear" w:color="auto" w:fill="auto"/>
          </w:tcPr>
          <w:p w14:paraId="6FE8C8D6" w14:textId="77777777" w:rsidR="001121C3" w:rsidRPr="00FE5417" w:rsidRDefault="001121C3" w:rsidP="00FE5417">
            <w:pPr>
              <w:pStyle w:val="TabletextLeft"/>
              <w:spacing w:line="216" w:lineRule="auto"/>
              <w:rPr>
                <w:sz w:val="18"/>
                <w:szCs w:val="18"/>
              </w:rPr>
            </w:pPr>
          </w:p>
        </w:tc>
        <w:tc>
          <w:tcPr>
            <w:tcW w:w="461" w:type="pct"/>
            <w:tcBorders>
              <w:top w:val="single" w:sz="4" w:space="0" w:color="D9D9D9" w:themeColor="background1" w:themeShade="D9"/>
              <w:left w:val="nil"/>
              <w:bottom w:val="single" w:sz="8" w:space="0" w:color="D9D9D9"/>
              <w:right w:val="nil"/>
            </w:tcBorders>
            <w:shd w:val="clear" w:color="auto" w:fill="auto"/>
          </w:tcPr>
          <w:p w14:paraId="506DA424" w14:textId="77777777" w:rsidR="001121C3" w:rsidRPr="00FE5417" w:rsidRDefault="001121C3" w:rsidP="00FE5417">
            <w:pPr>
              <w:pStyle w:val="TabletextLeft"/>
              <w:spacing w:line="216" w:lineRule="auto"/>
              <w:rPr>
                <w:sz w:val="18"/>
                <w:szCs w:val="18"/>
              </w:rPr>
            </w:pPr>
            <w:r w:rsidRPr="00FE5417">
              <w:rPr>
                <w:sz w:val="18"/>
                <w:szCs w:val="18"/>
              </w:rPr>
              <w:t>Avoidable readmissions</w:t>
            </w:r>
          </w:p>
        </w:tc>
        <w:tc>
          <w:tcPr>
            <w:tcW w:w="2071" w:type="pct"/>
            <w:tcBorders>
              <w:top w:val="single" w:sz="4" w:space="0" w:color="D9D9D9" w:themeColor="background1" w:themeShade="D9"/>
              <w:left w:val="nil"/>
              <w:bottom w:val="single" w:sz="8" w:space="0" w:color="D9D9D9"/>
              <w:right w:val="nil"/>
            </w:tcBorders>
            <w:shd w:val="clear" w:color="auto" w:fill="auto"/>
          </w:tcPr>
          <w:p w14:paraId="193ED039" w14:textId="77777777" w:rsidR="001121C3" w:rsidRPr="00FE5417" w:rsidRDefault="001121C3" w:rsidP="00FE5417">
            <w:pPr>
              <w:pStyle w:val="TabletextLeft"/>
              <w:spacing w:line="216" w:lineRule="auto"/>
              <w:rPr>
                <w:sz w:val="18"/>
                <w:szCs w:val="18"/>
              </w:rPr>
            </w:pPr>
            <w:r w:rsidRPr="00FE5417">
              <w:rPr>
                <w:sz w:val="18"/>
                <w:szCs w:val="18"/>
              </w:rPr>
              <w:t>Rate of avoidable readmissions per 1000 separations, over time</w:t>
            </w:r>
          </w:p>
        </w:tc>
        <w:tc>
          <w:tcPr>
            <w:tcW w:w="2100" w:type="pct"/>
            <w:vMerge/>
            <w:tcBorders>
              <w:top w:val="single" w:sz="4" w:space="0" w:color="D9D9D9" w:themeColor="background1" w:themeShade="D9"/>
              <w:left w:val="nil"/>
              <w:bottom w:val="single" w:sz="8" w:space="0" w:color="D9D9D9"/>
              <w:right w:val="nil"/>
            </w:tcBorders>
            <w:shd w:val="clear" w:color="auto" w:fill="auto"/>
          </w:tcPr>
          <w:p w14:paraId="19C6D7B4" w14:textId="77777777" w:rsidR="001121C3" w:rsidRPr="00FE5417" w:rsidRDefault="001121C3" w:rsidP="00FE5417">
            <w:pPr>
              <w:pStyle w:val="TabletextLeft"/>
              <w:spacing w:line="216" w:lineRule="auto"/>
              <w:rPr>
                <w:sz w:val="18"/>
                <w:szCs w:val="18"/>
              </w:rPr>
            </w:pPr>
          </w:p>
        </w:tc>
      </w:tr>
      <w:tr w:rsidR="00FE5417" w:rsidRPr="00FE5417" w14:paraId="597F6E31" w14:textId="77777777" w:rsidTr="00FE5417">
        <w:trPr>
          <w:trHeight w:val="42"/>
        </w:trPr>
        <w:tc>
          <w:tcPr>
            <w:tcW w:w="368" w:type="pct"/>
            <w:vMerge/>
            <w:tcBorders>
              <w:left w:val="nil"/>
              <w:right w:val="nil"/>
            </w:tcBorders>
            <w:shd w:val="clear" w:color="auto" w:fill="auto"/>
          </w:tcPr>
          <w:p w14:paraId="4E24AAE4" w14:textId="77777777" w:rsidR="001121C3" w:rsidRPr="00FE5417" w:rsidRDefault="001121C3" w:rsidP="00FE5417">
            <w:pPr>
              <w:pStyle w:val="TabletextLeft"/>
              <w:spacing w:line="216" w:lineRule="auto"/>
              <w:rPr>
                <w:sz w:val="18"/>
                <w:szCs w:val="18"/>
              </w:rPr>
            </w:pPr>
          </w:p>
        </w:tc>
        <w:tc>
          <w:tcPr>
            <w:tcW w:w="461" w:type="pct"/>
            <w:vMerge w:val="restart"/>
            <w:tcBorders>
              <w:top w:val="single" w:sz="8" w:space="0" w:color="D9D9D9"/>
              <w:left w:val="nil"/>
              <w:right w:val="nil"/>
            </w:tcBorders>
            <w:shd w:val="clear" w:color="auto" w:fill="auto"/>
          </w:tcPr>
          <w:p w14:paraId="6FBCC444" w14:textId="77777777" w:rsidR="001121C3" w:rsidRPr="00FE5417" w:rsidRDefault="001121C3" w:rsidP="00FE5417">
            <w:pPr>
              <w:pStyle w:val="TabletextLeft"/>
              <w:spacing w:line="216" w:lineRule="auto"/>
              <w:rPr>
                <w:sz w:val="18"/>
                <w:szCs w:val="18"/>
              </w:rPr>
            </w:pPr>
            <w:r w:rsidRPr="00FE5417">
              <w:rPr>
                <w:sz w:val="18"/>
                <w:szCs w:val="18"/>
              </w:rPr>
              <w:t>High Value and Low Value Care</w:t>
            </w:r>
          </w:p>
        </w:tc>
        <w:tc>
          <w:tcPr>
            <w:tcW w:w="2071" w:type="pct"/>
            <w:tcBorders>
              <w:top w:val="single" w:sz="8" w:space="0" w:color="D9D9D9"/>
              <w:left w:val="nil"/>
              <w:bottom w:val="single" w:sz="8" w:space="0" w:color="D9D9D9"/>
              <w:right w:val="nil"/>
            </w:tcBorders>
            <w:shd w:val="clear" w:color="auto" w:fill="auto"/>
          </w:tcPr>
          <w:p w14:paraId="37C263EF" w14:textId="77777777" w:rsidR="001121C3" w:rsidRPr="00FE5417" w:rsidRDefault="001121C3" w:rsidP="00FE5417">
            <w:pPr>
              <w:pStyle w:val="TabletextLeft"/>
              <w:spacing w:line="216" w:lineRule="auto"/>
              <w:rPr>
                <w:sz w:val="18"/>
                <w:szCs w:val="18"/>
              </w:rPr>
            </w:pPr>
            <w:r w:rsidRPr="00FE5417">
              <w:rPr>
                <w:sz w:val="18"/>
                <w:szCs w:val="18"/>
              </w:rPr>
              <w:t>Number of knee arthroscopies over time</w:t>
            </w:r>
          </w:p>
        </w:tc>
        <w:tc>
          <w:tcPr>
            <w:tcW w:w="2100" w:type="pct"/>
            <w:vMerge w:val="restart"/>
            <w:tcBorders>
              <w:top w:val="single" w:sz="8" w:space="0" w:color="D9D9D9"/>
              <w:left w:val="nil"/>
              <w:right w:val="nil"/>
            </w:tcBorders>
            <w:shd w:val="clear" w:color="auto" w:fill="auto"/>
          </w:tcPr>
          <w:p w14:paraId="37808BC9" w14:textId="77777777" w:rsidR="001121C3" w:rsidRPr="00FE5417" w:rsidRDefault="001121C3" w:rsidP="00FE5417">
            <w:pPr>
              <w:pStyle w:val="TabletextLeft"/>
              <w:spacing w:line="216" w:lineRule="auto"/>
              <w:rPr>
                <w:sz w:val="18"/>
                <w:szCs w:val="18"/>
              </w:rPr>
            </w:pPr>
            <w:r w:rsidRPr="00FE5417">
              <w:rPr>
                <w:sz w:val="18"/>
                <w:szCs w:val="18"/>
              </w:rPr>
              <w:t>Is the number of low value care procedures decreasing and the number of high value care procedures increasing?</w:t>
            </w:r>
          </w:p>
        </w:tc>
      </w:tr>
      <w:tr w:rsidR="00FE5417" w:rsidRPr="00FE5417" w14:paraId="2C63C4BF" w14:textId="77777777" w:rsidTr="00FE5417">
        <w:trPr>
          <w:trHeight w:val="42"/>
        </w:trPr>
        <w:tc>
          <w:tcPr>
            <w:tcW w:w="368" w:type="pct"/>
            <w:vMerge/>
            <w:tcBorders>
              <w:left w:val="nil"/>
              <w:right w:val="nil"/>
            </w:tcBorders>
            <w:shd w:val="clear" w:color="auto" w:fill="auto"/>
          </w:tcPr>
          <w:p w14:paraId="08B33548" w14:textId="77777777" w:rsidR="001121C3" w:rsidRPr="00FE5417" w:rsidRDefault="001121C3" w:rsidP="00FE5417">
            <w:pPr>
              <w:pStyle w:val="TabletextLeft"/>
              <w:spacing w:line="216" w:lineRule="auto"/>
              <w:rPr>
                <w:sz w:val="18"/>
                <w:szCs w:val="18"/>
              </w:rPr>
            </w:pPr>
          </w:p>
        </w:tc>
        <w:tc>
          <w:tcPr>
            <w:tcW w:w="461" w:type="pct"/>
            <w:vMerge/>
            <w:tcBorders>
              <w:left w:val="nil"/>
              <w:bottom w:val="single" w:sz="8" w:space="0" w:color="D9D9D9"/>
              <w:right w:val="nil"/>
            </w:tcBorders>
            <w:shd w:val="clear" w:color="auto" w:fill="auto"/>
          </w:tcPr>
          <w:p w14:paraId="5E0FB8B6" w14:textId="77777777" w:rsidR="001121C3" w:rsidRPr="00FE5417" w:rsidRDefault="001121C3" w:rsidP="00FE5417">
            <w:pPr>
              <w:pStyle w:val="TabletextLeft"/>
              <w:spacing w:line="216" w:lineRule="auto"/>
              <w:rPr>
                <w:sz w:val="18"/>
                <w:szCs w:val="18"/>
              </w:rPr>
            </w:pPr>
          </w:p>
        </w:tc>
        <w:tc>
          <w:tcPr>
            <w:tcW w:w="2071" w:type="pct"/>
            <w:tcBorders>
              <w:top w:val="single" w:sz="8" w:space="0" w:color="D9D9D9"/>
              <w:left w:val="nil"/>
              <w:bottom w:val="single" w:sz="8" w:space="0" w:color="D9D9D9"/>
              <w:right w:val="nil"/>
            </w:tcBorders>
            <w:shd w:val="clear" w:color="auto" w:fill="auto"/>
          </w:tcPr>
          <w:p w14:paraId="1C2E08BE" w14:textId="77777777" w:rsidR="001121C3" w:rsidRPr="00FE5417" w:rsidRDefault="001121C3" w:rsidP="00FE5417">
            <w:pPr>
              <w:pStyle w:val="TabletextLeft"/>
              <w:spacing w:line="216" w:lineRule="auto"/>
              <w:rPr>
                <w:sz w:val="18"/>
                <w:szCs w:val="18"/>
              </w:rPr>
            </w:pPr>
            <w:r w:rsidRPr="00FE5417">
              <w:rPr>
                <w:sz w:val="18"/>
                <w:szCs w:val="18"/>
              </w:rPr>
              <w:t>Additional Indicator Measures TBC based on VBHC Framework</w:t>
            </w:r>
          </w:p>
        </w:tc>
        <w:tc>
          <w:tcPr>
            <w:tcW w:w="2100" w:type="pct"/>
            <w:vMerge/>
            <w:tcBorders>
              <w:left w:val="nil"/>
              <w:bottom w:val="single" w:sz="8" w:space="0" w:color="D9D9D9"/>
              <w:right w:val="nil"/>
            </w:tcBorders>
            <w:shd w:val="clear" w:color="auto" w:fill="auto"/>
          </w:tcPr>
          <w:p w14:paraId="2D1226B5" w14:textId="77777777" w:rsidR="001121C3" w:rsidRPr="00FE5417" w:rsidRDefault="001121C3" w:rsidP="00FE5417">
            <w:pPr>
              <w:pStyle w:val="TabletextLeft"/>
              <w:spacing w:line="216" w:lineRule="auto"/>
              <w:rPr>
                <w:sz w:val="18"/>
                <w:szCs w:val="18"/>
              </w:rPr>
            </w:pPr>
          </w:p>
        </w:tc>
      </w:tr>
      <w:tr w:rsidR="00FE5417" w:rsidRPr="00FE5417" w14:paraId="3E716E47" w14:textId="77777777" w:rsidTr="00FE5417">
        <w:trPr>
          <w:trHeight w:val="42"/>
        </w:trPr>
        <w:tc>
          <w:tcPr>
            <w:tcW w:w="368" w:type="pct"/>
            <w:vMerge/>
            <w:tcBorders>
              <w:left w:val="nil"/>
              <w:right w:val="nil"/>
            </w:tcBorders>
            <w:shd w:val="clear" w:color="auto" w:fill="auto"/>
          </w:tcPr>
          <w:p w14:paraId="0A7FA8CF" w14:textId="77777777" w:rsidR="00B7506F" w:rsidRPr="00FE5417" w:rsidRDefault="00B7506F" w:rsidP="00FE5417">
            <w:pPr>
              <w:pStyle w:val="TabletextLeft"/>
              <w:spacing w:line="216" w:lineRule="auto"/>
              <w:rPr>
                <w:sz w:val="18"/>
                <w:szCs w:val="18"/>
              </w:rPr>
            </w:pPr>
          </w:p>
        </w:tc>
        <w:tc>
          <w:tcPr>
            <w:tcW w:w="461" w:type="pct"/>
            <w:vMerge w:val="restart"/>
            <w:tcBorders>
              <w:top w:val="single" w:sz="8" w:space="0" w:color="D9D9D9"/>
              <w:left w:val="nil"/>
              <w:right w:val="nil"/>
            </w:tcBorders>
            <w:shd w:val="clear" w:color="auto" w:fill="auto"/>
          </w:tcPr>
          <w:p w14:paraId="5E7BC35F" w14:textId="77777777" w:rsidR="00B7506F" w:rsidRPr="00FE5417" w:rsidRDefault="00B7506F" w:rsidP="00FE5417">
            <w:pPr>
              <w:pStyle w:val="TabletextLeft"/>
              <w:spacing w:line="216" w:lineRule="auto"/>
              <w:rPr>
                <w:sz w:val="18"/>
                <w:szCs w:val="18"/>
              </w:rPr>
            </w:pPr>
            <w:r w:rsidRPr="00FE5417">
              <w:rPr>
                <w:sz w:val="18"/>
                <w:szCs w:val="18"/>
              </w:rPr>
              <w:t>Patient reported measures</w:t>
            </w:r>
          </w:p>
        </w:tc>
        <w:tc>
          <w:tcPr>
            <w:tcW w:w="2071" w:type="pct"/>
            <w:tcBorders>
              <w:top w:val="single" w:sz="8" w:space="0" w:color="D9D9D9"/>
              <w:left w:val="nil"/>
              <w:bottom w:val="single" w:sz="8" w:space="0" w:color="D9D9D9"/>
              <w:right w:val="nil"/>
            </w:tcBorders>
            <w:shd w:val="clear" w:color="auto" w:fill="auto"/>
          </w:tcPr>
          <w:p w14:paraId="4D02F9DD" w14:textId="77777777" w:rsidR="00B7506F" w:rsidRPr="00FE5417" w:rsidRDefault="00B7506F" w:rsidP="00FE5417">
            <w:pPr>
              <w:pStyle w:val="TabletextLeft"/>
              <w:spacing w:line="216" w:lineRule="auto"/>
              <w:rPr>
                <w:sz w:val="18"/>
                <w:szCs w:val="18"/>
              </w:rPr>
            </w:pPr>
            <w:r w:rsidRPr="00FE5417">
              <w:rPr>
                <w:sz w:val="18"/>
                <w:szCs w:val="18"/>
              </w:rPr>
              <w:t>Patient Reported Experience Measures (PREMS) over time</w:t>
            </w:r>
          </w:p>
        </w:tc>
        <w:tc>
          <w:tcPr>
            <w:tcW w:w="2100" w:type="pct"/>
            <w:vMerge w:val="restart"/>
            <w:tcBorders>
              <w:top w:val="single" w:sz="8" w:space="0" w:color="D9D9D9"/>
              <w:left w:val="nil"/>
              <w:right w:val="nil"/>
            </w:tcBorders>
            <w:shd w:val="clear" w:color="auto" w:fill="auto"/>
          </w:tcPr>
          <w:p w14:paraId="063871C6" w14:textId="77777777" w:rsidR="00B7506F" w:rsidRPr="00FE5417" w:rsidRDefault="00B7506F" w:rsidP="00FE5417">
            <w:pPr>
              <w:pStyle w:val="TabletextLeft"/>
              <w:spacing w:line="216" w:lineRule="auto"/>
              <w:rPr>
                <w:sz w:val="18"/>
                <w:szCs w:val="18"/>
              </w:rPr>
            </w:pPr>
            <w:r w:rsidRPr="00FE5417">
              <w:rPr>
                <w:sz w:val="18"/>
                <w:szCs w:val="18"/>
              </w:rPr>
              <w:t>What do patients report as their experience with health professionals?</w:t>
            </w:r>
          </w:p>
        </w:tc>
      </w:tr>
      <w:tr w:rsidR="00FE5417" w:rsidRPr="00FE5417" w14:paraId="20A639F3" w14:textId="77777777" w:rsidTr="00FE5417">
        <w:trPr>
          <w:trHeight w:val="42"/>
        </w:trPr>
        <w:tc>
          <w:tcPr>
            <w:tcW w:w="368" w:type="pct"/>
            <w:vMerge/>
            <w:tcBorders>
              <w:left w:val="nil"/>
              <w:bottom w:val="single" w:sz="8" w:space="0" w:color="D9D9D9"/>
              <w:right w:val="nil"/>
            </w:tcBorders>
            <w:shd w:val="clear" w:color="auto" w:fill="auto"/>
          </w:tcPr>
          <w:p w14:paraId="20A08039" w14:textId="77777777" w:rsidR="00B7506F" w:rsidRPr="00FE5417" w:rsidRDefault="00B7506F" w:rsidP="00FE5417">
            <w:pPr>
              <w:pStyle w:val="TabletextLeft"/>
              <w:spacing w:line="216" w:lineRule="auto"/>
              <w:rPr>
                <w:sz w:val="18"/>
                <w:szCs w:val="18"/>
              </w:rPr>
            </w:pPr>
          </w:p>
        </w:tc>
        <w:tc>
          <w:tcPr>
            <w:tcW w:w="461" w:type="pct"/>
            <w:vMerge/>
            <w:tcBorders>
              <w:left w:val="nil"/>
              <w:right w:val="nil"/>
            </w:tcBorders>
            <w:shd w:val="clear" w:color="auto" w:fill="auto"/>
          </w:tcPr>
          <w:p w14:paraId="4863C9CC" w14:textId="77777777" w:rsidR="00B7506F" w:rsidRPr="00FE5417" w:rsidRDefault="00B7506F" w:rsidP="00FE5417">
            <w:pPr>
              <w:pStyle w:val="TabletextLeft"/>
              <w:spacing w:line="216" w:lineRule="auto"/>
              <w:rPr>
                <w:sz w:val="18"/>
                <w:szCs w:val="18"/>
              </w:rPr>
            </w:pPr>
          </w:p>
        </w:tc>
        <w:tc>
          <w:tcPr>
            <w:tcW w:w="2071" w:type="pct"/>
            <w:tcBorders>
              <w:top w:val="single" w:sz="8" w:space="0" w:color="D9D9D9"/>
              <w:left w:val="nil"/>
              <w:bottom w:val="single" w:sz="8" w:space="0" w:color="D9D9D9"/>
              <w:right w:val="nil"/>
            </w:tcBorders>
            <w:shd w:val="clear" w:color="auto" w:fill="auto"/>
          </w:tcPr>
          <w:p w14:paraId="37416EB4" w14:textId="77777777" w:rsidR="00B7506F" w:rsidRPr="00FE5417" w:rsidRDefault="00B7506F" w:rsidP="00FE5417">
            <w:pPr>
              <w:pStyle w:val="TabletextLeft"/>
              <w:spacing w:line="216" w:lineRule="auto"/>
              <w:rPr>
                <w:sz w:val="18"/>
                <w:szCs w:val="18"/>
              </w:rPr>
            </w:pPr>
            <w:r w:rsidRPr="00FE5417">
              <w:rPr>
                <w:sz w:val="18"/>
                <w:szCs w:val="18"/>
              </w:rPr>
              <w:t>Patient Reported Outcome Measures (PROMS) over time</w:t>
            </w:r>
          </w:p>
        </w:tc>
        <w:tc>
          <w:tcPr>
            <w:tcW w:w="2100" w:type="pct"/>
            <w:vMerge/>
            <w:tcBorders>
              <w:left w:val="nil"/>
              <w:right w:val="nil"/>
            </w:tcBorders>
            <w:shd w:val="clear" w:color="auto" w:fill="auto"/>
          </w:tcPr>
          <w:p w14:paraId="6440AFD4" w14:textId="77777777" w:rsidR="00B7506F" w:rsidRPr="00FE5417" w:rsidRDefault="00B7506F" w:rsidP="00FE5417">
            <w:pPr>
              <w:pStyle w:val="TabletextLeft"/>
              <w:spacing w:line="216" w:lineRule="auto"/>
              <w:rPr>
                <w:sz w:val="18"/>
                <w:szCs w:val="18"/>
              </w:rPr>
            </w:pPr>
          </w:p>
        </w:tc>
      </w:tr>
      <w:tr w:rsidR="00FE5417" w:rsidRPr="00FE5417" w14:paraId="2CD32AA6" w14:textId="77777777" w:rsidTr="00FE5417">
        <w:trPr>
          <w:trHeight w:val="42"/>
        </w:trPr>
        <w:tc>
          <w:tcPr>
            <w:tcW w:w="368" w:type="pct"/>
            <w:vMerge/>
            <w:tcBorders>
              <w:left w:val="nil"/>
              <w:bottom w:val="single" w:sz="8" w:space="0" w:color="D9D9D9"/>
              <w:right w:val="nil"/>
            </w:tcBorders>
            <w:shd w:val="clear" w:color="auto" w:fill="auto"/>
          </w:tcPr>
          <w:p w14:paraId="2409E244" w14:textId="77777777" w:rsidR="00B7506F" w:rsidRPr="00FE5417" w:rsidRDefault="00B7506F" w:rsidP="00FE5417">
            <w:pPr>
              <w:pStyle w:val="TabletextLeft"/>
              <w:spacing w:line="216" w:lineRule="auto"/>
              <w:rPr>
                <w:sz w:val="18"/>
                <w:szCs w:val="18"/>
              </w:rPr>
            </w:pPr>
          </w:p>
        </w:tc>
        <w:tc>
          <w:tcPr>
            <w:tcW w:w="461" w:type="pct"/>
            <w:vMerge/>
            <w:tcBorders>
              <w:left w:val="nil"/>
              <w:bottom w:val="single" w:sz="8" w:space="0" w:color="D9D9D9"/>
              <w:right w:val="nil"/>
            </w:tcBorders>
            <w:shd w:val="clear" w:color="auto" w:fill="auto"/>
          </w:tcPr>
          <w:p w14:paraId="2A3A0D04" w14:textId="77777777" w:rsidR="00B7506F" w:rsidRPr="00FE5417" w:rsidRDefault="00B7506F" w:rsidP="00FE5417">
            <w:pPr>
              <w:pStyle w:val="TabletextLeft"/>
              <w:spacing w:line="216" w:lineRule="auto"/>
              <w:rPr>
                <w:sz w:val="18"/>
                <w:szCs w:val="18"/>
              </w:rPr>
            </w:pPr>
          </w:p>
        </w:tc>
        <w:tc>
          <w:tcPr>
            <w:tcW w:w="2071" w:type="pct"/>
            <w:tcBorders>
              <w:top w:val="single" w:sz="8" w:space="0" w:color="D9D9D9"/>
              <w:left w:val="nil"/>
              <w:bottom w:val="single" w:sz="8" w:space="0" w:color="D9D9D9"/>
              <w:right w:val="nil"/>
            </w:tcBorders>
            <w:shd w:val="clear" w:color="auto" w:fill="auto"/>
          </w:tcPr>
          <w:p w14:paraId="101222C8" w14:textId="77777777" w:rsidR="00B7506F" w:rsidRPr="00FE5417" w:rsidRDefault="00B7506F" w:rsidP="00FE5417">
            <w:pPr>
              <w:pStyle w:val="TabletextLeft"/>
              <w:spacing w:line="216" w:lineRule="auto"/>
              <w:rPr>
                <w:sz w:val="18"/>
                <w:szCs w:val="18"/>
              </w:rPr>
            </w:pPr>
            <w:r w:rsidRPr="00FE5417">
              <w:rPr>
                <w:sz w:val="18"/>
                <w:szCs w:val="18"/>
              </w:rPr>
              <w:t>Evidence of establishment and reporting of PREMS and PROMS measures over time</w:t>
            </w:r>
          </w:p>
        </w:tc>
        <w:tc>
          <w:tcPr>
            <w:tcW w:w="2100" w:type="pct"/>
            <w:vMerge/>
            <w:tcBorders>
              <w:left w:val="nil"/>
              <w:bottom w:val="single" w:sz="8" w:space="0" w:color="D9D9D9"/>
              <w:right w:val="nil"/>
            </w:tcBorders>
            <w:shd w:val="clear" w:color="auto" w:fill="auto"/>
          </w:tcPr>
          <w:p w14:paraId="22CCFB58" w14:textId="77777777" w:rsidR="00B7506F" w:rsidRPr="00FE5417" w:rsidRDefault="00B7506F" w:rsidP="00FE5417">
            <w:pPr>
              <w:pStyle w:val="TabletextLeft"/>
              <w:spacing w:line="216" w:lineRule="auto"/>
              <w:rPr>
                <w:sz w:val="18"/>
                <w:szCs w:val="18"/>
              </w:rPr>
            </w:pPr>
          </w:p>
        </w:tc>
      </w:tr>
      <w:tr w:rsidR="00FE5417" w:rsidRPr="00FE5417" w14:paraId="32D50B32" w14:textId="77777777" w:rsidTr="00FE5417">
        <w:trPr>
          <w:trHeight w:val="42"/>
        </w:trPr>
        <w:tc>
          <w:tcPr>
            <w:tcW w:w="368" w:type="pct"/>
            <w:vMerge/>
            <w:tcBorders>
              <w:left w:val="nil"/>
              <w:bottom w:val="single" w:sz="8" w:space="0" w:color="D9D9D9"/>
              <w:right w:val="nil"/>
            </w:tcBorders>
            <w:shd w:val="clear" w:color="auto" w:fill="auto"/>
          </w:tcPr>
          <w:p w14:paraId="3C17E750" w14:textId="77777777" w:rsidR="001121C3" w:rsidRPr="00FE5417" w:rsidRDefault="001121C3" w:rsidP="00FE5417">
            <w:pPr>
              <w:pStyle w:val="TabletextLeft"/>
              <w:spacing w:line="216" w:lineRule="auto"/>
              <w:rPr>
                <w:sz w:val="18"/>
                <w:szCs w:val="18"/>
              </w:rPr>
            </w:pPr>
          </w:p>
        </w:tc>
        <w:tc>
          <w:tcPr>
            <w:tcW w:w="461" w:type="pct"/>
            <w:tcBorders>
              <w:top w:val="single" w:sz="8" w:space="0" w:color="D9D9D9"/>
              <w:left w:val="nil"/>
              <w:bottom w:val="single" w:sz="8" w:space="0" w:color="D9D9D9"/>
              <w:right w:val="nil"/>
            </w:tcBorders>
            <w:shd w:val="clear" w:color="auto" w:fill="auto"/>
          </w:tcPr>
          <w:p w14:paraId="7C11CD10" w14:textId="77777777" w:rsidR="001121C3" w:rsidRPr="00FE5417" w:rsidRDefault="001121C3" w:rsidP="00FE5417">
            <w:pPr>
              <w:pStyle w:val="TabletextLeft"/>
              <w:spacing w:line="216" w:lineRule="auto"/>
              <w:rPr>
                <w:sz w:val="18"/>
                <w:szCs w:val="18"/>
              </w:rPr>
            </w:pPr>
            <w:r w:rsidRPr="00FE5417">
              <w:rPr>
                <w:sz w:val="18"/>
                <w:szCs w:val="18"/>
              </w:rPr>
              <w:t>Patient initiated discontinuation of service</w:t>
            </w:r>
          </w:p>
        </w:tc>
        <w:tc>
          <w:tcPr>
            <w:tcW w:w="2071" w:type="pct"/>
            <w:tcBorders>
              <w:top w:val="single" w:sz="8" w:space="0" w:color="D9D9D9"/>
              <w:left w:val="nil"/>
              <w:bottom w:val="single" w:sz="8" w:space="0" w:color="D9D9D9"/>
              <w:right w:val="nil"/>
            </w:tcBorders>
            <w:shd w:val="clear" w:color="auto" w:fill="auto"/>
          </w:tcPr>
          <w:p w14:paraId="51F4D952" w14:textId="77777777" w:rsidR="001121C3" w:rsidRPr="00FE5417" w:rsidRDefault="001121C3" w:rsidP="00FE5417">
            <w:pPr>
              <w:pStyle w:val="TabletextLeft"/>
              <w:spacing w:line="216" w:lineRule="auto"/>
              <w:rPr>
                <w:sz w:val="18"/>
                <w:szCs w:val="18"/>
              </w:rPr>
            </w:pPr>
            <w:r w:rsidRPr="00FE5417">
              <w:rPr>
                <w:sz w:val="18"/>
                <w:szCs w:val="18"/>
              </w:rPr>
              <w:t>Proportion of patients who did not wait, left, or were discharged against medical advice</w:t>
            </w:r>
          </w:p>
        </w:tc>
        <w:tc>
          <w:tcPr>
            <w:tcW w:w="2100" w:type="pct"/>
            <w:tcBorders>
              <w:top w:val="single" w:sz="8" w:space="0" w:color="D9D9D9"/>
              <w:left w:val="nil"/>
              <w:bottom w:val="single" w:sz="8" w:space="0" w:color="D9D9D9"/>
              <w:right w:val="nil"/>
            </w:tcBorders>
            <w:shd w:val="clear" w:color="auto" w:fill="auto"/>
          </w:tcPr>
          <w:p w14:paraId="3941F808" w14:textId="77777777" w:rsidR="001121C3" w:rsidRPr="00FE5417" w:rsidRDefault="001121C3" w:rsidP="00FE5417">
            <w:pPr>
              <w:pStyle w:val="TabletextLeft"/>
              <w:spacing w:line="216" w:lineRule="auto"/>
              <w:rPr>
                <w:sz w:val="18"/>
                <w:szCs w:val="18"/>
              </w:rPr>
            </w:pPr>
            <w:r w:rsidRPr="00FE5417">
              <w:rPr>
                <w:sz w:val="18"/>
                <w:szCs w:val="18"/>
              </w:rPr>
              <w:t>Are more people completing care, possibly suggesting that services are more effective at engaging patients?</w:t>
            </w:r>
          </w:p>
        </w:tc>
      </w:tr>
      <w:tr w:rsidR="00FE5417" w:rsidRPr="00FE5417" w14:paraId="7C461EBB" w14:textId="77777777" w:rsidTr="00FE5417">
        <w:trPr>
          <w:trHeight w:val="42"/>
        </w:trPr>
        <w:tc>
          <w:tcPr>
            <w:tcW w:w="368" w:type="pct"/>
            <w:vMerge w:val="restart"/>
            <w:tcBorders>
              <w:top w:val="single" w:sz="8" w:space="0" w:color="D9D9D9"/>
              <w:left w:val="nil"/>
              <w:right w:val="nil"/>
            </w:tcBorders>
            <w:shd w:val="clear" w:color="auto" w:fill="auto"/>
          </w:tcPr>
          <w:p w14:paraId="321B5129" w14:textId="77777777" w:rsidR="001121C3" w:rsidRPr="00FE5417" w:rsidRDefault="001121C3" w:rsidP="00FE5417">
            <w:pPr>
              <w:pStyle w:val="TabletextLeft"/>
              <w:spacing w:line="216" w:lineRule="auto"/>
              <w:rPr>
                <w:sz w:val="18"/>
                <w:szCs w:val="18"/>
              </w:rPr>
            </w:pPr>
            <w:r w:rsidRPr="00FE5417">
              <w:rPr>
                <w:sz w:val="18"/>
                <w:szCs w:val="18"/>
              </w:rPr>
              <w:t>Efficiency</w:t>
            </w:r>
          </w:p>
        </w:tc>
        <w:tc>
          <w:tcPr>
            <w:tcW w:w="461" w:type="pct"/>
            <w:vMerge w:val="restart"/>
            <w:tcBorders>
              <w:top w:val="single" w:sz="8" w:space="0" w:color="D9D9D9"/>
              <w:left w:val="nil"/>
              <w:right w:val="nil"/>
            </w:tcBorders>
            <w:shd w:val="clear" w:color="auto" w:fill="auto"/>
          </w:tcPr>
          <w:p w14:paraId="5D055D1F" w14:textId="77777777" w:rsidR="001121C3" w:rsidRPr="00FE5417" w:rsidRDefault="001121C3" w:rsidP="00FE5417">
            <w:pPr>
              <w:pStyle w:val="TabletextLeft"/>
              <w:spacing w:line="216" w:lineRule="auto"/>
              <w:rPr>
                <w:sz w:val="18"/>
                <w:szCs w:val="18"/>
              </w:rPr>
            </w:pPr>
            <w:r w:rsidRPr="00FE5417">
              <w:rPr>
                <w:sz w:val="18"/>
                <w:szCs w:val="18"/>
              </w:rPr>
              <w:t>Activity and pricing</w:t>
            </w:r>
          </w:p>
        </w:tc>
        <w:tc>
          <w:tcPr>
            <w:tcW w:w="2071" w:type="pct"/>
            <w:tcBorders>
              <w:top w:val="single" w:sz="8" w:space="0" w:color="D9D9D9"/>
              <w:left w:val="nil"/>
              <w:bottom w:val="single" w:sz="8" w:space="0" w:color="D9D9D9"/>
              <w:right w:val="nil"/>
            </w:tcBorders>
            <w:shd w:val="clear" w:color="auto" w:fill="auto"/>
          </w:tcPr>
          <w:p w14:paraId="31D25630" w14:textId="77777777" w:rsidR="001121C3" w:rsidRPr="00FE5417" w:rsidRDefault="001121C3" w:rsidP="00FE5417">
            <w:pPr>
              <w:pStyle w:val="TabletextLeft"/>
              <w:spacing w:line="216" w:lineRule="auto"/>
              <w:rPr>
                <w:sz w:val="18"/>
                <w:szCs w:val="18"/>
              </w:rPr>
            </w:pPr>
            <w:r w:rsidRPr="00FE5417">
              <w:rPr>
                <w:sz w:val="18"/>
                <w:szCs w:val="18"/>
              </w:rPr>
              <w:t>Annual National Efficient Price (NEP) over time and growth compared to annual health CPI</w:t>
            </w:r>
          </w:p>
        </w:tc>
        <w:tc>
          <w:tcPr>
            <w:tcW w:w="2100" w:type="pct"/>
            <w:tcBorders>
              <w:top w:val="nil"/>
              <w:left w:val="nil"/>
              <w:bottom w:val="nil"/>
              <w:right w:val="nil"/>
            </w:tcBorders>
            <w:shd w:val="clear" w:color="auto" w:fill="auto"/>
          </w:tcPr>
          <w:p w14:paraId="6D4146CD" w14:textId="77777777" w:rsidR="001121C3" w:rsidRPr="00FE5417" w:rsidRDefault="001121C3" w:rsidP="00FE5417">
            <w:pPr>
              <w:pStyle w:val="TabletextLeft"/>
              <w:spacing w:line="216" w:lineRule="auto"/>
              <w:rPr>
                <w:sz w:val="18"/>
                <w:szCs w:val="18"/>
              </w:rPr>
            </w:pPr>
            <w:r w:rsidRPr="00FE5417">
              <w:rPr>
                <w:color w:val="000000"/>
                <w:sz w:val="18"/>
                <w:szCs w:val="18"/>
              </w:rPr>
              <w:t>How do changes in the NEP compare with general and health CPI</w:t>
            </w:r>
          </w:p>
        </w:tc>
      </w:tr>
      <w:tr w:rsidR="00FE5417" w:rsidRPr="00FE5417" w14:paraId="34E042A8" w14:textId="77777777" w:rsidTr="00FE5417">
        <w:trPr>
          <w:trHeight w:val="42"/>
        </w:trPr>
        <w:tc>
          <w:tcPr>
            <w:tcW w:w="368" w:type="pct"/>
            <w:vMerge/>
            <w:tcBorders>
              <w:left w:val="nil"/>
              <w:right w:val="nil"/>
            </w:tcBorders>
            <w:shd w:val="clear" w:color="auto" w:fill="auto"/>
          </w:tcPr>
          <w:p w14:paraId="2915DA4E" w14:textId="77777777" w:rsidR="001121C3" w:rsidRPr="00FE5417" w:rsidRDefault="001121C3" w:rsidP="00FE5417">
            <w:pPr>
              <w:pStyle w:val="TabletextLeft"/>
              <w:spacing w:line="216" w:lineRule="auto"/>
              <w:rPr>
                <w:sz w:val="18"/>
                <w:szCs w:val="18"/>
              </w:rPr>
            </w:pPr>
          </w:p>
        </w:tc>
        <w:tc>
          <w:tcPr>
            <w:tcW w:w="461" w:type="pct"/>
            <w:vMerge/>
            <w:tcBorders>
              <w:left w:val="nil"/>
              <w:bottom w:val="single" w:sz="8" w:space="0" w:color="D9D9D9"/>
              <w:right w:val="nil"/>
            </w:tcBorders>
            <w:shd w:val="clear" w:color="auto" w:fill="auto"/>
          </w:tcPr>
          <w:p w14:paraId="4664AB3E" w14:textId="77777777" w:rsidR="001121C3" w:rsidRPr="00FE5417" w:rsidRDefault="001121C3" w:rsidP="00FE5417">
            <w:pPr>
              <w:pStyle w:val="TabletextLeft"/>
              <w:spacing w:line="216" w:lineRule="auto"/>
              <w:rPr>
                <w:sz w:val="18"/>
                <w:szCs w:val="18"/>
              </w:rPr>
            </w:pPr>
          </w:p>
        </w:tc>
        <w:tc>
          <w:tcPr>
            <w:tcW w:w="2071" w:type="pct"/>
            <w:tcBorders>
              <w:top w:val="single" w:sz="8" w:space="0" w:color="D9D9D9"/>
              <w:left w:val="nil"/>
              <w:bottom w:val="single" w:sz="8" w:space="0" w:color="D9D9D9"/>
              <w:right w:val="nil"/>
            </w:tcBorders>
            <w:shd w:val="clear" w:color="auto" w:fill="auto"/>
          </w:tcPr>
          <w:p w14:paraId="1F0A3940" w14:textId="150C6B7F" w:rsidR="001121C3" w:rsidRPr="00FE5417" w:rsidRDefault="001121C3" w:rsidP="00FE5417">
            <w:pPr>
              <w:pStyle w:val="TabletextLeft"/>
              <w:spacing w:line="216" w:lineRule="auto"/>
              <w:rPr>
                <w:sz w:val="18"/>
                <w:szCs w:val="18"/>
              </w:rPr>
            </w:pPr>
            <w:r w:rsidRPr="00FE5417">
              <w:rPr>
                <w:sz w:val="18"/>
                <w:szCs w:val="18"/>
              </w:rPr>
              <w:t>Average cost per NWAU over time and growth compared to total separations, and by 65+ years separations, annual health CPI, and annual NEP</w:t>
            </w:r>
          </w:p>
        </w:tc>
        <w:tc>
          <w:tcPr>
            <w:tcW w:w="2100" w:type="pct"/>
            <w:tcBorders>
              <w:top w:val="nil"/>
              <w:left w:val="nil"/>
              <w:bottom w:val="nil"/>
              <w:right w:val="nil"/>
            </w:tcBorders>
            <w:shd w:val="clear" w:color="auto" w:fill="auto"/>
          </w:tcPr>
          <w:p w14:paraId="664309EA" w14:textId="77777777" w:rsidR="001121C3" w:rsidRPr="00FE5417" w:rsidRDefault="001121C3" w:rsidP="00FE5417">
            <w:pPr>
              <w:pStyle w:val="TabletextLeft"/>
              <w:spacing w:line="216" w:lineRule="auto"/>
              <w:rPr>
                <w:sz w:val="18"/>
                <w:szCs w:val="18"/>
              </w:rPr>
            </w:pPr>
            <w:r w:rsidRPr="00FE5417">
              <w:rPr>
                <w:color w:val="000000"/>
                <w:sz w:val="18"/>
                <w:szCs w:val="18"/>
              </w:rPr>
              <w:t>Is it more or less costly to deliver one standardised unit of activity, as measured by the NWAU?</w:t>
            </w:r>
          </w:p>
        </w:tc>
      </w:tr>
      <w:tr w:rsidR="00FE5417" w:rsidRPr="00FE5417" w14:paraId="0ED0164A" w14:textId="77777777" w:rsidTr="00FE5417">
        <w:trPr>
          <w:trHeight w:val="42"/>
        </w:trPr>
        <w:tc>
          <w:tcPr>
            <w:tcW w:w="368" w:type="pct"/>
            <w:vMerge/>
            <w:tcBorders>
              <w:left w:val="nil"/>
              <w:right w:val="nil"/>
            </w:tcBorders>
            <w:shd w:val="clear" w:color="auto" w:fill="auto"/>
          </w:tcPr>
          <w:p w14:paraId="1A69E90C" w14:textId="77777777" w:rsidR="001121C3" w:rsidRPr="00FE5417" w:rsidRDefault="001121C3" w:rsidP="00FE5417">
            <w:pPr>
              <w:pStyle w:val="TabletextLeft"/>
              <w:spacing w:line="216" w:lineRule="auto"/>
              <w:rPr>
                <w:sz w:val="18"/>
                <w:szCs w:val="18"/>
              </w:rPr>
            </w:pPr>
          </w:p>
        </w:tc>
        <w:tc>
          <w:tcPr>
            <w:tcW w:w="461" w:type="pct"/>
            <w:tcBorders>
              <w:top w:val="single" w:sz="8" w:space="0" w:color="D9D9D9"/>
              <w:left w:val="nil"/>
              <w:bottom w:val="single" w:sz="8" w:space="0" w:color="D9D9D9"/>
              <w:right w:val="nil"/>
            </w:tcBorders>
            <w:shd w:val="clear" w:color="auto" w:fill="auto"/>
          </w:tcPr>
          <w:p w14:paraId="6C1E25CF" w14:textId="77777777" w:rsidR="001121C3" w:rsidRPr="00FE5417" w:rsidRDefault="001121C3" w:rsidP="00FE5417">
            <w:pPr>
              <w:pStyle w:val="TabletextLeft"/>
              <w:spacing w:line="216" w:lineRule="auto"/>
              <w:rPr>
                <w:sz w:val="18"/>
                <w:szCs w:val="18"/>
              </w:rPr>
            </w:pPr>
            <w:r w:rsidRPr="00FE5417">
              <w:rPr>
                <w:sz w:val="18"/>
                <w:szCs w:val="18"/>
              </w:rPr>
              <w:t>Public hospital beds</w:t>
            </w:r>
          </w:p>
        </w:tc>
        <w:tc>
          <w:tcPr>
            <w:tcW w:w="2071" w:type="pct"/>
            <w:tcBorders>
              <w:top w:val="single" w:sz="8" w:space="0" w:color="D9D9D9"/>
              <w:left w:val="nil"/>
              <w:bottom w:val="single" w:sz="8" w:space="0" w:color="D9D9D9"/>
              <w:right w:val="nil"/>
            </w:tcBorders>
            <w:shd w:val="clear" w:color="auto" w:fill="auto"/>
          </w:tcPr>
          <w:p w14:paraId="5B9D55BB" w14:textId="2FB02003" w:rsidR="001121C3" w:rsidRPr="00FE5417" w:rsidRDefault="001121C3" w:rsidP="00FE5417">
            <w:pPr>
              <w:pStyle w:val="TabletextLeft"/>
              <w:spacing w:line="216" w:lineRule="auto"/>
              <w:rPr>
                <w:sz w:val="18"/>
                <w:szCs w:val="18"/>
              </w:rPr>
            </w:pPr>
            <w:r w:rsidRPr="00FE5417">
              <w:rPr>
                <w:sz w:val="18"/>
                <w:szCs w:val="18"/>
              </w:rPr>
              <w:t xml:space="preserve">Ratio of hospital beds per 1,000 population and per 1,000 aged 65+, nationally and by </w:t>
            </w:r>
            <w:r w:rsidR="00B74398">
              <w:rPr>
                <w:sz w:val="18"/>
                <w:szCs w:val="18"/>
              </w:rPr>
              <w:t>S</w:t>
            </w:r>
            <w:r w:rsidRPr="00FE5417">
              <w:rPr>
                <w:sz w:val="18"/>
                <w:szCs w:val="18"/>
              </w:rPr>
              <w:t xml:space="preserve">tate and </w:t>
            </w:r>
            <w:r w:rsidR="00B74398">
              <w:rPr>
                <w:sz w:val="18"/>
                <w:szCs w:val="18"/>
              </w:rPr>
              <w:t>T</w:t>
            </w:r>
            <w:r w:rsidRPr="00FE5417">
              <w:rPr>
                <w:sz w:val="18"/>
                <w:szCs w:val="18"/>
              </w:rPr>
              <w:t>erritory, over time, and changes in comparison to changes in hospital separations and total NWAU</w:t>
            </w:r>
          </w:p>
        </w:tc>
        <w:tc>
          <w:tcPr>
            <w:tcW w:w="2100" w:type="pct"/>
            <w:tcBorders>
              <w:top w:val="single" w:sz="8" w:space="0" w:color="D9D9D9"/>
              <w:left w:val="nil"/>
              <w:bottom w:val="single" w:sz="8" w:space="0" w:color="D9D9D9"/>
              <w:right w:val="nil"/>
            </w:tcBorders>
            <w:shd w:val="clear" w:color="auto" w:fill="auto"/>
          </w:tcPr>
          <w:p w14:paraId="3DEED78D" w14:textId="77777777" w:rsidR="001121C3" w:rsidRPr="00FE5417" w:rsidRDefault="001121C3" w:rsidP="00FE5417">
            <w:pPr>
              <w:pStyle w:val="TabletextLeft"/>
              <w:spacing w:line="216" w:lineRule="auto"/>
              <w:rPr>
                <w:sz w:val="18"/>
                <w:szCs w:val="18"/>
              </w:rPr>
            </w:pPr>
            <w:r w:rsidRPr="00FE5417">
              <w:rPr>
                <w:sz w:val="18"/>
                <w:szCs w:val="18"/>
              </w:rPr>
              <w:t>How has public hospital activity changed relative to hospital beds on a per capita basis?</w:t>
            </w:r>
          </w:p>
        </w:tc>
      </w:tr>
      <w:tr w:rsidR="00FE5417" w:rsidRPr="00FE5417" w14:paraId="60318514" w14:textId="77777777" w:rsidTr="00FE5417">
        <w:trPr>
          <w:trHeight w:val="42"/>
        </w:trPr>
        <w:tc>
          <w:tcPr>
            <w:tcW w:w="368" w:type="pct"/>
            <w:vMerge/>
            <w:tcBorders>
              <w:left w:val="nil"/>
              <w:bottom w:val="single" w:sz="8" w:space="0" w:color="D9D9D9"/>
              <w:right w:val="nil"/>
            </w:tcBorders>
            <w:shd w:val="clear" w:color="auto" w:fill="auto"/>
          </w:tcPr>
          <w:p w14:paraId="5FF3D518" w14:textId="77777777" w:rsidR="00B7506F" w:rsidRPr="00FE5417" w:rsidRDefault="00B7506F" w:rsidP="00FE5417">
            <w:pPr>
              <w:pStyle w:val="TabletextLeft"/>
              <w:spacing w:line="216" w:lineRule="auto"/>
              <w:rPr>
                <w:sz w:val="18"/>
                <w:szCs w:val="18"/>
              </w:rPr>
            </w:pPr>
          </w:p>
        </w:tc>
        <w:tc>
          <w:tcPr>
            <w:tcW w:w="461" w:type="pct"/>
            <w:vMerge w:val="restart"/>
            <w:tcBorders>
              <w:top w:val="single" w:sz="8" w:space="0" w:color="D9D9D9"/>
              <w:left w:val="nil"/>
              <w:right w:val="nil"/>
            </w:tcBorders>
            <w:shd w:val="clear" w:color="auto" w:fill="auto"/>
          </w:tcPr>
          <w:p w14:paraId="2842ED1C" w14:textId="77777777" w:rsidR="00B7506F" w:rsidRPr="00FE5417" w:rsidRDefault="00B7506F" w:rsidP="00FE5417">
            <w:pPr>
              <w:pStyle w:val="TabletextLeft"/>
              <w:spacing w:line="216" w:lineRule="auto"/>
              <w:rPr>
                <w:sz w:val="18"/>
                <w:szCs w:val="18"/>
              </w:rPr>
            </w:pPr>
            <w:r w:rsidRPr="00FE5417">
              <w:rPr>
                <w:sz w:val="18"/>
                <w:szCs w:val="18"/>
              </w:rPr>
              <w:t>Activity, separations, and presentations</w:t>
            </w:r>
          </w:p>
        </w:tc>
        <w:tc>
          <w:tcPr>
            <w:tcW w:w="2071" w:type="pct"/>
            <w:tcBorders>
              <w:top w:val="single" w:sz="8" w:space="0" w:color="D9D9D9"/>
              <w:left w:val="nil"/>
              <w:bottom w:val="single" w:sz="8" w:space="0" w:color="D9D9D9"/>
              <w:right w:val="nil"/>
            </w:tcBorders>
            <w:shd w:val="clear" w:color="auto" w:fill="auto"/>
          </w:tcPr>
          <w:p w14:paraId="2A8F1A86" w14:textId="77777777" w:rsidR="00B7506F" w:rsidRPr="00FE5417" w:rsidRDefault="00B7506F" w:rsidP="00FE5417">
            <w:pPr>
              <w:pStyle w:val="TabletextLeft"/>
              <w:spacing w:line="216" w:lineRule="auto"/>
              <w:rPr>
                <w:sz w:val="18"/>
                <w:szCs w:val="18"/>
              </w:rPr>
            </w:pPr>
            <w:r w:rsidRPr="00FE5417">
              <w:rPr>
                <w:sz w:val="18"/>
                <w:szCs w:val="18"/>
              </w:rPr>
              <w:t>Number and proportion of category four and five ED presentations to total ED presentations over time</w:t>
            </w:r>
          </w:p>
        </w:tc>
        <w:tc>
          <w:tcPr>
            <w:tcW w:w="2100" w:type="pct"/>
            <w:vMerge w:val="restart"/>
            <w:tcBorders>
              <w:top w:val="single" w:sz="8" w:space="0" w:color="D9D9D9"/>
              <w:left w:val="nil"/>
              <w:right w:val="nil"/>
            </w:tcBorders>
            <w:shd w:val="clear" w:color="auto" w:fill="auto"/>
          </w:tcPr>
          <w:p w14:paraId="4EF947DE" w14:textId="77777777" w:rsidR="00B7506F" w:rsidRPr="00FE5417" w:rsidRDefault="00B7506F" w:rsidP="00FE5417">
            <w:pPr>
              <w:pStyle w:val="TabletextLeft"/>
              <w:spacing w:line="216" w:lineRule="auto"/>
              <w:rPr>
                <w:sz w:val="18"/>
                <w:szCs w:val="18"/>
              </w:rPr>
            </w:pPr>
            <w:r w:rsidRPr="00FE5417">
              <w:rPr>
                <w:sz w:val="18"/>
                <w:szCs w:val="18"/>
              </w:rPr>
              <w:t>How have key hospital activity measures changed relative to key supply measures?</w:t>
            </w:r>
          </w:p>
          <w:p w14:paraId="4C46EA89" w14:textId="77777777" w:rsidR="00B7506F" w:rsidRPr="00FE5417" w:rsidRDefault="00B7506F" w:rsidP="00FE5417">
            <w:pPr>
              <w:pStyle w:val="TabletextLeft"/>
              <w:spacing w:line="216" w:lineRule="auto"/>
              <w:rPr>
                <w:sz w:val="18"/>
                <w:szCs w:val="18"/>
              </w:rPr>
            </w:pPr>
          </w:p>
          <w:p w14:paraId="57A07045" w14:textId="77777777" w:rsidR="00B7506F" w:rsidRPr="00FE5417" w:rsidRDefault="00B7506F" w:rsidP="00FE5417">
            <w:pPr>
              <w:pStyle w:val="TabletextLeft"/>
              <w:spacing w:line="216" w:lineRule="auto"/>
              <w:rPr>
                <w:sz w:val="18"/>
                <w:szCs w:val="18"/>
              </w:rPr>
            </w:pPr>
            <w:r w:rsidRPr="00FE5417">
              <w:rPr>
                <w:sz w:val="18"/>
                <w:szCs w:val="18"/>
              </w:rPr>
              <w:t>A composite graph can be included for a range of measures showing standardised growth rates over time (by commencing from zero) and including the following measures:</w:t>
            </w:r>
          </w:p>
          <w:p w14:paraId="40FFF37D" w14:textId="77777777" w:rsidR="00B7506F" w:rsidRPr="00FE5417" w:rsidRDefault="00B7506F" w:rsidP="00FE5417">
            <w:pPr>
              <w:pStyle w:val="TabletextLeft"/>
              <w:numPr>
                <w:ilvl w:val="1"/>
                <w:numId w:val="146"/>
              </w:numPr>
              <w:spacing w:line="216" w:lineRule="auto"/>
              <w:ind w:left="576"/>
              <w:rPr>
                <w:sz w:val="18"/>
                <w:szCs w:val="18"/>
              </w:rPr>
            </w:pPr>
            <w:r w:rsidRPr="00FE5417">
              <w:rPr>
                <w:sz w:val="18"/>
                <w:szCs w:val="18"/>
              </w:rPr>
              <w:t>Total number of inpatient separations</w:t>
            </w:r>
          </w:p>
          <w:p w14:paraId="362CD5E2" w14:textId="77777777" w:rsidR="00B7506F" w:rsidRPr="00FE5417" w:rsidRDefault="00B7506F" w:rsidP="00FE5417">
            <w:pPr>
              <w:pStyle w:val="TabletextLeft"/>
              <w:numPr>
                <w:ilvl w:val="1"/>
                <w:numId w:val="146"/>
              </w:numPr>
              <w:spacing w:line="216" w:lineRule="auto"/>
              <w:ind w:left="576"/>
              <w:rPr>
                <w:sz w:val="18"/>
                <w:szCs w:val="18"/>
              </w:rPr>
            </w:pPr>
            <w:r w:rsidRPr="00FE5417">
              <w:rPr>
                <w:sz w:val="18"/>
                <w:szCs w:val="18"/>
              </w:rPr>
              <w:t>Total number of NWAU each year</w:t>
            </w:r>
          </w:p>
          <w:p w14:paraId="7115FFE9" w14:textId="77777777" w:rsidR="00B7506F" w:rsidRPr="00FE5417" w:rsidRDefault="00B7506F" w:rsidP="00FE5417">
            <w:pPr>
              <w:pStyle w:val="TabletextLeft"/>
              <w:numPr>
                <w:ilvl w:val="1"/>
                <w:numId w:val="146"/>
              </w:numPr>
              <w:spacing w:line="216" w:lineRule="auto"/>
              <w:ind w:left="576"/>
              <w:rPr>
                <w:sz w:val="18"/>
                <w:szCs w:val="18"/>
              </w:rPr>
            </w:pPr>
            <w:r w:rsidRPr="00FE5417">
              <w:rPr>
                <w:sz w:val="18"/>
                <w:szCs w:val="18"/>
              </w:rPr>
              <w:t>LOS each year</w:t>
            </w:r>
          </w:p>
          <w:p w14:paraId="7407926A" w14:textId="77777777" w:rsidR="00B7506F" w:rsidRPr="00FE5417" w:rsidRDefault="00B7506F" w:rsidP="00FE5417">
            <w:pPr>
              <w:pStyle w:val="TabletextLeft"/>
              <w:numPr>
                <w:ilvl w:val="1"/>
                <w:numId w:val="146"/>
              </w:numPr>
              <w:spacing w:line="216" w:lineRule="auto"/>
              <w:ind w:left="576"/>
              <w:rPr>
                <w:sz w:val="18"/>
                <w:szCs w:val="18"/>
              </w:rPr>
            </w:pPr>
            <w:r w:rsidRPr="00FE5417">
              <w:rPr>
                <w:sz w:val="18"/>
                <w:szCs w:val="18"/>
              </w:rPr>
              <w:t>Cost per weighted separation (brings in funding)</w:t>
            </w:r>
          </w:p>
          <w:p w14:paraId="5C2A5CA8" w14:textId="0FD0393C" w:rsidR="00B7506F" w:rsidRPr="00FE5417" w:rsidRDefault="00B7506F" w:rsidP="00FE5417">
            <w:pPr>
              <w:pStyle w:val="TabletextLeft"/>
              <w:numPr>
                <w:ilvl w:val="1"/>
                <w:numId w:val="146"/>
              </w:numPr>
              <w:spacing w:line="216" w:lineRule="auto"/>
              <w:ind w:left="576"/>
              <w:rPr>
                <w:sz w:val="18"/>
                <w:szCs w:val="18"/>
              </w:rPr>
            </w:pPr>
            <w:r w:rsidRPr="00FE5417">
              <w:rPr>
                <w:sz w:val="18"/>
                <w:szCs w:val="18"/>
              </w:rPr>
              <w:t>Workforce growth rate</w:t>
            </w:r>
          </w:p>
        </w:tc>
      </w:tr>
      <w:tr w:rsidR="00FE5417" w:rsidRPr="00FE5417" w14:paraId="272293B9" w14:textId="77777777" w:rsidTr="00FE5417">
        <w:trPr>
          <w:trHeight w:val="42"/>
        </w:trPr>
        <w:tc>
          <w:tcPr>
            <w:tcW w:w="368" w:type="pct"/>
            <w:vMerge/>
            <w:tcBorders>
              <w:left w:val="nil"/>
              <w:bottom w:val="single" w:sz="8" w:space="0" w:color="D9D9D9"/>
              <w:right w:val="nil"/>
            </w:tcBorders>
            <w:shd w:val="clear" w:color="auto" w:fill="auto"/>
          </w:tcPr>
          <w:p w14:paraId="66CB2741" w14:textId="77777777" w:rsidR="00B7506F" w:rsidRPr="00FE5417" w:rsidRDefault="00B7506F" w:rsidP="00FE5417">
            <w:pPr>
              <w:pStyle w:val="TabletextLeft"/>
              <w:spacing w:line="216" w:lineRule="auto"/>
              <w:rPr>
                <w:sz w:val="18"/>
                <w:szCs w:val="18"/>
              </w:rPr>
            </w:pPr>
          </w:p>
        </w:tc>
        <w:tc>
          <w:tcPr>
            <w:tcW w:w="461" w:type="pct"/>
            <w:vMerge/>
            <w:tcBorders>
              <w:left w:val="nil"/>
              <w:right w:val="nil"/>
            </w:tcBorders>
            <w:shd w:val="clear" w:color="auto" w:fill="auto"/>
          </w:tcPr>
          <w:p w14:paraId="1AADE466" w14:textId="77777777" w:rsidR="00B7506F" w:rsidRPr="00FE5417" w:rsidRDefault="00B7506F" w:rsidP="00FE5417">
            <w:pPr>
              <w:pStyle w:val="TabletextLeft"/>
              <w:spacing w:line="216" w:lineRule="auto"/>
              <w:rPr>
                <w:sz w:val="18"/>
                <w:szCs w:val="18"/>
              </w:rPr>
            </w:pPr>
          </w:p>
        </w:tc>
        <w:tc>
          <w:tcPr>
            <w:tcW w:w="2071" w:type="pct"/>
            <w:tcBorders>
              <w:top w:val="single" w:sz="8" w:space="0" w:color="D9D9D9"/>
              <w:left w:val="nil"/>
              <w:bottom w:val="single" w:sz="8" w:space="0" w:color="D9D9D9"/>
              <w:right w:val="nil"/>
            </w:tcBorders>
            <w:shd w:val="clear" w:color="auto" w:fill="auto"/>
          </w:tcPr>
          <w:p w14:paraId="1C1FD33B" w14:textId="77777777" w:rsidR="00B7506F" w:rsidRPr="00FE5417" w:rsidRDefault="00B7506F" w:rsidP="00FE5417">
            <w:pPr>
              <w:pStyle w:val="TabletextLeft"/>
              <w:spacing w:line="216" w:lineRule="auto"/>
              <w:rPr>
                <w:sz w:val="18"/>
                <w:szCs w:val="18"/>
              </w:rPr>
            </w:pPr>
            <w:r w:rsidRPr="00FE5417">
              <w:rPr>
                <w:sz w:val="18"/>
                <w:szCs w:val="18"/>
              </w:rPr>
              <w:t>Number and proportion of total separations with existing comorbidities to total separations over time</w:t>
            </w:r>
          </w:p>
        </w:tc>
        <w:tc>
          <w:tcPr>
            <w:tcW w:w="2100" w:type="pct"/>
            <w:vMerge/>
            <w:tcBorders>
              <w:left w:val="nil"/>
              <w:right w:val="nil"/>
            </w:tcBorders>
            <w:shd w:val="clear" w:color="auto" w:fill="auto"/>
          </w:tcPr>
          <w:p w14:paraId="0BF73E6D" w14:textId="77777777" w:rsidR="00B7506F" w:rsidRPr="00FE5417" w:rsidRDefault="00B7506F" w:rsidP="00FE5417">
            <w:pPr>
              <w:pStyle w:val="TabletextLeft"/>
              <w:spacing w:line="216" w:lineRule="auto"/>
              <w:rPr>
                <w:sz w:val="18"/>
                <w:szCs w:val="18"/>
              </w:rPr>
            </w:pPr>
          </w:p>
        </w:tc>
      </w:tr>
      <w:tr w:rsidR="00FE5417" w:rsidRPr="00FE5417" w14:paraId="0260FBB0" w14:textId="77777777" w:rsidTr="00FE5417">
        <w:trPr>
          <w:trHeight w:val="42"/>
        </w:trPr>
        <w:tc>
          <w:tcPr>
            <w:tcW w:w="368" w:type="pct"/>
            <w:vMerge/>
            <w:tcBorders>
              <w:left w:val="nil"/>
              <w:bottom w:val="single" w:sz="8" w:space="0" w:color="D9D9D9"/>
              <w:right w:val="nil"/>
            </w:tcBorders>
            <w:shd w:val="clear" w:color="auto" w:fill="auto"/>
          </w:tcPr>
          <w:p w14:paraId="7489D58E" w14:textId="77777777" w:rsidR="00B7506F" w:rsidRPr="00FE5417" w:rsidRDefault="00B7506F" w:rsidP="00FE5417">
            <w:pPr>
              <w:pStyle w:val="TabletextLeft"/>
              <w:spacing w:line="216" w:lineRule="auto"/>
              <w:rPr>
                <w:sz w:val="18"/>
                <w:szCs w:val="18"/>
              </w:rPr>
            </w:pPr>
          </w:p>
        </w:tc>
        <w:tc>
          <w:tcPr>
            <w:tcW w:w="461" w:type="pct"/>
            <w:vMerge/>
            <w:tcBorders>
              <w:left w:val="nil"/>
              <w:right w:val="nil"/>
            </w:tcBorders>
            <w:shd w:val="clear" w:color="auto" w:fill="auto"/>
          </w:tcPr>
          <w:p w14:paraId="66D28F03" w14:textId="77777777" w:rsidR="00B7506F" w:rsidRPr="00FE5417" w:rsidRDefault="00B7506F" w:rsidP="00FE5417">
            <w:pPr>
              <w:pStyle w:val="TabletextLeft"/>
              <w:spacing w:line="216" w:lineRule="auto"/>
              <w:rPr>
                <w:sz w:val="18"/>
                <w:szCs w:val="18"/>
              </w:rPr>
            </w:pPr>
          </w:p>
        </w:tc>
        <w:tc>
          <w:tcPr>
            <w:tcW w:w="2071" w:type="pct"/>
            <w:tcBorders>
              <w:top w:val="single" w:sz="8" w:space="0" w:color="D9D9D9"/>
              <w:left w:val="nil"/>
              <w:bottom w:val="single" w:sz="8" w:space="0" w:color="D9D9D9"/>
              <w:right w:val="nil"/>
            </w:tcBorders>
            <w:shd w:val="clear" w:color="auto" w:fill="auto"/>
          </w:tcPr>
          <w:p w14:paraId="36C54B9E" w14:textId="77777777" w:rsidR="00B7506F" w:rsidRPr="00FE5417" w:rsidRDefault="00B7506F" w:rsidP="00FE5417">
            <w:pPr>
              <w:pStyle w:val="TabletextLeft"/>
              <w:spacing w:line="216" w:lineRule="auto"/>
              <w:rPr>
                <w:sz w:val="18"/>
                <w:szCs w:val="18"/>
              </w:rPr>
            </w:pPr>
            <w:r w:rsidRPr="00FE5417">
              <w:rPr>
                <w:sz w:val="18"/>
                <w:szCs w:val="18"/>
              </w:rPr>
              <w:t>Number and proportion of separations for patients 65+ with existing comorbidities to total patients with comorbidities over time</w:t>
            </w:r>
          </w:p>
        </w:tc>
        <w:tc>
          <w:tcPr>
            <w:tcW w:w="2100" w:type="pct"/>
            <w:vMerge/>
            <w:tcBorders>
              <w:left w:val="nil"/>
              <w:right w:val="nil"/>
            </w:tcBorders>
            <w:shd w:val="clear" w:color="auto" w:fill="auto"/>
          </w:tcPr>
          <w:p w14:paraId="49F2CAF5" w14:textId="77777777" w:rsidR="00B7506F" w:rsidRPr="00FE5417" w:rsidRDefault="00B7506F" w:rsidP="00FE5417">
            <w:pPr>
              <w:pStyle w:val="TabletextLeft"/>
              <w:spacing w:line="216" w:lineRule="auto"/>
              <w:rPr>
                <w:sz w:val="18"/>
                <w:szCs w:val="18"/>
              </w:rPr>
            </w:pPr>
          </w:p>
        </w:tc>
      </w:tr>
      <w:tr w:rsidR="00FE5417" w:rsidRPr="00FE5417" w14:paraId="47D75172" w14:textId="77777777" w:rsidTr="00FE5417">
        <w:trPr>
          <w:trHeight w:val="42"/>
        </w:trPr>
        <w:tc>
          <w:tcPr>
            <w:tcW w:w="368" w:type="pct"/>
            <w:vMerge/>
            <w:tcBorders>
              <w:left w:val="nil"/>
              <w:bottom w:val="single" w:sz="8" w:space="0" w:color="D9D9D9"/>
              <w:right w:val="nil"/>
            </w:tcBorders>
            <w:shd w:val="clear" w:color="auto" w:fill="auto"/>
          </w:tcPr>
          <w:p w14:paraId="5DA44AE1" w14:textId="77777777" w:rsidR="00B7506F" w:rsidRPr="00FE5417" w:rsidRDefault="00B7506F" w:rsidP="00FE5417">
            <w:pPr>
              <w:pStyle w:val="TabletextLeft"/>
              <w:spacing w:line="216" w:lineRule="auto"/>
              <w:rPr>
                <w:sz w:val="18"/>
                <w:szCs w:val="18"/>
              </w:rPr>
            </w:pPr>
          </w:p>
        </w:tc>
        <w:tc>
          <w:tcPr>
            <w:tcW w:w="461" w:type="pct"/>
            <w:vMerge/>
            <w:tcBorders>
              <w:left w:val="nil"/>
              <w:right w:val="nil"/>
            </w:tcBorders>
            <w:shd w:val="clear" w:color="auto" w:fill="auto"/>
          </w:tcPr>
          <w:p w14:paraId="02D97F92" w14:textId="77777777" w:rsidR="00B7506F" w:rsidRPr="00FE5417" w:rsidRDefault="00B7506F" w:rsidP="00FE5417">
            <w:pPr>
              <w:pStyle w:val="TabletextLeft"/>
              <w:spacing w:line="216" w:lineRule="auto"/>
              <w:rPr>
                <w:sz w:val="18"/>
                <w:szCs w:val="18"/>
              </w:rPr>
            </w:pPr>
          </w:p>
        </w:tc>
        <w:tc>
          <w:tcPr>
            <w:tcW w:w="2071" w:type="pct"/>
            <w:tcBorders>
              <w:top w:val="single" w:sz="8" w:space="0" w:color="D9D9D9"/>
              <w:left w:val="nil"/>
              <w:bottom w:val="single" w:sz="8" w:space="0" w:color="D9D9D9"/>
              <w:right w:val="nil"/>
            </w:tcBorders>
            <w:shd w:val="clear" w:color="auto" w:fill="auto"/>
          </w:tcPr>
          <w:p w14:paraId="6CFFC8BF" w14:textId="77777777" w:rsidR="00B7506F" w:rsidRPr="00FE5417" w:rsidRDefault="00B7506F" w:rsidP="00FE5417">
            <w:pPr>
              <w:pStyle w:val="TabletextLeft"/>
              <w:spacing w:line="216" w:lineRule="auto"/>
              <w:rPr>
                <w:sz w:val="18"/>
                <w:szCs w:val="18"/>
              </w:rPr>
            </w:pPr>
            <w:r w:rsidRPr="00FE5417">
              <w:rPr>
                <w:sz w:val="18"/>
                <w:szCs w:val="18"/>
              </w:rPr>
              <w:t>Ratio of NWAU per occupied bed day over time</w:t>
            </w:r>
          </w:p>
        </w:tc>
        <w:tc>
          <w:tcPr>
            <w:tcW w:w="2100" w:type="pct"/>
            <w:vMerge/>
            <w:tcBorders>
              <w:left w:val="nil"/>
              <w:right w:val="nil"/>
            </w:tcBorders>
            <w:shd w:val="clear" w:color="auto" w:fill="auto"/>
          </w:tcPr>
          <w:p w14:paraId="2BC536E2" w14:textId="77777777" w:rsidR="00B7506F" w:rsidRPr="00FE5417" w:rsidRDefault="00B7506F" w:rsidP="00FE5417">
            <w:pPr>
              <w:pStyle w:val="TabletextLeft"/>
              <w:spacing w:line="216" w:lineRule="auto"/>
              <w:rPr>
                <w:sz w:val="18"/>
                <w:szCs w:val="18"/>
              </w:rPr>
            </w:pPr>
          </w:p>
        </w:tc>
      </w:tr>
      <w:tr w:rsidR="00FE5417" w:rsidRPr="00FE5417" w14:paraId="25A9D2BC" w14:textId="77777777" w:rsidTr="00FE5417">
        <w:trPr>
          <w:trHeight w:val="42"/>
        </w:trPr>
        <w:tc>
          <w:tcPr>
            <w:tcW w:w="368" w:type="pct"/>
            <w:vMerge/>
            <w:tcBorders>
              <w:left w:val="nil"/>
              <w:bottom w:val="single" w:sz="8" w:space="0" w:color="D9D9D9"/>
              <w:right w:val="nil"/>
            </w:tcBorders>
            <w:shd w:val="clear" w:color="auto" w:fill="auto"/>
          </w:tcPr>
          <w:p w14:paraId="2A5C57FC" w14:textId="77777777" w:rsidR="00B7506F" w:rsidRPr="00FE5417" w:rsidRDefault="00B7506F" w:rsidP="00FE5417">
            <w:pPr>
              <w:pStyle w:val="TabletextLeft"/>
              <w:spacing w:line="216" w:lineRule="auto"/>
              <w:rPr>
                <w:sz w:val="18"/>
                <w:szCs w:val="18"/>
              </w:rPr>
            </w:pPr>
          </w:p>
        </w:tc>
        <w:tc>
          <w:tcPr>
            <w:tcW w:w="461" w:type="pct"/>
            <w:vMerge/>
            <w:tcBorders>
              <w:left w:val="nil"/>
              <w:bottom w:val="single" w:sz="8" w:space="0" w:color="D9D9D9"/>
              <w:right w:val="nil"/>
            </w:tcBorders>
            <w:shd w:val="clear" w:color="auto" w:fill="auto"/>
          </w:tcPr>
          <w:p w14:paraId="33A822A8" w14:textId="77777777" w:rsidR="00B7506F" w:rsidRPr="00FE5417" w:rsidRDefault="00B7506F" w:rsidP="00FE5417">
            <w:pPr>
              <w:pStyle w:val="TabletextLeft"/>
              <w:spacing w:line="216" w:lineRule="auto"/>
              <w:rPr>
                <w:sz w:val="18"/>
                <w:szCs w:val="18"/>
              </w:rPr>
            </w:pPr>
          </w:p>
        </w:tc>
        <w:tc>
          <w:tcPr>
            <w:tcW w:w="2071" w:type="pct"/>
            <w:tcBorders>
              <w:top w:val="single" w:sz="8" w:space="0" w:color="D9D9D9"/>
              <w:left w:val="nil"/>
              <w:bottom w:val="single" w:sz="8" w:space="0" w:color="D9D9D9"/>
              <w:right w:val="nil"/>
            </w:tcBorders>
            <w:shd w:val="clear" w:color="auto" w:fill="auto"/>
          </w:tcPr>
          <w:p w14:paraId="54466524" w14:textId="77777777" w:rsidR="00B7506F" w:rsidRPr="00FE5417" w:rsidRDefault="00B7506F" w:rsidP="00FE5417">
            <w:pPr>
              <w:pStyle w:val="TabletextLeft"/>
              <w:spacing w:line="216" w:lineRule="auto"/>
              <w:rPr>
                <w:sz w:val="18"/>
                <w:szCs w:val="18"/>
              </w:rPr>
            </w:pPr>
            <w:r w:rsidRPr="00FE5417">
              <w:rPr>
                <w:sz w:val="18"/>
                <w:szCs w:val="18"/>
              </w:rPr>
              <w:t>Average inpatient overnight length of stay over time</w:t>
            </w:r>
          </w:p>
        </w:tc>
        <w:tc>
          <w:tcPr>
            <w:tcW w:w="2100" w:type="pct"/>
            <w:vMerge/>
            <w:tcBorders>
              <w:left w:val="nil"/>
              <w:bottom w:val="single" w:sz="8" w:space="0" w:color="D9D9D9"/>
              <w:right w:val="nil"/>
            </w:tcBorders>
            <w:shd w:val="clear" w:color="auto" w:fill="auto"/>
          </w:tcPr>
          <w:p w14:paraId="2BA2F550" w14:textId="77777777" w:rsidR="00B7506F" w:rsidRPr="00FE5417" w:rsidRDefault="00B7506F" w:rsidP="00FE5417">
            <w:pPr>
              <w:pStyle w:val="TabletextLeft"/>
              <w:spacing w:line="216" w:lineRule="auto"/>
              <w:rPr>
                <w:sz w:val="18"/>
                <w:szCs w:val="18"/>
              </w:rPr>
            </w:pPr>
          </w:p>
        </w:tc>
      </w:tr>
      <w:tr w:rsidR="00FE5417" w:rsidRPr="00FE5417" w14:paraId="58987151" w14:textId="77777777" w:rsidTr="00FE5417">
        <w:trPr>
          <w:trHeight w:val="42"/>
        </w:trPr>
        <w:tc>
          <w:tcPr>
            <w:tcW w:w="368" w:type="pct"/>
            <w:vMerge w:val="restart"/>
            <w:tcBorders>
              <w:top w:val="single" w:sz="8" w:space="0" w:color="D9D9D9"/>
              <w:left w:val="nil"/>
              <w:right w:val="nil"/>
            </w:tcBorders>
            <w:shd w:val="clear" w:color="auto" w:fill="auto"/>
          </w:tcPr>
          <w:p w14:paraId="7F063383" w14:textId="77777777" w:rsidR="00D147C9" w:rsidRPr="00FE5417" w:rsidRDefault="00D147C9" w:rsidP="00FE5417">
            <w:pPr>
              <w:pStyle w:val="TabletextLeft"/>
              <w:spacing w:line="216" w:lineRule="auto"/>
              <w:rPr>
                <w:sz w:val="18"/>
                <w:szCs w:val="18"/>
              </w:rPr>
            </w:pPr>
            <w:r w:rsidRPr="00FE5417">
              <w:rPr>
                <w:sz w:val="18"/>
                <w:szCs w:val="18"/>
              </w:rPr>
              <w:t>Sustainability</w:t>
            </w:r>
          </w:p>
        </w:tc>
        <w:tc>
          <w:tcPr>
            <w:tcW w:w="461" w:type="pct"/>
            <w:vMerge w:val="restart"/>
            <w:tcBorders>
              <w:top w:val="single" w:sz="8" w:space="0" w:color="D9D9D9"/>
              <w:left w:val="nil"/>
              <w:right w:val="nil"/>
            </w:tcBorders>
            <w:shd w:val="clear" w:color="auto" w:fill="auto"/>
          </w:tcPr>
          <w:p w14:paraId="2BF311CA" w14:textId="77777777" w:rsidR="00D147C9" w:rsidRPr="00FE5417" w:rsidRDefault="00D147C9" w:rsidP="00FE5417">
            <w:pPr>
              <w:pStyle w:val="TabletextLeft"/>
              <w:spacing w:line="216" w:lineRule="auto"/>
              <w:rPr>
                <w:sz w:val="18"/>
                <w:szCs w:val="18"/>
              </w:rPr>
            </w:pPr>
            <w:r w:rsidRPr="00FE5417">
              <w:rPr>
                <w:sz w:val="18"/>
                <w:szCs w:val="18"/>
              </w:rPr>
              <w:t>Workforce</w:t>
            </w:r>
          </w:p>
        </w:tc>
        <w:tc>
          <w:tcPr>
            <w:tcW w:w="2071" w:type="pct"/>
            <w:tcBorders>
              <w:top w:val="single" w:sz="8" w:space="0" w:color="D9D9D9"/>
              <w:left w:val="nil"/>
              <w:bottom w:val="single" w:sz="8" w:space="0" w:color="D9D9D9"/>
              <w:right w:val="nil"/>
            </w:tcBorders>
            <w:shd w:val="clear" w:color="auto" w:fill="auto"/>
          </w:tcPr>
          <w:p w14:paraId="26FE4D1F" w14:textId="77777777" w:rsidR="00D147C9" w:rsidRPr="00FE5417" w:rsidRDefault="00D147C9" w:rsidP="00FE5417">
            <w:pPr>
              <w:pStyle w:val="TabletextLeft"/>
              <w:spacing w:line="216" w:lineRule="auto"/>
              <w:rPr>
                <w:sz w:val="18"/>
                <w:szCs w:val="18"/>
              </w:rPr>
            </w:pPr>
            <w:r w:rsidRPr="00FE5417">
              <w:rPr>
                <w:sz w:val="18"/>
                <w:szCs w:val="18"/>
              </w:rPr>
              <w:t>Growth of the medical, nursing and allied health public hospital workforce over time</w:t>
            </w:r>
          </w:p>
        </w:tc>
        <w:tc>
          <w:tcPr>
            <w:tcW w:w="2100" w:type="pct"/>
            <w:vMerge w:val="restart"/>
            <w:tcBorders>
              <w:top w:val="single" w:sz="8" w:space="0" w:color="D9D9D9"/>
              <w:left w:val="nil"/>
              <w:right w:val="nil"/>
            </w:tcBorders>
            <w:shd w:val="clear" w:color="auto" w:fill="auto"/>
          </w:tcPr>
          <w:p w14:paraId="04E176D5" w14:textId="77777777" w:rsidR="00D147C9" w:rsidRPr="00FE5417" w:rsidRDefault="00D147C9" w:rsidP="00FE5417">
            <w:pPr>
              <w:spacing w:after="0"/>
              <w:ind w:left="0" w:right="0"/>
              <w:rPr>
                <w:sz w:val="18"/>
                <w:szCs w:val="18"/>
              </w:rPr>
            </w:pPr>
            <w:r w:rsidRPr="00FE5417">
              <w:rPr>
                <w:sz w:val="18"/>
                <w:szCs w:val="18"/>
              </w:rPr>
              <w:t>How have medical practitioners, nurses and midwives, allied health professionals and the total health workforce grown over time?</w:t>
            </w:r>
          </w:p>
        </w:tc>
      </w:tr>
      <w:tr w:rsidR="00FE5417" w:rsidRPr="00FE5417" w14:paraId="36D48A0D" w14:textId="77777777" w:rsidTr="00FE5417">
        <w:trPr>
          <w:trHeight w:val="42"/>
        </w:trPr>
        <w:tc>
          <w:tcPr>
            <w:tcW w:w="368" w:type="pct"/>
            <w:vMerge/>
            <w:tcBorders>
              <w:left w:val="nil"/>
              <w:right w:val="nil"/>
            </w:tcBorders>
            <w:shd w:val="clear" w:color="auto" w:fill="auto"/>
          </w:tcPr>
          <w:p w14:paraId="6B400325" w14:textId="77777777" w:rsidR="00D147C9" w:rsidRPr="00FE5417" w:rsidRDefault="00D147C9" w:rsidP="00FE5417">
            <w:pPr>
              <w:pStyle w:val="TabletextLeft"/>
              <w:spacing w:line="216" w:lineRule="auto"/>
              <w:rPr>
                <w:sz w:val="18"/>
                <w:szCs w:val="18"/>
              </w:rPr>
            </w:pPr>
          </w:p>
        </w:tc>
        <w:tc>
          <w:tcPr>
            <w:tcW w:w="461" w:type="pct"/>
            <w:vMerge/>
            <w:tcBorders>
              <w:left w:val="nil"/>
              <w:right w:val="nil"/>
            </w:tcBorders>
            <w:shd w:val="clear" w:color="auto" w:fill="auto"/>
          </w:tcPr>
          <w:p w14:paraId="11C590AA" w14:textId="77777777" w:rsidR="00D147C9" w:rsidRPr="00FE5417" w:rsidRDefault="00D147C9" w:rsidP="00FE5417">
            <w:pPr>
              <w:pStyle w:val="TabletextLeft"/>
              <w:spacing w:line="216" w:lineRule="auto"/>
              <w:rPr>
                <w:sz w:val="18"/>
                <w:szCs w:val="18"/>
              </w:rPr>
            </w:pPr>
          </w:p>
        </w:tc>
        <w:tc>
          <w:tcPr>
            <w:tcW w:w="2071" w:type="pct"/>
            <w:tcBorders>
              <w:top w:val="single" w:sz="8" w:space="0" w:color="D9D9D9"/>
              <w:left w:val="nil"/>
              <w:bottom w:val="single" w:sz="8" w:space="0" w:color="D9D9D9"/>
              <w:right w:val="nil"/>
            </w:tcBorders>
            <w:shd w:val="clear" w:color="auto" w:fill="auto"/>
          </w:tcPr>
          <w:p w14:paraId="634B84B9" w14:textId="77777777" w:rsidR="00D147C9" w:rsidRPr="00FE5417" w:rsidRDefault="00D147C9" w:rsidP="00FE5417">
            <w:pPr>
              <w:pStyle w:val="TabletextLeft"/>
              <w:spacing w:line="216" w:lineRule="auto"/>
              <w:rPr>
                <w:sz w:val="18"/>
                <w:szCs w:val="18"/>
              </w:rPr>
            </w:pPr>
            <w:r w:rsidRPr="00FE5417">
              <w:rPr>
                <w:sz w:val="18"/>
                <w:szCs w:val="18"/>
              </w:rPr>
              <w:t>Comparative growth of medical, nursing and allied health public hospital workforce over time</w:t>
            </w:r>
          </w:p>
        </w:tc>
        <w:tc>
          <w:tcPr>
            <w:tcW w:w="2100" w:type="pct"/>
            <w:vMerge/>
            <w:tcBorders>
              <w:left w:val="nil"/>
              <w:bottom w:val="single" w:sz="8" w:space="0" w:color="D9D9D9"/>
              <w:right w:val="nil"/>
            </w:tcBorders>
            <w:shd w:val="clear" w:color="auto" w:fill="auto"/>
          </w:tcPr>
          <w:p w14:paraId="632FAB89" w14:textId="77777777" w:rsidR="00D147C9" w:rsidRPr="00FE5417" w:rsidRDefault="00D147C9" w:rsidP="00FE5417">
            <w:pPr>
              <w:pStyle w:val="TabletextLeft"/>
              <w:spacing w:line="216" w:lineRule="auto"/>
              <w:rPr>
                <w:sz w:val="18"/>
                <w:szCs w:val="18"/>
              </w:rPr>
            </w:pPr>
          </w:p>
        </w:tc>
      </w:tr>
      <w:tr w:rsidR="00FE5417" w:rsidRPr="00FE5417" w14:paraId="56E683A3" w14:textId="77777777" w:rsidTr="00FE5417">
        <w:trPr>
          <w:trHeight w:val="42"/>
        </w:trPr>
        <w:tc>
          <w:tcPr>
            <w:tcW w:w="368" w:type="pct"/>
            <w:vMerge/>
            <w:tcBorders>
              <w:left w:val="nil"/>
              <w:right w:val="nil"/>
            </w:tcBorders>
            <w:shd w:val="clear" w:color="auto" w:fill="auto"/>
          </w:tcPr>
          <w:p w14:paraId="12C0E20D" w14:textId="77777777" w:rsidR="00D147C9" w:rsidRPr="00FE5417" w:rsidRDefault="00D147C9" w:rsidP="00FE5417">
            <w:pPr>
              <w:pStyle w:val="TabletextLeft"/>
              <w:spacing w:line="216" w:lineRule="auto"/>
              <w:rPr>
                <w:sz w:val="18"/>
                <w:szCs w:val="18"/>
              </w:rPr>
            </w:pPr>
          </w:p>
        </w:tc>
        <w:tc>
          <w:tcPr>
            <w:tcW w:w="461" w:type="pct"/>
            <w:vMerge/>
            <w:tcBorders>
              <w:left w:val="nil"/>
              <w:bottom w:val="single" w:sz="8" w:space="0" w:color="D9D9D9"/>
              <w:right w:val="nil"/>
            </w:tcBorders>
            <w:shd w:val="clear" w:color="auto" w:fill="auto"/>
          </w:tcPr>
          <w:p w14:paraId="0CACD196" w14:textId="77777777" w:rsidR="00D147C9" w:rsidRPr="00FE5417" w:rsidRDefault="00D147C9" w:rsidP="00FE5417">
            <w:pPr>
              <w:pStyle w:val="TabletextLeft"/>
              <w:spacing w:line="216" w:lineRule="auto"/>
              <w:rPr>
                <w:sz w:val="18"/>
                <w:szCs w:val="18"/>
              </w:rPr>
            </w:pPr>
          </w:p>
        </w:tc>
        <w:tc>
          <w:tcPr>
            <w:tcW w:w="2071" w:type="pct"/>
            <w:tcBorders>
              <w:top w:val="single" w:sz="8" w:space="0" w:color="D9D9D9"/>
              <w:left w:val="nil"/>
              <w:bottom w:val="single" w:sz="8" w:space="0" w:color="D9D9D9"/>
              <w:right w:val="nil"/>
            </w:tcBorders>
            <w:shd w:val="clear" w:color="auto" w:fill="auto"/>
          </w:tcPr>
          <w:p w14:paraId="5CF11832" w14:textId="77777777" w:rsidR="00D147C9" w:rsidRPr="00FE5417" w:rsidRDefault="00D147C9" w:rsidP="00FE5417">
            <w:pPr>
              <w:pStyle w:val="TabletextLeft"/>
              <w:spacing w:line="216" w:lineRule="auto"/>
              <w:rPr>
                <w:sz w:val="18"/>
                <w:szCs w:val="18"/>
              </w:rPr>
            </w:pPr>
            <w:r w:rsidRPr="00FE5417">
              <w:rPr>
                <w:sz w:val="18"/>
                <w:szCs w:val="18"/>
              </w:rPr>
              <w:t>Age of the workforce</w:t>
            </w:r>
          </w:p>
        </w:tc>
        <w:tc>
          <w:tcPr>
            <w:tcW w:w="2100" w:type="pct"/>
            <w:tcBorders>
              <w:top w:val="single" w:sz="8" w:space="0" w:color="D9D9D9"/>
              <w:left w:val="nil"/>
              <w:bottom w:val="single" w:sz="8" w:space="0" w:color="D9D9D9"/>
              <w:right w:val="nil"/>
            </w:tcBorders>
            <w:shd w:val="clear" w:color="auto" w:fill="auto"/>
          </w:tcPr>
          <w:p w14:paraId="283A128D" w14:textId="77777777" w:rsidR="00D147C9" w:rsidRPr="00FE5417" w:rsidRDefault="00D147C9" w:rsidP="00FE5417">
            <w:pPr>
              <w:pStyle w:val="TabletextLeft"/>
              <w:spacing w:line="216" w:lineRule="auto"/>
              <w:rPr>
                <w:sz w:val="18"/>
                <w:szCs w:val="18"/>
              </w:rPr>
            </w:pPr>
            <w:r w:rsidRPr="00FE5417">
              <w:rPr>
                <w:sz w:val="18"/>
                <w:szCs w:val="18"/>
              </w:rPr>
              <w:t>Is the ageing of the workforce impacting the sustainability of health services?</w:t>
            </w:r>
          </w:p>
        </w:tc>
      </w:tr>
      <w:tr w:rsidR="00FE5417" w:rsidRPr="00FE5417" w14:paraId="3338C3F3" w14:textId="77777777" w:rsidTr="00FE5417">
        <w:trPr>
          <w:trHeight w:val="42"/>
        </w:trPr>
        <w:tc>
          <w:tcPr>
            <w:tcW w:w="368" w:type="pct"/>
            <w:vMerge/>
            <w:tcBorders>
              <w:left w:val="nil"/>
              <w:right w:val="nil"/>
            </w:tcBorders>
            <w:shd w:val="clear" w:color="auto" w:fill="auto"/>
          </w:tcPr>
          <w:p w14:paraId="6454EAF1" w14:textId="77777777" w:rsidR="00D147C9" w:rsidRPr="00FE5417" w:rsidRDefault="00D147C9" w:rsidP="00FE5417">
            <w:pPr>
              <w:pStyle w:val="TabletextLeft"/>
              <w:spacing w:line="216" w:lineRule="auto"/>
              <w:rPr>
                <w:sz w:val="18"/>
                <w:szCs w:val="18"/>
              </w:rPr>
            </w:pPr>
          </w:p>
        </w:tc>
        <w:tc>
          <w:tcPr>
            <w:tcW w:w="461" w:type="pct"/>
            <w:vMerge w:val="restart"/>
            <w:tcBorders>
              <w:top w:val="single" w:sz="8" w:space="0" w:color="D9D9D9"/>
              <w:left w:val="nil"/>
              <w:right w:val="nil"/>
            </w:tcBorders>
            <w:shd w:val="clear" w:color="auto" w:fill="auto"/>
          </w:tcPr>
          <w:p w14:paraId="28C5FA84" w14:textId="77777777" w:rsidR="00D147C9" w:rsidRPr="00FE5417" w:rsidRDefault="00D147C9" w:rsidP="00FE5417">
            <w:pPr>
              <w:pStyle w:val="TabletextLeft"/>
              <w:spacing w:line="216" w:lineRule="auto"/>
              <w:rPr>
                <w:sz w:val="18"/>
                <w:szCs w:val="18"/>
              </w:rPr>
            </w:pPr>
            <w:r w:rsidRPr="00FE5417">
              <w:rPr>
                <w:sz w:val="18"/>
                <w:szCs w:val="18"/>
              </w:rPr>
              <w:t>Public hospital expenditure</w:t>
            </w:r>
          </w:p>
        </w:tc>
        <w:tc>
          <w:tcPr>
            <w:tcW w:w="2071" w:type="pct"/>
            <w:tcBorders>
              <w:top w:val="single" w:sz="8" w:space="0" w:color="D9D9D9"/>
              <w:left w:val="nil"/>
              <w:bottom w:val="single" w:sz="8" w:space="0" w:color="D9D9D9"/>
              <w:right w:val="nil"/>
            </w:tcBorders>
            <w:shd w:val="clear" w:color="auto" w:fill="auto"/>
          </w:tcPr>
          <w:p w14:paraId="4E28610F" w14:textId="523E2C31" w:rsidR="00D147C9" w:rsidRPr="00FE5417" w:rsidRDefault="00D147C9" w:rsidP="00FE5417">
            <w:pPr>
              <w:pStyle w:val="TabletextLeft"/>
              <w:spacing w:line="216" w:lineRule="auto"/>
              <w:rPr>
                <w:sz w:val="18"/>
                <w:szCs w:val="18"/>
              </w:rPr>
            </w:pPr>
            <w:r w:rsidRPr="00FE5417">
              <w:rPr>
                <w:sz w:val="18"/>
                <w:szCs w:val="18"/>
              </w:rPr>
              <w:t>Total public hospital expenditure over time by (i) aggregate (ii) Commonwealth</w:t>
            </w:r>
            <w:r w:rsidR="00415141">
              <w:rPr>
                <w:sz w:val="18"/>
                <w:szCs w:val="18"/>
              </w:rPr>
              <w:t>, S</w:t>
            </w:r>
            <w:r w:rsidRPr="00FE5417">
              <w:rPr>
                <w:sz w:val="18"/>
                <w:szCs w:val="18"/>
              </w:rPr>
              <w:t>tate</w:t>
            </w:r>
            <w:r w:rsidR="00415141">
              <w:rPr>
                <w:sz w:val="18"/>
                <w:szCs w:val="18"/>
              </w:rPr>
              <w:t xml:space="preserve"> or </w:t>
            </w:r>
            <w:r w:rsidRPr="00FE5417">
              <w:rPr>
                <w:sz w:val="18"/>
                <w:szCs w:val="18"/>
              </w:rPr>
              <w:t>Territory</w:t>
            </w:r>
          </w:p>
        </w:tc>
        <w:tc>
          <w:tcPr>
            <w:tcW w:w="2100" w:type="pct"/>
            <w:vMerge w:val="restart"/>
            <w:tcBorders>
              <w:top w:val="single" w:sz="8" w:space="0" w:color="D9D9D9"/>
              <w:left w:val="nil"/>
              <w:right w:val="nil"/>
            </w:tcBorders>
            <w:shd w:val="clear" w:color="auto" w:fill="auto"/>
          </w:tcPr>
          <w:p w14:paraId="7E2064BF" w14:textId="77777777" w:rsidR="00D147C9" w:rsidRPr="00FE5417" w:rsidRDefault="00D147C9" w:rsidP="00FE5417">
            <w:pPr>
              <w:pStyle w:val="TabletextLeft"/>
              <w:spacing w:line="216" w:lineRule="auto"/>
              <w:rPr>
                <w:sz w:val="18"/>
                <w:szCs w:val="18"/>
              </w:rPr>
            </w:pPr>
            <w:r w:rsidRPr="00FE5417">
              <w:rPr>
                <w:sz w:val="18"/>
                <w:szCs w:val="18"/>
              </w:rPr>
              <w:t>How has the Commonwealth Contribution Rate changed over time and how does this rate differ across States and Territories?</w:t>
            </w:r>
          </w:p>
          <w:p w14:paraId="3BC5ED98" w14:textId="69291275" w:rsidR="00D147C9" w:rsidRPr="00FE5417" w:rsidRDefault="00D147C9" w:rsidP="00FE5417">
            <w:pPr>
              <w:pStyle w:val="TabletextLeft"/>
              <w:spacing w:line="216" w:lineRule="auto"/>
              <w:rPr>
                <w:sz w:val="18"/>
                <w:szCs w:val="18"/>
              </w:rPr>
            </w:pPr>
            <w:r w:rsidRPr="00FE5417">
              <w:rPr>
                <w:sz w:val="18"/>
                <w:szCs w:val="18"/>
              </w:rPr>
              <w:t>How has the Commonwealth versus State</w:t>
            </w:r>
            <w:r w:rsidR="00415141">
              <w:rPr>
                <w:sz w:val="18"/>
                <w:szCs w:val="18"/>
              </w:rPr>
              <w:t xml:space="preserve"> and </w:t>
            </w:r>
            <w:r w:rsidRPr="00FE5417">
              <w:rPr>
                <w:sz w:val="18"/>
                <w:szCs w:val="18"/>
              </w:rPr>
              <w:t>Territory contribution to total funding (within and outside the National Health Funding Pool (NHFP)) changed over time?</w:t>
            </w:r>
          </w:p>
        </w:tc>
      </w:tr>
      <w:tr w:rsidR="00FE5417" w:rsidRPr="00FE5417" w14:paraId="0B6FB88C" w14:textId="77777777" w:rsidTr="00FE5417">
        <w:trPr>
          <w:trHeight w:val="42"/>
        </w:trPr>
        <w:tc>
          <w:tcPr>
            <w:tcW w:w="368" w:type="pct"/>
            <w:vMerge/>
            <w:tcBorders>
              <w:left w:val="nil"/>
              <w:right w:val="nil"/>
            </w:tcBorders>
            <w:shd w:val="clear" w:color="auto" w:fill="auto"/>
          </w:tcPr>
          <w:p w14:paraId="23C2120D" w14:textId="77777777" w:rsidR="00D147C9" w:rsidRPr="00FE5417" w:rsidRDefault="00D147C9" w:rsidP="00FE5417">
            <w:pPr>
              <w:pStyle w:val="TabletextLeft"/>
              <w:spacing w:line="216" w:lineRule="auto"/>
              <w:rPr>
                <w:sz w:val="18"/>
                <w:szCs w:val="18"/>
              </w:rPr>
            </w:pPr>
          </w:p>
        </w:tc>
        <w:tc>
          <w:tcPr>
            <w:tcW w:w="461" w:type="pct"/>
            <w:vMerge/>
            <w:tcBorders>
              <w:left w:val="nil"/>
              <w:right w:val="nil"/>
            </w:tcBorders>
            <w:shd w:val="clear" w:color="auto" w:fill="auto"/>
          </w:tcPr>
          <w:p w14:paraId="673B4F37" w14:textId="77777777" w:rsidR="00D147C9" w:rsidRPr="00FE5417" w:rsidRDefault="00D147C9" w:rsidP="00FE5417">
            <w:pPr>
              <w:pStyle w:val="TabletextLeft"/>
              <w:spacing w:line="216" w:lineRule="auto"/>
              <w:rPr>
                <w:sz w:val="18"/>
                <w:szCs w:val="18"/>
              </w:rPr>
            </w:pPr>
          </w:p>
        </w:tc>
        <w:tc>
          <w:tcPr>
            <w:tcW w:w="2071" w:type="pct"/>
            <w:tcBorders>
              <w:top w:val="single" w:sz="8" w:space="0" w:color="D9D9D9"/>
              <w:left w:val="nil"/>
              <w:bottom w:val="single" w:sz="8" w:space="0" w:color="D9D9D9"/>
              <w:right w:val="nil"/>
            </w:tcBorders>
            <w:shd w:val="clear" w:color="auto" w:fill="auto"/>
          </w:tcPr>
          <w:p w14:paraId="695AF0A8" w14:textId="77777777" w:rsidR="00D147C9" w:rsidRPr="00FE5417" w:rsidRDefault="00D147C9" w:rsidP="00FE5417">
            <w:pPr>
              <w:pStyle w:val="TabletextLeft"/>
              <w:spacing w:line="216" w:lineRule="auto"/>
              <w:rPr>
                <w:sz w:val="18"/>
                <w:szCs w:val="18"/>
              </w:rPr>
            </w:pPr>
            <w:r w:rsidRPr="00FE5417">
              <w:rPr>
                <w:sz w:val="18"/>
                <w:szCs w:val="18"/>
              </w:rPr>
              <w:t>Relative Growth Rates of Total Public Hospital Expenditure and Total Primary Care Expenditure</w:t>
            </w:r>
          </w:p>
        </w:tc>
        <w:tc>
          <w:tcPr>
            <w:tcW w:w="2100" w:type="pct"/>
            <w:vMerge/>
            <w:tcBorders>
              <w:left w:val="nil"/>
              <w:right w:val="nil"/>
            </w:tcBorders>
            <w:shd w:val="clear" w:color="auto" w:fill="auto"/>
          </w:tcPr>
          <w:p w14:paraId="60CF4AA6" w14:textId="77777777" w:rsidR="00D147C9" w:rsidRPr="00FE5417" w:rsidRDefault="00D147C9" w:rsidP="00FE5417">
            <w:pPr>
              <w:pStyle w:val="TabletextLeft"/>
              <w:spacing w:line="216" w:lineRule="auto"/>
              <w:rPr>
                <w:sz w:val="18"/>
                <w:szCs w:val="18"/>
              </w:rPr>
            </w:pPr>
          </w:p>
        </w:tc>
      </w:tr>
      <w:tr w:rsidR="00FE5417" w:rsidRPr="00FE5417" w14:paraId="1FE5BCCD" w14:textId="77777777" w:rsidTr="00FE5417">
        <w:trPr>
          <w:trHeight w:val="42"/>
        </w:trPr>
        <w:tc>
          <w:tcPr>
            <w:tcW w:w="368" w:type="pct"/>
            <w:vMerge/>
            <w:tcBorders>
              <w:left w:val="nil"/>
              <w:right w:val="nil"/>
            </w:tcBorders>
            <w:shd w:val="clear" w:color="auto" w:fill="auto"/>
          </w:tcPr>
          <w:p w14:paraId="58077819" w14:textId="77777777" w:rsidR="00D147C9" w:rsidRPr="00FE5417" w:rsidRDefault="00D147C9" w:rsidP="00FE5417">
            <w:pPr>
              <w:pStyle w:val="TabletextLeft"/>
              <w:spacing w:line="216" w:lineRule="auto"/>
              <w:rPr>
                <w:sz w:val="18"/>
                <w:szCs w:val="18"/>
              </w:rPr>
            </w:pPr>
          </w:p>
        </w:tc>
        <w:tc>
          <w:tcPr>
            <w:tcW w:w="461" w:type="pct"/>
            <w:vMerge/>
            <w:tcBorders>
              <w:left w:val="nil"/>
              <w:right w:val="nil"/>
            </w:tcBorders>
            <w:shd w:val="clear" w:color="auto" w:fill="auto"/>
          </w:tcPr>
          <w:p w14:paraId="31973B7D" w14:textId="77777777" w:rsidR="00D147C9" w:rsidRPr="00FE5417" w:rsidRDefault="00D147C9" w:rsidP="00FE5417">
            <w:pPr>
              <w:pStyle w:val="TabletextLeft"/>
              <w:spacing w:line="216" w:lineRule="auto"/>
              <w:rPr>
                <w:sz w:val="18"/>
                <w:szCs w:val="18"/>
              </w:rPr>
            </w:pPr>
          </w:p>
        </w:tc>
        <w:tc>
          <w:tcPr>
            <w:tcW w:w="2071" w:type="pct"/>
            <w:tcBorders>
              <w:top w:val="single" w:sz="8" w:space="0" w:color="D9D9D9"/>
              <w:left w:val="nil"/>
              <w:bottom w:val="single" w:sz="8" w:space="0" w:color="D9D9D9"/>
              <w:right w:val="nil"/>
            </w:tcBorders>
            <w:shd w:val="clear" w:color="auto" w:fill="auto"/>
          </w:tcPr>
          <w:p w14:paraId="11D1ED2D" w14:textId="23E63567" w:rsidR="00D147C9" w:rsidRPr="00FE5417" w:rsidRDefault="00D147C9" w:rsidP="00FE5417">
            <w:pPr>
              <w:pStyle w:val="TabletextLeft"/>
              <w:spacing w:line="216" w:lineRule="auto"/>
              <w:rPr>
                <w:sz w:val="18"/>
                <w:szCs w:val="18"/>
              </w:rPr>
            </w:pPr>
            <w:r w:rsidRPr="00FE5417">
              <w:rPr>
                <w:sz w:val="18"/>
                <w:szCs w:val="18"/>
              </w:rPr>
              <w:t xml:space="preserve">Total health expenditure as a proportion of total tax revenue and total government expenditure over time for (i) aggregate (ii) </w:t>
            </w:r>
            <w:r w:rsidR="00415141" w:rsidRPr="00FE5417">
              <w:rPr>
                <w:sz w:val="18"/>
                <w:szCs w:val="18"/>
              </w:rPr>
              <w:t>Commonwealth</w:t>
            </w:r>
            <w:r w:rsidR="00415141">
              <w:rPr>
                <w:sz w:val="18"/>
                <w:szCs w:val="18"/>
              </w:rPr>
              <w:t>, S</w:t>
            </w:r>
            <w:r w:rsidR="00415141" w:rsidRPr="00FE5417">
              <w:rPr>
                <w:sz w:val="18"/>
                <w:szCs w:val="18"/>
              </w:rPr>
              <w:t>tate</w:t>
            </w:r>
            <w:r w:rsidR="00415141">
              <w:rPr>
                <w:sz w:val="18"/>
                <w:szCs w:val="18"/>
              </w:rPr>
              <w:t xml:space="preserve"> or </w:t>
            </w:r>
            <w:r w:rsidR="00415141" w:rsidRPr="00FE5417">
              <w:rPr>
                <w:sz w:val="18"/>
                <w:szCs w:val="18"/>
              </w:rPr>
              <w:t>Territory</w:t>
            </w:r>
          </w:p>
        </w:tc>
        <w:tc>
          <w:tcPr>
            <w:tcW w:w="2100" w:type="pct"/>
            <w:vMerge/>
            <w:tcBorders>
              <w:left w:val="nil"/>
              <w:right w:val="nil"/>
            </w:tcBorders>
            <w:shd w:val="clear" w:color="auto" w:fill="auto"/>
          </w:tcPr>
          <w:p w14:paraId="3D8484C1" w14:textId="77777777" w:rsidR="00D147C9" w:rsidRPr="00FE5417" w:rsidRDefault="00D147C9" w:rsidP="00FE5417">
            <w:pPr>
              <w:pStyle w:val="TabletextLeft"/>
              <w:spacing w:line="216" w:lineRule="auto"/>
              <w:rPr>
                <w:sz w:val="18"/>
                <w:szCs w:val="18"/>
              </w:rPr>
            </w:pPr>
          </w:p>
        </w:tc>
      </w:tr>
      <w:tr w:rsidR="00FE5417" w:rsidRPr="00FE5417" w14:paraId="309E3A57" w14:textId="77777777" w:rsidTr="00FE5417">
        <w:trPr>
          <w:trHeight w:val="42"/>
        </w:trPr>
        <w:tc>
          <w:tcPr>
            <w:tcW w:w="368" w:type="pct"/>
            <w:vMerge/>
            <w:tcBorders>
              <w:left w:val="nil"/>
              <w:right w:val="nil"/>
            </w:tcBorders>
            <w:shd w:val="clear" w:color="auto" w:fill="auto"/>
          </w:tcPr>
          <w:p w14:paraId="4B88D266" w14:textId="77777777" w:rsidR="00D147C9" w:rsidRPr="00FE5417" w:rsidRDefault="00D147C9" w:rsidP="00FE5417">
            <w:pPr>
              <w:pStyle w:val="TabletextLeft"/>
              <w:spacing w:line="216" w:lineRule="auto"/>
              <w:rPr>
                <w:sz w:val="18"/>
                <w:szCs w:val="18"/>
              </w:rPr>
            </w:pPr>
          </w:p>
        </w:tc>
        <w:tc>
          <w:tcPr>
            <w:tcW w:w="461" w:type="pct"/>
            <w:vMerge/>
            <w:tcBorders>
              <w:left w:val="nil"/>
              <w:right w:val="nil"/>
            </w:tcBorders>
            <w:shd w:val="clear" w:color="auto" w:fill="auto"/>
          </w:tcPr>
          <w:p w14:paraId="5AFC694C" w14:textId="77777777" w:rsidR="00D147C9" w:rsidRPr="00FE5417" w:rsidRDefault="00D147C9" w:rsidP="00FE5417">
            <w:pPr>
              <w:pStyle w:val="TabletextLeft"/>
              <w:spacing w:line="216" w:lineRule="auto"/>
              <w:rPr>
                <w:sz w:val="18"/>
                <w:szCs w:val="18"/>
              </w:rPr>
            </w:pPr>
          </w:p>
        </w:tc>
        <w:tc>
          <w:tcPr>
            <w:tcW w:w="2071" w:type="pct"/>
            <w:tcBorders>
              <w:top w:val="single" w:sz="8" w:space="0" w:color="D9D9D9"/>
              <w:left w:val="nil"/>
              <w:bottom w:val="single" w:sz="8" w:space="0" w:color="D9D9D9"/>
              <w:right w:val="nil"/>
            </w:tcBorders>
            <w:shd w:val="clear" w:color="auto" w:fill="auto"/>
          </w:tcPr>
          <w:p w14:paraId="20606513" w14:textId="063C1965" w:rsidR="00D147C9" w:rsidRPr="00FE5417" w:rsidRDefault="00D147C9" w:rsidP="00FE5417">
            <w:pPr>
              <w:pStyle w:val="TabletextLeft"/>
              <w:spacing w:line="216" w:lineRule="auto"/>
              <w:rPr>
                <w:sz w:val="18"/>
                <w:szCs w:val="18"/>
              </w:rPr>
            </w:pPr>
            <w:r w:rsidRPr="00FE5417">
              <w:rPr>
                <w:sz w:val="18"/>
                <w:szCs w:val="18"/>
              </w:rPr>
              <w:t xml:space="preserve">Funding through the National Funding Pool over time by (i) aggregate (ii) </w:t>
            </w:r>
            <w:r w:rsidR="00415141" w:rsidRPr="00FE5417">
              <w:rPr>
                <w:sz w:val="18"/>
                <w:szCs w:val="18"/>
              </w:rPr>
              <w:t>Commonwealth</w:t>
            </w:r>
            <w:r w:rsidR="00415141">
              <w:rPr>
                <w:sz w:val="18"/>
                <w:szCs w:val="18"/>
              </w:rPr>
              <w:t>, S</w:t>
            </w:r>
            <w:r w:rsidR="00415141" w:rsidRPr="00FE5417">
              <w:rPr>
                <w:sz w:val="18"/>
                <w:szCs w:val="18"/>
              </w:rPr>
              <w:t>tate</w:t>
            </w:r>
            <w:r w:rsidR="00415141">
              <w:rPr>
                <w:sz w:val="18"/>
                <w:szCs w:val="18"/>
              </w:rPr>
              <w:t xml:space="preserve"> or </w:t>
            </w:r>
            <w:r w:rsidR="00415141" w:rsidRPr="00FE5417">
              <w:rPr>
                <w:sz w:val="18"/>
                <w:szCs w:val="18"/>
              </w:rPr>
              <w:t xml:space="preserve">Territory </w:t>
            </w:r>
            <w:r w:rsidRPr="00FE5417">
              <w:rPr>
                <w:sz w:val="18"/>
                <w:szCs w:val="18"/>
              </w:rPr>
              <w:t>(iii) ABF/Block/Public Health</w:t>
            </w:r>
          </w:p>
        </w:tc>
        <w:tc>
          <w:tcPr>
            <w:tcW w:w="2100" w:type="pct"/>
            <w:vMerge/>
            <w:tcBorders>
              <w:left w:val="nil"/>
              <w:right w:val="nil"/>
            </w:tcBorders>
            <w:shd w:val="clear" w:color="auto" w:fill="auto"/>
          </w:tcPr>
          <w:p w14:paraId="2D1242ED" w14:textId="77777777" w:rsidR="00D147C9" w:rsidRPr="00FE5417" w:rsidRDefault="00D147C9" w:rsidP="00FE5417">
            <w:pPr>
              <w:pStyle w:val="TabletextLeft"/>
              <w:spacing w:line="216" w:lineRule="auto"/>
              <w:rPr>
                <w:sz w:val="18"/>
                <w:szCs w:val="18"/>
              </w:rPr>
            </w:pPr>
          </w:p>
        </w:tc>
      </w:tr>
      <w:tr w:rsidR="00FE5417" w:rsidRPr="00FE5417" w14:paraId="27DE6226" w14:textId="77777777" w:rsidTr="00FE5417">
        <w:trPr>
          <w:trHeight w:val="42"/>
        </w:trPr>
        <w:tc>
          <w:tcPr>
            <w:tcW w:w="368" w:type="pct"/>
            <w:vMerge/>
            <w:tcBorders>
              <w:left w:val="nil"/>
              <w:right w:val="nil"/>
            </w:tcBorders>
            <w:shd w:val="clear" w:color="auto" w:fill="auto"/>
          </w:tcPr>
          <w:p w14:paraId="4130F6F1" w14:textId="77777777" w:rsidR="00D147C9" w:rsidRPr="00FE5417" w:rsidRDefault="00D147C9" w:rsidP="00FE5417">
            <w:pPr>
              <w:pStyle w:val="TabletextLeft"/>
              <w:spacing w:line="216" w:lineRule="auto"/>
              <w:rPr>
                <w:sz w:val="18"/>
                <w:szCs w:val="18"/>
              </w:rPr>
            </w:pPr>
          </w:p>
        </w:tc>
        <w:tc>
          <w:tcPr>
            <w:tcW w:w="461" w:type="pct"/>
            <w:vMerge/>
            <w:tcBorders>
              <w:left w:val="nil"/>
              <w:bottom w:val="single" w:sz="8" w:space="0" w:color="D9D9D9"/>
              <w:right w:val="nil"/>
            </w:tcBorders>
            <w:shd w:val="clear" w:color="auto" w:fill="auto"/>
          </w:tcPr>
          <w:p w14:paraId="0E7E6581" w14:textId="77777777" w:rsidR="00D147C9" w:rsidRPr="00FE5417" w:rsidRDefault="00D147C9" w:rsidP="00FE5417">
            <w:pPr>
              <w:pStyle w:val="TabletextLeft"/>
              <w:spacing w:line="216" w:lineRule="auto"/>
              <w:rPr>
                <w:sz w:val="18"/>
                <w:szCs w:val="18"/>
              </w:rPr>
            </w:pPr>
          </w:p>
        </w:tc>
        <w:tc>
          <w:tcPr>
            <w:tcW w:w="2071" w:type="pct"/>
            <w:tcBorders>
              <w:top w:val="single" w:sz="8" w:space="0" w:color="D9D9D9"/>
              <w:left w:val="nil"/>
              <w:bottom w:val="single" w:sz="8" w:space="0" w:color="D9D9D9"/>
              <w:right w:val="nil"/>
            </w:tcBorders>
            <w:shd w:val="clear" w:color="auto" w:fill="auto"/>
          </w:tcPr>
          <w:p w14:paraId="2208B332" w14:textId="5DEE645C" w:rsidR="00D147C9" w:rsidRPr="00FE5417" w:rsidRDefault="00D147C9" w:rsidP="00FE5417">
            <w:pPr>
              <w:pStyle w:val="TabletextLeft"/>
              <w:spacing w:line="216" w:lineRule="auto"/>
              <w:rPr>
                <w:sz w:val="18"/>
                <w:szCs w:val="18"/>
              </w:rPr>
            </w:pPr>
            <w:r w:rsidRPr="00FE5417">
              <w:rPr>
                <w:sz w:val="18"/>
                <w:szCs w:val="18"/>
              </w:rPr>
              <w:t>Proportion of Commonwealth to State</w:t>
            </w:r>
            <w:r w:rsidR="00415141">
              <w:rPr>
                <w:sz w:val="18"/>
                <w:szCs w:val="18"/>
              </w:rPr>
              <w:t xml:space="preserve"> and </w:t>
            </w:r>
            <w:r w:rsidRPr="00FE5417">
              <w:rPr>
                <w:sz w:val="18"/>
                <w:szCs w:val="18"/>
              </w:rPr>
              <w:t>Territory ABF funding through the National Funding Pool over time by (i) aggregate (ii) State</w:t>
            </w:r>
            <w:r w:rsidR="00415141">
              <w:rPr>
                <w:sz w:val="18"/>
                <w:szCs w:val="18"/>
              </w:rPr>
              <w:t xml:space="preserve"> and </w:t>
            </w:r>
            <w:r w:rsidRPr="00FE5417">
              <w:rPr>
                <w:sz w:val="18"/>
                <w:szCs w:val="18"/>
              </w:rPr>
              <w:t>Territory</w:t>
            </w:r>
          </w:p>
        </w:tc>
        <w:tc>
          <w:tcPr>
            <w:tcW w:w="2100" w:type="pct"/>
            <w:vMerge/>
            <w:tcBorders>
              <w:left w:val="nil"/>
              <w:bottom w:val="single" w:sz="8" w:space="0" w:color="D9D9D9"/>
              <w:right w:val="nil"/>
            </w:tcBorders>
            <w:shd w:val="clear" w:color="auto" w:fill="auto"/>
          </w:tcPr>
          <w:p w14:paraId="42CF5AE2" w14:textId="77777777" w:rsidR="00D147C9" w:rsidRPr="00FE5417" w:rsidRDefault="00D147C9" w:rsidP="00FE5417">
            <w:pPr>
              <w:pStyle w:val="TabletextLeft"/>
              <w:spacing w:line="216" w:lineRule="auto"/>
              <w:rPr>
                <w:sz w:val="18"/>
                <w:szCs w:val="18"/>
              </w:rPr>
            </w:pPr>
          </w:p>
        </w:tc>
      </w:tr>
      <w:tr w:rsidR="00FE5417" w:rsidRPr="00FE5417" w14:paraId="6553D6D9" w14:textId="77777777" w:rsidTr="00FE5417">
        <w:trPr>
          <w:trHeight w:val="42"/>
        </w:trPr>
        <w:tc>
          <w:tcPr>
            <w:tcW w:w="368" w:type="pct"/>
            <w:vMerge/>
            <w:tcBorders>
              <w:left w:val="nil"/>
              <w:bottom w:val="single" w:sz="8" w:space="0" w:color="D9D9D9"/>
              <w:right w:val="nil"/>
            </w:tcBorders>
            <w:shd w:val="clear" w:color="auto" w:fill="auto"/>
          </w:tcPr>
          <w:p w14:paraId="196821AD" w14:textId="77777777" w:rsidR="001121C3" w:rsidRPr="00FE5417" w:rsidRDefault="001121C3" w:rsidP="00FE5417">
            <w:pPr>
              <w:pStyle w:val="TabletextLeft"/>
              <w:spacing w:line="216" w:lineRule="auto"/>
              <w:rPr>
                <w:sz w:val="18"/>
                <w:szCs w:val="18"/>
              </w:rPr>
            </w:pPr>
          </w:p>
        </w:tc>
        <w:tc>
          <w:tcPr>
            <w:tcW w:w="461" w:type="pct"/>
            <w:tcBorders>
              <w:top w:val="single" w:sz="8" w:space="0" w:color="D9D9D9"/>
              <w:left w:val="nil"/>
              <w:bottom w:val="single" w:sz="8" w:space="0" w:color="D9D9D9"/>
              <w:right w:val="nil"/>
            </w:tcBorders>
            <w:shd w:val="clear" w:color="auto" w:fill="auto"/>
          </w:tcPr>
          <w:p w14:paraId="4AE0A378" w14:textId="77777777" w:rsidR="001121C3" w:rsidRPr="00FE5417" w:rsidRDefault="001121C3" w:rsidP="00FE5417">
            <w:pPr>
              <w:pStyle w:val="TabletextLeft"/>
              <w:spacing w:line="216" w:lineRule="auto"/>
              <w:rPr>
                <w:sz w:val="18"/>
                <w:szCs w:val="18"/>
              </w:rPr>
            </w:pPr>
            <w:r w:rsidRPr="00FE5417">
              <w:rPr>
                <w:sz w:val="18"/>
                <w:szCs w:val="18"/>
              </w:rPr>
              <w:t>International comparison indicators</w:t>
            </w:r>
          </w:p>
        </w:tc>
        <w:tc>
          <w:tcPr>
            <w:tcW w:w="2071" w:type="pct"/>
            <w:tcBorders>
              <w:top w:val="single" w:sz="8" w:space="0" w:color="D9D9D9"/>
              <w:left w:val="nil"/>
              <w:bottom w:val="single" w:sz="8" w:space="0" w:color="D9D9D9"/>
              <w:right w:val="nil"/>
            </w:tcBorders>
            <w:shd w:val="clear" w:color="auto" w:fill="auto"/>
          </w:tcPr>
          <w:p w14:paraId="26EC0039" w14:textId="77777777" w:rsidR="001121C3" w:rsidRPr="00FE5417" w:rsidRDefault="001121C3" w:rsidP="00FE5417">
            <w:pPr>
              <w:pStyle w:val="TabletextLeft"/>
              <w:spacing w:line="216" w:lineRule="auto"/>
              <w:rPr>
                <w:sz w:val="18"/>
                <w:szCs w:val="18"/>
              </w:rPr>
            </w:pPr>
            <w:r w:rsidRPr="00FE5417">
              <w:rPr>
                <w:sz w:val="18"/>
                <w:szCs w:val="18"/>
              </w:rPr>
              <w:t>Comparison of Australia's total and per capita expenditure as a proportion of GDP to OECD countries</w:t>
            </w:r>
          </w:p>
        </w:tc>
        <w:tc>
          <w:tcPr>
            <w:tcW w:w="2100" w:type="pct"/>
            <w:tcBorders>
              <w:top w:val="single" w:sz="8" w:space="0" w:color="D9D9D9"/>
              <w:left w:val="nil"/>
              <w:bottom w:val="single" w:sz="8" w:space="0" w:color="D9D9D9"/>
              <w:right w:val="nil"/>
            </w:tcBorders>
            <w:shd w:val="clear" w:color="auto" w:fill="auto"/>
          </w:tcPr>
          <w:p w14:paraId="46D14513" w14:textId="77777777" w:rsidR="001121C3" w:rsidRPr="00FE5417" w:rsidRDefault="001121C3" w:rsidP="00FE5417">
            <w:pPr>
              <w:pStyle w:val="TabletextLeft"/>
              <w:spacing w:line="216" w:lineRule="auto"/>
              <w:rPr>
                <w:sz w:val="18"/>
                <w:szCs w:val="18"/>
              </w:rPr>
            </w:pPr>
            <w:r w:rsidRPr="00FE5417">
              <w:rPr>
                <w:sz w:val="18"/>
                <w:szCs w:val="18"/>
              </w:rPr>
              <w:t>Compared to other countries, how much is Australia spending on health care?</w:t>
            </w:r>
          </w:p>
        </w:tc>
      </w:tr>
      <w:tr w:rsidR="00FE5417" w:rsidRPr="00FE5417" w14:paraId="5B8CEC54" w14:textId="77777777" w:rsidTr="00FE5417">
        <w:trPr>
          <w:trHeight w:val="42"/>
        </w:trPr>
        <w:tc>
          <w:tcPr>
            <w:tcW w:w="368" w:type="pct"/>
            <w:vMerge w:val="restart"/>
            <w:tcBorders>
              <w:top w:val="single" w:sz="8" w:space="0" w:color="D9D9D9"/>
              <w:left w:val="nil"/>
              <w:bottom w:val="single" w:sz="8" w:space="0" w:color="D9D9D9"/>
              <w:right w:val="nil"/>
            </w:tcBorders>
            <w:shd w:val="clear" w:color="auto" w:fill="auto"/>
          </w:tcPr>
          <w:p w14:paraId="451DCF5D" w14:textId="4F6EAD9A" w:rsidR="003E2ECE" w:rsidRPr="00FE5417" w:rsidRDefault="003E2ECE" w:rsidP="00FE5417">
            <w:pPr>
              <w:pStyle w:val="TabletextLeft"/>
              <w:spacing w:line="216" w:lineRule="auto"/>
              <w:rPr>
                <w:sz w:val="18"/>
                <w:szCs w:val="18"/>
              </w:rPr>
            </w:pPr>
            <w:r w:rsidRPr="00FE5417">
              <w:rPr>
                <w:sz w:val="18"/>
                <w:szCs w:val="18"/>
              </w:rPr>
              <w:t>Intersectoral Collaboration</w:t>
            </w:r>
          </w:p>
        </w:tc>
        <w:tc>
          <w:tcPr>
            <w:tcW w:w="461" w:type="pct"/>
            <w:tcBorders>
              <w:top w:val="single" w:sz="8" w:space="0" w:color="D9D9D9"/>
              <w:left w:val="nil"/>
              <w:bottom w:val="single" w:sz="8" w:space="0" w:color="D9D9D9"/>
              <w:right w:val="nil"/>
            </w:tcBorders>
            <w:shd w:val="clear" w:color="auto" w:fill="auto"/>
          </w:tcPr>
          <w:p w14:paraId="23A8F74E" w14:textId="1BC25517" w:rsidR="003E2ECE" w:rsidRPr="00FE5417" w:rsidRDefault="003E2ECE" w:rsidP="00FE5417">
            <w:pPr>
              <w:pStyle w:val="TabletextLeft"/>
              <w:spacing w:line="216" w:lineRule="auto"/>
              <w:rPr>
                <w:sz w:val="18"/>
                <w:szCs w:val="18"/>
              </w:rPr>
            </w:pPr>
            <w:r w:rsidRPr="00FE5417">
              <w:rPr>
                <w:sz w:val="18"/>
                <w:szCs w:val="18"/>
              </w:rPr>
              <w:t>Aged Care Eligible Inpatients</w:t>
            </w:r>
          </w:p>
        </w:tc>
        <w:tc>
          <w:tcPr>
            <w:tcW w:w="2071" w:type="pct"/>
            <w:tcBorders>
              <w:top w:val="single" w:sz="8" w:space="0" w:color="D9D9D9"/>
              <w:left w:val="nil"/>
              <w:bottom w:val="single" w:sz="8" w:space="0" w:color="D9D9D9"/>
              <w:right w:val="nil"/>
            </w:tcBorders>
            <w:shd w:val="clear" w:color="auto" w:fill="auto"/>
          </w:tcPr>
          <w:p w14:paraId="242440FB" w14:textId="2F94763A" w:rsidR="003E2ECE" w:rsidRPr="00FE5417" w:rsidRDefault="003E2ECE" w:rsidP="00FE5417">
            <w:pPr>
              <w:pStyle w:val="TabletextLeft"/>
              <w:spacing w:line="216" w:lineRule="auto"/>
              <w:rPr>
                <w:sz w:val="18"/>
                <w:szCs w:val="18"/>
              </w:rPr>
            </w:pPr>
            <w:r w:rsidRPr="00FE5417">
              <w:rPr>
                <w:sz w:val="18"/>
                <w:szCs w:val="18"/>
              </w:rPr>
              <w:t>Number of Aged Care eligible patients clinically ready for discharge occupying a bed in a public hospital</w:t>
            </w:r>
          </w:p>
        </w:tc>
        <w:tc>
          <w:tcPr>
            <w:tcW w:w="2100" w:type="pct"/>
            <w:tcBorders>
              <w:top w:val="single" w:sz="8" w:space="0" w:color="D9D9D9"/>
              <w:left w:val="nil"/>
              <w:bottom w:val="single" w:sz="8" w:space="0" w:color="D9D9D9"/>
              <w:right w:val="nil"/>
            </w:tcBorders>
            <w:shd w:val="clear" w:color="auto" w:fill="auto"/>
          </w:tcPr>
          <w:p w14:paraId="1DDDA844" w14:textId="6D8861DD" w:rsidR="003E2ECE" w:rsidRPr="00FE5417" w:rsidRDefault="003E2ECE" w:rsidP="00FE5417">
            <w:pPr>
              <w:pStyle w:val="TabletextLeft"/>
              <w:spacing w:line="216" w:lineRule="auto"/>
              <w:rPr>
                <w:sz w:val="18"/>
                <w:szCs w:val="18"/>
              </w:rPr>
            </w:pPr>
            <w:r w:rsidRPr="00FE5417">
              <w:rPr>
                <w:sz w:val="18"/>
                <w:szCs w:val="18"/>
              </w:rPr>
              <w:t>Is the number of Aged Care eligible patients who are clinically ready for discharge but still an inpatient reducing over time?</w:t>
            </w:r>
          </w:p>
        </w:tc>
      </w:tr>
      <w:tr w:rsidR="00FE5417" w:rsidRPr="00FE5417" w14:paraId="06A87E3C" w14:textId="77777777" w:rsidTr="00FE5417">
        <w:trPr>
          <w:trHeight w:val="42"/>
        </w:trPr>
        <w:tc>
          <w:tcPr>
            <w:tcW w:w="368" w:type="pct"/>
            <w:vMerge/>
            <w:tcBorders>
              <w:top w:val="single" w:sz="8" w:space="0" w:color="D9D9D9"/>
              <w:left w:val="nil"/>
              <w:bottom w:val="single" w:sz="8" w:space="0" w:color="D9D9D9"/>
              <w:right w:val="nil"/>
            </w:tcBorders>
            <w:shd w:val="clear" w:color="auto" w:fill="auto"/>
          </w:tcPr>
          <w:p w14:paraId="026BD19F" w14:textId="77777777" w:rsidR="003E2ECE" w:rsidRPr="00FE5417" w:rsidRDefault="003E2ECE" w:rsidP="00FE5417">
            <w:pPr>
              <w:pStyle w:val="TabletextLeft"/>
              <w:spacing w:line="216" w:lineRule="auto"/>
              <w:rPr>
                <w:sz w:val="18"/>
                <w:szCs w:val="18"/>
              </w:rPr>
            </w:pPr>
          </w:p>
        </w:tc>
        <w:tc>
          <w:tcPr>
            <w:tcW w:w="461" w:type="pct"/>
            <w:tcBorders>
              <w:top w:val="single" w:sz="8" w:space="0" w:color="D9D9D9"/>
              <w:left w:val="nil"/>
              <w:bottom w:val="single" w:sz="8" w:space="0" w:color="D9D9D9"/>
              <w:right w:val="nil"/>
            </w:tcBorders>
            <w:shd w:val="clear" w:color="auto" w:fill="auto"/>
          </w:tcPr>
          <w:p w14:paraId="7D556D44" w14:textId="094703EA" w:rsidR="003E2ECE" w:rsidRPr="00FE5417" w:rsidRDefault="003E2ECE" w:rsidP="00FE5417">
            <w:pPr>
              <w:pStyle w:val="TabletextLeft"/>
              <w:spacing w:line="216" w:lineRule="auto"/>
              <w:rPr>
                <w:sz w:val="18"/>
                <w:szCs w:val="18"/>
              </w:rPr>
            </w:pPr>
            <w:r w:rsidRPr="00FE5417">
              <w:rPr>
                <w:sz w:val="18"/>
                <w:szCs w:val="18"/>
              </w:rPr>
              <w:t>NDIS Eligible Inpatients</w:t>
            </w:r>
          </w:p>
        </w:tc>
        <w:tc>
          <w:tcPr>
            <w:tcW w:w="2071" w:type="pct"/>
            <w:tcBorders>
              <w:top w:val="single" w:sz="8" w:space="0" w:color="D9D9D9"/>
              <w:left w:val="nil"/>
              <w:bottom w:val="single" w:sz="8" w:space="0" w:color="D9D9D9"/>
              <w:right w:val="nil"/>
            </w:tcBorders>
            <w:shd w:val="clear" w:color="auto" w:fill="auto"/>
          </w:tcPr>
          <w:p w14:paraId="514DC5DC" w14:textId="241F507A" w:rsidR="003E2ECE" w:rsidRPr="00FE5417" w:rsidRDefault="003E2ECE" w:rsidP="00FE5417">
            <w:pPr>
              <w:pStyle w:val="TabletextLeft"/>
              <w:spacing w:line="216" w:lineRule="auto"/>
              <w:rPr>
                <w:sz w:val="18"/>
                <w:szCs w:val="18"/>
              </w:rPr>
            </w:pPr>
            <w:r w:rsidRPr="00FE5417">
              <w:rPr>
                <w:sz w:val="18"/>
                <w:szCs w:val="18"/>
              </w:rPr>
              <w:t>Number of NDIS eligible patients clinically ready for discharge occupying a bed in a public hospital</w:t>
            </w:r>
          </w:p>
        </w:tc>
        <w:tc>
          <w:tcPr>
            <w:tcW w:w="2100" w:type="pct"/>
            <w:tcBorders>
              <w:top w:val="single" w:sz="8" w:space="0" w:color="D9D9D9"/>
              <w:left w:val="nil"/>
              <w:bottom w:val="single" w:sz="8" w:space="0" w:color="D9D9D9"/>
              <w:right w:val="nil"/>
            </w:tcBorders>
            <w:shd w:val="clear" w:color="auto" w:fill="auto"/>
          </w:tcPr>
          <w:p w14:paraId="2FAC78F1" w14:textId="605F0F17" w:rsidR="003E2ECE" w:rsidRPr="00FE5417" w:rsidRDefault="003E2ECE" w:rsidP="00FE5417">
            <w:pPr>
              <w:pStyle w:val="TabletextLeft"/>
              <w:spacing w:line="216" w:lineRule="auto"/>
              <w:rPr>
                <w:sz w:val="18"/>
                <w:szCs w:val="18"/>
              </w:rPr>
            </w:pPr>
            <w:r w:rsidRPr="00FE5417">
              <w:rPr>
                <w:sz w:val="18"/>
                <w:szCs w:val="18"/>
              </w:rPr>
              <w:t>Is the number of NDIS eligible patients who are clinically ready for discharge but still an inpatient reducing over time?</w:t>
            </w:r>
          </w:p>
        </w:tc>
      </w:tr>
      <w:tr w:rsidR="00FE5417" w:rsidRPr="00FE5417" w14:paraId="7695D2BB" w14:textId="77777777" w:rsidTr="00FE5417">
        <w:trPr>
          <w:trHeight w:val="42"/>
        </w:trPr>
        <w:tc>
          <w:tcPr>
            <w:tcW w:w="368" w:type="pct"/>
            <w:vMerge/>
            <w:tcBorders>
              <w:top w:val="single" w:sz="8" w:space="0" w:color="D9D9D9"/>
              <w:left w:val="nil"/>
              <w:bottom w:val="single" w:sz="8" w:space="0" w:color="D9D9D9"/>
              <w:right w:val="nil"/>
            </w:tcBorders>
            <w:shd w:val="clear" w:color="auto" w:fill="auto"/>
          </w:tcPr>
          <w:p w14:paraId="312511C3" w14:textId="77777777" w:rsidR="003E2ECE" w:rsidRPr="00FE5417" w:rsidRDefault="003E2ECE" w:rsidP="00FE5417">
            <w:pPr>
              <w:pStyle w:val="TabletextLeft"/>
              <w:spacing w:line="216" w:lineRule="auto"/>
              <w:rPr>
                <w:sz w:val="18"/>
                <w:szCs w:val="18"/>
              </w:rPr>
            </w:pPr>
          </w:p>
        </w:tc>
        <w:tc>
          <w:tcPr>
            <w:tcW w:w="461" w:type="pct"/>
            <w:vMerge w:val="restart"/>
            <w:tcBorders>
              <w:top w:val="single" w:sz="8" w:space="0" w:color="D9D9D9"/>
              <w:left w:val="nil"/>
              <w:bottom w:val="single" w:sz="8" w:space="0" w:color="D9D9D9"/>
              <w:right w:val="nil"/>
            </w:tcBorders>
            <w:shd w:val="clear" w:color="auto" w:fill="auto"/>
          </w:tcPr>
          <w:p w14:paraId="76273137" w14:textId="046DD019" w:rsidR="003E2ECE" w:rsidRPr="00FE5417" w:rsidRDefault="003E2ECE" w:rsidP="00FE5417">
            <w:pPr>
              <w:pStyle w:val="TabletextLeft"/>
              <w:spacing w:line="216" w:lineRule="auto"/>
              <w:rPr>
                <w:sz w:val="18"/>
                <w:szCs w:val="18"/>
              </w:rPr>
            </w:pPr>
            <w:r w:rsidRPr="00FE5417">
              <w:rPr>
                <w:sz w:val="18"/>
                <w:szCs w:val="18"/>
              </w:rPr>
              <w:t>LHN/PHN Collaboration</w:t>
            </w:r>
          </w:p>
        </w:tc>
        <w:tc>
          <w:tcPr>
            <w:tcW w:w="2071" w:type="pct"/>
            <w:tcBorders>
              <w:top w:val="single" w:sz="8" w:space="0" w:color="D9D9D9"/>
              <w:left w:val="nil"/>
              <w:bottom w:val="single" w:sz="8" w:space="0" w:color="D9D9D9"/>
              <w:right w:val="nil"/>
            </w:tcBorders>
            <w:shd w:val="clear" w:color="auto" w:fill="auto"/>
          </w:tcPr>
          <w:p w14:paraId="589800D7" w14:textId="39D2DD17" w:rsidR="003E2ECE" w:rsidRPr="00FE5417" w:rsidRDefault="003E2ECE" w:rsidP="00FE5417">
            <w:pPr>
              <w:pStyle w:val="TabletextLeft"/>
              <w:spacing w:line="216" w:lineRule="auto"/>
              <w:rPr>
                <w:sz w:val="18"/>
                <w:szCs w:val="18"/>
              </w:rPr>
            </w:pPr>
            <w:r w:rsidRPr="00FE5417">
              <w:rPr>
                <w:sz w:val="18"/>
                <w:szCs w:val="18"/>
              </w:rPr>
              <w:t>Proportion of LHNs and PHNs who have documented collaboration/alliance agreements over time</w:t>
            </w:r>
          </w:p>
        </w:tc>
        <w:tc>
          <w:tcPr>
            <w:tcW w:w="2100" w:type="pct"/>
            <w:tcBorders>
              <w:top w:val="single" w:sz="8" w:space="0" w:color="D9D9D9"/>
              <w:left w:val="nil"/>
              <w:bottom w:val="single" w:sz="8" w:space="0" w:color="D9D9D9"/>
              <w:right w:val="nil"/>
            </w:tcBorders>
            <w:shd w:val="clear" w:color="auto" w:fill="auto"/>
          </w:tcPr>
          <w:p w14:paraId="5A652DAB" w14:textId="69789F3C" w:rsidR="003E2ECE" w:rsidRPr="00FE5417" w:rsidRDefault="003E2ECE" w:rsidP="00FE5417">
            <w:pPr>
              <w:pStyle w:val="TabletextLeft"/>
              <w:spacing w:line="216" w:lineRule="auto"/>
              <w:rPr>
                <w:sz w:val="18"/>
                <w:szCs w:val="18"/>
              </w:rPr>
            </w:pPr>
            <w:r w:rsidRPr="00FE5417">
              <w:rPr>
                <w:sz w:val="18"/>
                <w:szCs w:val="18"/>
              </w:rPr>
              <w:t>Is the amount of collaboration between LHNs and PHNs increasing over time?</w:t>
            </w:r>
          </w:p>
        </w:tc>
      </w:tr>
      <w:tr w:rsidR="00FE5417" w:rsidRPr="00FE5417" w14:paraId="4AFE33F2" w14:textId="77777777" w:rsidTr="00FE5417">
        <w:trPr>
          <w:trHeight w:val="42"/>
        </w:trPr>
        <w:tc>
          <w:tcPr>
            <w:tcW w:w="368" w:type="pct"/>
            <w:vMerge/>
            <w:tcBorders>
              <w:top w:val="single" w:sz="8" w:space="0" w:color="D9D9D9"/>
              <w:left w:val="nil"/>
              <w:bottom w:val="single" w:sz="8" w:space="0" w:color="D9D9D9"/>
              <w:right w:val="nil"/>
            </w:tcBorders>
            <w:shd w:val="clear" w:color="auto" w:fill="auto"/>
          </w:tcPr>
          <w:p w14:paraId="3CFD75EA" w14:textId="77777777" w:rsidR="003E2ECE" w:rsidRPr="00FE5417" w:rsidRDefault="003E2ECE" w:rsidP="00FE5417">
            <w:pPr>
              <w:pStyle w:val="TabletextLeft"/>
              <w:spacing w:line="216" w:lineRule="auto"/>
              <w:rPr>
                <w:sz w:val="18"/>
                <w:szCs w:val="18"/>
              </w:rPr>
            </w:pPr>
          </w:p>
        </w:tc>
        <w:tc>
          <w:tcPr>
            <w:tcW w:w="461" w:type="pct"/>
            <w:vMerge/>
            <w:tcBorders>
              <w:top w:val="single" w:sz="8" w:space="0" w:color="D9D9D9"/>
              <w:left w:val="nil"/>
              <w:bottom w:val="single" w:sz="8" w:space="0" w:color="D9D9D9"/>
              <w:right w:val="nil"/>
            </w:tcBorders>
            <w:shd w:val="clear" w:color="auto" w:fill="auto"/>
          </w:tcPr>
          <w:p w14:paraId="62A1798F" w14:textId="77777777" w:rsidR="003E2ECE" w:rsidRPr="00FE5417" w:rsidRDefault="003E2ECE" w:rsidP="00FE5417">
            <w:pPr>
              <w:pStyle w:val="TabletextLeft"/>
              <w:spacing w:line="216" w:lineRule="auto"/>
              <w:rPr>
                <w:sz w:val="18"/>
                <w:szCs w:val="18"/>
              </w:rPr>
            </w:pPr>
          </w:p>
        </w:tc>
        <w:tc>
          <w:tcPr>
            <w:tcW w:w="2071" w:type="pct"/>
            <w:tcBorders>
              <w:top w:val="single" w:sz="8" w:space="0" w:color="D9D9D9"/>
              <w:left w:val="nil"/>
              <w:bottom w:val="single" w:sz="8" w:space="0" w:color="D9D9D9"/>
              <w:right w:val="nil"/>
            </w:tcBorders>
            <w:shd w:val="clear" w:color="auto" w:fill="auto"/>
          </w:tcPr>
          <w:p w14:paraId="67C13DD6" w14:textId="53819F81" w:rsidR="003E2ECE" w:rsidRPr="00FE5417" w:rsidRDefault="003E2ECE" w:rsidP="00FE5417">
            <w:pPr>
              <w:pStyle w:val="TabletextLeft"/>
              <w:spacing w:line="216" w:lineRule="auto"/>
              <w:rPr>
                <w:sz w:val="18"/>
                <w:szCs w:val="18"/>
              </w:rPr>
            </w:pPr>
            <w:r w:rsidRPr="00FE5417">
              <w:rPr>
                <w:sz w:val="18"/>
                <w:szCs w:val="18"/>
              </w:rPr>
              <w:t>Number of category four and five ED presentations over time</w:t>
            </w:r>
          </w:p>
        </w:tc>
        <w:tc>
          <w:tcPr>
            <w:tcW w:w="2100" w:type="pct"/>
            <w:tcBorders>
              <w:top w:val="single" w:sz="8" w:space="0" w:color="D9D9D9"/>
              <w:left w:val="nil"/>
              <w:bottom w:val="single" w:sz="8" w:space="0" w:color="D9D9D9"/>
              <w:right w:val="nil"/>
            </w:tcBorders>
            <w:shd w:val="clear" w:color="auto" w:fill="auto"/>
          </w:tcPr>
          <w:p w14:paraId="7B6E213E" w14:textId="2ED1087B" w:rsidR="003E2ECE" w:rsidRPr="00FE5417" w:rsidRDefault="003E2ECE" w:rsidP="00FE5417">
            <w:pPr>
              <w:pStyle w:val="TabletextLeft"/>
              <w:spacing w:line="216" w:lineRule="auto"/>
              <w:rPr>
                <w:sz w:val="18"/>
                <w:szCs w:val="18"/>
              </w:rPr>
            </w:pPr>
            <w:r w:rsidRPr="00FE5417">
              <w:rPr>
                <w:sz w:val="18"/>
                <w:szCs w:val="18"/>
              </w:rPr>
              <w:t>Has the number of category four and five ED presentations changed over time and is it possible to link LHN or primary care initiatives to these changes?</w:t>
            </w:r>
          </w:p>
        </w:tc>
      </w:tr>
      <w:tr w:rsidR="00FE5417" w:rsidRPr="00FE5417" w14:paraId="15F818BB" w14:textId="77777777" w:rsidTr="00FE5417">
        <w:trPr>
          <w:trHeight w:val="42"/>
        </w:trPr>
        <w:tc>
          <w:tcPr>
            <w:tcW w:w="368" w:type="pct"/>
            <w:vMerge w:val="restart"/>
            <w:tcBorders>
              <w:top w:val="single" w:sz="8" w:space="0" w:color="D9D9D9"/>
              <w:left w:val="nil"/>
              <w:right w:val="nil"/>
            </w:tcBorders>
            <w:shd w:val="clear" w:color="auto" w:fill="auto"/>
          </w:tcPr>
          <w:p w14:paraId="23672DC4" w14:textId="4BED5C74" w:rsidR="00160413" w:rsidRPr="00FE5417" w:rsidRDefault="00160413" w:rsidP="00FE5417">
            <w:pPr>
              <w:pStyle w:val="TabletextLeft"/>
              <w:spacing w:line="216" w:lineRule="auto"/>
              <w:rPr>
                <w:sz w:val="18"/>
                <w:szCs w:val="18"/>
              </w:rPr>
            </w:pPr>
            <w:r w:rsidRPr="00FE5417">
              <w:rPr>
                <w:sz w:val="18"/>
                <w:szCs w:val="18"/>
              </w:rPr>
              <w:t>Transparency and Reporting</w:t>
            </w:r>
          </w:p>
        </w:tc>
        <w:tc>
          <w:tcPr>
            <w:tcW w:w="461" w:type="pct"/>
            <w:tcBorders>
              <w:top w:val="single" w:sz="8" w:space="0" w:color="D9D9D9"/>
              <w:left w:val="nil"/>
              <w:bottom w:val="single" w:sz="8" w:space="0" w:color="D9D9D9"/>
              <w:right w:val="nil"/>
            </w:tcBorders>
            <w:shd w:val="clear" w:color="auto" w:fill="auto"/>
          </w:tcPr>
          <w:p w14:paraId="48538A40" w14:textId="506BC63C" w:rsidR="00160413" w:rsidRPr="00FE5417" w:rsidRDefault="00160413" w:rsidP="00FE5417">
            <w:pPr>
              <w:pStyle w:val="TabletextLeft"/>
              <w:spacing w:line="216" w:lineRule="auto"/>
              <w:rPr>
                <w:sz w:val="18"/>
                <w:szCs w:val="18"/>
              </w:rPr>
            </w:pPr>
            <w:r w:rsidRPr="00FE5417">
              <w:rPr>
                <w:sz w:val="18"/>
                <w:szCs w:val="18"/>
              </w:rPr>
              <w:t>Performance Reporting to Local Communities</w:t>
            </w:r>
          </w:p>
        </w:tc>
        <w:tc>
          <w:tcPr>
            <w:tcW w:w="2071" w:type="pct"/>
            <w:tcBorders>
              <w:top w:val="single" w:sz="8" w:space="0" w:color="D9D9D9"/>
              <w:left w:val="nil"/>
              <w:bottom w:val="single" w:sz="8" w:space="0" w:color="D9D9D9"/>
              <w:right w:val="nil"/>
            </w:tcBorders>
            <w:shd w:val="clear" w:color="auto" w:fill="auto"/>
          </w:tcPr>
          <w:p w14:paraId="47EB8F1E" w14:textId="243F30C0" w:rsidR="00160413" w:rsidRPr="00FE5417" w:rsidRDefault="00160413" w:rsidP="00FE5417">
            <w:pPr>
              <w:pStyle w:val="TabletextLeft"/>
              <w:spacing w:line="216" w:lineRule="auto"/>
              <w:rPr>
                <w:sz w:val="18"/>
                <w:szCs w:val="18"/>
              </w:rPr>
            </w:pPr>
            <w:r w:rsidRPr="00FE5417">
              <w:rPr>
                <w:sz w:val="18"/>
                <w:szCs w:val="18"/>
              </w:rPr>
              <w:t>Proportion of LHNs public reporting of useful equity, effectiveness and efficiency indicator measures over time</w:t>
            </w:r>
          </w:p>
        </w:tc>
        <w:tc>
          <w:tcPr>
            <w:tcW w:w="2100" w:type="pct"/>
            <w:tcBorders>
              <w:top w:val="single" w:sz="8" w:space="0" w:color="D9D9D9"/>
              <w:left w:val="nil"/>
              <w:bottom w:val="single" w:sz="8" w:space="0" w:color="D9D9D9"/>
              <w:right w:val="nil"/>
            </w:tcBorders>
            <w:shd w:val="clear" w:color="auto" w:fill="auto"/>
          </w:tcPr>
          <w:p w14:paraId="32DE51E2" w14:textId="273DF5F7" w:rsidR="00160413" w:rsidRPr="00FE5417" w:rsidRDefault="00160413" w:rsidP="00FE5417">
            <w:pPr>
              <w:pStyle w:val="TabletextLeft"/>
              <w:spacing w:line="216" w:lineRule="auto"/>
              <w:rPr>
                <w:sz w:val="18"/>
                <w:szCs w:val="18"/>
              </w:rPr>
            </w:pPr>
            <w:r w:rsidRPr="00FE5417">
              <w:rPr>
                <w:sz w:val="18"/>
                <w:szCs w:val="18"/>
              </w:rPr>
              <w:t>Does the public have easy access to relevant local public hospital data to assist their decision making?</w:t>
            </w:r>
          </w:p>
        </w:tc>
      </w:tr>
      <w:tr w:rsidR="00FE5417" w:rsidRPr="00FE5417" w14:paraId="1E085C38" w14:textId="77777777" w:rsidTr="00FE5417">
        <w:trPr>
          <w:trHeight w:val="42"/>
        </w:trPr>
        <w:tc>
          <w:tcPr>
            <w:tcW w:w="368" w:type="pct"/>
            <w:vMerge/>
            <w:tcBorders>
              <w:left w:val="nil"/>
              <w:bottom w:val="single" w:sz="8" w:space="0" w:color="D9D9D9"/>
              <w:right w:val="nil"/>
            </w:tcBorders>
            <w:shd w:val="clear" w:color="auto" w:fill="auto"/>
          </w:tcPr>
          <w:p w14:paraId="54EB6D02" w14:textId="77777777" w:rsidR="00160413" w:rsidRPr="00FE5417" w:rsidRDefault="00160413" w:rsidP="00FE5417">
            <w:pPr>
              <w:pStyle w:val="TabletextLeft"/>
              <w:spacing w:line="216" w:lineRule="auto"/>
              <w:rPr>
                <w:sz w:val="18"/>
                <w:szCs w:val="18"/>
              </w:rPr>
            </w:pPr>
          </w:p>
        </w:tc>
        <w:tc>
          <w:tcPr>
            <w:tcW w:w="461" w:type="pct"/>
            <w:tcBorders>
              <w:top w:val="single" w:sz="8" w:space="0" w:color="D9D9D9"/>
              <w:left w:val="nil"/>
              <w:bottom w:val="single" w:sz="8" w:space="0" w:color="D9D9D9"/>
              <w:right w:val="nil"/>
            </w:tcBorders>
            <w:shd w:val="clear" w:color="auto" w:fill="auto"/>
          </w:tcPr>
          <w:p w14:paraId="66C1CF60" w14:textId="7753F218" w:rsidR="00160413" w:rsidRPr="00FE5417" w:rsidRDefault="00160413" w:rsidP="00FE5417">
            <w:pPr>
              <w:pStyle w:val="TabletextLeft"/>
              <w:spacing w:line="216" w:lineRule="auto"/>
              <w:rPr>
                <w:sz w:val="18"/>
                <w:szCs w:val="18"/>
              </w:rPr>
            </w:pPr>
            <w:r w:rsidRPr="00FE5417">
              <w:rPr>
                <w:sz w:val="18"/>
                <w:szCs w:val="18"/>
              </w:rPr>
              <w:t>State</w:t>
            </w:r>
            <w:r w:rsidR="00FE5417">
              <w:rPr>
                <w:sz w:val="18"/>
                <w:szCs w:val="18"/>
              </w:rPr>
              <w:t xml:space="preserve"> </w:t>
            </w:r>
            <w:r w:rsidRPr="00FE5417">
              <w:rPr>
                <w:sz w:val="18"/>
                <w:szCs w:val="18"/>
              </w:rPr>
              <w:t>/</w:t>
            </w:r>
            <w:r w:rsidR="00FE5417">
              <w:rPr>
                <w:sz w:val="18"/>
                <w:szCs w:val="18"/>
              </w:rPr>
              <w:t xml:space="preserve"> </w:t>
            </w:r>
            <w:r w:rsidRPr="00FE5417">
              <w:rPr>
                <w:sz w:val="18"/>
                <w:szCs w:val="18"/>
              </w:rPr>
              <w:t>Territory</w:t>
            </w:r>
            <w:r w:rsidR="00FE5417">
              <w:rPr>
                <w:sz w:val="18"/>
                <w:szCs w:val="18"/>
              </w:rPr>
              <w:t xml:space="preserve"> </w:t>
            </w:r>
            <w:r w:rsidRPr="00FE5417">
              <w:rPr>
                <w:sz w:val="18"/>
                <w:szCs w:val="18"/>
              </w:rPr>
              <w:t>/</w:t>
            </w:r>
            <w:r w:rsidR="00FE5417">
              <w:rPr>
                <w:sz w:val="18"/>
                <w:szCs w:val="18"/>
              </w:rPr>
              <w:t xml:space="preserve"> </w:t>
            </w:r>
            <w:r w:rsidRPr="00FE5417">
              <w:rPr>
                <w:sz w:val="18"/>
                <w:szCs w:val="18"/>
              </w:rPr>
              <w:t>National Reporting</w:t>
            </w:r>
          </w:p>
        </w:tc>
        <w:tc>
          <w:tcPr>
            <w:tcW w:w="2071" w:type="pct"/>
            <w:tcBorders>
              <w:top w:val="single" w:sz="8" w:space="0" w:color="D9D9D9"/>
              <w:left w:val="nil"/>
              <w:bottom w:val="single" w:sz="8" w:space="0" w:color="D9D9D9"/>
              <w:right w:val="nil"/>
            </w:tcBorders>
            <w:shd w:val="clear" w:color="auto" w:fill="auto"/>
          </w:tcPr>
          <w:p w14:paraId="343D7410" w14:textId="571529A0" w:rsidR="00160413" w:rsidRPr="00FE5417" w:rsidRDefault="00160413" w:rsidP="00FE5417">
            <w:pPr>
              <w:pStyle w:val="TabletextLeft"/>
              <w:spacing w:line="216" w:lineRule="auto"/>
              <w:rPr>
                <w:sz w:val="18"/>
                <w:szCs w:val="18"/>
              </w:rPr>
            </w:pPr>
            <w:r w:rsidRPr="00FE5417">
              <w:rPr>
                <w:sz w:val="18"/>
                <w:szCs w:val="18"/>
              </w:rPr>
              <w:t>No indicator measure identified</w:t>
            </w:r>
          </w:p>
        </w:tc>
        <w:tc>
          <w:tcPr>
            <w:tcW w:w="2100" w:type="pct"/>
            <w:tcBorders>
              <w:top w:val="single" w:sz="8" w:space="0" w:color="D9D9D9"/>
              <w:left w:val="nil"/>
              <w:bottom w:val="single" w:sz="8" w:space="0" w:color="D9D9D9"/>
              <w:right w:val="nil"/>
            </w:tcBorders>
            <w:shd w:val="clear" w:color="auto" w:fill="auto"/>
          </w:tcPr>
          <w:p w14:paraId="349A49A7" w14:textId="063653BD" w:rsidR="00160413" w:rsidRPr="00FE5417" w:rsidRDefault="00160413" w:rsidP="00FE5417">
            <w:pPr>
              <w:pStyle w:val="TabletextLeft"/>
              <w:spacing w:line="216" w:lineRule="auto"/>
              <w:rPr>
                <w:sz w:val="18"/>
                <w:szCs w:val="18"/>
              </w:rPr>
            </w:pPr>
            <w:r w:rsidRPr="00FE5417">
              <w:rPr>
                <w:sz w:val="18"/>
                <w:szCs w:val="18"/>
              </w:rPr>
              <w:t>Does the public have easy access to relevant State</w:t>
            </w:r>
            <w:r w:rsidR="00415141">
              <w:rPr>
                <w:sz w:val="18"/>
                <w:szCs w:val="18"/>
              </w:rPr>
              <w:t xml:space="preserve">, </w:t>
            </w:r>
            <w:r w:rsidRPr="00FE5417">
              <w:rPr>
                <w:sz w:val="18"/>
                <w:szCs w:val="18"/>
              </w:rPr>
              <w:t>Territory</w:t>
            </w:r>
            <w:r w:rsidR="00415141">
              <w:rPr>
                <w:sz w:val="18"/>
                <w:szCs w:val="18"/>
              </w:rPr>
              <w:t xml:space="preserve"> and </w:t>
            </w:r>
            <w:r w:rsidRPr="00FE5417">
              <w:rPr>
                <w:sz w:val="18"/>
                <w:szCs w:val="18"/>
              </w:rPr>
              <w:t>National public hospital data to assist their decision making?</w:t>
            </w:r>
          </w:p>
        </w:tc>
      </w:tr>
    </w:tbl>
    <w:p w14:paraId="3A1F8FEE" w14:textId="77777777" w:rsidR="008B5789" w:rsidRDefault="008B5789" w:rsidP="008B5789"/>
    <w:p w14:paraId="19F53ACB" w14:textId="06926B00" w:rsidR="00C10DCD" w:rsidRDefault="009D31A7" w:rsidP="00C10DCD">
      <w:pPr>
        <w:pStyle w:val="Appendixheading"/>
      </w:pPr>
      <w:bookmarkStart w:id="419" w:name="_Ref148605884"/>
      <w:bookmarkStart w:id="420" w:name="_Toc148968364"/>
      <w:r w:rsidRPr="009D31A7">
        <w:t>Performance systems - Country comparisons</w:t>
      </w:r>
      <w:bookmarkEnd w:id="418"/>
      <w:bookmarkEnd w:id="419"/>
      <w:bookmarkEnd w:id="420"/>
    </w:p>
    <w:p w14:paraId="1565C41C" w14:textId="5F1F07ED" w:rsidR="00786DEF" w:rsidRPr="00A97309" w:rsidRDefault="00786DEF" w:rsidP="00C2024B">
      <w:pPr>
        <w:pStyle w:val="Caption"/>
      </w:pPr>
      <w:bookmarkStart w:id="421" w:name="_Toc148968378"/>
      <w:r w:rsidRPr="00A97309">
        <w:t xml:space="preserve">Table </w:t>
      </w:r>
      <w:r>
        <w:fldChar w:fldCharType="begin"/>
      </w:r>
      <w:r>
        <w:instrText xml:space="preserve"> SEQ Table \* ARABIC </w:instrText>
      </w:r>
      <w:r>
        <w:fldChar w:fldCharType="separate"/>
      </w:r>
      <w:r w:rsidR="003F5D51">
        <w:rPr>
          <w:noProof/>
        </w:rPr>
        <w:t>14</w:t>
      </w:r>
      <w:r>
        <w:rPr>
          <w:noProof/>
        </w:rPr>
        <w:fldChar w:fldCharType="end"/>
      </w:r>
      <w:r w:rsidRPr="00A97309">
        <w:t xml:space="preserve">: </w:t>
      </w:r>
      <w:r w:rsidR="005248A5" w:rsidRPr="005248A5">
        <w:t>Performance, Monitoring, and Improvement Systems</w:t>
      </w:r>
      <w:r w:rsidR="005248A5">
        <w:t xml:space="preserve"> – country comparisons</w:t>
      </w:r>
      <w:bookmarkEnd w:id="421"/>
    </w:p>
    <w:tbl>
      <w:tblPr>
        <w:tblStyle w:val="Deloittetable"/>
        <w:tblW w:w="5000" w:type="pct"/>
        <w:tblLook w:val="04A0" w:firstRow="1" w:lastRow="0" w:firstColumn="1" w:lastColumn="0" w:noHBand="0" w:noVBand="1"/>
      </w:tblPr>
      <w:tblGrid>
        <w:gridCol w:w="1016"/>
        <w:gridCol w:w="1962"/>
        <w:gridCol w:w="12420"/>
      </w:tblGrid>
      <w:tr w:rsidR="00B25012" w:rsidRPr="00B25012" w14:paraId="78F34AE1" w14:textId="77777777" w:rsidTr="00441179">
        <w:trPr>
          <w:cnfStyle w:val="100000000000" w:firstRow="1" w:lastRow="0" w:firstColumn="0" w:lastColumn="0" w:oddVBand="0" w:evenVBand="0" w:oddHBand="0" w:evenHBand="0" w:firstRowFirstColumn="0" w:firstRowLastColumn="0" w:lastRowFirstColumn="0" w:lastRowLastColumn="0"/>
          <w:tblHeader/>
        </w:trPr>
        <w:tc>
          <w:tcPr>
            <w:tcW w:w="330" w:type="pct"/>
            <w:tcBorders>
              <w:top w:val="single" w:sz="24" w:space="0" w:color="0097A9" w:themeColor="accent5"/>
              <w:bottom w:val="single" w:sz="8" w:space="0" w:color="D9D9D9"/>
            </w:tcBorders>
            <w:shd w:val="clear" w:color="auto" w:fill="F2F2F2" w:themeFill="background1" w:themeFillShade="F2"/>
          </w:tcPr>
          <w:p w14:paraId="7C21136D" w14:textId="0C188AC5" w:rsidR="00786DEF" w:rsidRPr="00B25012" w:rsidRDefault="005248A5">
            <w:pPr>
              <w:pStyle w:val="TableHeadingLeft"/>
              <w:spacing w:before="60" w:after="60" w:line="192" w:lineRule="auto"/>
              <w:rPr>
                <w:color w:val="00707E" w:themeColor="accent5" w:themeShade="BF"/>
                <w:sz w:val="18"/>
                <w:szCs w:val="18"/>
              </w:rPr>
            </w:pPr>
            <w:r w:rsidRPr="00B25012">
              <w:rPr>
                <w:color w:val="00707E" w:themeColor="accent5" w:themeShade="BF"/>
                <w:sz w:val="18"/>
                <w:szCs w:val="18"/>
              </w:rPr>
              <w:t>Country</w:t>
            </w:r>
          </w:p>
        </w:tc>
        <w:tc>
          <w:tcPr>
            <w:tcW w:w="637" w:type="pct"/>
            <w:tcBorders>
              <w:top w:val="single" w:sz="24" w:space="0" w:color="0097A9" w:themeColor="accent5"/>
              <w:bottom w:val="single" w:sz="8" w:space="0" w:color="D9D9D9"/>
            </w:tcBorders>
          </w:tcPr>
          <w:p w14:paraId="1BF331B7" w14:textId="515C3359" w:rsidR="00786DEF" w:rsidRPr="00B25012" w:rsidRDefault="005248A5">
            <w:pPr>
              <w:pStyle w:val="TableHeadingLeft"/>
              <w:spacing w:before="60" w:after="60" w:line="192" w:lineRule="auto"/>
              <w:rPr>
                <w:color w:val="00707E" w:themeColor="accent5" w:themeShade="BF"/>
                <w:sz w:val="18"/>
                <w:szCs w:val="18"/>
              </w:rPr>
            </w:pPr>
            <w:r w:rsidRPr="00B25012">
              <w:rPr>
                <w:color w:val="00707E" w:themeColor="accent5" w:themeShade="BF"/>
                <w:sz w:val="18"/>
                <w:szCs w:val="18"/>
              </w:rPr>
              <w:t xml:space="preserve">Health </w:t>
            </w:r>
            <w:r w:rsidR="00656CA9" w:rsidRPr="00B25012">
              <w:rPr>
                <w:color w:val="00707E" w:themeColor="accent5" w:themeShade="BF"/>
                <w:sz w:val="18"/>
                <w:szCs w:val="18"/>
              </w:rPr>
              <w:t>system summary</w:t>
            </w:r>
          </w:p>
        </w:tc>
        <w:tc>
          <w:tcPr>
            <w:tcW w:w="4033" w:type="pct"/>
            <w:tcBorders>
              <w:top w:val="single" w:sz="24" w:space="0" w:color="0097A9" w:themeColor="accent5"/>
              <w:bottom w:val="single" w:sz="8" w:space="0" w:color="D9D9D9"/>
            </w:tcBorders>
          </w:tcPr>
          <w:p w14:paraId="5BC6E95C" w14:textId="788E2806" w:rsidR="00786DEF" w:rsidRPr="00B25012" w:rsidRDefault="0081285A">
            <w:pPr>
              <w:pStyle w:val="TableHeadingLeft"/>
              <w:spacing w:before="60" w:after="60" w:line="192" w:lineRule="auto"/>
              <w:rPr>
                <w:color w:val="00707E" w:themeColor="accent5" w:themeShade="BF"/>
                <w:sz w:val="18"/>
                <w:szCs w:val="18"/>
              </w:rPr>
            </w:pPr>
            <w:r w:rsidRPr="00B25012">
              <w:rPr>
                <w:color w:val="00707E" w:themeColor="accent5" w:themeShade="BF"/>
                <w:sz w:val="18"/>
                <w:szCs w:val="18"/>
              </w:rPr>
              <w:t>Performance, Monitoring, and Improvement System</w:t>
            </w:r>
          </w:p>
        </w:tc>
      </w:tr>
      <w:tr w:rsidR="0081285A" w:rsidRPr="0081285A" w14:paraId="44F8990D" w14:textId="77777777" w:rsidTr="00441179">
        <w:tc>
          <w:tcPr>
            <w:tcW w:w="330" w:type="pct"/>
            <w:tcBorders>
              <w:top w:val="single" w:sz="8" w:space="0" w:color="D9D9D9"/>
              <w:bottom w:val="single" w:sz="4" w:space="0" w:color="D9D9D9" w:themeColor="background1" w:themeShade="D9"/>
            </w:tcBorders>
            <w:shd w:val="clear" w:color="auto" w:fill="F2F2F2" w:themeFill="background1" w:themeFillShade="F2"/>
            <w:hideMark/>
          </w:tcPr>
          <w:p w14:paraId="1A01C489" w14:textId="77777777" w:rsidR="0081285A" w:rsidRPr="0081285A" w:rsidRDefault="0081285A" w:rsidP="0081285A">
            <w:pPr>
              <w:pStyle w:val="TabletextLeft"/>
              <w:spacing w:before="60" w:after="60" w:line="192" w:lineRule="auto"/>
              <w:rPr>
                <w:sz w:val="18"/>
                <w:szCs w:val="18"/>
              </w:rPr>
            </w:pPr>
            <w:r w:rsidRPr="0081285A">
              <w:rPr>
                <w:sz w:val="18"/>
                <w:szCs w:val="18"/>
              </w:rPr>
              <w:t>Canada</w:t>
            </w:r>
          </w:p>
        </w:tc>
        <w:tc>
          <w:tcPr>
            <w:tcW w:w="637" w:type="pct"/>
            <w:tcBorders>
              <w:top w:val="single" w:sz="8" w:space="0" w:color="D9D9D9"/>
              <w:bottom w:val="single" w:sz="4" w:space="0" w:color="D9D9D9" w:themeColor="background1" w:themeShade="D9"/>
            </w:tcBorders>
            <w:hideMark/>
          </w:tcPr>
          <w:p w14:paraId="50DD7072" w14:textId="5FCF088D" w:rsidR="0081285A" w:rsidRPr="0081285A" w:rsidRDefault="0081285A" w:rsidP="0081285A">
            <w:pPr>
              <w:pStyle w:val="TabletextLeft"/>
              <w:spacing w:before="60" w:after="60" w:line="192" w:lineRule="auto"/>
              <w:rPr>
                <w:sz w:val="18"/>
                <w:szCs w:val="18"/>
              </w:rPr>
            </w:pPr>
            <w:r w:rsidRPr="0081285A">
              <w:rPr>
                <w:sz w:val="18"/>
                <w:szCs w:val="18"/>
              </w:rPr>
              <w:t>Universal, decentralised and publicly funded</w:t>
            </w:r>
            <w:r w:rsidR="00037DAE">
              <w:rPr>
                <w:sz w:val="18"/>
                <w:szCs w:val="18"/>
              </w:rPr>
              <w:t>.</w:t>
            </w:r>
          </w:p>
          <w:p w14:paraId="6E3A0696" w14:textId="20C17433" w:rsidR="0081285A" w:rsidRPr="0081285A" w:rsidRDefault="00441179" w:rsidP="0081285A">
            <w:pPr>
              <w:pStyle w:val="TabletextLeft"/>
              <w:spacing w:before="60" w:after="60" w:line="192" w:lineRule="auto"/>
              <w:rPr>
                <w:sz w:val="18"/>
                <w:szCs w:val="18"/>
              </w:rPr>
            </w:pPr>
            <w:r>
              <w:rPr>
                <w:sz w:val="18"/>
                <w:szCs w:val="18"/>
              </w:rPr>
              <w:t>(</w:t>
            </w:r>
            <w:r w:rsidR="0081285A" w:rsidRPr="0081285A">
              <w:rPr>
                <w:sz w:val="18"/>
                <w:szCs w:val="18"/>
              </w:rPr>
              <w:t>Note: There is also currently a national trend toward greater administrative centralisation</w:t>
            </w:r>
            <w:r>
              <w:rPr>
                <w:sz w:val="18"/>
                <w:szCs w:val="18"/>
              </w:rPr>
              <w:t>)</w:t>
            </w:r>
          </w:p>
        </w:tc>
        <w:tc>
          <w:tcPr>
            <w:tcW w:w="4033" w:type="pct"/>
            <w:tcBorders>
              <w:top w:val="single" w:sz="8" w:space="0" w:color="D9D9D9"/>
              <w:bottom w:val="single" w:sz="4" w:space="0" w:color="D9D9D9" w:themeColor="background1" w:themeShade="D9"/>
            </w:tcBorders>
            <w:hideMark/>
          </w:tcPr>
          <w:p w14:paraId="431BA313" w14:textId="77777777" w:rsidR="0081285A" w:rsidRPr="0081285A" w:rsidRDefault="0081285A" w:rsidP="0081285A">
            <w:pPr>
              <w:pStyle w:val="TabletextLeft"/>
              <w:spacing w:before="60" w:after="60" w:line="192" w:lineRule="auto"/>
              <w:rPr>
                <w:sz w:val="18"/>
                <w:szCs w:val="18"/>
              </w:rPr>
            </w:pPr>
            <w:r w:rsidRPr="0081285A">
              <w:rPr>
                <w:b/>
                <w:bCs/>
                <w:sz w:val="18"/>
                <w:szCs w:val="18"/>
              </w:rPr>
              <w:t>Performance indicators:</w:t>
            </w:r>
          </w:p>
          <w:p w14:paraId="7A4464D4" w14:textId="3AEC8062" w:rsidR="0081285A" w:rsidRPr="0081285A" w:rsidRDefault="0081285A" w:rsidP="001F5E8A">
            <w:pPr>
              <w:pStyle w:val="TabletextLeft"/>
              <w:spacing w:before="60" w:after="60" w:line="192" w:lineRule="auto"/>
              <w:rPr>
                <w:sz w:val="18"/>
                <w:szCs w:val="18"/>
              </w:rPr>
            </w:pPr>
            <w:r w:rsidRPr="0081285A">
              <w:rPr>
                <w:sz w:val="18"/>
                <w:szCs w:val="18"/>
              </w:rPr>
              <w:t>Continually evolves, Involving collaboration from the Canadian Institute for Health Information (CIHI), other agencies and representatives of other stakeholder groups.</w:t>
            </w:r>
            <w:r w:rsidR="001F5E8A">
              <w:rPr>
                <w:sz w:val="18"/>
                <w:szCs w:val="18"/>
              </w:rPr>
              <w:t xml:space="preserve"> </w:t>
            </w:r>
            <w:r w:rsidRPr="0081285A">
              <w:rPr>
                <w:sz w:val="18"/>
                <w:szCs w:val="18"/>
              </w:rPr>
              <w:t>CIHI has worked closely with the Federal-Provincial-Territorial governments to develop and publicly report on these performance indicators, thus there is some accountability to the public even if the agreements themselves are not transparent.</w:t>
            </w:r>
          </w:p>
          <w:p w14:paraId="2CDD17DF" w14:textId="77777777" w:rsidR="0081285A" w:rsidRPr="0081285A" w:rsidRDefault="0081285A" w:rsidP="0081285A">
            <w:pPr>
              <w:pStyle w:val="TabletextLeft"/>
              <w:spacing w:before="60" w:after="60" w:line="192" w:lineRule="auto"/>
              <w:rPr>
                <w:sz w:val="18"/>
                <w:szCs w:val="18"/>
              </w:rPr>
            </w:pPr>
            <w:r w:rsidRPr="0081285A">
              <w:rPr>
                <w:b/>
                <w:bCs/>
                <w:sz w:val="18"/>
                <w:szCs w:val="18"/>
              </w:rPr>
              <w:t>Reporting and Monitoring:</w:t>
            </w:r>
          </w:p>
          <w:p w14:paraId="38E98D6B" w14:textId="77777777" w:rsidR="0081285A" w:rsidRPr="0081285A" w:rsidRDefault="0081285A" w:rsidP="00A850C3">
            <w:pPr>
              <w:pStyle w:val="TabletextLeft"/>
              <w:numPr>
                <w:ilvl w:val="0"/>
                <w:numId w:val="31"/>
              </w:numPr>
              <w:tabs>
                <w:tab w:val="clear" w:pos="720"/>
                <w:tab w:val="num" w:pos="570"/>
              </w:tabs>
              <w:spacing w:before="60" w:line="192" w:lineRule="auto"/>
              <w:ind w:left="428" w:hanging="141"/>
              <w:rPr>
                <w:sz w:val="18"/>
                <w:szCs w:val="18"/>
              </w:rPr>
            </w:pPr>
            <w:r w:rsidRPr="0081285A">
              <w:rPr>
                <w:sz w:val="18"/>
                <w:szCs w:val="18"/>
              </w:rPr>
              <w:t xml:space="preserve">Many provinces have agencies responsible for producing health care system reports and for monitoring system performance e.g., Health Quality Ontario (HQO). </w:t>
            </w:r>
          </w:p>
          <w:p w14:paraId="72E31FAE" w14:textId="77777777" w:rsidR="0081285A" w:rsidRPr="0081285A" w:rsidRDefault="0081285A" w:rsidP="00A850C3">
            <w:pPr>
              <w:pStyle w:val="TabletextLeft"/>
              <w:numPr>
                <w:ilvl w:val="0"/>
                <w:numId w:val="31"/>
              </w:numPr>
              <w:tabs>
                <w:tab w:val="clear" w:pos="720"/>
                <w:tab w:val="num" w:pos="570"/>
              </w:tabs>
              <w:spacing w:before="60" w:line="192" w:lineRule="auto"/>
              <w:ind w:left="428" w:hanging="141"/>
              <w:rPr>
                <w:sz w:val="18"/>
                <w:szCs w:val="18"/>
              </w:rPr>
            </w:pPr>
            <w:r w:rsidRPr="0081285A">
              <w:rPr>
                <w:sz w:val="18"/>
                <w:szCs w:val="18"/>
              </w:rPr>
              <w:t>In addition, CIHI produces regular public reports on health system performance, including indicators of hospital and long-term care facility performance.</w:t>
            </w:r>
          </w:p>
          <w:p w14:paraId="0E433FF0" w14:textId="77777777" w:rsidR="0081285A" w:rsidRPr="0081285A" w:rsidRDefault="0081285A" w:rsidP="00A850C3">
            <w:pPr>
              <w:pStyle w:val="TabletextLeft"/>
              <w:numPr>
                <w:ilvl w:val="0"/>
                <w:numId w:val="31"/>
              </w:numPr>
              <w:tabs>
                <w:tab w:val="clear" w:pos="720"/>
                <w:tab w:val="num" w:pos="570"/>
              </w:tabs>
              <w:spacing w:before="60" w:line="192" w:lineRule="auto"/>
              <w:ind w:left="428" w:hanging="141"/>
              <w:rPr>
                <w:sz w:val="18"/>
                <w:szCs w:val="18"/>
              </w:rPr>
            </w:pPr>
            <w:r w:rsidRPr="0081285A">
              <w:rPr>
                <w:sz w:val="18"/>
                <w:szCs w:val="18"/>
              </w:rPr>
              <w:t>Healthcare Excellence Canada (HEC) was formed in October 2020, following the amalgamation of two pan-Canadian healthcare organisations – the former Canadian Foundation for Healthcare Improvement (CFHI) and the former Canadian Patient Safety Institute (CPSI). These legacy organisations each reported on the delivery of their outputs and outcomes, performance against accountability targets, and their progress toward strategic objectives on an annual basis.</w:t>
            </w:r>
          </w:p>
        </w:tc>
      </w:tr>
      <w:tr w:rsidR="003C7984" w:rsidRPr="00CC10C6" w14:paraId="3FA399ED" w14:textId="77777777" w:rsidTr="00441179">
        <w:tc>
          <w:tcPr>
            <w:tcW w:w="330" w:type="pct"/>
            <w:tcBorders>
              <w:top w:val="single" w:sz="4" w:space="0" w:color="D9D9D9" w:themeColor="background1" w:themeShade="D9"/>
              <w:bottom w:val="single" w:sz="4" w:space="0" w:color="D9D9D9" w:themeColor="background1" w:themeShade="D9"/>
            </w:tcBorders>
            <w:shd w:val="clear" w:color="auto" w:fill="F2F2F2" w:themeFill="background1" w:themeFillShade="F2"/>
            <w:hideMark/>
          </w:tcPr>
          <w:p w14:paraId="32798388" w14:textId="77777777" w:rsidR="00CC10C6" w:rsidRPr="00CC10C6" w:rsidRDefault="00CC10C6" w:rsidP="00CC10C6">
            <w:pPr>
              <w:pStyle w:val="TabletextLeft"/>
              <w:spacing w:before="60" w:after="60" w:line="192" w:lineRule="auto"/>
              <w:rPr>
                <w:sz w:val="18"/>
                <w:szCs w:val="18"/>
              </w:rPr>
            </w:pPr>
            <w:r w:rsidRPr="00CC10C6">
              <w:rPr>
                <w:sz w:val="18"/>
                <w:szCs w:val="18"/>
              </w:rPr>
              <w:t>UK – Spotlight on England</w:t>
            </w:r>
          </w:p>
        </w:tc>
        <w:tc>
          <w:tcPr>
            <w:tcW w:w="637" w:type="pct"/>
            <w:tcBorders>
              <w:top w:val="single" w:sz="4" w:space="0" w:color="D9D9D9" w:themeColor="background1" w:themeShade="D9"/>
              <w:bottom w:val="single" w:sz="4" w:space="0" w:color="D9D9D9" w:themeColor="background1" w:themeShade="D9"/>
            </w:tcBorders>
            <w:hideMark/>
          </w:tcPr>
          <w:p w14:paraId="7AB7B6AB" w14:textId="77777777" w:rsidR="00CC10C6" w:rsidRPr="00CC10C6" w:rsidRDefault="00CC10C6" w:rsidP="00CC10C6">
            <w:pPr>
              <w:pStyle w:val="TabletextLeft"/>
              <w:spacing w:before="60" w:after="60" w:line="192" w:lineRule="auto"/>
              <w:rPr>
                <w:sz w:val="18"/>
                <w:szCs w:val="18"/>
              </w:rPr>
            </w:pPr>
            <w:r w:rsidRPr="00CC10C6">
              <w:rPr>
                <w:sz w:val="18"/>
                <w:szCs w:val="18"/>
              </w:rPr>
              <w:t>Universal and highly centralised (although is undergoing some decentralisation)</w:t>
            </w:r>
          </w:p>
        </w:tc>
        <w:tc>
          <w:tcPr>
            <w:tcW w:w="4033" w:type="pct"/>
            <w:tcBorders>
              <w:top w:val="single" w:sz="4" w:space="0" w:color="D9D9D9" w:themeColor="background1" w:themeShade="D9"/>
              <w:bottom w:val="single" w:sz="4" w:space="0" w:color="D9D9D9" w:themeColor="background1" w:themeShade="D9"/>
            </w:tcBorders>
            <w:hideMark/>
          </w:tcPr>
          <w:p w14:paraId="74E7BC26" w14:textId="77777777" w:rsidR="00CC10C6" w:rsidRPr="00CC10C6" w:rsidRDefault="00CC10C6" w:rsidP="00CC10C6">
            <w:pPr>
              <w:pStyle w:val="TabletextLeft"/>
              <w:spacing w:before="60" w:after="60" w:line="192" w:lineRule="auto"/>
              <w:rPr>
                <w:sz w:val="18"/>
                <w:szCs w:val="18"/>
              </w:rPr>
            </w:pPr>
            <w:r w:rsidRPr="00CC10C6">
              <w:rPr>
                <w:b/>
                <w:bCs/>
                <w:sz w:val="18"/>
                <w:szCs w:val="18"/>
              </w:rPr>
              <w:t>Performance indicators:</w:t>
            </w:r>
          </w:p>
          <w:p w14:paraId="7929EBB9" w14:textId="77777777" w:rsidR="00CC10C6" w:rsidRPr="00CC10C6" w:rsidRDefault="00CC10C6" w:rsidP="00CC10C6">
            <w:pPr>
              <w:pStyle w:val="TabletextLeft"/>
              <w:spacing w:before="60" w:after="60" w:line="192" w:lineRule="auto"/>
              <w:rPr>
                <w:sz w:val="18"/>
                <w:szCs w:val="18"/>
              </w:rPr>
            </w:pPr>
            <w:r w:rsidRPr="00CC10C6">
              <w:rPr>
                <w:sz w:val="18"/>
                <w:szCs w:val="18"/>
              </w:rPr>
              <w:t>The National Institute for Health and Clinical Excellence (NICE) is responsible for managing the development process of clinical and public health indicator and also recommends whether the existing indicators should continue to be part of the frameworks. The indicators tend to be developed in a relatively open and transparent way, with input from individuals and stakeholder organisations.</w:t>
            </w:r>
          </w:p>
          <w:p w14:paraId="58450407" w14:textId="77777777" w:rsidR="00CC10C6" w:rsidRPr="00CC10C6" w:rsidRDefault="00CC10C6" w:rsidP="00CC10C6">
            <w:pPr>
              <w:pStyle w:val="TabletextLeft"/>
              <w:spacing w:before="60" w:after="60" w:line="192" w:lineRule="auto"/>
              <w:rPr>
                <w:sz w:val="18"/>
                <w:szCs w:val="18"/>
              </w:rPr>
            </w:pPr>
            <w:r w:rsidRPr="00CC10C6">
              <w:rPr>
                <w:b/>
                <w:bCs/>
                <w:sz w:val="18"/>
                <w:szCs w:val="18"/>
              </w:rPr>
              <w:t>Reporting and other:</w:t>
            </w:r>
          </w:p>
          <w:p w14:paraId="6AB86911" w14:textId="77777777" w:rsidR="00CC10C6" w:rsidRPr="00CC10C6" w:rsidRDefault="00CC10C6" w:rsidP="00CC10C6">
            <w:pPr>
              <w:pStyle w:val="TabletextLeft"/>
              <w:spacing w:before="60" w:after="60" w:line="192" w:lineRule="auto"/>
              <w:rPr>
                <w:sz w:val="18"/>
                <w:szCs w:val="18"/>
              </w:rPr>
            </w:pPr>
            <w:r w:rsidRPr="00CC10C6">
              <w:rPr>
                <w:sz w:val="18"/>
                <w:szCs w:val="18"/>
              </w:rPr>
              <w:t>The Care Quality Commission (CQC) is the regulator for all health and social care services in England and Monitor is the regulator for NHS foundation trusts. The Quality and Outcomes Framework provides general practices with financial incentives to improve quality.</w:t>
            </w:r>
          </w:p>
        </w:tc>
      </w:tr>
      <w:tr w:rsidR="003C7984" w:rsidRPr="00CC10C6" w14:paraId="7FD5B658" w14:textId="77777777" w:rsidTr="00441179">
        <w:tc>
          <w:tcPr>
            <w:tcW w:w="330" w:type="pct"/>
            <w:tcBorders>
              <w:top w:val="single" w:sz="4" w:space="0" w:color="D9D9D9" w:themeColor="background1" w:themeShade="D9"/>
              <w:bottom w:val="single" w:sz="4" w:space="0" w:color="D9D9D9" w:themeColor="background1" w:themeShade="D9"/>
            </w:tcBorders>
            <w:shd w:val="clear" w:color="auto" w:fill="F2F2F2" w:themeFill="background1" w:themeFillShade="F2"/>
            <w:hideMark/>
          </w:tcPr>
          <w:p w14:paraId="0254F065" w14:textId="77777777" w:rsidR="00CC10C6" w:rsidRPr="00CC10C6" w:rsidRDefault="00CC10C6" w:rsidP="00CC10C6">
            <w:pPr>
              <w:pStyle w:val="TabletextLeft"/>
              <w:spacing w:before="60" w:after="60" w:line="192" w:lineRule="auto"/>
              <w:rPr>
                <w:sz w:val="18"/>
                <w:szCs w:val="18"/>
              </w:rPr>
            </w:pPr>
            <w:r w:rsidRPr="00CC10C6">
              <w:rPr>
                <w:sz w:val="18"/>
                <w:szCs w:val="18"/>
              </w:rPr>
              <w:t>Denmark</w:t>
            </w:r>
          </w:p>
        </w:tc>
        <w:tc>
          <w:tcPr>
            <w:tcW w:w="637" w:type="pct"/>
            <w:tcBorders>
              <w:top w:val="single" w:sz="4" w:space="0" w:color="D9D9D9" w:themeColor="background1" w:themeShade="D9"/>
              <w:bottom w:val="single" w:sz="4" w:space="0" w:color="D9D9D9" w:themeColor="background1" w:themeShade="D9"/>
            </w:tcBorders>
            <w:hideMark/>
          </w:tcPr>
          <w:p w14:paraId="0F96F742" w14:textId="77777777" w:rsidR="00CC10C6" w:rsidRPr="00CC10C6" w:rsidRDefault="00CC10C6" w:rsidP="00CC10C6">
            <w:pPr>
              <w:pStyle w:val="TabletextLeft"/>
              <w:spacing w:before="60" w:after="60" w:line="192" w:lineRule="auto"/>
              <w:rPr>
                <w:sz w:val="18"/>
                <w:szCs w:val="18"/>
              </w:rPr>
            </w:pPr>
            <w:r w:rsidRPr="00CC10C6">
              <w:rPr>
                <w:sz w:val="18"/>
                <w:szCs w:val="18"/>
              </w:rPr>
              <w:t xml:space="preserve">Universal and decentralised </w:t>
            </w:r>
          </w:p>
          <w:p w14:paraId="4B4EEA65" w14:textId="77777777" w:rsidR="00CC10C6" w:rsidRPr="00CC10C6" w:rsidRDefault="00CC10C6" w:rsidP="00CC10C6">
            <w:pPr>
              <w:pStyle w:val="TabletextLeft"/>
              <w:spacing w:before="60" w:after="60" w:line="192" w:lineRule="auto"/>
              <w:rPr>
                <w:sz w:val="18"/>
                <w:szCs w:val="18"/>
              </w:rPr>
            </w:pPr>
            <w:r w:rsidRPr="00CC10C6">
              <w:rPr>
                <w:sz w:val="18"/>
                <w:szCs w:val="18"/>
              </w:rPr>
              <w:t xml:space="preserve">National Government provides Block Grants from tax revenues to the regions and municipalities </w:t>
            </w:r>
          </w:p>
        </w:tc>
        <w:tc>
          <w:tcPr>
            <w:tcW w:w="4033" w:type="pct"/>
            <w:tcBorders>
              <w:top w:val="single" w:sz="4" w:space="0" w:color="D9D9D9" w:themeColor="background1" w:themeShade="D9"/>
              <w:bottom w:val="single" w:sz="4" w:space="0" w:color="D9D9D9" w:themeColor="background1" w:themeShade="D9"/>
            </w:tcBorders>
            <w:hideMark/>
          </w:tcPr>
          <w:p w14:paraId="2D831263" w14:textId="77777777" w:rsidR="00CC10C6" w:rsidRPr="00CC10C6" w:rsidRDefault="00CC10C6" w:rsidP="00CC10C6">
            <w:pPr>
              <w:pStyle w:val="TabletextLeft"/>
              <w:spacing w:before="60" w:after="60" w:line="192" w:lineRule="auto"/>
              <w:rPr>
                <w:sz w:val="18"/>
                <w:szCs w:val="18"/>
              </w:rPr>
            </w:pPr>
            <w:r w:rsidRPr="00CC10C6">
              <w:rPr>
                <w:b/>
                <w:bCs/>
                <w:sz w:val="18"/>
                <w:szCs w:val="18"/>
              </w:rPr>
              <w:t xml:space="preserve">Performance Indicators: </w:t>
            </w:r>
          </w:p>
          <w:p w14:paraId="186536CF" w14:textId="77777777" w:rsidR="00CC10C6" w:rsidRPr="00CC10C6" w:rsidRDefault="00CC10C6" w:rsidP="00CC10C6">
            <w:pPr>
              <w:pStyle w:val="TabletextLeft"/>
              <w:spacing w:before="60" w:after="60" w:line="192" w:lineRule="auto"/>
              <w:rPr>
                <w:sz w:val="18"/>
                <w:szCs w:val="18"/>
              </w:rPr>
            </w:pPr>
            <w:r w:rsidRPr="00CC10C6">
              <w:rPr>
                <w:sz w:val="18"/>
                <w:szCs w:val="18"/>
              </w:rPr>
              <w:t xml:space="preserve">From 2015, a new system in which regions are responsible for developing schemes that enable them to meet eight national quality targets and related indicators replaced the Danish Healthcare Quality Program (2004-2015). Indicators of health care quality include not only clinical measures but also, increasingly, patient-reported experiences and outcomes. </w:t>
            </w:r>
          </w:p>
          <w:p w14:paraId="7DF46AAD" w14:textId="77777777" w:rsidR="00CC10C6" w:rsidRPr="00CC10C6" w:rsidRDefault="00CC10C6" w:rsidP="00CC10C6">
            <w:pPr>
              <w:pStyle w:val="TabletextLeft"/>
              <w:spacing w:before="60" w:after="60" w:line="192" w:lineRule="auto"/>
              <w:rPr>
                <w:sz w:val="18"/>
                <w:szCs w:val="18"/>
              </w:rPr>
            </w:pPr>
            <w:r w:rsidRPr="00CC10C6">
              <w:rPr>
                <w:b/>
                <w:bCs/>
                <w:sz w:val="18"/>
                <w:szCs w:val="18"/>
              </w:rPr>
              <w:t>Regulation and Monitoring:</w:t>
            </w:r>
          </w:p>
          <w:p w14:paraId="24AD79FE" w14:textId="77777777" w:rsidR="00CC10C6" w:rsidRPr="00CC10C6" w:rsidRDefault="00CC10C6" w:rsidP="00A850C3">
            <w:pPr>
              <w:pStyle w:val="TabletextLeft"/>
              <w:numPr>
                <w:ilvl w:val="0"/>
                <w:numId w:val="31"/>
              </w:numPr>
              <w:tabs>
                <w:tab w:val="clear" w:pos="720"/>
                <w:tab w:val="num" w:pos="570"/>
              </w:tabs>
              <w:spacing w:before="60" w:line="192" w:lineRule="auto"/>
              <w:ind w:left="428" w:hanging="141"/>
              <w:rPr>
                <w:sz w:val="18"/>
                <w:szCs w:val="18"/>
              </w:rPr>
            </w:pPr>
            <w:r w:rsidRPr="00CC10C6">
              <w:rPr>
                <w:sz w:val="18"/>
                <w:szCs w:val="18"/>
              </w:rPr>
              <w:t xml:space="preserve">The general regulation, planning, and supervision of health services, including overall cost-control mechanisms, take place at the national level through Parliament, the Ministry of Health and governmental agencies. </w:t>
            </w:r>
          </w:p>
          <w:p w14:paraId="2E2DC497" w14:textId="77777777" w:rsidR="00CC10C6" w:rsidRPr="00CC10C6" w:rsidRDefault="00CC10C6" w:rsidP="00A850C3">
            <w:pPr>
              <w:pStyle w:val="TabletextLeft"/>
              <w:numPr>
                <w:ilvl w:val="0"/>
                <w:numId w:val="31"/>
              </w:numPr>
              <w:tabs>
                <w:tab w:val="clear" w:pos="720"/>
                <w:tab w:val="num" w:pos="570"/>
              </w:tabs>
              <w:spacing w:before="60" w:line="192" w:lineRule="auto"/>
              <w:ind w:left="428" w:hanging="141"/>
              <w:rPr>
                <w:sz w:val="18"/>
                <w:szCs w:val="18"/>
              </w:rPr>
            </w:pPr>
            <w:r w:rsidRPr="00CC10C6">
              <w:rPr>
                <w:sz w:val="18"/>
                <w:szCs w:val="18"/>
              </w:rPr>
              <w:t xml:space="preserve">The Health Authority provides general monitoring and regulation of quality and words in close collaboration with representatives from medical societies. </w:t>
            </w:r>
          </w:p>
          <w:p w14:paraId="2CDB9AFD" w14:textId="77777777" w:rsidR="00CC10C6" w:rsidRPr="00CC10C6" w:rsidRDefault="00CC10C6" w:rsidP="00A850C3">
            <w:pPr>
              <w:pStyle w:val="TabletextLeft"/>
              <w:numPr>
                <w:ilvl w:val="0"/>
                <w:numId w:val="31"/>
              </w:numPr>
              <w:tabs>
                <w:tab w:val="clear" w:pos="720"/>
                <w:tab w:val="num" w:pos="570"/>
              </w:tabs>
              <w:spacing w:before="60" w:line="192" w:lineRule="auto"/>
              <w:ind w:left="428" w:hanging="141"/>
              <w:rPr>
                <w:sz w:val="18"/>
                <w:szCs w:val="18"/>
              </w:rPr>
            </w:pPr>
            <w:r w:rsidRPr="00CC10C6">
              <w:rPr>
                <w:sz w:val="18"/>
                <w:szCs w:val="18"/>
              </w:rPr>
              <w:t xml:space="preserve">Regional performance is monitored and published annually by the Ministry of Health. </w:t>
            </w:r>
          </w:p>
        </w:tc>
      </w:tr>
      <w:tr w:rsidR="00441179" w:rsidRPr="003C7984" w14:paraId="6A435465" w14:textId="77777777" w:rsidTr="00441179">
        <w:tc>
          <w:tcPr>
            <w:tcW w:w="330" w:type="pct"/>
            <w:tcBorders>
              <w:top w:val="single" w:sz="4" w:space="0" w:color="D9D9D9" w:themeColor="background1" w:themeShade="D9"/>
              <w:bottom w:val="single" w:sz="4" w:space="0" w:color="D9D9D9" w:themeColor="background1" w:themeShade="D9"/>
            </w:tcBorders>
            <w:shd w:val="clear" w:color="auto" w:fill="F2F2F2" w:themeFill="background1" w:themeFillShade="F2"/>
            <w:hideMark/>
          </w:tcPr>
          <w:p w14:paraId="52C807EB" w14:textId="77777777" w:rsidR="003C7984" w:rsidRPr="003C7984" w:rsidRDefault="003C7984" w:rsidP="003C7984">
            <w:pPr>
              <w:pStyle w:val="TabletextLeft"/>
              <w:spacing w:before="60" w:after="60" w:line="192" w:lineRule="auto"/>
              <w:rPr>
                <w:sz w:val="18"/>
                <w:szCs w:val="18"/>
              </w:rPr>
            </w:pPr>
            <w:r w:rsidRPr="003C7984">
              <w:rPr>
                <w:sz w:val="18"/>
                <w:szCs w:val="18"/>
              </w:rPr>
              <w:t>The Netherlands</w:t>
            </w:r>
          </w:p>
        </w:tc>
        <w:tc>
          <w:tcPr>
            <w:tcW w:w="637" w:type="pct"/>
            <w:tcBorders>
              <w:top w:val="single" w:sz="4" w:space="0" w:color="D9D9D9" w:themeColor="background1" w:themeShade="D9"/>
              <w:bottom w:val="single" w:sz="4" w:space="0" w:color="D9D9D9" w:themeColor="background1" w:themeShade="D9"/>
            </w:tcBorders>
            <w:hideMark/>
          </w:tcPr>
          <w:p w14:paraId="5EE4B250" w14:textId="77777777" w:rsidR="003C7984" w:rsidRPr="003C7984" w:rsidRDefault="003C7984" w:rsidP="003C7984">
            <w:pPr>
              <w:pStyle w:val="TabletextLeft"/>
              <w:spacing w:before="60" w:after="60" w:line="192" w:lineRule="auto"/>
              <w:rPr>
                <w:sz w:val="18"/>
                <w:szCs w:val="18"/>
              </w:rPr>
            </w:pPr>
            <w:r w:rsidRPr="003C7984">
              <w:rPr>
                <w:sz w:val="18"/>
                <w:szCs w:val="18"/>
              </w:rPr>
              <w:t xml:space="preserve">Universal coverage ensured – but merges both public and private insurance </w:t>
            </w:r>
          </w:p>
        </w:tc>
        <w:tc>
          <w:tcPr>
            <w:tcW w:w="4033" w:type="pct"/>
            <w:tcBorders>
              <w:top w:val="single" w:sz="4" w:space="0" w:color="D9D9D9" w:themeColor="background1" w:themeShade="D9"/>
              <w:bottom w:val="single" w:sz="4" w:space="0" w:color="D9D9D9" w:themeColor="background1" w:themeShade="D9"/>
            </w:tcBorders>
            <w:hideMark/>
          </w:tcPr>
          <w:p w14:paraId="06998F24" w14:textId="77777777" w:rsidR="003C7984" w:rsidRPr="003C7984" w:rsidRDefault="003C7984" w:rsidP="003C7984">
            <w:pPr>
              <w:pStyle w:val="TabletextLeft"/>
              <w:spacing w:before="60" w:after="60" w:line="192" w:lineRule="auto"/>
              <w:rPr>
                <w:sz w:val="18"/>
                <w:szCs w:val="18"/>
              </w:rPr>
            </w:pPr>
            <w:r w:rsidRPr="003C7984">
              <w:rPr>
                <w:b/>
                <w:bCs/>
                <w:sz w:val="18"/>
                <w:szCs w:val="18"/>
              </w:rPr>
              <w:t>Performance Indicators:</w:t>
            </w:r>
          </w:p>
          <w:p w14:paraId="4C151704" w14:textId="77777777" w:rsidR="003C7984" w:rsidRPr="003C7984" w:rsidRDefault="003C7984" w:rsidP="003C7984">
            <w:pPr>
              <w:pStyle w:val="TabletextLeft"/>
              <w:spacing w:before="60" w:after="60" w:line="192" w:lineRule="auto"/>
              <w:rPr>
                <w:sz w:val="18"/>
                <w:szCs w:val="18"/>
              </w:rPr>
            </w:pPr>
            <w:r w:rsidRPr="003C7984">
              <w:rPr>
                <w:sz w:val="18"/>
                <w:szCs w:val="18"/>
              </w:rPr>
              <w:t xml:space="preserve">In 2019, a key policy priority to develop reliable and meaningful quality indicators was established. </w:t>
            </w:r>
          </w:p>
          <w:p w14:paraId="6020E478" w14:textId="77777777" w:rsidR="003C7984" w:rsidRPr="003C7984" w:rsidRDefault="003C7984" w:rsidP="003C7984">
            <w:pPr>
              <w:pStyle w:val="TabletextLeft"/>
              <w:spacing w:before="60" w:after="60" w:line="192" w:lineRule="auto"/>
              <w:rPr>
                <w:sz w:val="18"/>
                <w:szCs w:val="18"/>
              </w:rPr>
            </w:pPr>
            <w:r w:rsidRPr="003C7984">
              <w:rPr>
                <w:b/>
                <w:bCs/>
                <w:sz w:val="18"/>
                <w:szCs w:val="18"/>
              </w:rPr>
              <w:t>Monitoring:</w:t>
            </w:r>
          </w:p>
          <w:p w14:paraId="68E9BEA3" w14:textId="77777777" w:rsidR="003C7984" w:rsidRPr="003C7984" w:rsidRDefault="003C7984" w:rsidP="003C7984">
            <w:pPr>
              <w:pStyle w:val="TabletextLeft"/>
              <w:spacing w:before="60" w:after="60" w:line="192" w:lineRule="auto"/>
              <w:rPr>
                <w:sz w:val="18"/>
                <w:szCs w:val="18"/>
              </w:rPr>
            </w:pPr>
            <w:r w:rsidRPr="003C7984">
              <w:rPr>
                <w:sz w:val="18"/>
                <w:szCs w:val="18"/>
              </w:rPr>
              <w:t>The Dutch Health Care Inspectorate is responsible for monitoring quality and safety. In 2014, the National Health Care Institute (NHCI) was established to further accelerate the process of quality improvement and evidence-based practice. As part of the NHCI, the National Quality Institute promotes quality measurement and transparency. Most quality assurance is carried out by providers, sometimes in close cooperation with patient and consumer organisations and insurer.</w:t>
            </w:r>
          </w:p>
        </w:tc>
      </w:tr>
      <w:tr w:rsidR="00441179" w:rsidRPr="003C7984" w14:paraId="5D8ADCC3" w14:textId="77777777" w:rsidTr="00441179">
        <w:tc>
          <w:tcPr>
            <w:tcW w:w="330" w:type="pct"/>
            <w:tcBorders>
              <w:top w:val="single" w:sz="4" w:space="0" w:color="D9D9D9" w:themeColor="background1" w:themeShade="D9"/>
              <w:bottom w:val="single" w:sz="4" w:space="0" w:color="D9D9D9" w:themeColor="background1" w:themeShade="D9"/>
            </w:tcBorders>
            <w:shd w:val="clear" w:color="auto" w:fill="F2F2F2" w:themeFill="background1" w:themeFillShade="F2"/>
            <w:hideMark/>
          </w:tcPr>
          <w:p w14:paraId="34099716" w14:textId="77777777" w:rsidR="003C7984" w:rsidRPr="003C7984" w:rsidRDefault="003C7984" w:rsidP="003C7984">
            <w:pPr>
              <w:pStyle w:val="TabletextLeft"/>
              <w:spacing w:before="60" w:after="60" w:line="192" w:lineRule="auto"/>
              <w:rPr>
                <w:sz w:val="18"/>
                <w:szCs w:val="18"/>
              </w:rPr>
            </w:pPr>
            <w:r w:rsidRPr="003C7984">
              <w:rPr>
                <w:sz w:val="18"/>
                <w:szCs w:val="18"/>
              </w:rPr>
              <w:t>New Zealand</w:t>
            </w:r>
          </w:p>
        </w:tc>
        <w:tc>
          <w:tcPr>
            <w:tcW w:w="637" w:type="pct"/>
            <w:tcBorders>
              <w:top w:val="single" w:sz="4" w:space="0" w:color="D9D9D9" w:themeColor="background1" w:themeShade="D9"/>
              <w:bottom w:val="single" w:sz="4" w:space="0" w:color="D9D9D9" w:themeColor="background1" w:themeShade="D9"/>
            </w:tcBorders>
            <w:hideMark/>
          </w:tcPr>
          <w:p w14:paraId="6EF5EC26" w14:textId="77777777" w:rsidR="003C7984" w:rsidRPr="003C7984" w:rsidRDefault="003C7984" w:rsidP="003C7984">
            <w:pPr>
              <w:pStyle w:val="TabletextLeft"/>
              <w:spacing w:before="60" w:after="60" w:line="192" w:lineRule="auto"/>
              <w:rPr>
                <w:sz w:val="18"/>
                <w:szCs w:val="18"/>
              </w:rPr>
            </w:pPr>
            <w:r w:rsidRPr="003C7984">
              <w:rPr>
                <w:sz w:val="18"/>
                <w:szCs w:val="18"/>
              </w:rPr>
              <w:t>Universal, predominantly publicly funded</w:t>
            </w:r>
          </w:p>
        </w:tc>
        <w:tc>
          <w:tcPr>
            <w:tcW w:w="4033" w:type="pct"/>
            <w:tcBorders>
              <w:top w:val="single" w:sz="4" w:space="0" w:color="D9D9D9" w:themeColor="background1" w:themeShade="D9"/>
              <w:bottom w:val="single" w:sz="4" w:space="0" w:color="D9D9D9" w:themeColor="background1" w:themeShade="D9"/>
            </w:tcBorders>
            <w:hideMark/>
          </w:tcPr>
          <w:p w14:paraId="6B7160BE" w14:textId="77777777" w:rsidR="003C7984" w:rsidRPr="003C7984" w:rsidRDefault="003C7984" w:rsidP="003C7984">
            <w:pPr>
              <w:pStyle w:val="TabletextLeft"/>
              <w:spacing w:before="60" w:after="60" w:line="192" w:lineRule="auto"/>
              <w:rPr>
                <w:sz w:val="18"/>
                <w:szCs w:val="18"/>
              </w:rPr>
            </w:pPr>
            <w:r w:rsidRPr="003C7984">
              <w:rPr>
                <w:b/>
                <w:bCs/>
                <w:sz w:val="18"/>
                <w:szCs w:val="18"/>
              </w:rPr>
              <w:t>Performance Indicators:</w:t>
            </w:r>
          </w:p>
          <w:p w14:paraId="77994B70" w14:textId="77777777" w:rsidR="003C7984" w:rsidRPr="003C7984" w:rsidRDefault="003C7984" w:rsidP="003C7984">
            <w:pPr>
              <w:pStyle w:val="TabletextLeft"/>
              <w:spacing w:before="60" w:after="60" w:line="192" w:lineRule="auto"/>
              <w:rPr>
                <w:sz w:val="18"/>
                <w:szCs w:val="18"/>
              </w:rPr>
            </w:pPr>
            <w:r w:rsidRPr="003C7984">
              <w:rPr>
                <w:sz w:val="18"/>
                <w:szCs w:val="18"/>
              </w:rPr>
              <w:t>Performance indicators were used in both PHC and secondary care to assess DHB and PHO performance against set targets.</w:t>
            </w:r>
          </w:p>
          <w:p w14:paraId="4EEFEF9D" w14:textId="77777777" w:rsidR="003C7984" w:rsidRPr="003C7984" w:rsidRDefault="003C7984" w:rsidP="003C7984">
            <w:pPr>
              <w:pStyle w:val="TabletextLeft"/>
              <w:spacing w:before="60" w:after="60" w:line="192" w:lineRule="auto"/>
              <w:rPr>
                <w:sz w:val="18"/>
                <w:szCs w:val="18"/>
              </w:rPr>
            </w:pPr>
            <w:r w:rsidRPr="003C7984">
              <w:rPr>
                <w:b/>
                <w:bCs/>
                <w:sz w:val="18"/>
                <w:szCs w:val="18"/>
              </w:rPr>
              <w:t>Monitoring mainly occurs at the national government level:</w:t>
            </w:r>
          </w:p>
          <w:p w14:paraId="4C1EEE2F" w14:textId="5A9DBCE1" w:rsidR="003C7984" w:rsidRPr="003C7984" w:rsidRDefault="003C7984" w:rsidP="00975698">
            <w:pPr>
              <w:pStyle w:val="TabletextLeft"/>
              <w:spacing w:before="60" w:line="192" w:lineRule="auto"/>
              <w:rPr>
                <w:sz w:val="18"/>
                <w:szCs w:val="18"/>
              </w:rPr>
            </w:pPr>
            <w:r w:rsidRPr="003C7984">
              <w:rPr>
                <w:sz w:val="18"/>
                <w:szCs w:val="18"/>
              </w:rPr>
              <w:t>Ministry monitors the performance of public hospitals and reports annually on the implementation of the New Zealand Health Strategy.</w:t>
            </w:r>
            <w:r w:rsidR="00975698">
              <w:rPr>
                <w:sz w:val="18"/>
                <w:szCs w:val="18"/>
              </w:rPr>
              <w:t xml:space="preserve"> </w:t>
            </w:r>
            <w:r w:rsidRPr="003C7984">
              <w:rPr>
                <w:sz w:val="18"/>
                <w:szCs w:val="18"/>
              </w:rPr>
              <w:t>Other national agencies have specific monitoring roles e.g., Maori or Nursing.</w:t>
            </w:r>
          </w:p>
          <w:p w14:paraId="59A46B3F" w14:textId="77777777" w:rsidR="003C7984" w:rsidRPr="003C7984" w:rsidRDefault="003C7984" w:rsidP="003C7984">
            <w:pPr>
              <w:pStyle w:val="TabletextLeft"/>
              <w:spacing w:before="60" w:after="60" w:line="192" w:lineRule="auto"/>
              <w:rPr>
                <w:sz w:val="18"/>
                <w:szCs w:val="18"/>
              </w:rPr>
            </w:pPr>
            <w:r w:rsidRPr="003C7984">
              <w:rPr>
                <w:sz w:val="18"/>
                <w:szCs w:val="18"/>
              </w:rPr>
              <w:t>Often, there is no clearly linked reporting on, or monitoring or evaluation of, strategies, and it is particularly difficult to identify the improvements in health and independence gained as a result of key strategies.</w:t>
            </w:r>
          </w:p>
          <w:p w14:paraId="13B3387D" w14:textId="77777777" w:rsidR="003C7984" w:rsidRPr="003C7984" w:rsidRDefault="003C7984" w:rsidP="003C7984">
            <w:pPr>
              <w:pStyle w:val="TabletextLeft"/>
              <w:spacing w:before="60" w:after="60" w:line="192" w:lineRule="auto"/>
              <w:rPr>
                <w:sz w:val="18"/>
                <w:szCs w:val="18"/>
              </w:rPr>
            </w:pPr>
            <w:r w:rsidRPr="003C7984">
              <w:rPr>
                <w:sz w:val="18"/>
                <w:szCs w:val="18"/>
              </w:rPr>
              <w:t>Inevitably, there are significant gaps in our understanding of how the system performs and there can be long delays in data being reported. Despite being recognized as a problem for many years, there is still no national PHC dataset, while data for community services also remains poor. These gaps make it difficult to form a comprehensive overview of the performance of the New Zealand health system. A particular challenge for the reformed health system will be the availability of data for localities initiatives</w:t>
            </w:r>
          </w:p>
        </w:tc>
      </w:tr>
      <w:tr w:rsidR="00441179" w:rsidRPr="003C7984" w14:paraId="14F38B7A" w14:textId="77777777" w:rsidTr="00441179">
        <w:tc>
          <w:tcPr>
            <w:tcW w:w="330" w:type="pct"/>
            <w:tcBorders>
              <w:top w:val="single" w:sz="4" w:space="0" w:color="D9D9D9" w:themeColor="background1" w:themeShade="D9"/>
              <w:bottom w:val="single" w:sz="4" w:space="0" w:color="D9D9D9" w:themeColor="background1" w:themeShade="D9"/>
            </w:tcBorders>
            <w:shd w:val="clear" w:color="auto" w:fill="F2F2F2" w:themeFill="background1" w:themeFillShade="F2"/>
            <w:hideMark/>
          </w:tcPr>
          <w:p w14:paraId="33441E60" w14:textId="77777777" w:rsidR="003C7984" w:rsidRPr="003C7984" w:rsidRDefault="003C7984" w:rsidP="003C7984">
            <w:pPr>
              <w:pStyle w:val="TabletextLeft"/>
              <w:spacing w:before="60" w:after="60" w:line="192" w:lineRule="auto"/>
              <w:rPr>
                <w:sz w:val="18"/>
                <w:szCs w:val="18"/>
              </w:rPr>
            </w:pPr>
            <w:r w:rsidRPr="003C7984">
              <w:rPr>
                <w:sz w:val="18"/>
                <w:szCs w:val="18"/>
              </w:rPr>
              <w:t>Germany</w:t>
            </w:r>
          </w:p>
        </w:tc>
        <w:tc>
          <w:tcPr>
            <w:tcW w:w="637" w:type="pct"/>
            <w:tcBorders>
              <w:top w:val="single" w:sz="4" w:space="0" w:color="D9D9D9" w:themeColor="background1" w:themeShade="D9"/>
              <w:bottom w:val="single" w:sz="4" w:space="0" w:color="D9D9D9" w:themeColor="background1" w:themeShade="D9"/>
            </w:tcBorders>
            <w:hideMark/>
          </w:tcPr>
          <w:p w14:paraId="574E142D" w14:textId="77777777" w:rsidR="003C7984" w:rsidRPr="003C7984" w:rsidRDefault="003C7984" w:rsidP="003C7984">
            <w:pPr>
              <w:pStyle w:val="TabletextLeft"/>
              <w:spacing w:before="60" w:after="60" w:line="192" w:lineRule="auto"/>
              <w:rPr>
                <w:sz w:val="18"/>
                <w:szCs w:val="18"/>
              </w:rPr>
            </w:pPr>
            <w:r w:rsidRPr="003C7984">
              <w:rPr>
                <w:sz w:val="18"/>
                <w:szCs w:val="18"/>
              </w:rPr>
              <w:t xml:space="preserve">Universal </w:t>
            </w:r>
          </w:p>
        </w:tc>
        <w:tc>
          <w:tcPr>
            <w:tcW w:w="4033" w:type="pct"/>
            <w:tcBorders>
              <w:top w:val="single" w:sz="4" w:space="0" w:color="D9D9D9" w:themeColor="background1" w:themeShade="D9"/>
              <w:bottom w:val="single" w:sz="4" w:space="0" w:color="D9D9D9" w:themeColor="background1" w:themeShade="D9"/>
            </w:tcBorders>
            <w:hideMark/>
          </w:tcPr>
          <w:p w14:paraId="6968F13D" w14:textId="77777777" w:rsidR="003C7984" w:rsidRPr="003C7984" w:rsidRDefault="003C7984" w:rsidP="003C7984">
            <w:pPr>
              <w:pStyle w:val="TabletextLeft"/>
              <w:spacing w:before="60" w:after="60" w:line="192" w:lineRule="auto"/>
              <w:rPr>
                <w:sz w:val="18"/>
                <w:szCs w:val="18"/>
              </w:rPr>
            </w:pPr>
            <w:r w:rsidRPr="003C7984">
              <w:rPr>
                <w:b/>
                <w:bCs/>
                <w:sz w:val="18"/>
                <w:szCs w:val="18"/>
              </w:rPr>
              <w:t xml:space="preserve">Reporting: </w:t>
            </w:r>
          </w:p>
          <w:p w14:paraId="79FBAAC4" w14:textId="77777777" w:rsidR="003C7984" w:rsidRPr="003C7984" w:rsidRDefault="003C7984" w:rsidP="003C7984">
            <w:pPr>
              <w:pStyle w:val="TabletextLeft"/>
              <w:spacing w:before="60" w:after="60" w:line="192" w:lineRule="auto"/>
              <w:rPr>
                <w:sz w:val="18"/>
                <w:szCs w:val="18"/>
              </w:rPr>
            </w:pPr>
            <w:r w:rsidRPr="003C7984">
              <w:rPr>
                <w:sz w:val="18"/>
                <w:szCs w:val="18"/>
              </w:rPr>
              <w:t>Federal Health Reporting (Gesundheitsberichterstattung, GBE) is carried out by the Robert Koch Institute (RKI) and the Federal Statistical Office, each focusing on different tasks in close consultation. Health reporting in Germany takes place at the federal, state and municipal level.</w:t>
            </w:r>
          </w:p>
          <w:p w14:paraId="46D319D6" w14:textId="77777777" w:rsidR="003C7984" w:rsidRPr="003C7984" w:rsidRDefault="003C7984" w:rsidP="00975698">
            <w:pPr>
              <w:pStyle w:val="TabletextLeft"/>
              <w:spacing w:before="60" w:line="192" w:lineRule="auto"/>
              <w:rPr>
                <w:sz w:val="18"/>
                <w:szCs w:val="18"/>
              </w:rPr>
            </w:pPr>
            <w:r w:rsidRPr="003C7984">
              <w:rPr>
                <w:sz w:val="18"/>
                <w:szCs w:val="18"/>
              </w:rPr>
              <w:t>Due to different legal foundations, differences in human and financial resources, and varying data availability, a heterogeneous picture of health reporting results between and within the different levels.</w:t>
            </w:r>
          </w:p>
          <w:p w14:paraId="2B9311AB" w14:textId="77777777" w:rsidR="003C7984" w:rsidRPr="003C7984" w:rsidRDefault="003C7984" w:rsidP="003C7984">
            <w:pPr>
              <w:pStyle w:val="TabletextLeft"/>
              <w:spacing w:before="60" w:after="60" w:line="192" w:lineRule="auto"/>
              <w:rPr>
                <w:sz w:val="18"/>
                <w:szCs w:val="18"/>
              </w:rPr>
            </w:pPr>
            <w:r w:rsidRPr="003C7984">
              <w:rPr>
                <w:b/>
                <w:bCs/>
                <w:sz w:val="18"/>
                <w:szCs w:val="18"/>
              </w:rPr>
              <w:t xml:space="preserve">Monitoring: </w:t>
            </w:r>
          </w:p>
          <w:p w14:paraId="44198851" w14:textId="77777777" w:rsidR="003C7984" w:rsidRPr="003C7984" w:rsidRDefault="003C7984" w:rsidP="003C7984">
            <w:pPr>
              <w:pStyle w:val="TabletextLeft"/>
              <w:spacing w:before="60" w:after="60" w:line="192" w:lineRule="auto"/>
              <w:rPr>
                <w:sz w:val="18"/>
                <w:szCs w:val="18"/>
              </w:rPr>
            </w:pPr>
            <w:r w:rsidRPr="003C7984">
              <w:rPr>
                <w:sz w:val="18"/>
                <w:szCs w:val="18"/>
              </w:rPr>
              <w:t>The RKI was officially charged with Health Monitoring by the Federal Ministry of Health in 2007.</w:t>
            </w:r>
          </w:p>
          <w:p w14:paraId="228F51EF" w14:textId="77777777" w:rsidR="003C7984" w:rsidRPr="003C7984" w:rsidRDefault="003C7984" w:rsidP="003C7984">
            <w:pPr>
              <w:pStyle w:val="TabletextLeft"/>
              <w:spacing w:before="60" w:after="60" w:line="192" w:lineRule="auto"/>
              <w:rPr>
                <w:sz w:val="18"/>
                <w:szCs w:val="18"/>
              </w:rPr>
            </w:pPr>
            <w:r w:rsidRPr="003C7984">
              <w:rPr>
                <w:sz w:val="18"/>
                <w:szCs w:val="18"/>
              </w:rPr>
              <w:t>The monitoring system includes three survey components that repeatedly provide comprehensive information on the population’s state of health and health behaviour, as well as on healthcare services in Germany.</w:t>
            </w:r>
          </w:p>
          <w:p w14:paraId="6F4714BD" w14:textId="77777777" w:rsidR="003C7984" w:rsidRPr="003C7984" w:rsidRDefault="003C7984" w:rsidP="003C7984">
            <w:pPr>
              <w:pStyle w:val="TabletextLeft"/>
              <w:spacing w:before="60" w:after="60" w:line="192" w:lineRule="auto"/>
              <w:rPr>
                <w:sz w:val="18"/>
                <w:szCs w:val="18"/>
              </w:rPr>
            </w:pPr>
            <w:r w:rsidRPr="003C7984">
              <w:rPr>
                <w:sz w:val="18"/>
                <w:szCs w:val="18"/>
              </w:rPr>
              <w:t>The Health Monitor (Gesundheitsmonitor) was a national initiative of not-for-profit organizations and sickness funds. To assess the performance of the health care system, it regularly conducted studies from the patient perspective. The Health Monitor, which last conducted a study in 2016, ceased to exist after 15 years. A comparable survey on health access has not been provided.</w:t>
            </w:r>
          </w:p>
        </w:tc>
      </w:tr>
      <w:tr w:rsidR="00441179" w:rsidRPr="00441179" w14:paraId="59D939C7" w14:textId="77777777" w:rsidTr="00441179">
        <w:tc>
          <w:tcPr>
            <w:tcW w:w="330" w:type="pct"/>
            <w:tcBorders>
              <w:top w:val="single" w:sz="4" w:space="0" w:color="D9D9D9" w:themeColor="background1" w:themeShade="D9"/>
              <w:bottom w:val="single" w:sz="4" w:space="0" w:color="D9D9D9" w:themeColor="background1" w:themeShade="D9"/>
            </w:tcBorders>
            <w:shd w:val="clear" w:color="auto" w:fill="F2F2F2" w:themeFill="background1" w:themeFillShade="F2"/>
            <w:hideMark/>
          </w:tcPr>
          <w:p w14:paraId="6AB472D7" w14:textId="77777777" w:rsidR="00441179" w:rsidRPr="00441179" w:rsidRDefault="00441179" w:rsidP="00441179">
            <w:pPr>
              <w:pStyle w:val="TabletextLeft"/>
              <w:spacing w:before="60" w:after="60" w:line="192" w:lineRule="auto"/>
              <w:rPr>
                <w:sz w:val="18"/>
                <w:szCs w:val="18"/>
              </w:rPr>
            </w:pPr>
            <w:r w:rsidRPr="00441179">
              <w:rPr>
                <w:sz w:val="18"/>
                <w:szCs w:val="18"/>
              </w:rPr>
              <w:t>Italy</w:t>
            </w:r>
          </w:p>
        </w:tc>
        <w:tc>
          <w:tcPr>
            <w:tcW w:w="637" w:type="pct"/>
            <w:tcBorders>
              <w:top w:val="single" w:sz="4" w:space="0" w:color="D9D9D9" w:themeColor="background1" w:themeShade="D9"/>
              <w:bottom w:val="single" w:sz="4" w:space="0" w:color="D9D9D9" w:themeColor="background1" w:themeShade="D9"/>
            </w:tcBorders>
            <w:hideMark/>
          </w:tcPr>
          <w:p w14:paraId="27A682C4" w14:textId="77777777" w:rsidR="00441179" w:rsidRPr="00441179" w:rsidRDefault="00441179" w:rsidP="00441179">
            <w:pPr>
              <w:pStyle w:val="TabletextLeft"/>
              <w:spacing w:before="60" w:after="60" w:line="192" w:lineRule="auto"/>
              <w:rPr>
                <w:sz w:val="18"/>
                <w:szCs w:val="18"/>
              </w:rPr>
            </w:pPr>
            <w:r w:rsidRPr="00441179">
              <w:rPr>
                <w:sz w:val="18"/>
                <w:szCs w:val="18"/>
              </w:rPr>
              <w:t xml:space="preserve">Highly decentralised </w:t>
            </w:r>
          </w:p>
        </w:tc>
        <w:tc>
          <w:tcPr>
            <w:tcW w:w="4033" w:type="pct"/>
            <w:tcBorders>
              <w:top w:val="single" w:sz="4" w:space="0" w:color="D9D9D9" w:themeColor="background1" w:themeShade="D9"/>
              <w:bottom w:val="single" w:sz="4" w:space="0" w:color="D9D9D9" w:themeColor="background1" w:themeShade="D9"/>
            </w:tcBorders>
            <w:hideMark/>
          </w:tcPr>
          <w:p w14:paraId="39F358D1" w14:textId="77777777" w:rsidR="00441179" w:rsidRPr="00441179" w:rsidRDefault="00441179" w:rsidP="00441179">
            <w:pPr>
              <w:pStyle w:val="TabletextLeft"/>
              <w:spacing w:before="60" w:after="60" w:line="192" w:lineRule="auto"/>
              <w:rPr>
                <w:sz w:val="18"/>
                <w:szCs w:val="18"/>
              </w:rPr>
            </w:pPr>
            <w:r w:rsidRPr="00441179">
              <w:rPr>
                <w:b/>
                <w:bCs/>
                <w:sz w:val="18"/>
                <w:szCs w:val="18"/>
              </w:rPr>
              <w:t>Monitoring:</w:t>
            </w:r>
          </w:p>
          <w:p w14:paraId="47A32BEF" w14:textId="77777777" w:rsidR="00441179" w:rsidRPr="00441179" w:rsidRDefault="00441179" w:rsidP="00441179">
            <w:pPr>
              <w:pStyle w:val="TabletextLeft"/>
              <w:spacing w:before="60" w:after="60" w:line="192" w:lineRule="auto"/>
              <w:rPr>
                <w:sz w:val="18"/>
                <w:szCs w:val="18"/>
              </w:rPr>
            </w:pPr>
            <w:r w:rsidRPr="00441179">
              <w:rPr>
                <w:sz w:val="18"/>
                <w:szCs w:val="18"/>
              </w:rPr>
              <w:t>Italy has now established a national system, called the called the New System of Guarantees (Nuovo Sistema di Garanzia) monitor the regions and their organizations with 88 indicators that are collected robustly and reliably.</w:t>
            </w:r>
          </w:p>
        </w:tc>
      </w:tr>
      <w:tr w:rsidR="00441179" w:rsidRPr="00441179" w14:paraId="0F28D730" w14:textId="77777777" w:rsidTr="00441179">
        <w:tc>
          <w:tcPr>
            <w:tcW w:w="330" w:type="pct"/>
            <w:tcBorders>
              <w:top w:val="single" w:sz="4" w:space="0" w:color="D9D9D9" w:themeColor="background1" w:themeShade="D9"/>
              <w:bottom w:val="single" w:sz="4" w:space="0" w:color="D9D9D9" w:themeColor="background1" w:themeShade="D9"/>
            </w:tcBorders>
            <w:shd w:val="clear" w:color="auto" w:fill="F2F2F2" w:themeFill="background1" w:themeFillShade="F2"/>
            <w:hideMark/>
          </w:tcPr>
          <w:p w14:paraId="7D8A6BD8" w14:textId="77777777" w:rsidR="00441179" w:rsidRPr="00441179" w:rsidRDefault="00441179" w:rsidP="00441179">
            <w:pPr>
              <w:pStyle w:val="TabletextLeft"/>
              <w:spacing w:before="60" w:after="60" w:line="192" w:lineRule="auto"/>
              <w:rPr>
                <w:sz w:val="18"/>
                <w:szCs w:val="18"/>
              </w:rPr>
            </w:pPr>
            <w:r w:rsidRPr="00441179">
              <w:rPr>
                <w:sz w:val="18"/>
                <w:szCs w:val="18"/>
              </w:rPr>
              <w:t>France</w:t>
            </w:r>
          </w:p>
        </w:tc>
        <w:tc>
          <w:tcPr>
            <w:tcW w:w="637" w:type="pct"/>
            <w:tcBorders>
              <w:top w:val="single" w:sz="4" w:space="0" w:color="D9D9D9" w:themeColor="background1" w:themeShade="D9"/>
              <w:bottom w:val="single" w:sz="4" w:space="0" w:color="D9D9D9" w:themeColor="background1" w:themeShade="D9"/>
            </w:tcBorders>
            <w:hideMark/>
          </w:tcPr>
          <w:p w14:paraId="42583488" w14:textId="77777777" w:rsidR="00441179" w:rsidRPr="00441179" w:rsidRDefault="00441179" w:rsidP="00441179">
            <w:pPr>
              <w:pStyle w:val="TabletextLeft"/>
              <w:spacing w:before="60" w:after="60" w:line="192" w:lineRule="auto"/>
              <w:rPr>
                <w:sz w:val="18"/>
                <w:szCs w:val="18"/>
              </w:rPr>
            </w:pPr>
            <w:r w:rsidRPr="00441179">
              <w:rPr>
                <w:sz w:val="18"/>
                <w:szCs w:val="18"/>
              </w:rPr>
              <w:t>Universal</w:t>
            </w:r>
          </w:p>
          <w:p w14:paraId="4CE41102" w14:textId="77777777" w:rsidR="00441179" w:rsidRPr="00441179" w:rsidRDefault="00441179" w:rsidP="00441179">
            <w:pPr>
              <w:pStyle w:val="TabletextLeft"/>
              <w:spacing w:before="60" w:after="60" w:line="192" w:lineRule="auto"/>
              <w:rPr>
                <w:sz w:val="18"/>
                <w:szCs w:val="18"/>
              </w:rPr>
            </w:pPr>
            <w:r w:rsidRPr="00441179">
              <w:rPr>
                <w:sz w:val="18"/>
                <w:szCs w:val="18"/>
              </w:rPr>
              <w:t>The governance of the health system is strongly centralised</w:t>
            </w:r>
          </w:p>
        </w:tc>
        <w:tc>
          <w:tcPr>
            <w:tcW w:w="4033" w:type="pct"/>
            <w:tcBorders>
              <w:top w:val="single" w:sz="4" w:space="0" w:color="D9D9D9" w:themeColor="background1" w:themeShade="D9"/>
              <w:bottom w:val="single" w:sz="4" w:space="0" w:color="D9D9D9" w:themeColor="background1" w:themeShade="D9"/>
            </w:tcBorders>
            <w:hideMark/>
          </w:tcPr>
          <w:p w14:paraId="646D5E21" w14:textId="77777777" w:rsidR="00441179" w:rsidRPr="00441179" w:rsidRDefault="00441179" w:rsidP="00441179">
            <w:pPr>
              <w:pStyle w:val="TabletextLeft"/>
              <w:spacing w:before="60" w:after="60" w:line="192" w:lineRule="auto"/>
              <w:rPr>
                <w:sz w:val="18"/>
                <w:szCs w:val="18"/>
              </w:rPr>
            </w:pPr>
            <w:r w:rsidRPr="00441179">
              <w:rPr>
                <w:b/>
                <w:bCs/>
                <w:sz w:val="18"/>
                <w:szCs w:val="18"/>
              </w:rPr>
              <w:t>Performance Indictors:</w:t>
            </w:r>
          </w:p>
          <w:p w14:paraId="52C1011D" w14:textId="77777777" w:rsidR="00441179" w:rsidRPr="00441179" w:rsidRDefault="00441179" w:rsidP="00441179">
            <w:pPr>
              <w:pStyle w:val="TabletextLeft"/>
              <w:spacing w:before="60" w:after="60" w:line="192" w:lineRule="auto"/>
              <w:rPr>
                <w:sz w:val="18"/>
                <w:szCs w:val="18"/>
              </w:rPr>
            </w:pPr>
            <w:r w:rsidRPr="00441179">
              <w:rPr>
                <w:sz w:val="18"/>
                <w:szCs w:val="18"/>
              </w:rPr>
              <w:t xml:space="preserve">CompaqH, a national program of performance indicators, also reports results on selected indicators. </w:t>
            </w:r>
          </w:p>
          <w:p w14:paraId="5154894E" w14:textId="77777777" w:rsidR="00441179" w:rsidRPr="00441179" w:rsidRDefault="00441179" w:rsidP="00441179">
            <w:pPr>
              <w:pStyle w:val="TabletextLeft"/>
              <w:spacing w:before="60" w:after="60" w:line="192" w:lineRule="auto"/>
              <w:rPr>
                <w:sz w:val="18"/>
                <w:szCs w:val="18"/>
              </w:rPr>
            </w:pPr>
            <w:r w:rsidRPr="00441179">
              <w:rPr>
                <w:b/>
                <w:bCs/>
                <w:sz w:val="18"/>
                <w:szCs w:val="18"/>
              </w:rPr>
              <w:t>Monitoring:</w:t>
            </w:r>
          </w:p>
          <w:p w14:paraId="33245206" w14:textId="77777777" w:rsidR="00441179" w:rsidRPr="00441179" w:rsidRDefault="00441179" w:rsidP="00441179">
            <w:pPr>
              <w:pStyle w:val="TabletextLeft"/>
              <w:spacing w:before="60" w:after="60" w:line="192" w:lineRule="auto"/>
              <w:rPr>
                <w:sz w:val="18"/>
                <w:szCs w:val="18"/>
              </w:rPr>
            </w:pPr>
            <w:r w:rsidRPr="00441179">
              <w:rPr>
                <w:sz w:val="18"/>
                <w:szCs w:val="18"/>
              </w:rPr>
              <w:t xml:space="preserve">Quality assurance and risk management in hospitals are monitored nationally by the Ministry of Social Affairs, Health, and Women’s Rights, which posts hospital-acquired infection rates and other information online. </w:t>
            </w:r>
          </w:p>
          <w:p w14:paraId="1DD1A80E" w14:textId="42A4C024" w:rsidR="00441179" w:rsidRPr="00441179" w:rsidRDefault="00441179" w:rsidP="006205AD">
            <w:pPr>
              <w:pStyle w:val="TabletextLeft"/>
              <w:spacing w:before="60" w:after="60" w:line="192" w:lineRule="auto"/>
              <w:rPr>
                <w:sz w:val="18"/>
                <w:szCs w:val="18"/>
              </w:rPr>
            </w:pPr>
            <w:r w:rsidRPr="00441179">
              <w:rPr>
                <w:sz w:val="18"/>
                <w:szCs w:val="18"/>
              </w:rPr>
              <w:t>H</w:t>
            </w:r>
            <w:r w:rsidR="006205AD">
              <w:rPr>
                <w:sz w:val="18"/>
                <w:szCs w:val="18"/>
              </w:rPr>
              <w:t>owever, t</w:t>
            </w:r>
            <w:r w:rsidRPr="00441179">
              <w:rPr>
                <w:sz w:val="18"/>
                <w:szCs w:val="18"/>
              </w:rPr>
              <w:t>he absence of a national health system performance assessment framework to monitor and evaluate health system performance in France reduces the capacity to identify problem areas as well as good practices to promote policies aiming to improve care quality and efficiency.</w:t>
            </w:r>
          </w:p>
        </w:tc>
      </w:tr>
      <w:bookmarkEnd w:id="386"/>
      <w:bookmarkEnd w:id="387"/>
      <w:bookmarkEnd w:id="388"/>
      <w:bookmarkEnd w:id="389"/>
      <w:bookmarkEnd w:id="390"/>
    </w:tbl>
    <w:p w14:paraId="1EB0BDD3" w14:textId="77777777" w:rsidR="007629C6" w:rsidRPr="00C0090D" w:rsidRDefault="007629C6" w:rsidP="00BC7219"/>
    <w:sectPr w:rsidR="007629C6" w:rsidRPr="00C0090D" w:rsidSect="00BC7219">
      <w:type w:val="continuous"/>
      <w:pgSz w:w="16838" w:h="11906" w:orient="landscape" w:code="9"/>
      <w:pgMar w:top="1276" w:right="720" w:bottom="720" w:left="720" w:header="680" w:footer="425"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31062" w14:textId="77777777" w:rsidR="00DA77F5" w:rsidRDefault="00DA77F5" w:rsidP="00D50025"/>
  </w:endnote>
  <w:endnote w:type="continuationSeparator" w:id="0">
    <w:p w14:paraId="4C5C8DDA" w14:textId="77777777" w:rsidR="00DA77F5" w:rsidRDefault="00DA77F5" w:rsidP="00D50025">
      <w:r>
        <w:continuationSeparator/>
      </w:r>
    </w:p>
  </w:endnote>
  <w:endnote w:type="continuationNotice" w:id="1">
    <w:p w14:paraId="35DA4ACF" w14:textId="77777777" w:rsidR="00DA77F5" w:rsidRDefault="00DA77F5" w:rsidP="00D500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otham Bold">
    <w:altName w:val="Times New Roman"/>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SansRegular">
    <w:altName w:val="Calibri"/>
    <w:charset w:val="00"/>
    <w:family w:val="swiss"/>
    <w:pitch w:val="variable"/>
    <w:sig w:usb0="E00002EF" w:usb1="4000205B" w:usb2="00000028"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421D6" w14:textId="4D91F148" w:rsidR="00CF5D62" w:rsidRDefault="00CF5D62">
    <w:pPr>
      <w:pStyle w:val="Footer"/>
    </w:pPr>
  </w:p>
  <w:p w14:paraId="38B2F6F7" w14:textId="77777777" w:rsidR="00287EE3" w:rsidRDefault="00287E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EFA07" w14:textId="7B23A0CD" w:rsidR="00137F51" w:rsidRPr="00FD7D79" w:rsidRDefault="00BF4495" w:rsidP="00FD7D79">
    <w:pPr>
      <w:pStyle w:val="Footer"/>
    </w:pPr>
    <w:r>
      <w:rPr>
        <w:rStyle w:val="PageNumber"/>
        <w:rFonts w:ascii="OpenSansRegular" w:hAnsi="OpenSansRegular" w:cs="OpenSansRegular"/>
      </w:rPr>
      <w:fldChar w:fldCharType="begin"/>
    </w:r>
    <w:r>
      <w:rPr>
        <w:rStyle w:val="PageNumber"/>
        <w:rFonts w:ascii="OpenSansRegular" w:hAnsi="OpenSansRegular" w:cs="OpenSansRegular"/>
      </w:rPr>
      <w:instrText xml:space="preserve"> PAGE  \* roman </w:instrText>
    </w:r>
    <w:r>
      <w:rPr>
        <w:rStyle w:val="PageNumber"/>
        <w:rFonts w:ascii="OpenSansRegular" w:hAnsi="OpenSansRegular" w:cs="OpenSansRegular"/>
      </w:rPr>
      <w:fldChar w:fldCharType="separate"/>
    </w:r>
    <w:r>
      <w:rPr>
        <w:rStyle w:val="PageNumber"/>
        <w:rFonts w:ascii="OpenSansRegular" w:hAnsi="OpenSansRegular" w:cs="OpenSansRegular"/>
        <w:noProof/>
      </w:rPr>
      <w:t>ii</w:t>
    </w:r>
    <w:r>
      <w:rPr>
        <w:rStyle w:val="PageNumber"/>
        <w:rFonts w:ascii="OpenSansRegular" w:hAnsi="OpenSansRegular" w:cs="OpenSansRegula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88460" w14:textId="38B55C2C" w:rsidR="00137F51" w:rsidRDefault="00F935CD" w:rsidP="00F935CD">
    <w:pPr>
      <w:pStyle w:val="Footer"/>
      <w:spacing w:line="240" w:lineRule="auto"/>
      <w:jc w:val="right"/>
      <w:rPr>
        <w:rStyle w:val="PageNumber"/>
        <w:rFonts w:ascii="OpenSansRegular" w:hAnsi="OpenSansRegular" w:cs="OpenSansRegular"/>
      </w:rPr>
    </w:pPr>
    <w:r>
      <w:rPr>
        <w:rStyle w:val="PageNumber"/>
        <w:rFonts w:ascii="OpenSansRegular" w:hAnsi="OpenSansRegular" w:cs="OpenSansRegular"/>
      </w:rPr>
      <w:fldChar w:fldCharType="begin"/>
    </w:r>
    <w:r>
      <w:rPr>
        <w:rStyle w:val="PageNumber"/>
        <w:rFonts w:ascii="OpenSansRegular" w:hAnsi="OpenSansRegular" w:cs="OpenSansRegular"/>
      </w:rPr>
      <w:instrText xml:space="preserve"> PAGE  \* Arabic </w:instrText>
    </w:r>
    <w:r>
      <w:rPr>
        <w:rStyle w:val="PageNumber"/>
        <w:rFonts w:ascii="OpenSansRegular" w:hAnsi="OpenSansRegular" w:cs="OpenSansRegular"/>
      </w:rPr>
      <w:fldChar w:fldCharType="separate"/>
    </w:r>
    <w:r>
      <w:rPr>
        <w:rStyle w:val="PageNumber"/>
        <w:rFonts w:ascii="OpenSansRegular" w:hAnsi="OpenSansRegular" w:cs="OpenSansRegular"/>
        <w:noProof/>
      </w:rPr>
      <w:t>19</w:t>
    </w:r>
    <w:r>
      <w:rPr>
        <w:rStyle w:val="PageNumber"/>
        <w:rFonts w:ascii="OpenSansRegular" w:hAnsi="OpenSansRegular" w:cs="OpenSansRegular"/>
      </w:rPr>
      <w:fldChar w:fldCharType="end"/>
    </w:r>
  </w:p>
  <w:p w14:paraId="0776046B" w14:textId="6168C6B0" w:rsidR="00137F51" w:rsidRPr="00F935CD" w:rsidRDefault="00F935CD" w:rsidP="00F935CD">
    <w:pPr>
      <w:pStyle w:val="Footer"/>
      <w:spacing w:line="240" w:lineRule="auto"/>
      <w:rPr>
        <w:rFonts w:ascii="OpenSansRegular" w:hAnsi="OpenSansRegular" w:cs="OpenSansRegular"/>
      </w:rPr>
    </w:pPr>
    <w:r w:rsidRPr="00173863">
      <w:rPr>
        <w:rStyle w:val="PageNumber"/>
        <w:rFonts w:ascii="OpenSansRegular" w:hAnsi="OpenSansRegular" w:cs="OpenSansRegular"/>
      </w:rPr>
      <w:t>Mid-Term Review of the National Health Reform Agreement Addendum 2020-2025 –</w:t>
    </w:r>
    <w:r w:rsidR="008E78BC">
      <w:rPr>
        <w:rStyle w:val="PageNumber"/>
        <w:rFonts w:ascii="OpenSansRegular" w:hAnsi="OpenSansRegular" w:cs="OpenSansRegular"/>
      </w:rPr>
      <w:t xml:space="preserve"> </w:t>
    </w:r>
    <w:r w:rsidR="00183F62">
      <w:rPr>
        <w:rStyle w:val="PageNumber"/>
        <w:rFonts w:ascii="OpenSansRegular" w:hAnsi="OpenSansRegular" w:cs="OpenSansRegular"/>
      </w:rPr>
      <w:t xml:space="preserve">Final </w:t>
    </w:r>
    <w:r w:rsidRPr="00173863">
      <w:rPr>
        <w:rStyle w:val="PageNumber"/>
        <w:rFonts w:ascii="OpenSansRegular" w:hAnsi="OpenSansRegular" w:cs="OpenSansRegular"/>
      </w:rPr>
      <w:t>Report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20615" w14:textId="3366E1D0" w:rsidR="00B87F9F" w:rsidRDefault="00B87F9F" w:rsidP="00173863">
    <w:pPr>
      <w:pStyle w:val="Footer"/>
      <w:spacing w:line="240" w:lineRule="auto"/>
      <w:jc w:val="right"/>
      <w:rPr>
        <w:rStyle w:val="PageNumber"/>
        <w:rFonts w:ascii="OpenSansRegular" w:hAnsi="OpenSansRegular" w:cs="OpenSansRegular"/>
      </w:rPr>
    </w:pPr>
    <w:r w:rsidRPr="00C0090D">
      <w:rPr>
        <w:rStyle w:val="PageNumber"/>
        <w:rFonts w:ascii="OpenSansRegular" w:hAnsi="OpenSansRegular" w:cs="OpenSansRegular"/>
      </w:rPr>
      <w:fldChar w:fldCharType="begin"/>
    </w:r>
    <w:r w:rsidRPr="00C0090D">
      <w:rPr>
        <w:rStyle w:val="PageNumber"/>
        <w:rFonts w:ascii="OpenSansRegular" w:hAnsi="OpenSansRegular" w:cs="OpenSansRegular"/>
      </w:rPr>
      <w:instrText xml:space="preserve"> PAGE </w:instrText>
    </w:r>
    <w:r w:rsidRPr="00C0090D">
      <w:rPr>
        <w:rStyle w:val="PageNumber"/>
        <w:rFonts w:ascii="OpenSansRegular" w:hAnsi="OpenSansRegular" w:cs="OpenSansRegular"/>
      </w:rPr>
      <w:fldChar w:fldCharType="separate"/>
    </w:r>
    <w:r w:rsidRPr="00C0090D">
      <w:rPr>
        <w:rStyle w:val="PageNumber"/>
        <w:rFonts w:ascii="OpenSansRegular" w:hAnsi="OpenSansRegular" w:cs="OpenSansRegular"/>
        <w:noProof/>
      </w:rPr>
      <w:t>9</w:t>
    </w:r>
    <w:r w:rsidRPr="00C0090D">
      <w:rPr>
        <w:rStyle w:val="PageNumber"/>
        <w:rFonts w:ascii="OpenSansRegular" w:hAnsi="OpenSansRegular" w:cs="OpenSansRegular"/>
      </w:rPr>
      <w:fldChar w:fldCharType="end"/>
    </w:r>
  </w:p>
  <w:p w14:paraId="05CFDF22" w14:textId="758B68DE" w:rsidR="00B87F9F" w:rsidRDefault="00173863" w:rsidP="00173863">
    <w:pPr>
      <w:pStyle w:val="Footer"/>
      <w:spacing w:line="240" w:lineRule="auto"/>
      <w:rPr>
        <w:rStyle w:val="PageNumber"/>
        <w:rFonts w:ascii="OpenSansRegular" w:hAnsi="OpenSansRegular" w:cs="OpenSansRegular"/>
      </w:rPr>
    </w:pPr>
    <w:r w:rsidRPr="00173863">
      <w:rPr>
        <w:rStyle w:val="PageNumber"/>
        <w:rFonts w:ascii="OpenSansRegular" w:hAnsi="OpenSansRegular" w:cs="OpenSansRegular"/>
      </w:rPr>
      <w:t>Mid-Term Review of the National Health Reform Agreement Addendum 2020-2025 –</w:t>
    </w:r>
    <w:r w:rsidR="008E78BC">
      <w:rPr>
        <w:rStyle w:val="PageNumber"/>
        <w:rFonts w:ascii="OpenSansRegular" w:hAnsi="OpenSansRegular" w:cs="OpenSansRegular"/>
      </w:rPr>
      <w:t xml:space="preserve"> </w:t>
    </w:r>
    <w:r w:rsidR="00E34A7C">
      <w:rPr>
        <w:rStyle w:val="PageNumber"/>
        <w:rFonts w:ascii="OpenSansRegular" w:hAnsi="OpenSansRegular" w:cs="OpenSansRegular"/>
      </w:rPr>
      <w:t>Final</w:t>
    </w:r>
    <w:r w:rsidRPr="00173863">
      <w:rPr>
        <w:rStyle w:val="PageNumber"/>
        <w:rFonts w:ascii="OpenSansRegular" w:hAnsi="OpenSansRegular" w:cs="OpenSansRegular"/>
      </w:rPr>
      <w:t xml:space="preserve">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EA83C" w14:textId="77777777" w:rsidR="00DA77F5" w:rsidRDefault="00DA77F5" w:rsidP="00D50025">
      <w:r>
        <w:separator/>
      </w:r>
    </w:p>
  </w:footnote>
  <w:footnote w:type="continuationSeparator" w:id="0">
    <w:p w14:paraId="16DA5483" w14:textId="77777777" w:rsidR="00DA77F5" w:rsidRDefault="00DA77F5" w:rsidP="00D50025">
      <w:r>
        <w:continuationSeparator/>
      </w:r>
    </w:p>
  </w:footnote>
  <w:footnote w:type="continuationNotice" w:id="1">
    <w:p w14:paraId="127CD497" w14:textId="77777777" w:rsidR="00DA77F5" w:rsidRDefault="00DA77F5" w:rsidP="00D50025"/>
  </w:footnote>
  <w:footnote w:id="2">
    <w:p w14:paraId="67FFFE78" w14:textId="3E4965F4" w:rsidR="002333C7" w:rsidRDefault="002333C7">
      <w:pPr>
        <w:pStyle w:val="FootnoteText"/>
      </w:pPr>
      <w:r>
        <w:rPr>
          <w:rStyle w:val="FootnoteReference"/>
        </w:rPr>
        <w:footnoteRef/>
      </w:r>
      <w:r>
        <w:t xml:space="preserve"> The </w:t>
      </w:r>
      <w:r w:rsidR="00ED595D">
        <w:t>RIG</w:t>
      </w:r>
      <w:r>
        <w:t xml:space="preserve"> </w:t>
      </w:r>
      <w:r w:rsidR="00B42C87">
        <w:t>oversees NHRA reform implementation</w:t>
      </w:r>
      <w:r w:rsidR="00412E57">
        <w:t xml:space="preserve"> and reports to the HCEF. RIG members are health department deputies from the Commonwealth and each State and Territory, with responsibility for system performance and strategy</w:t>
      </w:r>
      <w:r>
        <w:t>.</w:t>
      </w:r>
    </w:p>
  </w:footnote>
  <w:footnote w:id="3">
    <w:p w14:paraId="675EA01C" w14:textId="76447B33" w:rsidR="000B36F1" w:rsidRDefault="000B36F1" w:rsidP="008A7474">
      <w:pPr>
        <w:pStyle w:val="FootnoteText"/>
        <w:spacing w:after="60" w:line="216" w:lineRule="auto"/>
      </w:pPr>
      <w:r>
        <w:rPr>
          <w:rStyle w:val="FootnoteReference"/>
        </w:rPr>
        <w:footnoteRef/>
      </w:r>
      <w:r>
        <w:t xml:space="preserve"> </w:t>
      </w:r>
      <w:r w:rsidR="00B75E83">
        <w:t>Administrator National Health Funding Pool</w:t>
      </w:r>
      <w:r w:rsidR="00894F29">
        <w:t xml:space="preserve">. National Health Funding Pool Annual Report, 2022. Available from: </w:t>
      </w:r>
      <w:hyperlink r:id="rId1" w:history="1">
        <w:r w:rsidR="00894F29" w:rsidRPr="00694022">
          <w:rPr>
            <w:rStyle w:val="Hyperlink"/>
            <w:color w:val="0E57FC" w:themeColor="accent4" w:themeTint="99"/>
          </w:rPr>
          <w:t>https://www.publichospitalfunding.gov.au/sites/default/files/images/documents/nhfp_annual_report_2021-22.pdf</w:t>
        </w:r>
      </w:hyperlink>
      <w:r>
        <w:t>, page 35</w:t>
      </w:r>
    </w:p>
  </w:footnote>
  <w:footnote w:id="4">
    <w:p w14:paraId="5D34225F" w14:textId="1897D423" w:rsidR="006F1E56" w:rsidRDefault="006F1E56" w:rsidP="008A7474">
      <w:pPr>
        <w:pStyle w:val="FootnoteText"/>
        <w:spacing w:after="60" w:line="216" w:lineRule="auto"/>
      </w:pPr>
      <w:r>
        <w:rPr>
          <w:rStyle w:val="FootnoteReference"/>
        </w:rPr>
        <w:footnoteRef/>
      </w:r>
      <w:r>
        <w:t xml:space="preserve"> </w:t>
      </w:r>
      <w:r w:rsidR="00894F29">
        <w:t>Administrator National Health Funding Pool. Annual Report</w:t>
      </w:r>
      <w:r w:rsidR="00B66739">
        <w:t xml:space="preserve"> 2021-22 Maintenance of Effort</w:t>
      </w:r>
      <w:r w:rsidR="00894F29">
        <w:t xml:space="preserve">, 2022. Available from: </w:t>
      </w:r>
      <w:hyperlink r:id="rId2" w:history="1">
        <w:r w:rsidR="00894F29" w:rsidRPr="00694022">
          <w:rPr>
            <w:rStyle w:val="Hyperlink"/>
            <w:color w:val="0E57FC" w:themeColor="accent4" w:themeTint="99"/>
          </w:rPr>
          <w:t>https://www.publichospitalfunding.gov.au/publications/annual-report-2021-22-maintenance-effort</w:t>
        </w:r>
      </w:hyperlink>
      <w:r w:rsidR="00915F17" w:rsidRPr="00694022">
        <w:rPr>
          <w:color w:val="0E57FC" w:themeColor="accent4" w:themeTint="99"/>
        </w:rPr>
        <w:t xml:space="preserve"> </w:t>
      </w:r>
    </w:p>
  </w:footnote>
  <w:footnote w:id="5">
    <w:p w14:paraId="018E0AF6" w14:textId="6A3A610B" w:rsidR="00AD6FA4" w:rsidRDefault="00AD6FA4">
      <w:pPr>
        <w:pStyle w:val="FootnoteText"/>
      </w:pPr>
      <w:r>
        <w:rPr>
          <w:rStyle w:val="FootnoteReference"/>
        </w:rPr>
        <w:footnoteRef/>
      </w:r>
      <w:r>
        <w:t xml:space="preserve"> </w:t>
      </w:r>
      <w:r w:rsidR="003C3736">
        <w:t xml:space="preserve">Administrator National Health Funding Pool. National Health Funding Pool Annual Report, 2022. Available from: </w:t>
      </w:r>
      <w:hyperlink r:id="rId3" w:history="1">
        <w:r w:rsidR="003C3736" w:rsidRPr="00694022">
          <w:rPr>
            <w:rStyle w:val="Hyperlink"/>
            <w:color w:val="0E57FC" w:themeColor="accent4" w:themeTint="99"/>
          </w:rPr>
          <w:t>https://www.publichospitalfunding.gov.au/sites/default/files/images/documents/nhfp_annual_report_2021-22.pdf</w:t>
        </w:r>
      </w:hyperlink>
      <w:r w:rsidRPr="00AD6FA4">
        <w:t>, page 35</w:t>
      </w:r>
    </w:p>
  </w:footnote>
  <w:footnote w:id="6">
    <w:p w14:paraId="27F0CA33" w14:textId="7DB1192B" w:rsidR="002C1240" w:rsidRDefault="002C1240">
      <w:pPr>
        <w:pStyle w:val="FootnoteText"/>
      </w:pPr>
      <w:r>
        <w:rPr>
          <w:rStyle w:val="FootnoteReference"/>
        </w:rPr>
        <w:footnoteRef/>
      </w:r>
      <w:r>
        <w:t xml:space="preserve"> </w:t>
      </w:r>
      <w:r w:rsidR="00241A9F">
        <w:t>Australian Commonwealth Government. Budget Strategy and Outlook, Budget Paper No. 1</w:t>
      </w:r>
      <w:r w:rsidR="006A3243">
        <w:t xml:space="preserve">, 2023. Available from: </w:t>
      </w:r>
      <w:hyperlink r:id="rId4" w:history="1">
        <w:r w:rsidR="006A3243" w:rsidRPr="00694022">
          <w:rPr>
            <w:rStyle w:val="Hyperlink"/>
            <w:color w:val="0E57FC" w:themeColor="accent4" w:themeTint="99"/>
          </w:rPr>
          <w:t>https://budget.gov.au/content/bp1/download/bp1_2023-24_230727.pdf</w:t>
        </w:r>
      </w:hyperlink>
      <w:r>
        <w:t>, page 20</w:t>
      </w:r>
      <w:r w:rsidR="00A14F5B">
        <w:t>1</w:t>
      </w:r>
      <w:r w:rsidR="00614B26">
        <w:t xml:space="preserve"> and </w:t>
      </w:r>
      <w:r w:rsidR="005D7ABC">
        <w:t>210</w:t>
      </w:r>
    </w:p>
  </w:footnote>
  <w:footnote w:id="7">
    <w:p w14:paraId="5DFA4D99" w14:textId="23D656AB" w:rsidR="00576311" w:rsidRPr="00694022" w:rsidRDefault="00576311">
      <w:pPr>
        <w:pStyle w:val="FootnoteText"/>
        <w:rPr>
          <w:color w:val="0E57FC" w:themeColor="accent4" w:themeTint="99"/>
        </w:rPr>
      </w:pPr>
      <w:r>
        <w:rPr>
          <w:rStyle w:val="FootnoteReference"/>
        </w:rPr>
        <w:footnoteRef/>
      </w:r>
      <w:r>
        <w:t xml:space="preserve"> </w:t>
      </w:r>
      <w:r w:rsidR="006A3243">
        <w:t xml:space="preserve">Administrator National Health Funding Pool. Public Hospital Funding, Funding Types. </w:t>
      </w:r>
      <w:r w:rsidR="00D1211B">
        <w:t>Available from:</w:t>
      </w:r>
      <w:r w:rsidR="006A3243">
        <w:t xml:space="preserve"> </w:t>
      </w:r>
      <w:hyperlink r:id="rId5" w:history="1">
        <w:r w:rsidR="006A3243" w:rsidRPr="00694022">
          <w:rPr>
            <w:rStyle w:val="Hyperlink"/>
            <w:color w:val="0E57FC" w:themeColor="accent4" w:themeTint="99"/>
          </w:rPr>
          <w:t>https://www.publichospitalfunding.gov.au/public-hospital-funding/funding-types</w:t>
        </w:r>
      </w:hyperlink>
      <w:r w:rsidRPr="00694022">
        <w:rPr>
          <w:color w:val="0E57FC" w:themeColor="accent4" w:themeTint="99"/>
        </w:rPr>
        <w:t xml:space="preserve"> </w:t>
      </w:r>
    </w:p>
  </w:footnote>
  <w:footnote w:id="8">
    <w:p w14:paraId="42EBAA0C" w14:textId="6DFFE0EE" w:rsidR="006A138E" w:rsidRPr="00694022" w:rsidRDefault="006A138E" w:rsidP="006A138E">
      <w:pPr>
        <w:pStyle w:val="FootnoteText"/>
        <w:rPr>
          <w:color w:val="0E57FC" w:themeColor="accent4" w:themeTint="99"/>
        </w:rPr>
      </w:pPr>
      <w:r>
        <w:rPr>
          <w:rStyle w:val="FootnoteReference"/>
        </w:rPr>
        <w:footnoteRef/>
      </w:r>
      <w:r>
        <w:t xml:space="preserve"> </w:t>
      </w:r>
      <w:r w:rsidR="00D1211B">
        <w:t xml:space="preserve">Administrator National Health Funding Pool. Public Hospital Funding, Funding Formula. Available from: </w:t>
      </w:r>
      <w:hyperlink r:id="rId6" w:history="1">
        <w:r w:rsidR="00D1211B" w:rsidRPr="00694022">
          <w:rPr>
            <w:rStyle w:val="Hyperlink"/>
            <w:color w:val="0E57FC" w:themeColor="accent4" w:themeTint="99"/>
          </w:rPr>
          <w:t>https://www.publichospitalfunding.gov.au/public-hospital-funding/funding-formula</w:t>
        </w:r>
      </w:hyperlink>
      <w:r w:rsidRPr="00694022">
        <w:rPr>
          <w:color w:val="0E57FC" w:themeColor="accent4" w:themeTint="99"/>
        </w:rPr>
        <w:t xml:space="preserve"> </w:t>
      </w:r>
    </w:p>
  </w:footnote>
  <w:footnote w:id="9">
    <w:p w14:paraId="5AB9B519" w14:textId="2DFA0260" w:rsidR="00005800" w:rsidRDefault="00005800" w:rsidP="00005800">
      <w:pPr>
        <w:pStyle w:val="FootnoteText"/>
      </w:pPr>
      <w:r>
        <w:rPr>
          <w:rStyle w:val="FootnoteReference"/>
        </w:rPr>
        <w:footnoteRef/>
      </w:r>
      <w:r>
        <w:t xml:space="preserve"> </w:t>
      </w:r>
      <w:r w:rsidR="00D1211B">
        <w:t xml:space="preserve">Administrator National Health Funding Pool. National Health Funding Pool Annual Report 2021-22, 2022. Available from: </w:t>
      </w:r>
      <w:hyperlink r:id="rId7" w:history="1">
        <w:r w:rsidR="00D1211B" w:rsidRPr="00694022">
          <w:rPr>
            <w:rStyle w:val="Hyperlink"/>
            <w:color w:val="0E57FC" w:themeColor="accent4" w:themeTint="99"/>
          </w:rPr>
          <w:t>https://www.publichospitalfunding.gov.au/sites/default/files/images/documents/nhfp_annual_report_2021-22.pdf</w:t>
        </w:r>
      </w:hyperlink>
      <w:r w:rsidRPr="00D40B29">
        <w:t>, pages 24</w:t>
      </w:r>
      <w:r>
        <w:t xml:space="preserve"> and</w:t>
      </w:r>
      <w:r w:rsidRPr="00D40B29">
        <w:t xml:space="preserve"> 35</w:t>
      </w:r>
    </w:p>
  </w:footnote>
  <w:footnote w:id="10">
    <w:p w14:paraId="201F1038" w14:textId="722A01E8" w:rsidR="009D4E6B" w:rsidRPr="00694022" w:rsidRDefault="009D4E6B" w:rsidP="002B0527">
      <w:pPr>
        <w:pStyle w:val="FootnoteText"/>
        <w:spacing w:line="216" w:lineRule="auto"/>
        <w:rPr>
          <w:color w:val="0E57FC" w:themeColor="accent4" w:themeTint="99"/>
        </w:rPr>
      </w:pPr>
      <w:r>
        <w:rPr>
          <w:rStyle w:val="FootnoteReference"/>
        </w:rPr>
        <w:footnoteRef/>
      </w:r>
      <w:r>
        <w:t xml:space="preserve"> </w:t>
      </w:r>
      <w:r w:rsidR="00D1211B">
        <w:t xml:space="preserve">Administrator National Health Funding Pool. Annual Report 2021-22 Maintenance of Effort, 2022. Available from: </w:t>
      </w:r>
      <w:hyperlink r:id="rId8" w:history="1">
        <w:r w:rsidR="00D1211B" w:rsidRPr="00694022">
          <w:rPr>
            <w:rStyle w:val="Hyperlink"/>
            <w:color w:val="0E57FC" w:themeColor="accent4" w:themeTint="99"/>
          </w:rPr>
          <w:t>https://www.publichospitalfunding.gov.au/publications/annual-report-2021-22-maintenance-effort</w:t>
        </w:r>
      </w:hyperlink>
      <w:r w:rsidR="00D1211B" w:rsidRPr="00694022">
        <w:rPr>
          <w:color w:val="0E57FC" w:themeColor="accent4" w:themeTint="99"/>
        </w:rPr>
        <w:t xml:space="preserve"> </w:t>
      </w:r>
    </w:p>
  </w:footnote>
  <w:footnote w:id="11">
    <w:p w14:paraId="294B437C" w14:textId="2C8CB4D1" w:rsidR="00B14B39" w:rsidRDefault="00B14B39" w:rsidP="002B0527">
      <w:pPr>
        <w:pStyle w:val="FootnoteText"/>
        <w:spacing w:line="216" w:lineRule="auto"/>
      </w:pPr>
      <w:r>
        <w:rPr>
          <w:rStyle w:val="FootnoteReference"/>
        </w:rPr>
        <w:footnoteRef/>
      </w:r>
      <w:r>
        <w:t xml:space="preserve"> Estimated – final funding subject to reconciliation. </w:t>
      </w:r>
    </w:p>
  </w:footnote>
  <w:footnote w:id="12">
    <w:p w14:paraId="5EEF4C99" w14:textId="6D8BC1FF" w:rsidR="00B55DC8" w:rsidRDefault="00B55DC8">
      <w:pPr>
        <w:pStyle w:val="FootnoteText"/>
      </w:pPr>
      <w:r>
        <w:rPr>
          <w:rStyle w:val="FootnoteReference"/>
        </w:rPr>
        <w:footnoteRef/>
      </w:r>
      <w:r>
        <w:t xml:space="preserve"> </w:t>
      </w:r>
      <w:bookmarkStart w:id="122" w:name="_Hlk146791392"/>
      <w:r w:rsidR="000E4204">
        <w:t xml:space="preserve">Queensland Aboriginal Islander Health Council. Torres &amp; Cape Health Care (TORCH) Commissioning Fund, 2023. Available from: </w:t>
      </w:r>
      <w:hyperlink r:id="rId9" w:history="1">
        <w:r w:rsidR="000E4204" w:rsidRPr="00694022">
          <w:rPr>
            <w:rStyle w:val="Hyperlink"/>
            <w:color w:val="0E57FC" w:themeColor="accent4" w:themeTint="99"/>
          </w:rPr>
          <w:t>https://www.tsra.gov.au/__data/assets/pdf_file/0003/34590/TSRA-HCF-Guest-speaker-_-Matt-Cooke-QAIHC.pdf</w:t>
        </w:r>
      </w:hyperlink>
      <w:r w:rsidRPr="00694022">
        <w:rPr>
          <w:color w:val="0E57FC" w:themeColor="accent4" w:themeTint="99"/>
        </w:rPr>
        <w:t xml:space="preserve"> </w:t>
      </w:r>
      <w:bookmarkEnd w:id="122"/>
    </w:p>
  </w:footnote>
  <w:footnote w:id="13">
    <w:p w14:paraId="2B3C3890" w14:textId="227335AB" w:rsidR="001A3966" w:rsidRDefault="001A3966">
      <w:pPr>
        <w:pStyle w:val="FootnoteText"/>
      </w:pPr>
      <w:r>
        <w:rPr>
          <w:rStyle w:val="FootnoteReference"/>
        </w:rPr>
        <w:footnoteRef/>
      </w:r>
      <w:r>
        <w:t xml:space="preserve"> </w:t>
      </w:r>
      <w:r w:rsidR="007F6546">
        <w:t xml:space="preserve">Medical Deans </w:t>
      </w:r>
      <w:r w:rsidR="00602A1C">
        <w:t xml:space="preserve">Australia and New Zealand </w:t>
      </w:r>
      <w:r w:rsidR="007F6546">
        <w:t>– Medical Schools O</w:t>
      </w:r>
      <w:r w:rsidR="00602A1C">
        <w:t>u</w:t>
      </w:r>
      <w:r w:rsidR="007F6546">
        <w:t>tcome</w:t>
      </w:r>
      <w:r w:rsidR="00602A1C">
        <w:t>s Database</w:t>
      </w:r>
      <w:r w:rsidR="007F6546">
        <w:t xml:space="preserve"> National Data Report</w:t>
      </w:r>
      <w:r w:rsidR="00602A1C">
        <w:t xml:space="preserve">, July </w:t>
      </w:r>
      <w:r w:rsidR="007F6546">
        <w:t>2023</w:t>
      </w:r>
    </w:p>
  </w:footnote>
  <w:footnote w:id="14">
    <w:p w14:paraId="3A4AFCA9" w14:textId="2C223F30" w:rsidR="0069494E" w:rsidRPr="00694022" w:rsidRDefault="0069494E" w:rsidP="00826894">
      <w:pPr>
        <w:pStyle w:val="FootnoteText"/>
        <w:spacing w:after="60" w:line="216" w:lineRule="auto"/>
        <w:rPr>
          <w:color w:val="0E57FC" w:themeColor="accent4" w:themeTint="99"/>
        </w:rPr>
      </w:pPr>
      <w:r>
        <w:rPr>
          <w:rStyle w:val="FootnoteReference"/>
        </w:rPr>
        <w:footnoteRef/>
      </w:r>
      <w:r>
        <w:t xml:space="preserve"> Australian Prudential Regulatory Authority. Register of private health insurers</w:t>
      </w:r>
      <w:r w:rsidR="00416042">
        <w:t>, 2023</w:t>
      </w:r>
      <w:r>
        <w:t xml:space="preserve">. Available from: </w:t>
      </w:r>
      <w:hyperlink r:id="rId10" w:history="1">
        <w:r w:rsidRPr="00694022">
          <w:rPr>
            <w:rStyle w:val="Hyperlink"/>
            <w:color w:val="0E57FC" w:themeColor="accent4" w:themeTint="99"/>
          </w:rPr>
          <w:t>https://www.apra.gov.au/register-of-private-health-insurers</w:t>
        </w:r>
      </w:hyperlink>
      <w:r w:rsidRPr="00694022">
        <w:rPr>
          <w:color w:val="0E57FC" w:themeColor="accent4" w:themeTint="99"/>
        </w:rPr>
        <w:t xml:space="preserve"> </w:t>
      </w:r>
    </w:p>
  </w:footnote>
  <w:footnote w:id="15">
    <w:p w14:paraId="3C13203B" w14:textId="07766D2B" w:rsidR="007373D1" w:rsidRDefault="007373D1" w:rsidP="00826894">
      <w:pPr>
        <w:pStyle w:val="FootnoteText"/>
        <w:spacing w:after="60" w:line="216" w:lineRule="auto"/>
      </w:pPr>
      <w:r>
        <w:rPr>
          <w:rStyle w:val="FootnoteReference"/>
        </w:rPr>
        <w:footnoteRef/>
      </w:r>
      <w:r>
        <w:t xml:space="preserve"> </w:t>
      </w:r>
      <w:hyperlink r:id="rId11" w:history="1">
        <w:r w:rsidRPr="00694022">
          <w:rPr>
            <w:rStyle w:val="Hyperlink"/>
            <w:color w:val="0E57FC" w:themeColor="accent4" w:themeTint="99"/>
          </w:rPr>
          <w:t>https://www.aihw.gov.au/reports/health-welfare-expenditure/health-expenditure-australia-2020-21/contents/spending-trends-by-sources</w:t>
        </w:r>
      </w:hyperlink>
      <w:r w:rsidRPr="00694022">
        <w:rPr>
          <w:color w:val="0E57FC" w:themeColor="accent4" w:themeTint="99"/>
        </w:rPr>
        <w:t xml:space="preserve"> </w:t>
      </w:r>
    </w:p>
  </w:footnote>
  <w:footnote w:id="16">
    <w:p w14:paraId="4C632AFB" w14:textId="1C0A1493" w:rsidR="00626319" w:rsidRDefault="00626319" w:rsidP="00826894">
      <w:pPr>
        <w:pStyle w:val="FootnoteText"/>
        <w:spacing w:after="60" w:line="216" w:lineRule="auto"/>
      </w:pPr>
      <w:r>
        <w:rPr>
          <w:rStyle w:val="FootnoteReference"/>
        </w:rPr>
        <w:footnoteRef/>
      </w:r>
      <w:r w:rsidRPr="00694022">
        <w:rPr>
          <w:color w:val="0E57FC" w:themeColor="accent4" w:themeTint="99"/>
        </w:rPr>
        <w:t xml:space="preserve"> </w:t>
      </w:r>
      <w:hyperlink r:id="rId12" w:history="1">
        <w:r w:rsidRPr="00694022">
          <w:rPr>
            <w:rStyle w:val="Hyperlink"/>
            <w:color w:val="0E57FC" w:themeColor="accent4" w:themeTint="99"/>
          </w:rPr>
          <w:t>https://www.aihw.gov.au/reports/health-welfare-expenditure/health-expenditure-australia-2020-21/contents/spending-trends-by-areas-of-spending</w:t>
        </w:r>
      </w:hyperlink>
      <w:r>
        <w:t xml:space="preserve"> </w:t>
      </w:r>
    </w:p>
  </w:footnote>
  <w:footnote w:id="17">
    <w:p w14:paraId="69CBC572" w14:textId="7E2CA28B" w:rsidR="0069494E" w:rsidRDefault="0069494E" w:rsidP="00826894">
      <w:pPr>
        <w:pStyle w:val="FootnoteText"/>
        <w:spacing w:after="60" w:line="216" w:lineRule="auto"/>
      </w:pPr>
      <w:r>
        <w:rPr>
          <w:rStyle w:val="FootnoteReference"/>
        </w:rPr>
        <w:footnoteRef/>
      </w:r>
      <w:r>
        <w:t xml:space="preserve"> </w:t>
      </w:r>
      <w:r w:rsidR="007748FD" w:rsidRPr="007748FD">
        <w:t>Declared Hospitals List of the Commonwealth</w:t>
      </w:r>
      <w:r w:rsidR="00F93707">
        <w:t xml:space="preserve">. </w:t>
      </w:r>
      <w:hyperlink r:id="rId13" w:history="1">
        <w:r w:rsidR="00F93707" w:rsidRPr="00694022">
          <w:rPr>
            <w:rStyle w:val="Hyperlink"/>
            <w:color w:val="0E57FC" w:themeColor="accent4" w:themeTint="99"/>
          </w:rPr>
          <w:t>https://www.health.gov.au/resources/publications/list-of-declared-hospitals?language=en</w:t>
        </w:r>
      </w:hyperlink>
      <w:r w:rsidR="00F93707" w:rsidRPr="00694022">
        <w:rPr>
          <w:color w:val="0E57FC" w:themeColor="accent4" w:themeTint="99"/>
        </w:rPr>
        <w:t xml:space="preserve"> </w:t>
      </w:r>
    </w:p>
  </w:footnote>
  <w:footnote w:id="18">
    <w:p w14:paraId="49628F63" w14:textId="5683CED5" w:rsidR="0069494E" w:rsidRDefault="0069494E" w:rsidP="00826894">
      <w:pPr>
        <w:pStyle w:val="FootnoteText"/>
        <w:spacing w:after="60" w:line="216" w:lineRule="auto"/>
      </w:pPr>
      <w:r>
        <w:rPr>
          <w:rStyle w:val="FootnoteReference"/>
        </w:rPr>
        <w:footnoteRef/>
      </w:r>
      <w:r>
        <w:t xml:space="preserve"> Australian Institute of Health and Welfare. Australia’s hospitals at a glance: Hospital activity</w:t>
      </w:r>
      <w:r w:rsidR="00416042">
        <w:t>, 2022</w:t>
      </w:r>
      <w:r>
        <w:t xml:space="preserve">. Available from: </w:t>
      </w:r>
      <w:hyperlink r:id="rId14" w:history="1">
        <w:r w:rsidRPr="00694022">
          <w:rPr>
            <w:rStyle w:val="Hyperlink"/>
            <w:color w:val="0E57FC" w:themeColor="accent4" w:themeTint="99"/>
          </w:rPr>
          <w:t>https://www.aihw.gov.au/reports/hospitals/australias-hospitals-at-a-glance/contents/hospital-activity</w:t>
        </w:r>
      </w:hyperlink>
    </w:p>
  </w:footnote>
  <w:footnote w:id="19">
    <w:p w14:paraId="02CF889F" w14:textId="64B9261B" w:rsidR="00DF21F4" w:rsidRDefault="00DF21F4" w:rsidP="00826894">
      <w:pPr>
        <w:pStyle w:val="FootnoteText"/>
        <w:spacing w:after="60" w:line="216" w:lineRule="auto"/>
      </w:pPr>
      <w:r>
        <w:rPr>
          <w:rStyle w:val="FootnoteReference"/>
        </w:rPr>
        <w:footnoteRef/>
      </w:r>
      <w:r>
        <w:t xml:space="preserve"> </w:t>
      </w:r>
      <w:hyperlink r:id="rId15" w:history="1">
        <w:r w:rsidRPr="00694022">
          <w:rPr>
            <w:rStyle w:val="Hyperlink"/>
            <w:color w:val="0E57FC" w:themeColor="accent4" w:themeTint="99"/>
          </w:rPr>
          <w:t>https://www.aihw.gov.au/reports/health-welfare-expenditure/health-expenditure-australia-2020-21/contents/spending-trends-by-areas-of-spending/hospitals</w:t>
        </w:r>
      </w:hyperlink>
      <w:r w:rsidRPr="00694022">
        <w:rPr>
          <w:color w:val="0E57FC" w:themeColor="accent4" w:themeTint="99"/>
        </w:rPr>
        <w:t xml:space="preserve"> </w:t>
      </w:r>
    </w:p>
  </w:footnote>
  <w:footnote w:id="20">
    <w:p w14:paraId="3471C344" w14:textId="2756253E" w:rsidR="009F08A2" w:rsidRDefault="009F08A2" w:rsidP="00826894">
      <w:pPr>
        <w:pStyle w:val="FootnoteText"/>
        <w:spacing w:after="60" w:line="216" w:lineRule="auto"/>
      </w:pPr>
      <w:r>
        <w:rPr>
          <w:rStyle w:val="FootnoteReference"/>
        </w:rPr>
        <w:footnoteRef/>
      </w:r>
      <w:r>
        <w:t xml:space="preserve"> </w:t>
      </w:r>
      <w:hyperlink r:id="rId16" w:history="1">
        <w:r w:rsidRPr="00694022">
          <w:rPr>
            <w:rStyle w:val="Hyperlink"/>
            <w:color w:val="0E57FC" w:themeColor="accent4" w:themeTint="99"/>
          </w:rPr>
          <w:t>https://www.aihw.gov.au/reports/health-welfare-expenditure/health-expenditure-australia-2020-21/contents/spending-trends-by-areas-of-spending/hospitals</w:t>
        </w:r>
      </w:hyperlink>
      <w:r w:rsidRPr="00694022">
        <w:rPr>
          <w:color w:val="0E57FC" w:themeColor="accent4" w:themeTint="99"/>
        </w:rPr>
        <w:t xml:space="preserve"> </w:t>
      </w:r>
    </w:p>
  </w:footnote>
  <w:footnote w:id="21">
    <w:p w14:paraId="6523B529" w14:textId="3407DC19" w:rsidR="0069494E" w:rsidRDefault="0069494E" w:rsidP="00826894">
      <w:pPr>
        <w:pStyle w:val="FootnoteText"/>
        <w:spacing w:after="60" w:line="216" w:lineRule="auto"/>
      </w:pPr>
      <w:r>
        <w:rPr>
          <w:rStyle w:val="FootnoteReference"/>
        </w:rPr>
        <w:footnoteRef/>
      </w:r>
      <w:r>
        <w:t xml:space="preserve"> Australian Institute of Health and Welfare. Medicare-subsidised GP, allied health and specialist health care across local areas: 2021-22</w:t>
      </w:r>
      <w:r w:rsidR="00416042">
        <w:t>, 2022</w:t>
      </w:r>
      <w:r>
        <w:t xml:space="preserve">. Available from: </w:t>
      </w:r>
      <w:hyperlink r:id="rId17" w:history="1">
        <w:r w:rsidRPr="00694022">
          <w:rPr>
            <w:rStyle w:val="Hyperlink"/>
            <w:color w:val="0E57FC" w:themeColor="accent4" w:themeTint="99"/>
          </w:rPr>
          <w:t>https://www.aihw.gov.au/reports/primary-health-care/medicare-subsidised-gp-allied-health-and-specialis/contents/about</w:t>
        </w:r>
      </w:hyperlink>
      <w:r w:rsidRPr="00694022">
        <w:rPr>
          <w:color w:val="0E57FC" w:themeColor="accent4" w:themeTint="99"/>
        </w:rPr>
        <w:t xml:space="preserve"> </w:t>
      </w:r>
    </w:p>
  </w:footnote>
  <w:footnote w:id="22">
    <w:p w14:paraId="6AC6A3FC" w14:textId="79708DB3" w:rsidR="009C2C07" w:rsidRDefault="009C2C07" w:rsidP="00826894">
      <w:pPr>
        <w:pStyle w:val="FootnoteText"/>
        <w:spacing w:after="60" w:line="216" w:lineRule="auto"/>
      </w:pPr>
      <w:r>
        <w:rPr>
          <w:rStyle w:val="FootnoteReference"/>
        </w:rPr>
        <w:footnoteRef/>
      </w:r>
      <w:r>
        <w:t xml:space="preserve"> </w:t>
      </w:r>
      <w:r w:rsidRPr="009C2C07">
        <w:t xml:space="preserve">Australian Institute of Health and Welfare (2022a). Medicare-subsidised GP, allied health and specialist health care across local areas: 2021-22. Available from: </w:t>
      </w:r>
      <w:hyperlink r:id="rId18" w:history="1">
        <w:r w:rsidRPr="00694022">
          <w:rPr>
            <w:rStyle w:val="Hyperlink"/>
            <w:color w:val="0E57FC" w:themeColor="accent4" w:themeTint="99"/>
          </w:rPr>
          <w:t>https://www.aihw.gov.au/reports/primary-health-care/medicare-subsidised-gp-allied-health-and-specialis/contents/about</w:t>
        </w:r>
      </w:hyperlink>
      <w:r w:rsidRPr="00694022">
        <w:rPr>
          <w:color w:val="0E57FC" w:themeColor="accent4" w:themeTint="99"/>
        </w:rPr>
        <w:t xml:space="preserve"> </w:t>
      </w:r>
    </w:p>
  </w:footnote>
  <w:footnote w:id="23">
    <w:p w14:paraId="7C271698" w14:textId="77777777" w:rsidR="00596DB4" w:rsidRDefault="00596DB4" w:rsidP="00826894">
      <w:pPr>
        <w:pStyle w:val="FootnoteText"/>
        <w:spacing w:after="60" w:line="216" w:lineRule="auto"/>
      </w:pPr>
      <w:r>
        <w:rPr>
          <w:rStyle w:val="FootnoteReference"/>
        </w:rPr>
        <w:footnoteRef/>
      </w:r>
      <w:r>
        <w:t xml:space="preserve"> Australian Institute of Health and Welfare. Pathology, imaging and other diagnostic services, 2022. Available from: </w:t>
      </w:r>
      <w:hyperlink r:id="rId19" w:history="1">
        <w:r w:rsidRPr="00694022">
          <w:rPr>
            <w:rStyle w:val="Hyperlink"/>
            <w:color w:val="0E57FC" w:themeColor="accent4" w:themeTint="99"/>
          </w:rPr>
          <w:t>https://www.aihw.gov.au/reports/diagnostic-services/pathology-imaging-and-other-diagnostic-services</w:t>
        </w:r>
      </w:hyperlink>
      <w:r w:rsidRPr="00694022">
        <w:rPr>
          <w:color w:val="0E57FC" w:themeColor="accent4" w:themeTint="99"/>
        </w:rPr>
        <w:t xml:space="preserve"> </w:t>
      </w:r>
    </w:p>
  </w:footnote>
  <w:footnote w:id="24">
    <w:p w14:paraId="1516CDD5" w14:textId="77777777" w:rsidR="0069494E" w:rsidRDefault="0069494E" w:rsidP="00826894">
      <w:pPr>
        <w:pStyle w:val="FootnoteText"/>
        <w:spacing w:after="60" w:line="216" w:lineRule="auto"/>
      </w:pPr>
      <w:r>
        <w:rPr>
          <w:rStyle w:val="FootnoteReference"/>
        </w:rPr>
        <w:footnoteRef/>
      </w:r>
      <w:r>
        <w:t xml:space="preserve"> MBS Online. Item 23, Medicare Benefits Schedule. Available from: </w:t>
      </w:r>
      <w:hyperlink r:id="rId20" w:history="1">
        <w:r w:rsidRPr="00694022">
          <w:rPr>
            <w:rStyle w:val="Hyperlink"/>
            <w:color w:val="0E57FC" w:themeColor="accent4" w:themeTint="99"/>
          </w:rPr>
          <w:t>http://www9.health.gov.au/mbs/fullDisplay.cfm?type=item&amp;qt=ItemID&amp;q=23</w:t>
        </w:r>
      </w:hyperlink>
      <w:r w:rsidRPr="00694022">
        <w:rPr>
          <w:color w:val="0E57FC" w:themeColor="accent4" w:themeTint="99"/>
        </w:rPr>
        <w:t xml:space="preserve"> </w:t>
      </w:r>
    </w:p>
  </w:footnote>
  <w:footnote w:id="25">
    <w:p w14:paraId="26E31B4E" w14:textId="58134C55" w:rsidR="0069494E" w:rsidRDefault="0069494E" w:rsidP="00826894">
      <w:pPr>
        <w:pStyle w:val="FootnoteText"/>
        <w:spacing w:after="60" w:line="216" w:lineRule="auto"/>
      </w:pPr>
      <w:r>
        <w:rPr>
          <w:rStyle w:val="FootnoteReference"/>
        </w:rPr>
        <w:footnoteRef/>
      </w:r>
      <w:r>
        <w:t xml:space="preserve"> Steering Committee for the Review of Government Service Provision. Report on government services</w:t>
      </w:r>
      <w:r w:rsidR="00416042">
        <w:t>,</w:t>
      </w:r>
      <w:r>
        <w:t xml:space="preserve"> 2019. Available from:  </w:t>
      </w:r>
      <w:hyperlink r:id="rId21" w:history="1">
        <w:r w:rsidRPr="00694022">
          <w:rPr>
            <w:rStyle w:val="Hyperlink"/>
            <w:color w:val="0E57FC" w:themeColor="accent4" w:themeTint="99"/>
          </w:rPr>
          <w:t>https://www.pc.gov.au/ongoing/report-on-government-services/2019/health/public-hospitals</w:t>
        </w:r>
      </w:hyperlink>
      <w:r w:rsidRPr="00694022">
        <w:rPr>
          <w:color w:val="0E57FC" w:themeColor="accent4" w:themeTint="99"/>
        </w:rPr>
        <w:t xml:space="preserve"> </w:t>
      </w:r>
    </w:p>
  </w:footnote>
  <w:footnote w:id="26">
    <w:p w14:paraId="719B3847" w14:textId="6DA58F43" w:rsidR="0069494E" w:rsidRDefault="0069494E" w:rsidP="00826894">
      <w:pPr>
        <w:pStyle w:val="FootnoteText"/>
        <w:spacing w:after="60" w:line="216" w:lineRule="auto"/>
      </w:pPr>
      <w:r>
        <w:rPr>
          <w:rStyle w:val="FootnoteReference"/>
        </w:rPr>
        <w:footnoteRef/>
      </w:r>
      <w:r>
        <w:t xml:space="preserve"> Board N, Brennan N, and Caplan G</w:t>
      </w:r>
      <w:r w:rsidR="00416042">
        <w:t>.</w:t>
      </w:r>
      <w:r>
        <w:t xml:space="preserve"> A randomised controlled trial of the costs of hospital as compared with hospital in the home for acute medical patients. Australian and New Zealand Journal of Public Health 24(3): 305-311</w:t>
      </w:r>
      <w:r w:rsidR="00416042">
        <w:t>, 2000.</w:t>
      </w:r>
    </w:p>
  </w:footnote>
  <w:footnote w:id="27">
    <w:p w14:paraId="53B0BE43" w14:textId="42B7FE1B" w:rsidR="002E036F" w:rsidRDefault="002E036F" w:rsidP="00826894">
      <w:pPr>
        <w:pStyle w:val="FootnoteText"/>
        <w:spacing w:after="60" w:line="216" w:lineRule="auto"/>
      </w:pPr>
      <w:r>
        <w:rPr>
          <w:rStyle w:val="FootnoteReference"/>
        </w:rPr>
        <w:footnoteRef/>
      </w:r>
      <w:r>
        <w:t xml:space="preserve"> </w:t>
      </w:r>
      <w:hyperlink r:id="rId22" w:history="1">
        <w:r w:rsidRPr="00694022">
          <w:rPr>
            <w:rStyle w:val="Hyperlink"/>
            <w:color w:val="0E57FC" w:themeColor="accent4" w:themeTint="99"/>
          </w:rPr>
          <w:t>https://www.aihw.gov.au/reports/health-welfare-expenditure/health-expenditure-australia-2020-21/contents/spending-trends-by-areas-of-spending</w:t>
        </w:r>
      </w:hyperlink>
      <w:r w:rsidRPr="00694022">
        <w:rPr>
          <w:color w:val="0E57FC" w:themeColor="accent4" w:themeTint="99"/>
        </w:rPr>
        <w:t xml:space="preserve"> </w:t>
      </w:r>
    </w:p>
  </w:footnote>
  <w:footnote w:id="28">
    <w:p w14:paraId="486E7DFC" w14:textId="77777777" w:rsidR="00CF3D3A" w:rsidRPr="00694022" w:rsidRDefault="00CF3D3A" w:rsidP="00826894">
      <w:pPr>
        <w:pStyle w:val="FootnoteText"/>
        <w:spacing w:after="60" w:line="216" w:lineRule="auto"/>
        <w:rPr>
          <w:color w:val="0E57FC" w:themeColor="accent4" w:themeTint="99"/>
        </w:rPr>
      </w:pPr>
      <w:r>
        <w:rPr>
          <w:rStyle w:val="FootnoteReference"/>
        </w:rPr>
        <w:footnoteRef/>
      </w:r>
      <w:r>
        <w:t xml:space="preserve"> Australian Institute of Health and Welfare. Health Expenditure Australia 2020-21, 2022. Available from: </w:t>
      </w:r>
      <w:hyperlink r:id="rId23" w:history="1">
        <w:r w:rsidRPr="00694022">
          <w:rPr>
            <w:rStyle w:val="Hyperlink"/>
            <w:color w:val="0E57FC" w:themeColor="accent4" w:themeTint="99"/>
          </w:rPr>
          <w:t>https://www.aihw.gov.au/reports/health-welfare-expenditure/health-expenditure-australia-2020-21/contents/about</w:t>
        </w:r>
      </w:hyperlink>
      <w:r w:rsidRPr="00694022">
        <w:rPr>
          <w:color w:val="0E57FC" w:themeColor="accent4" w:themeTint="99"/>
        </w:rPr>
        <w:t xml:space="preserve"> </w:t>
      </w:r>
    </w:p>
  </w:footnote>
  <w:footnote w:id="29">
    <w:p w14:paraId="53B8F228" w14:textId="43525344" w:rsidR="000B7BBE" w:rsidRDefault="000B7BBE" w:rsidP="00826894">
      <w:pPr>
        <w:pStyle w:val="FootnoteText"/>
        <w:spacing w:after="60" w:line="216" w:lineRule="auto"/>
      </w:pPr>
      <w:r>
        <w:rPr>
          <w:rStyle w:val="FootnoteReference"/>
        </w:rPr>
        <w:footnoteRef/>
      </w:r>
      <w:r>
        <w:t xml:space="preserve"> </w:t>
      </w:r>
      <w:hyperlink r:id="rId24" w:history="1">
        <w:r w:rsidR="00FA727A" w:rsidRPr="00694022">
          <w:rPr>
            <w:rStyle w:val="Hyperlink"/>
            <w:color w:val="0E57FC" w:themeColor="accent4" w:themeTint="99"/>
          </w:rPr>
          <w:t>https://www.aihw.gov.au/reports/health-welfare-expenditure/health-expenditure-australia-2020-21/contents/overview/the-health-sector-relative-to-the-economy</w:t>
        </w:r>
      </w:hyperlink>
      <w:r w:rsidR="00FA727A" w:rsidRPr="00694022">
        <w:rPr>
          <w:color w:val="0E57FC" w:themeColor="accent4" w:themeTint="99"/>
        </w:rPr>
        <w:t xml:space="preserve"> </w:t>
      </w:r>
    </w:p>
  </w:footnote>
  <w:footnote w:id="30">
    <w:p w14:paraId="08773449" w14:textId="0C11D3D3" w:rsidR="0069494E" w:rsidRDefault="0069494E" w:rsidP="00826894">
      <w:pPr>
        <w:pStyle w:val="FootnoteText"/>
        <w:spacing w:after="60" w:line="216" w:lineRule="auto"/>
      </w:pPr>
      <w:r>
        <w:rPr>
          <w:rStyle w:val="FootnoteReference"/>
        </w:rPr>
        <w:footnoteRef/>
      </w:r>
      <w:r>
        <w:t xml:space="preserve"> OECD Data. General Government Spending</w:t>
      </w:r>
      <w:r w:rsidR="00416042">
        <w:t>, 2023</w:t>
      </w:r>
      <w:r>
        <w:t xml:space="preserve">. Available from: </w:t>
      </w:r>
      <w:hyperlink r:id="rId25" w:history="1">
        <w:r w:rsidRPr="00694022">
          <w:rPr>
            <w:rStyle w:val="Hyperlink"/>
            <w:color w:val="0E57FC" w:themeColor="accent4" w:themeTint="99"/>
          </w:rPr>
          <w:t>https://data.oecd.org/gga/general-government-spending.htm</w:t>
        </w:r>
      </w:hyperlink>
      <w:r w:rsidRPr="00694022">
        <w:rPr>
          <w:color w:val="0E57FC" w:themeColor="accent4" w:themeTint="99"/>
        </w:rPr>
        <w:t xml:space="preserve"> </w:t>
      </w:r>
    </w:p>
  </w:footnote>
  <w:footnote w:id="31">
    <w:p w14:paraId="11887DAE" w14:textId="05924C43" w:rsidR="00A92168" w:rsidRDefault="00A92168" w:rsidP="00826894">
      <w:pPr>
        <w:pStyle w:val="FootnoteText"/>
        <w:spacing w:after="60" w:line="216" w:lineRule="auto"/>
      </w:pPr>
      <w:r>
        <w:rPr>
          <w:rStyle w:val="FootnoteReference"/>
        </w:rPr>
        <w:footnoteRef/>
      </w:r>
      <w:r>
        <w:t xml:space="preserve"> </w:t>
      </w:r>
      <w:hyperlink r:id="rId26" w:history="1">
        <w:r w:rsidR="00FA727A" w:rsidRPr="00694022">
          <w:rPr>
            <w:rStyle w:val="Hyperlink"/>
            <w:color w:val="0E57FC" w:themeColor="accent4" w:themeTint="99"/>
          </w:rPr>
          <w:t>https://www.aihw.gov.au/reports/health-welfare-expenditure/health-expenditure-australia-2020-21/contents/spending-trends-by-sources/government-sources</w:t>
        </w:r>
      </w:hyperlink>
      <w:r w:rsidR="00FA727A" w:rsidRPr="00694022">
        <w:rPr>
          <w:color w:val="0E57FC" w:themeColor="accent4" w:themeTint="99"/>
        </w:rPr>
        <w:t xml:space="preserve"> </w:t>
      </w:r>
    </w:p>
  </w:footnote>
  <w:footnote w:id="32">
    <w:p w14:paraId="4C60EF1B" w14:textId="2F55B19C" w:rsidR="00943CBA" w:rsidRDefault="00943CBA" w:rsidP="00826894">
      <w:pPr>
        <w:pStyle w:val="FootnoteText"/>
        <w:spacing w:after="60" w:line="216" w:lineRule="auto"/>
      </w:pPr>
      <w:r>
        <w:rPr>
          <w:rStyle w:val="FootnoteReference"/>
        </w:rPr>
        <w:footnoteRef/>
      </w:r>
      <w:r>
        <w:t xml:space="preserve"> </w:t>
      </w:r>
      <w:hyperlink r:id="rId27" w:history="1">
        <w:r w:rsidRPr="00F83BC0">
          <w:rPr>
            <w:rStyle w:val="Hyperlink"/>
            <w:color w:val="0E57FC" w:themeColor="accent4" w:themeTint="99"/>
          </w:rPr>
          <w:t>https://www.aihw.gov.au/reports/health-welfare-expenditure/health-expenditure-australia-2020-21/contents/spending-trends-by-sources/government-sources-state-and-territory-government</w:t>
        </w:r>
      </w:hyperlink>
      <w:r w:rsidRPr="00F83BC0">
        <w:rPr>
          <w:color w:val="0E57FC" w:themeColor="accent4" w:themeTint="99"/>
        </w:rPr>
        <w:t xml:space="preserve"> </w:t>
      </w:r>
    </w:p>
  </w:footnote>
  <w:footnote w:id="33">
    <w:p w14:paraId="445AA5E3" w14:textId="14A6CD07" w:rsidR="009E4CCE" w:rsidRDefault="009E4CCE" w:rsidP="00826894">
      <w:pPr>
        <w:pStyle w:val="FootnoteText"/>
        <w:spacing w:after="60" w:line="216" w:lineRule="auto"/>
      </w:pPr>
      <w:r>
        <w:rPr>
          <w:rStyle w:val="FootnoteReference"/>
        </w:rPr>
        <w:footnoteRef/>
      </w:r>
      <w:r>
        <w:t xml:space="preserve"> </w:t>
      </w:r>
      <w:hyperlink r:id="rId28" w:history="1">
        <w:r w:rsidR="00FA727A" w:rsidRPr="00F83BC0">
          <w:rPr>
            <w:rStyle w:val="Hyperlink"/>
            <w:color w:val="0E57FC" w:themeColor="accent4" w:themeTint="99"/>
          </w:rPr>
          <w:t>https://treasury.gov.au/sites/default/files/2023-08/p2023-435150.pdf</w:t>
        </w:r>
      </w:hyperlink>
      <w:r w:rsidR="00FA727A" w:rsidRPr="00F83BC0">
        <w:rPr>
          <w:color w:val="0E57FC" w:themeColor="accent4" w:themeTint="99"/>
        </w:rPr>
        <w:t xml:space="preserve"> </w:t>
      </w:r>
    </w:p>
  </w:footnote>
  <w:footnote w:id="34">
    <w:p w14:paraId="2C26988C" w14:textId="6E802021" w:rsidR="00C17EB1" w:rsidRDefault="00C17EB1" w:rsidP="00826894">
      <w:pPr>
        <w:pStyle w:val="FootnoteText"/>
        <w:spacing w:after="60" w:line="216" w:lineRule="auto"/>
      </w:pPr>
      <w:r>
        <w:rPr>
          <w:rStyle w:val="FootnoteReference"/>
        </w:rPr>
        <w:footnoteRef/>
      </w:r>
      <w:r>
        <w:t xml:space="preserve"> </w:t>
      </w:r>
      <w:hyperlink r:id="rId29" w:history="1">
        <w:r w:rsidR="00FA727A" w:rsidRPr="00F83BC0">
          <w:rPr>
            <w:rStyle w:val="Hyperlink"/>
            <w:color w:val="0E57FC" w:themeColor="accent4" w:themeTint="99"/>
          </w:rPr>
          <w:t>https://treasury.gov.au/sites/default/files/2023-08/p2023-435150.pdf</w:t>
        </w:r>
      </w:hyperlink>
      <w:r w:rsidR="00FA727A" w:rsidRPr="00F83BC0">
        <w:rPr>
          <w:color w:val="0E57FC" w:themeColor="accent4" w:themeTint="99"/>
        </w:rPr>
        <w:t xml:space="preserve"> </w:t>
      </w:r>
    </w:p>
  </w:footnote>
  <w:footnote w:id="35">
    <w:p w14:paraId="3FF2262C" w14:textId="77777777" w:rsidR="00A43EB0" w:rsidRDefault="00A43EB0" w:rsidP="00826894">
      <w:pPr>
        <w:pStyle w:val="FootnoteText"/>
        <w:spacing w:after="60" w:line="216" w:lineRule="auto"/>
      </w:pPr>
      <w:r>
        <w:rPr>
          <w:rStyle w:val="FootnoteReference"/>
        </w:rPr>
        <w:footnoteRef/>
      </w:r>
      <w:r>
        <w:t xml:space="preserve"> National Health Funding Body funding reports 2012-22. Available from: </w:t>
      </w:r>
      <w:hyperlink r:id="rId30" w:history="1">
        <w:r w:rsidRPr="00F83BC0">
          <w:rPr>
            <w:rStyle w:val="Hyperlink"/>
            <w:color w:val="0E57FC" w:themeColor="accent4" w:themeTint="99"/>
          </w:rPr>
          <w:t>https://www.publichospitalfunding.gov.au/public-hospital-funding-reports</w:t>
        </w:r>
      </w:hyperlink>
      <w:r w:rsidRPr="00F83BC0">
        <w:rPr>
          <w:color w:val="0E57FC" w:themeColor="accent4" w:themeTint="99"/>
        </w:rPr>
        <w:t xml:space="preserve"> </w:t>
      </w:r>
    </w:p>
  </w:footnote>
  <w:footnote w:id="36">
    <w:p w14:paraId="65A12E35" w14:textId="72E4D359" w:rsidR="0069494E" w:rsidRDefault="0069494E" w:rsidP="00826894">
      <w:pPr>
        <w:pStyle w:val="FootnoteText"/>
        <w:spacing w:after="60" w:line="216" w:lineRule="auto"/>
      </w:pPr>
      <w:r>
        <w:rPr>
          <w:rStyle w:val="FootnoteReference"/>
        </w:rPr>
        <w:footnoteRef/>
      </w:r>
      <w:r>
        <w:t xml:space="preserve"> The Commonwealth Fund. Mirror, Mirror</w:t>
      </w:r>
      <w:r w:rsidR="00416042">
        <w:t>,</w:t>
      </w:r>
      <w:r>
        <w:t xml:space="preserve"> 2021: Reflecting Poorly. Available from: </w:t>
      </w:r>
      <w:hyperlink r:id="rId31" w:history="1">
        <w:r w:rsidRPr="00F83BC0">
          <w:rPr>
            <w:rStyle w:val="Hyperlink"/>
            <w:color w:val="0E57FC" w:themeColor="accent4" w:themeTint="99"/>
          </w:rPr>
          <w:t>https://www.commonwealthfund.org/publications/fund-reports/2021/aug/mirror-mirror-2021-reflecting-poorly</w:t>
        </w:r>
      </w:hyperlink>
      <w:r w:rsidRPr="00F83BC0">
        <w:rPr>
          <w:color w:val="0E57FC" w:themeColor="accent4" w:themeTint="99"/>
        </w:rPr>
        <w:t xml:space="preserve"> </w:t>
      </w:r>
    </w:p>
  </w:footnote>
  <w:footnote w:id="37">
    <w:p w14:paraId="73768DD4" w14:textId="1C323C48" w:rsidR="0069494E" w:rsidRDefault="0069494E" w:rsidP="00826894">
      <w:pPr>
        <w:pStyle w:val="FootnoteText"/>
        <w:spacing w:after="60" w:line="216" w:lineRule="auto"/>
      </w:pPr>
      <w:r>
        <w:rPr>
          <w:rStyle w:val="FootnoteReference"/>
        </w:rPr>
        <w:footnoteRef/>
      </w:r>
      <w:r>
        <w:t xml:space="preserve"> Organisation for Economic Co-operation and Development. OECD Better Life Index</w:t>
      </w:r>
      <w:r w:rsidR="00416042">
        <w:t>, 2021</w:t>
      </w:r>
      <w:r>
        <w:t xml:space="preserve">. Available from: </w:t>
      </w:r>
      <w:hyperlink r:id="rId32" w:history="1">
        <w:r w:rsidRPr="00F83BC0">
          <w:rPr>
            <w:rStyle w:val="Hyperlink"/>
            <w:color w:val="0E57FC" w:themeColor="accent4" w:themeTint="99"/>
          </w:rPr>
          <w:t>https://www.oecdbetterlifeindex.org/topics/health/</w:t>
        </w:r>
      </w:hyperlink>
      <w:r w:rsidRPr="00F83BC0">
        <w:rPr>
          <w:color w:val="0E57FC" w:themeColor="accent4" w:themeTint="99"/>
        </w:rPr>
        <w:t xml:space="preserve"> </w:t>
      </w:r>
    </w:p>
  </w:footnote>
  <w:footnote w:id="38">
    <w:p w14:paraId="262BF168" w14:textId="58133179" w:rsidR="0069494E" w:rsidRPr="00F83BC0" w:rsidRDefault="0069494E" w:rsidP="00826894">
      <w:pPr>
        <w:pStyle w:val="FootnoteText"/>
        <w:spacing w:after="60" w:line="216" w:lineRule="auto"/>
        <w:rPr>
          <w:color w:val="0E57FC" w:themeColor="accent4" w:themeTint="99"/>
        </w:rPr>
      </w:pPr>
      <w:r>
        <w:rPr>
          <w:rStyle w:val="FootnoteReference"/>
        </w:rPr>
        <w:footnoteRef/>
      </w:r>
      <w:r>
        <w:t xml:space="preserve"> Productivity Commission, “Why a better health system matters”</w:t>
      </w:r>
      <w:r w:rsidR="00416042">
        <w:t xml:space="preserve">, </w:t>
      </w:r>
      <w:r>
        <w:t>2015</w:t>
      </w:r>
      <w:r w:rsidR="00416042">
        <w:t>. Available from:</w:t>
      </w:r>
      <w:r>
        <w:t xml:space="preserve"> </w:t>
      </w:r>
      <w:hyperlink r:id="rId33" w:history="1">
        <w:r w:rsidRPr="00F83BC0">
          <w:rPr>
            <w:rStyle w:val="Hyperlink"/>
            <w:color w:val="0E57FC" w:themeColor="accent4" w:themeTint="99"/>
          </w:rPr>
          <w:t>https://www.pc.gov.au/inquiries/completed/productivity-review/report/productivity-reviewsupporting4.pdf</w:t>
        </w:r>
      </w:hyperlink>
      <w:r w:rsidRPr="00F83BC0">
        <w:rPr>
          <w:color w:val="0E57FC" w:themeColor="accent4" w:themeTint="99"/>
        </w:rPr>
        <w:t xml:space="preserve"> </w:t>
      </w:r>
    </w:p>
  </w:footnote>
  <w:footnote w:id="39">
    <w:p w14:paraId="7D621A8D" w14:textId="77777777" w:rsidR="001F519B" w:rsidRPr="0088319E" w:rsidRDefault="001F519B" w:rsidP="00826894">
      <w:pPr>
        <w:pStyle w:val="FootnoteText"/>
        <w:spacing w:after="60" w:line="216" w:lineRule="auto"/>
      </w:pPr>
      <w:r>
        <w:rPr>
          <w:rStyle w:val="FootnoteReference"/>
        </w:rPr>
        <w:footnoteRef/>
      </w:r>
      <w:r>
        <w:t xml:space="preserve"> Australian Institute of Health and Welfare. Australian Burden of Disease Study: impact and causes of illness and death in Australia 2015, 2019. Available from: </w:t>
      </w:r>
      <w:hyperlink r:id="rId34" w:history="1">
        <w:r w:rsidRPr="00F83BC0">
          <w:rPr>
            <w:rStyle w:val="Hyperlink"/>
            <w:color w:val="0E57FC" w:themeColor="accent4" w:themeTint="99"/>
          </w:rPr>
          <w:t>https://www.aihw.gov.au/getmedia/c076f42f-61ea-4348-9c0a-d996353e838f/aihw-bod-22.pdf?inline=true</w:t>
        </w:r>
      </w:hyperlink>
      <w:r w:rsidRPr="00F83BC0">
        <w:rPr>
          <w:color w:val="0E57FC" w:themeColor="accent4" w:themeTint="99"/>
        </w:rPr>
        <w:t xml:space="preserve"> </w:t>
      </w:r>
    </w:p>
  </w:footnote>
  <w:footnote w:id="40">
    <w:p w14:paraId="37A19752" w14:textId="77777777" w:rsidR="001F519B" w:rsidRPr="0088319E" w:rsidRDefault="001F519B" w:rsidP="00826894">
      <w:pPr>
        <w:pStyle w:val="FootnoteText"/>
        <w:spacing w:after="60" w:line="216" w:lineRule="auto"/>
      </w:pPr>
      <w:r>
        <w:rPr>
          <w:rStyle w:val="FootnoteReference"/>
        </w:rPr>
        <w:footnoteRef/>
      </w:r>
      <w:r>
        <w:t xml:space="preserve"> Productivity Commission. Impacts of Health Recommendations, Shifting the Dial: 5 year Productivity Review, Supporting Paper No. 6., 2017 Available from: </w:t>
      </w:r>
      <w:hyperlink r:id="rId35" w:history="1">
        <w:r w:rsidRPr="00F83BC0">
          <w:rPr>
            <w:rStyle w:val="Hyperlink"/>
            <w:color w:val="0E57FC" w:themeColor="accent4" w:themeTint="99"/>
          </w:rPr>
          <w:t>https://www.pc.gov.au/inquiries/completed/productivity-review/report/productivity-review-supporting6.pdf</w:t>
        </w:r>
      </w:hyperlink>
      <w:r w:rsidRPr="00F83BC0">
        <w:rPr>
          <w:color w:val="0E57FC" w:themeColor="accent4" w:themeTint="99"/>
        </w:rPr>
        <w:t xml:space="preserve"> </w:t>
      </w:r>
    </w:p>
  </w:footnote>
  <w:footnote w:id="41">
    <w:p w14:paraId="4D37079E" w14:textId="77777777" w:rsidR="001F519B" w:rsidRPr="00F83BC0" w:rsidRDefault="001F519B" w:rsidP="00826894">
      <w:pPr>
        <w:pStyle w:val="FootnoteText"/>
        <w:spacing w:after="60" w:line="216" w:lineRule="auto"/>
        <w:rPr>
          <w:color w:val="0E57FC" w:themeColor="accent4" w:themeTint="99"/>
        </w:rPr>
      </w:pPr>
      <w:r>
        <w:rPr>
          <w:rStyle w:val="FootnoteReference"/>
        </w:rPr>
        <w:footnoteRef/>
      </w:r>
      <w:r>
        <w:t xml:space="preserve"> Australian Institute of Health and Welfare. Australian Burden of Disease Study, 2022. </w:t>
      </w:r>
      <w:hyperlink r:id="rId36" w:history="1">
        <w:r w:rsidRPr="00F83BC0">
          <w:rPr>
            <w:rStyle w:val="Hyperlink"/>
            <w:color w:val="0E57FC" w:themeColor="accent4" w:themeTint="99"/>
          </w:rPr>
          <w:t>https://www.aihw.gov.au/getmedia/d9ae4bfa-df27-4e3c-9846-ba452bef6ac5/aihw-bod-37.pdf.aspx?inline=true</w:t>
        </w:r>
      </w:hyperlink>
      <w:r w:rsidRPr="00F83BC0">
        <w:rPr>
          <w:color w:val="0E57FC" w:themeColor="accent4" w:themeTint="99"/>
        </w:rPr>
        <w:t xml:space="preserve"> </w:t>
      </w:r>
    </w:p>
  </w:footnote>
  <w:footnote w:id="42">
    <w:p w14:paraId="532C28A4" w14:textId="77777777" w:rsidR="001F519B" w:rsidRPr="00F83BC0" w:rsidRDefault="001F519B" w:rsidP="00826894">
      <w:pPr>
        <w:pStyle w:val="FootnoteText"/>
        <w:spacing w:after="60" w:line="216" w:lineRule="auto"/>
        <w:rPr>
          <w:color w:val="0E57FC" w:themeColor="accent4" w:themeTint="99"/>
        </w:rPr>
      </w:pPr>
      <w:r>
        <w:rPr>
          <w:rStyle w:val="FootnoteReference"/>
        </w:rPr>
        <w:footnoteRef/>
      </w:r>
      <w:r>
        <w:t xml:space="preserve"> Australian Bureau of Statistics. Health Conditions Prevalence, 2021. Available from: </w:t>
      </w:r>
      <w:hyperlink r:id="rId37" w:history="1">
        <w:r w:rsidRPr="00F83BC0">
          <w:rPr>
            <w:rStyle w:val="Hyperlink"/>
            <w:color w:val="0E57FC" w:themeColor="accent4" w:themeTint="99"/>
          </w:rPr>
          <w:t>https://www.abs.gov.au/statistics/health/health-conditions-and-risks/health-conditions-prevalence/2020-21</w:t>
        </w:r>
      </w:hyperlink>
      <w:r w:rsidRPr="00F83BC0">
        <w:rPr>
          <w:color w:val="0E57FC" w:themeColor="accent4" w:themeTint="99"/>
        </w:rPr>
        <w:t xml:space="preserve"> </w:t>
      </w:r>
    </w:p>
  </w:footnote>
  <w:footnote w:id="43">
    <w:p w14:paraId="601FF929" w14:textId="77777777" w:rsidR="001F519B" w:rsidRPr="007953E6" w:rsidRDefault="001F519B" w:rsidP="00826894">
      <w:pPr>
        <w:pStyle w:val="FootnoteText"/>
        <w:spacing w:after="60" w:line="216" w:lineRule="auto"/>
        <w:rPr>
          <w:color w:val="0E57FC" w:themeColor="accent4" w:themeTint="99"/>
        </w:rPr>
      </w:pPr>
      <w:r>
        <w:rPr>
          <w:rStyle w:val="FootnoteReference"/>
        </w:rPr>
        <w:footnoteRef/>
      </w:r>
      <w:r>
        <w:t xml:space="preserve"> Australian Institute of Health and Welfare. Australia’s health 2020 data insights, 2020. Available from: </w:t>
      </w:r>
      <w:hyperlink r:id="rId38" w:history="1">
        <w:r w:rsidRPr="007953E6">
          <w:rPr>
            <w:rStyle w:val="Hyperlink"/>
            <w:color w:val="0E57FC" w:themeColor="accent4" w:themeTint="99"/>
          </w:rPr>
          <w:t>https://www.aihw.gov.au/getmedia/be95235d-fd4d-4824-9ade-34b7491dd66f/aihw-aus-231.pdf?inline=true</w:t>
        </w:r>
      </w:hyperlink>
      <w:r w:rsidRPr="007953E6">
        <w:rPr>
          <w:color w:val="0E57FC" w:themeColor="accent4" w:themeTint="99"/>
        </w:rPr>
        <w:t xml:space="preserve"> </w:t>
      </w:r>
    </w:p>
  </w:footnote>
  <w:footnote w:id="44">
    <w:p w14:paraId="45A69514" w14:textId="77777777" w:rsidR="001F519B" w:rsidRDefault="001F519B" w:rsidP="00826894">
      <w:pPr>
        <w:pStyle w:val="FootnoteText"/>
        <w:spacing w:after="60" w:line="216" w:lineRule="auto"/>
      </w:pPr>
      <w:r>
        <w:rPr>
          <w:rStyle w:val="FootnoteReference"/>
        </w:rPr>
        <w:footnoteRef/>
      </w:r>
      <w:r>
        <w:t xml:space="preserve"> Commonwealth of Australia. Intergenerational Report, 2023. Available from: </w:t>
      </w:r>
      <w:hyperlink r:id="rId39" w:history="1">
        <w:r w:rsidRPr="007953E6">
          <w:rPr>
            <w:rStyle w:val="Hyperlink"/>
            <w:color w:val="0E57FC" w:themeColor="accent4" w:themeTint="99"/>
          </w:rPr>
          <w:t>https://treasury.gov.au/sites/default/files/2023-08/p2023-435150.pdf</w:t>
        </w:r>
      </w:hyperlink>
    </w:p>
  </w:footnote>
  <w:footnote w:id="45">
    <w:p w14:paraId="0EF58592" w14:textId="77777777" w:rsidR="00B81A44" w:rsidRPr="007953E6" w:rsidRDefault="00B81A44" w:rsidP="00826894">
      <w:pPr>
        <w:pStyle w:val="FootnoteText"/>
        <w:spacing w:after="60" w:line="216" w:lineRule="auto"/>
        <w:rPr>
          <w:color w:val="0E57FC" w:themeColor="accent4" w:themeTint="99"/>
        </w:rPr>
      </w:pPr>
      <w:r>
        <w:rPr>
          <w:rStyle w:val="FootnoteReference"/>
        </w:rPr>
        <w:footnoteRef/>
      </w:r>
      <w:r>
        <w:t xml:space="preserve"> Australian Institute of Health and Welfare. Deaths in Australia, 2023. Available from: </w:t>
      </w:r>
      <w:hyperlink r:id="rId40" w:history="1">
        <w:r w:rsidRPr="007953E6">
          <w:rPr>
            <w:rStyle w:val="Hyperlink"/>
            <w:color w:val="0E57FC" w:themeColor="accent4" w:themeTint="99"/>
          </w:rPr>
          <w:t>https://www.aihw.gov.au/reports/life-expectancy-deaths/deaths-in-australia/contents/summary</w:t>
        </w:r>
      </w:hyperlink>
      <w:r w:rsidRPr="007953E6">
        <w:rPr>
          <w:color w:val="0E57FC" w:themeColor="accent4" w:themeTint="99"/>
        </w:rPr>
        <w:t xml:space="preserve"> </w:t>
      </w:r>
    </w:p>
  </w:footnote>
  <w:footnote w:id="46">
    <w:p w14:paraId="54996F33" w14:textId="40DBA5BC" w:rsidR="00C054B7" w:rsidRDefault="00C054B7" w:rsidP="00826894">
      <w:pPr>
        <w:pStyle w:val="FootnoteText"/>
        <w:spacing w:after="60" w:line="216" w:lineRule="auto"/>
      </w:pPr>
      <w:r>
        <w:rPr>
          <w:rStyle w:val="FootnoteReference"/>
        </w:rPr>
        <w:footnoteRef/>
      </w:r>
      <w:r>
        <w:t xml:space="preserve"> </w:t>
      </w:r>
      <w:hyperlink r:id="rId41" w:history="1">
        <w:r w:rsidR="00FA727A" w:rsidRPr="007953E6">
          <w:rPr>
            <w:rStyle w:val="Hyperlink"/>
            <w:color w:val="0E57FC" w:themeColor="accent4" w:themeTint="99"/>
          </w:rPr>
          <w:t>https://www.aihw.gov.au/getmedia/c076f42f-61ea-4348-9c0a-d996353e838f/aihw-bod-22.pdf?inline=true</w:t>
        </w:r>
      </w:hyperlink>
      <w:r w:rsidR="00FA727A" w:rsidRPr="007953E6">
        <w:rPr>
          <w:color w:val="0E57FC" w:themeColor="accent4" w:themeTint="99"/>
        </w:rPr>
        <w:t xml:space="preserve"> </w:t>
      </w:r>
    </w:p>
  </w:footnote>
  <w:footnote w:id="47">
    <w:p w14:paraId="7C11E789" w14:textId="77777777" w:rsidR="00B81A44" w:rsidRPr="007953E6" w:rsidRDefault="00B81A44" w:rsidP="00826894">
      <w:pPr>
        <w:pStyle w:val="FootnoteText"/>
        <w:spacing w:after="60" w:line="216" w:lineRule="auto"/>
        <w:rPr>
          <w:color w:val="0E57FC" w:themeColor="accent4" w:themeTint="99"/>
        </w:rPr>
      </w:pPr>
      <w:r>
        <w:rPr>
          <w:rStyle w:val="FootnoteReference"/>
        </w:rPr>
        <w:footnoteRef/>
      </w:r>
      <w:r>
        <w:t xml:space="preserve"> Australian Bureau of Statistics. COVID-19 Mortality by wave, 2022. Available from: </w:t>
      </w:r>
      <w:hyperlink r:id="rId42" w:history="1">
        <w:r w:rsidRPr="007953E6">
          <w:rPr>
            <w:rStyle w:val="Hyperlink"/>
            <w:color w:val="0E57FC" w:themeColor="accent4" w:themeTint="99"/>
          </w:rPr>
          <w:t>https://www.abs.gov.au/articles/covid-19-mortality-wave</w:t>
        </w:r>
      </w:hyperlink>
      <w:r w:rsidRPr="007953E6">
        <w:rPr>
          <w:color w:val="0E57FC" w:themeColor="accent4" w:themeTint="99"/>
        </w:rPr>
        <w:t xml:space="preserve"> </w:t>
      </w:r>
    </w:p>
  </w:footnote>
  <w:footnote w:id="48">
    <w:p w14:paraId="014AA10A" w14:textId="77777777" w:rsidR="0069494E" w:rsidRPr="007953E6" w:rsidRDefault="0069494E" w:rsidP="00826894">
      <w:pPr>
        <w:pStyle w:val="FootnoteText"/>
        <w:spacing w:after="60" w:line="216" w:lineRule="auto"/>
        <w:rPr>
          <w:color w:val="0E57FC" w:themeColor="accent4" w:themeTint="99"/>
        </w:rPr>
      </w:pPr>
      <w:r>
        <w:rPr>
          <w:rStyle w:val="FootnoteReference"/>
        </w:rPr>
        <w:footnoteRef/>
      </w:r>
      <w:r>
        <w:t xml:space="preserve"> Queensland University of Technology and the Australian Institute of Health and Welfare (2006). Health inequalities in Australia: morbidity, health behaviours, risk factors and health service use. Available from: </w:t>
      </w:r>
      <w:hyperlink r:id="rId43" w:history="1">
        <w:r w:rsidRPr="007953E6">
          <w:rPr>
            <w:rStyle w:val="Hyperlink"/>
            <w:color w:val="0E57FC" w:themeColor="accent4" w:themeTint="99"/>
          </w:rPr>
          <w:t>https://www.aihw.gov.au/getmedia/0cbc6c45-b97a-44f7-ad1f-2517a1f0378c/hiamhbrfhsu.pdf?inline=true</w:t>
        </w:r>
      </w:hyperlink>
      <w:r w:rsidRPr="007953E6">
        <w:rPr>
          <w:color w:val="0E57FC" w:themeColor="accent4" w:themeTint="99"/>
        </w:rPr>
        <w:t xml:space="preserve"> </w:t>
      </w:r>
    </w:p>
  </w:footnote>
  <w:footnote w:id="49">
    <w:p w14:paraId="27109D9B" w14:textId="447F53AE" w:rsidR="0069494E" w:rsidRPr="007953E6" w:rsidRDefault="0069494E" w:rsidP="00826894">
      <w:pPr>
        <w:pStyle w:val="FootnoteText"/>
        <w:spacing w:after="60" w:line="216" w:lineRule="auto"/>
        <w:rPr>
          <w:color w:val="0E57FC" w:themeColor="accent4" w:themeTint="99"/>
        </w:rPr>
      </w:pPr>
      <w:r>
        <w:rPr>
          <w:rStyle w:val="FootnoteReference"/>
        </w:rPr>
        <w:footnoteRef/>
      </w:r>
      <w:r>
        <w:t xml:space="preserve"> Australian Institute of Health and Welfare. Health workforce</w:t>
      </w:r>
      <w:r w:rsidR="00416042">
        <w:t>, 2022</w:t>
      </w:r>
      <w:r>
        <w:t xml:space="preserve">. Available from: </w:t>
      </w:r>
      <w:hyperlink r:id="rId44" w:history="1">
        <w:r w:rsidRPr="007953E6">
          <w:rPr>
            <w:rStyle w:val="Hyperlink"/>
            <w:color w:val="0E57FC" w:themeColor="accent4" w:themeTint="99"/>
          </w:rPr>
          <w:t>https://www.aihw.gov.au/reports/workforce/health-workforce</w:t>
        </w:r>
      </w:hyperlink>
      <w:r w:rsidRPr="007953E6">
        <w:rPr>
          <w:color w:val="0E57FC" w:themeColor="accent4" w:themeTint="99"/>
        </w:rPr>
        <w:t xml:space="preserve"> </w:t>
      </w:r>
    </w:p>
  </w:footnote>
  <w:footnote w:id="50">
    <w:p w14:paraId="437B0AC9" w14:textId="0552028B" w:rsidR="0069494E" w:rsidRPr="007953E6" w:rsidRDefault="0069494E" w:rsidP="00826894">
      <w:pPr>
        <w:pStyle w:val="FootnoteText"/>
        <w:spacing w:after="60" w:line="216" w:lineRule="auto"/>
        <w:rPr>
          <w:color w:val="0E57FC" w:themeColor="accent4" w:themeTint="99"/>
        </w:rPr>
      </w:pPr>
      <w:r>
        <w:rPr>
          <w:rStyle w:val="FootnoteReference"/>
        </w:rPr>
        <w:footnoteRef/>
      </w:r>
      <w:r>
        <w:t xml:space="preserve"> Australian Institute of Health and Welfare. Rural and remote health</w:t>
      </w:r>
      <w:r w:rsidR="00416042">
        <w:t>, 2022</w:t>
      </w:r>
      <w:r>
        <w:t xml:space="preserve">. Available from: </w:t>
      </w:r>
      <w:hyperlink r:id="rId45" w:anchor="Access" w:history="1">
        <w:r w:rsidRPr="007953E6">
          <w:rPr>
            <w:rStyle w:val="Hyperlink"/>
            <w:color w:val="0E57FC" w:themeColor="accent4" w:themeTint="99"/>
          </w:rPr>
          <w:t>https://www.aihw.gov.au/reports/rural-remote-australians/rural-and-remote-health#Access</w:t>
        </w:r>
      </w:hyperlink>
      <w:r w:rsidRPr="007953E6">
        <w:rPr>
          <w:color w:val="0E57FC" w:themeColor="accent4" w:themeTint="99"/>
        </w:rPr>
        <w:t xml:space="preserve"> </w:t>
      </w:r>
    </w:p>
  </w:footnote>
  <w:footnote w:id="51">
    <w:p w14:paraId="625992A7" w14:textId="061A087A" w:rsidR="0069494E" w:rsidRPr="007953E6" w:rsidRDefault="0069494E" w:rsidP="00826894">
      <w:pPr>
        <w:pStyle w:val="FootnoteText"/>
        <w:spacing w:after="60" w:line="216" w:lineRule="auto"/>
        <w:rPr>
          <w:color w:val="0E57FC" w:themeColor="accent4" w:themeTint="99"/>
        </w:rPr>
      </w:pPr>
      <w:r>
        <w:rPr>
          <w:rStyle w:val="FootnoteReference"/>
        </w:rPr>
        <w:footnoteRef/>
      </w:r>
      <w:r>
        <w:t xml:space="preserve"> Australian Institute of Health and Welfare. Australia’s health</w:t>
      </w:r>
      <w:r w:rsidR="00416042">
        <w:t>,</w:t>
      </w:r>
      <w:r>
        <w:t xml:space="preserve"> 2016. Available from: </w:t>
      </w:r>
      <w:hyperlink r:id="rId46" w:history="1">
        <w:r w:rsidRPr="007953E6">
          <w:rPr>
            <w:rStyle w:val="Hyperlink"/>
            <w:color w:val="0E57FC" w:themeColor="accent4" w:themeTint="99"/>
          </w:rPr>
          <w:t>https://www.aihw.gov.au/getmedia/01d88043-31ba-424a-a682-98673783072e/ah16-6-6-indigenous-australians-access-health-services.pdf.aspx</w:t>
        </w:r>
      </w:hyperlink>
      <w:r w:rsidRPr="007953E6">
        <w:rPr>
          <w:color w:val="0E57FC" w:themeColor="accent4" w:themeTint="99"/>
        </w:rPr>
        <w:t xml:space="preserve"> </w:t>
      </w:r>
    </w:p>
  </w:footnote>
  <w:footnote w:id="52">
    <w:p w14:paraId="0BE3A967" w14:textId="77777777" w:rsidR="00026023" w:rsidRDefault="00026023" w:rsidP="00826894">
      <w:pPr>
        <w:pStyle w:val="FootnoteText"/>
        <w:spacing w:after="60" w:line="216" w:lineRule="auto"/>
      </w:pPr>
      <w:r>
        <w:rPr>
          <w:rStyle w:val="FootnoteReference"/>
        </w:rPr>
        <w:footnoteRef/>
      </w:r>
      <w:r>
        <w:t xml:space="preserve"> Australian Government Department of Health and Aged Care. MBS Quarterly Statistics Dashboard, 2023. Available from:  </w:t>
      </w:r>
      <w:hyperlink r:id="rId47" w:history="1">
        <w:r w:rsidRPr="007953E6">
          <w:rPr>
            <w:rStyle w:val="Hyperlink"/>
            <w:color w:val="0E57FC" w:themeColor="accent4" w:themeTint="99"/>
          </w:rPr>
          <w:t>https://www.health.gov.au/sites/default/files/2023-08/medicare-statistics-per-patient-bulk-billing-dashboard-2022-23.pdf</w:t>
        </w:r>
      </w:hyperlink>
      <w:r w:rsidRPr="007953E6">
        <w:rPr>
          <w:color w:val="0E57FC" w:themeColor="accent4" w:themeTint="99"/>
        </w:rPr>
        <w:t xml:space="preserve"> </w:t>
      </w:r>
    </w:p>
  </w:footnote>
  <w:footnote w:id="53">
    <w:p w14:paraId="6087D4A5" w14:textId="1F3B0A64" w:rsidR="0069494E" w:rsidRDefault="0069494E" w:rsidP="00826894">
      <w:pPr>
        <w:pStyle w:val="FootnoteText"/>
        <w:spacing w:after="60" w:line="216" w:lineRule="auto"/>
      </w:pPr>
      <w:r>
        <w:rPr>
          <w:rStyle w:val="FootnoteReference"/>
        </w:rPr>
        <w:footnoteRef/>
      </w:r>
      <w:r>
        <w:t xml:space="preserve"> Australian Bureau of Statistics. Patient experiences in Australia: summary of findings, 2021-22. Available from: </w:t>
      </w:r>
      <w:hyperlink r:id="rId48" w:history="1">
        <w:r w:rsidRPr="007953E6">
          <w:rPr>
            <w:rStyle w:val="Hyperlink"/>
            <w:color w:val="0E57FC" w:themeColor="accent4" w:themeTint="99"/>
          </w:rPr>
          <w:t>https://www.abs.gov.au/statistics/health/health-services/patient-experiences/2021-22</w:t>
        </w:r>
      </w:hyperlink>
      <w:r w:rsidRPr="007953E6">
        <w:rPr>
          <w:color w:val="0E57FC" w:themeColor="accent4" w:themeTint="99"/>
        </w:rPr>
        <w:t xml:space="preserve"> </w:t>
      </w:r>
    </w:p>
  </w:footnote>
  <w:footnote w:id="54">
    <w:p w14:paraId="55F59EBF" w14:textId="4003B144" w:rsidR="0069494E" w:rsidRDefault="0069494E" w:rsidP="00826894">
      <w:pPr>
        <w:pStyle w:val="FootnoteText"/>
        <w:spacing w:after="60" w:line="216" w:lineRule="auto"/>
      </w:pPr>
      <w:r>
        <w:rPr>
          <w:rStyle w:val="FootnoteReference"/>
        </w:rPr>
        <w:footnoteRef/>
      </w:r>
      <w:r>
        <w:t xml:space="preserve"> Australian Government, Department of Health and Aged Care. Budget 2023-24 Overview</w:t>
      </w:r>
      <w:r w:rsidR="00416042">
        <w:t>, 2023</w:t>
      </w:r>
      <w:r>
        <w:t xml:space="preserve">. Available from: </w:t>
      </w:r>
      <w:hyperlink r:id="rId49" w:history="1">
        <w:r w:rsidRPr="007953E6">
          <w:rPr>
            <w:rStyle w:val="Hyperlink"/>
            <w:color w:val="0E57FC" w:themeColor="accent4" w:themeTint="99"/>
          </w:rPr>
          <w:t>https://www.health.gov.au/sites/default/files/2023-05/overview-budget-2023-24_0.pdf</w:t>
        </w:r>
      </w:hyperlink>
      <w:r w:rsidRPr="007953E6">
        <w:rPr>
          <w:color w:val="0E57FC" w:themeColor="accent4" w:themeTint="99"/>
        </w:rPr>
        <w:t xml:space="preserve"> </w:t>
      </w:r>
    </w:p>
  </w:footnote>
  <w:footnote w:id="55">
    <w:p w14:paraId="06DE1DDB" w14:textId="77777777" w:rsidR="00CA3EAD" w:rsidRPr="007953E6" w:rsidRDefault="00CA3EAD" w:rsidP="00826894">
      <w:pPr>
        <w:spacing w:after="60"/>
        <w:rPr>
          <w:color w:val="0E57FC" w:themeColor="accent4" w:themeTint="99"/>
          <w:sz w:val="16"/>
        </w:rPr>
      </w:pPr>
      <w:r w:rsidRPr="00AA5F60">
        <w:rPr>
          <w:rStyle w:val="FootnoteReference"/>
          <w:sz w:val="16"/>
        </w:rPr>
        <w:footnoteRef/>
      </w:r>
      <w:r w:rsidRPr="00AA5F60">
        <w:rPr>
          <w:rStyle w:val="FootnoteReference"/>
          <w:sz w:val="16"/>
        </w:rPr>
        <w:t xml:space="preserve"> </w:t>
      </w:r>
      <w:r w:rsidRPr="007C3679">
        <w:rPr>
          <w:sz w:val="16"/>
        </w:rPr>
        <w:t xml:space="preserve">Australian Institute of Health and Welfare. Admitted </w:t>
      </w:r>
      <w:r>
        <w:rPr>
          <w:sz w:val="16"/>
        </w:rPr>
        <w:t>P</w:t>
      </w:r>
      <w:r w:rsidRPr="007C3679">
        <w:rPr>
          <w:sz w:val="16"/>
        </w:rPr>
        <w:t>atient Care 2018-19</w:t>
      </w:r>
      <w:r>
        <w:rPr>
          <w:sz w:val="16"/>
        </w:rPr>
        <w:t>, 2020</w:t>
      </w:r>
      <w:r w:rsidRPr="007C3679">
        <w:rPr>
          <w:sz w:val="16"/>
        </w:rPr>
        <w:t xml:space="preserve">. </w:t>
      </w:r>
      <w:r>
        <w:rPr>
          <w:sz w:val="16"/>
        </w:rPr>
        <w:t xml:space="preserve">Available from: </w:t>
      </w:r>
      <w:hyperlink r:id="rId50" w:history="1">
        <w:r w:rsidRPr="007953E6">
          <w:rPr>
            <w:rStyle w:val="Hyperlink"/>
            <w:color w:val="0E57FC" w:themeColor="accent4" w:themeTint="99"/>
            <w:sz w:val="16"/>
          </w:rPr>
          <w:t>https://www.aihw.gov.au/reports-data/myhospitals/sectors/admitted-patients</w:t>
        </w:r>
      </w:hyperlink>
    </w:p>
  </w:footnote>
  <w:footnote w:id="56">
    <w:p w14:paraId="122C148F" w14:textId="77777777" w:rsidR="00CA3EAD" w:rsidRPr="007953E6" w:rsidRDefault="00CA3EAD" w:rsidP="00826894">
      <w:pPr>
        <w:spacing w:after="60"/>
        <w:rPr>
          <w:rFonts w:cstheme="minorHAnsi"/>
          <w:color w:val="0E57FC" w:themeColor="accent4" w:themeTint="99"/>
        </w:rPr>
      </w:pPr>
      <w:r w:rsidRPr="00AA5F60">
        <w:rPr>
          <w:rStyle w:val="FootnoteReference"/>
          <w:sz w:val="16"/>
        </w:rPr>
        <w:footnoteRef/>
      </w:r>
      <w:r w:rsidRPr="00AA5F60">
        <w:rPr>
          <w:rStyle w:val="FootnoteReference"/>
          <w:sz w:val="16"/>
        </w:rPr>
        <w:t xml:space="preserve"> </w:t>
      </w:r>
      <w:r w:rsidRPr="007C3679">
        <w:rPr>
          <w:sz w:val="16"/>
        </w:rPr>
        <w:t xml:space="preserve">Australian Institute of Health and Welfare. Admitted </w:t>
      </w:r>
      <w:r>
        <w:rPr>
          <w:sz w:val="16"/>
        </w:rPr>
        <w:t>P</w:t>
      </w:r>
      <w:r w:rsidRPr="007C3679">
        <w:rPr>
          <w:sz w:val="16"/>
        </w:rPr>
        <w:t xml:space="preserve">atient </w:t>
      </w:r>
      <w:r>
        <w:rPr>
          <w:sz w:val="16"/>
        </w:rPr>
        <w:t>C</w:t>
      </w:r>
      <w:r w:rsidRPr="007C3679">
        <w:rPr>
          <w:sz w:val="16"/>
        </w:rPr>
        <w:t>are 2017–18. Table 3.1</w:t>
      </w:r>
      <w:r>
        <w:rPr>
          <w:sz w:val="16"/>
        </w:rPr>
        <w:t>, 2019</w:t>
      </w:r>
      <w:r w:rsidRPr="007C3679">
        <w:rPr>
          <w:sz w:val="16"/>
        </w:rPr>
        <w:t>.</w:t>
      </w:r>
      <w:r>
        <w:rPr>
          <w:sz w:val="16"/>
        </w:rPr>
        <w:t xml:space="preserve"> Available from: </w:t>
      </w:r>
      <w:hyperlink r:id="rId51" w:history="1">
        <w:r w:rsidRPr="007953E6">
          <w:rPr>
            <w:rStyle w:val="Hyperlink"/>
            <w:color w:val="0E57FC" w:themeColor="accent4" w:themeTint="99"/>
            <w:sz w:val="16"/>
          </w:rPr>
          <w:t>https://www.aihw.gov.au/getmedia/df0abd15-5dd8-4a56-94fa-c9ab68690e18/aihw-hse-225.pdf?inline=true</w:t>
        </w:r>
      </w:hyperlink>
      <w:r w:rsidRPr="007953E6">
        <w:rPr>
          <w:color w:val="0E57FC" w:themeColor="accent4" w:themeTint="99"/>
          <w:sz w:val="16"/>
        </w:rPr>
        <w:t xml:space="preserve">  </w:t>
      </w:r>
      <w:r w:rsidRPr="007953E6">
        <w:rPr>
          <w:rFonts w:cstheme="minorHAnsi"/>
          <w:color w:val="0E57FC" w:themeColor="accent4" w:themeTint="99"/>
        </w:rPr>
        <w:t xml:space="preserve"> </w:t>
      </w:r>
    </w:p>
  </w:footnote>
  <w:footnote w:id="57">
    <w:p w14:paraId="6C4D177C" w14:textId="474BBA65" w:rsidR="001B3D31" w:rsidRDefault="001B3D31" w:rsidP="00826894">
      <w:pPr>
        <w:pStyle w:val="FootnoteText"/>
        <w:spacing w:after="60" w:line="216" w:lineRule="auto"/>
      </w:pPr>
      <w:r>
        <w:rPr>
          <w:rStyle w:val="FootnoteReference"/>
        </w:rPr>
        <w:footnoteRef/>
      </w:r>
      <w:r>
        <w:t xml:space="preserve"> </w:t>
      </w:r>
      <w:r w:rsidRPr="001B3D31">
        <w:t>https://www.aihw.gov.au/reports/hospitals/ahs-2016-17-emergency-department-care/summary</w:t>
      </w:r>
    </w:p>
  </w:footnote>
  <w:footnote w:id="58">
    <w:p w14:paraId="12FD475E" w14:textId="1F86F67D" w:rsidR="001B3D31" w:rsidRDefault="001B3D31" w:rsidP="00826894">
      <w:pPr>
        <w:pStyle w:val="FootnoteText"/>
        <w:spacing w:after="60" w:line="216" w:lineRule="auto"/>
      </w:pPr>
      <w:r>
        <w:rPr>
          <w:rStyle w:val="FootnoteReference"/>
        </w:rPr>
        <w:footnoteRef/>
      </w:r>
      <w:r>
        <w:t xml:space="preserve"> </w:t>
      </w:r>
      <w:hyperlink r:id="rId52" w:history="1">
        <w:r w:rsidRPr="007953E6">
          <w:rPr>
            <w:rStyle w:val="Hyperlink"/>
            <w:color w:val="0E57FC" w:themeColor="accent4" w:themeTint="99"/>
          </w:rPr>
          <w:t>https://www.aihw.gov.au/reports-data/myhospitals/sectors/emergency-department-care</w:t>
        </w:r>
      </w:hyperlink>
      <w:r w:rsidRPr="007953E6">
        <w:rPr>
          <w:color w:val="0E57FC" w:themeColor="accent4" w:themeTint="99"/>
        </w:rPr>
        <w:t xml:space="preserve"> </w:t>
      </w:r>
    </w:p>
  </w:footnote>
  <w:footnote w:id="59">
    <w:p w14:paraId="2354EE4C" w14:textId="577E6C92" w:rsidR="0069494E" w:rsidRPr="007953E6" w:rsidRDefault="0069494E" w:rsidP="00826894">
      <w:pPr>
        <w:pStyle w:val="FootnoteText"/>
        <w:spacing w:after="60" w:line="216" w:lineRule="auto"/>
        <w:rPr>
          <w:color w:val="0E57FC" w:themeColor="accent4" w:themeTint="99"/>
        </w:rPr>
      </w:pPr>
      <w:r>
        <w:rPr>
          <w:rStyle w:val="FootnoteReference"/>
        </w:rPr>
        <w:footnoteRef/>
      </w:r>
      <w:r>
        <w:t xml:space="preserve"> Australian Medical Association. Ambulance Ramping Report Card</w:t>
      </w:r>
      <w:r w:rsidR="00FC2891">
        <w:t>,</w:t>
      </w:r>
      <w:r>
        <w:t xml:space="preserve"> 2022. Available from: </w:t>
      </w:r>
      <w:hyperlink r:id="rId53" w:history="1">
        <w:r w:rsidRPr="007953E6">
          <w:rPr>
            <w:rStyle w:val="Hyperlink"/>
            <w:color w:val="0E57FC" w:themeColor="accent4" w:themeTint="99"/>
          </w:rPr>
          <w:t>https://www.ama.com.au/articles/ama-ambulance-ramping-report-card</w:t>
        </w:r>
      </w:hyperlink>
      <w:r w:rsidRPr="007953E6">
        <w:rPr>
          <w:color w:val="0E57FC" w:themeColor="accent4" w:themeTint="99"/>
        </w:rPr>
        <w:t xml:space="preserve"> </w:t>
      </w:r>
    </w:p>
  </w:footnote>
  <w:footnote w:id="60">
    <w:p w14:paraId="0C46A777" w14:textId="74AB984F" w:rsidR="0069494E" w:rsidRDefault="0069494E" w:rsidP="00826894">
      <w:pPr>
        <w:pStyle w:val="FootnoteText"/>
        <w:spacing w:after="60" w:line="216" w:lineRule="auto"/>
      </w:pPr>
      <w:r>
        <w:rPr>
          <w:rStyle w:val="FootnoteReference"/>
        </w:rPr>
        <w:footnoteRef/>
      </w:r>
      <w:r>
        <w:t xml:space="preserve"> Australian Institute of Health and Welfare. Australian hospital statistics 2009-10, Emergency department care and elective surgery waiting times</w:t>
      </w:r>
      <w:r w:rsidR="00FC2891">
        <w:t>, 2010</w:t>
      </w:r>
      <w:r>
        <w:t xml:space="preserve">. Available from: </w:t>
      </w:r>
      <w:hyperlink r:id="rId54" w:history="1">
        <w:r w:rsidRPr="007953E6">
          <w:rPr>
            <w:rStyle w:val="Hyperlink"/>
            <w:color w:val="0E57FC" w:themeColor="accent4" w:themeTint="99"/>
          </w:rPr>
          <w:t>https://www.aihw.gov.au/getm</w:t>
        </w:r>
        <w:bookmarkStart w:id="180" w:name="_Hlt143598114"/>
        <w:r w:rsidRPr="007953E6">
          <w:rPr>
            <w:rStyle w:val="Hyperlink"/>
            <w:color w:val="0E57FC" w:themeColor="accent4" w:themeTint="99"/>
          </w:rPr>
          <w:t>e</w:t>
        </w:r>
        <w:bookmarkEnd w:id="180"/>
        <w:r w:rsidRPr="007953E6">
          <w:rPr>
            <w:rStyle w:val="Hyperlink"/>
            <w:color w:val="0E57FC" w:themeColor="accent4" w:themeTint="99"/>
          </w:rPr>
          <w:t>dia/1b305ffc-b7a4-4f80-aa66-d90614c5f8f4/12271.pdf.aspx?inline=true</w:t>
        </w:r>
      </w:hyperlink>
      <w:r w:rsidRPr="007953E6">
        <w:rPr>
          <w:color w:val="0E57FC" w:themeColor="accent4" w:themeTint="99"/>
        </w:rPr>
        <w:t xml:space="preserve"> </w:t>
      </w:r>
    </w:p>
  </w:footnote>
  <w:footnote w:id="61">
    <w:p w14:paraId="0D932925" w14:textId="774F52FD" w:rsidR="0069494E" w:rsidRDefault="0069494E" w:rsidP="00826894">
      <w:pPr>
        <w:pStyle w:val="FootnoteText"/>
        <w:spacing w:after="60" w:line="216" w:lineRule="auto"/>
      </w:pPr>
      <w:r>
        <w:rPr>
          <w:rStyle w:val="FootnoteReference"/>
        </w:rPr>
        <w:footnoteRef/>
      </w:r>
      <w:r>
        <w:t xml:space="preserve"> Australian Institute of Health and Welfare. Australia’s hospitals at a glance, Hospital activity</w:t>
      </w:r>
      <w:r w:rsidR="00FC2891">
        <w:t>, 2022</w:t>
      </w:r>
      <w:r>
        <w:t xml:space="preserve">. Available from: </w:t>
      </w:r>
      <w:hyperlink r:id="rId55" w:history="1">
        <w:r w:rsidRPr="007953E6">
          <w:rPr>
            <w:rStyle w:val="Hyperlink"/>
            <w:color w:val="0E57FC" w:themeColor="accent4" w:themeTint="99"/>
          </w:rPr>
          <w:t>https://www.aihw.gov.au/reports/hospitals/australias-hospitals-at-a-glance/contents/hospital-activity</w:t>
        </w:r>
      </w:hyperlink>
      <w:r w:rsidRPr="007953E6">
        <w:rPr>
          <w:color w:val="0E57FC" w:themeColor="accent4" w:themeTint="99"/>
        </w:rPr>
        <w:t xml:space="preserve"> </w:t>
      </w:r>
    </w:p>
  </w:footnote>
  <w:footnote w:id="62">
    <w:p w14:paraId="619E2AA9" w14:textId="4338F8BA" w:rsidR="0069494E" w:rsidRPr="005044A4" w:rsidRDefault="0069494E" w:rsidP="00826894">
      <w:pPr>
        <w:spacing w:after="60"/>
        <w:rPr>
          <w:rFonts w:cstheme="minorHAnsi"/>
          <w:color w:val="0E57FC" w:themeColor="accent4" w:themeTint="99"/>
          <w:u w:val="single"/>
        </w:rPr>
      </w:pPr>
      <w:r w:rsidRPr="00494578">
        <w:rPr>
          <w:rStyle w:val="FootnoteReference"/>
          <w:sz w:val="16"/>
        </w:rPr>
        <w:footnoteRef/>
      </w:r>
      <w:r w:rsidRPr="00494578">
        <w:rPr>
          <w:rStyle w:val="FootnoteReference"/>
          <w:sz w:val="16"/>
        </w:rPr>
        <w:t xml:space="preserve"> </w:t>
      </w:r>
      <w:r>
        <w:rPr>
          <w:sz w:val="16"/>
        </w:rPr>
        <w:t xml:space="preserve"> </w:t>
      </w:r>
      <w:bookmarkStart w:id="182" w:name="_Hlk148449355"/>
      <w:r>
        <w:rPr>
          <w:sz w:val="16"/>
        </w:rPr>
        <w:t>Australian Institute of Health and Welfare. Time spent in emergency departments</w:t>
      </w:r>
      <w:r w:rsidR="00FC2891">
        <w:rPr>
          <w:sz w:val="16"/>
        </w:rPr>
        <w:t>, 2023</w:t>
      </w:r>
      <w:r w:rsidRPr="00494578">
        <w:rPr>
          <w:sz w:val="16"/>
        </w:rPr>
        <w:t>.</w:t>
      </w:r>
      <w:r>
        <w:rPr>
          <w:sz w:val="16"/>
        </w:rPr>
        <w:t xml:space="preserve"> Available from:</w:t>
      </w:r>
      <w:r w:rsidRPr="00494578">
        <w:rPr>
          <w:sz w:val="16"/>
        </w:rPr>
        <w:t xml:space="preserve"> </w:t>
      </w:r>
      <w:hyperlink r:id="rId56" w:history="1">
        <w:r w:rsidRPr="005044A4">
          <w:rPr>
            <w:color w:val="0E57FC" w:themeColor="accent4" w:themeTint="99"/>
            <w:sz w:val="16"/>
            <w:u w:val="single"/>
          </w:rPr>
          <w:t>https://myhospitalsapi.aihw.gov.au/api/v1/measure-downloads/myh-ed</w:t>
        </w:r>
      </w:hyperlink>
      <w:bookmarkEnd w:id="182"/>
      <w:r w:rsidR="005044A4" w:rsidRPr="005044A4">
        <w:rPr>
          <w:color w:val="0E57FC" w:themeColor="accent4" w:themeTint="99"/>
          <w:sz w:val="16"/>
          <w:u w:val="single"/>
        </w:rPr>
        <w:t xml:space="preserve"> </w:t>
      </w:r>
    </w:p>
  </w:footnote>
  <w:footnote w:id="63">
    <w:p w14:paraId="0BEE8DF2" w14:textId="43ED2CC6" w:rsidR="00C37086" w:rsidRPr="005044A4" w:rsidRDefault="00C37086" w:rsidP="00A71C1C">
      <w:pPr>
        <w:pStyle w:val="FootnoteText"/>
        <w:spacing w:line="216" w:lineRule="auto"/>
        <w:rPr>
          <w:color w:val="0E57FC" w:themeColor="accent4" w:themeTint="99"/>
        </w:rPr>
      </w:pPr>
      <w:r>
        <w:rPr>
          <w:rStyle w:val="FootnoteReference"/>
        </w:rPr>
        <w:footnoteRef/>
      </w:r>
      <w:r>
        <w:t xml:space="preserve"> </w:t>
      </w:r>
      <w:r w:rsidRPr="00C37086">
        <w:t xml:space="preserve">Australian Institute of Health and Welfare. Time spent in emergency departments, 2023. Available from: </w:t>
      </w:r>
      <w:hyperlink r:id="rId57" w:history="1">
        <w:r w:rsidR="00FA727A" w:rsidRPr="005044A4">
          <w:rPr>
            <w:rStyle w:val="Hyperlink"/>
            <w:color w:val="0E57FC" w:themeColor="accent4" w:themeTint="99"/>
          </w:rPr>
          <w:t>https://myhospitalsapi.aihw.gov.au/api/v1/measure-downloads/myh-ed</w:t>
        </w:r>
      </w:hyperlink>
      <w:r w:rsidR="00FA727A" w:rsidRPr="005044A4">
        <w:rPr>
          <w:color w:val="0E57FC" w:themeColor="accent4" w:themeTint="99"/>
        </w:rPr>
        <w:t xml:space="preserve"> </w:t>
      </w:r>
    </w:p>
  </w:footnote>
  <w:footnote w:id="64">
    <w:p w14:paraId="51B83570" w14:textId="74C2E133" w:rsidR="00CE1F55" w:rsidRDefault="00CE1F55" w:rsidP="00A71C1C">
      <w:pPr>
        <w:pStyle w:val="FootnoteText"/>
        <w:spacing w:line="216" w:lineRule="auto"/>
      </w:pPr>
      <w:r>
        <w:rPr>
          <w:rStyle w:val="FootnoteReference"/>
        </w:rPr>
        <w:footnoteRef/>
      </w:r>
      <w:r>
        <w:t xml:space="preserve"> Australian Institute of Health and Welfare. Emergency department care 2020-21. Australian hospital statistics, 2021. Available from: </w:t>
      </w:r>
      <w:hyperlink r:id="rId58" w:history="1">
        <w:r w:rsidR="000F0B06" w:rsidRPr="005044A4">
          <w:rPr>
            <w:rStyle w:val="Hyperlink"/>
            <w:color w:val="0E57FC" w:themeColor="accent4" w:themeTint="99"/>
          </w:rPr>
          <w:t>https://www.aihw.gov.au/reports-data/myhospitals/sectors/emergency-department-care</w:t>
        </w:r>
      </w:hyperlink>
      <w:r w:rsidR="000F0B06" w:rsidRPr="005044A4">
        <w:rPr>
          <w:color w:val="0E57FC" w:themeColor="accent4" w:themeTint="99"/>
        </w:rPr>
        <w:t xml:space="preserve"> </w:t>
      </w:r>
      <w:r w:rsidRPr="005044A4">
        <w:rPr>
          <w:color w:val="0E57FC" w:themeColor="accent4" w:themeTint="99"/>
        </w:rPr>
        <w:t xml:space="preserve"> </w:t>
      </w:r>
    </w:p>
  </w:footnote>
  <w:footnote w:id="65">
    <w:p w14:paraId="5653BF2C" w14:textId="77777777" w:rsidR="002B32C8" w:rsidRPr="005044A4" w:rsidRDefault="002B32C8" w:rsidP="00A71C1C">
      <w:pPr>
        <w:pStyle w:val="FootnoteText"/>
        <w:spacing w:line="216" w:lineRule="auto"/>
        <w:rPr>
          <w:color w:val="0E57FC" w:themeColor="accent4" w:themeTint="99"/>
        </w:rPr>
      </w:pPr>
      <w:r>
        <w:rPr>
          <w:rStyle w:val="FootnoteReference"/>
        </w:rPr>
        <w:footnoteRef/>
      </w:r>
      <w:r>
        <w:t xml:space="preserve"> </w:t>
      </w:r>
      <w:bookmarkStart w:id="188" w:name="_Hlk148453235"/>
      <w:r>
        <w:t xml:space="preserve">Australian Institute of Health and Welfare. Elective surgery waiting times, 2022. Available from: </w:t>
      </w:r>
      <w:hyperlink r:id="rId59" w:history="1">
        <w:r w:rsidRPr="005044A4">
          <w:rPr>
            <w:rStyle w:val="Hyperlink"/>
            <w:color w:val="0E57FC" w:themeColor="accent4" w:themeTint="99"/>
          </w:rPr>
          <w:t>https://myhospitalsapi.aihw.gov.au/api/v1/measure-downloads/myh-es</w:t>
        </w:r>
      </w:hyperlink>
      <w:bookmarkEnd w:id="188"/>
      <w:r w:rsidRPr="005044A4">
        <w:rPr>
          <w:color w:val="0E57FC" w:themeColor="accent4" w:themeTint="99"/>
        </w:rPr>
        <w:t xml:space="preserve"> </w:t>
      </w:r>
    </w:p>
  </w:footnote>
  <w:footnote w:id="66">
    <w:p w14:paraId="5DB69F54" w14:textId="42D0DE5F" w:rsidR="004B0ED4" w:rsidRPr="005044A4" w:rsidRDefault="004B0ED4" w:rsidP="00A71C1C">
      <w:pPr>
        <w:pStyle w:val="FootnoteText"/>
        <w:spacing w:line="216" w:lineRule="auto"/>
        <w:rPr>
          <w:color w:val="0E57FC" w:themeColor="accent4" w:themeTint="99"/>
        </w:rPr>
      </w:pPr>
      <w:r>
        <w:rPr>
          <w:rStyle w:val="FootnoteReference"/>
        </w:rPr>
        <w:footnoteRef/>
      </w:r>
      <w:r>
        <w:t xml:space="preserve"> </w:t>
      </w:r>
      <w:r w:rsidRPr="004B0ED4">
        <w:t xml:space="preserve">Australian Institute of Health and Welfare. Time spent in emergency departments, 2023. Available from: </w:t>
      </w:r>
      <w:hyperlink r:id="rId60" w:history="1">
        <w:r w:rsidR="00FA727A" w:rsidRPr="005044A4">
          <w:rPr>
            <w:rStyle w:val="Hyperlink"/>
            <w:color w:val="0E57FC" w:themeColor="accent4" w:themeTint="99"/>
          </w:rPr>
          <w:t>https://myhospitalsapi.aihw.gov.au/api/v1/measure-downloads/myh-ed</w:t>
        </w:r>
      </w:hyperlink>
      <w:r w:rsidR="00FA727A" w:rsidRPr="005044A4">
        <w:rPr>
          <w:color w:val="0E57FC" w:themeColor="accent4" w:themeTint="99"/>
        </w:rPr>
        <w:t xml:space="preserve"> </w:t>
      </w:r>
    </w:p>
  </w:footnote>
  <w:footnote w:id="67">
    <w:p w14:paraId="11D8B971" w14:textId="68A4DCB0" w:rsidR="0069494E" w:rsidRPr="005044A4" w:rsidRDefault="0069494E" w:rsidP="00A71C1C">
      <w:pPr>
        <w:spacing w:after="0"/>
        <w:rPr>
          <w:color w:val="0E57FC" w:themeColor="accent4" w:themeTint="99"/>
          <w:sz w:val="16"/>
        </w:rPr>
      </w:pPr>
      <w:r w:rsidRPr="00613112">
        <w:rPr>
          <w:rStyle w:val="FootnoteReference"/>
          <w:sz w:val="16"/>
        </w:rPr>
        <w:footnoteRef/>
      </w:r>
      <w:r>
        <w:t xml:space="preserve"> </w:t>
      </w:r>
      <w:r w:rsidRPr="00530369">
        <w:rPr>
          <w:sz w:val="16"/>
        </w:rPr>
        <w:t>Australasian College of Emergency Medicine. Access Block</w:t>
      </w:r>
      <w:r w:rsidR="00FC2891">
        <w:rPr>
          <w:sz w:val="16"/>
        </w:rPr>
        <w:t>, 2021</w:t>
      </w:r>
      <w:r w:rsidRPr="00530369">
        <w:rPr>
          <w:sz w:val="16"/>
        </w:rPr>
        <w:t xml:space="preserve">. </w:t>
      </w:r>
      <w:r>
        <w:rPr>
          <w:sz w:val="16"/>
        </w:rPr>
        <w:t>Available</w:t>
      </w:r>
      <w:r w:rsidRPr="00530369">
        <w:rPr>
          <w:sz w:val="16"/>
        </w:rPr>
        <w:t xml:space="preserve"> from: </w:t>
      </w:r>
      <w:hyperlink r:id="rId61" w:history="1">
        <w:r w:rsidRPr="005044A4">
          <w:rPr>
            <w:rStyle w:val="Hyperlink"/>
            <w:color w:val="0E57FC" w:themeColor="accent4" w:themeTint="99"/>
            <w:sz w:val="16"/>
          </w:rPr>
          <w:t>https://acem.org.au/Content-Sources/Advancing-Emergency-Medicine/Better-Outcomes-for-Patients/Access-Block-(1)/Access-Block</w:t>
        </w:r>
      </w:hyperlink>
      <w:r w:rsidRPr="005044A4">
        <w:rPr>
          <w:color w:val="0E57FC" w:themeColor="accent4" w:themeTint="99"/>
          <w:sz w:val="16"/>
        </w:rPr>
        <w:t xml:space="preserve"> </w:t>
      </w:r>
    </w:p>
  </w:footnote>
  <w:footnote w:id="68">
    <w:p w14:paraId="17B19431" w14:textId="77777777" w:rsidR="004071C1" w:rsidRDefault="004071C1" w:rsidP="00A71C1C">
      <w:pPr>
        <w:pStyle w:val="FootnoteText"/>
        <w:spacing w:line="216" w:lineRule="auto"/>
      </w:pPr>
      <w:r>
        <w:rPr>
          <w:rStyle w:val="FootnoteReference"/>
        </w:rPr>
        <w:footnoteRef/>
      </w:r>
      <w:r>
        <w:t xml:space="preserve"> Data gathered by the National Disability Insurance Agency (NDIA) through manual collection by Health Liaison Officers (HLOs).</w:t>
      </w:r>
    </w:p>
  </w:footnote>
  <w:footnote w:id="69">
    <w:p w14:paraId="52ACD7E3" w14:textId="3BCFCE07" w:rsidR="005C66D8" w:rsidRPr="005044A4" w:rsidRDefault="005C66D8" w:rsidP="00826894">
      <w:pPr>
        <w:pStyle w:val="FootnoteText"/>
        <w:spacing w:after="60" w:line="216" w:lineRule="auto"/>
        <w:rPr>
          <w:color w:val="0E57FC" w:themeColor="accent4" w:themeTint="99"/>
        </w:rPr>
      </w:pPr>
      <w:r>
        <w:rPr>
          <w:rStyle w:val="FootnoteReference"/>
        </w:rPr>
        <w:footnoteRef/>
      </w:r>
      <w:r>
        <w:t xml:space="preserve"> </w:t>
      </w:r>
      <w:r w:rsidRPr="005C66D8">
        <w:t xml:space="preserve">Commonwealth Government of Australia. Report on Government Services, 2023. Available from: </w:t>
      </w:r>
      <w:hyperlink r:id="rId62" w:history="1">
        <w:r w:rsidRPr="005044A4">
          <w:rPr>
            <w:rStyle w:val="Hyperlink"/>
            <w:color w:val="0E57FC" w:themeColor="accent4" w:themeTint="99"/>
          </w:rPr>
          <w:t>https://www.pc.gov.au/ongoing/report-on-government-services/2023/community-services/aged-care-services/rogs-2023-partf-section14-aged-care-data-tables.xlsx</w:t>
        </w:r>
      </w:hyperlink>
      <w:r w:rsidRPr="005044A4">
        <w:rPr>
          <w:color w:val="0E57FC" w:themeColor="accent4" w:themeTint="99"/>
        </w:rPr>
        <w:t xml:space="preserve"> </w:t>
      </w:r>
    </w:p>
  </w:footnote>
  <w:footnote w:id="70">
    <w:p w14:paraId="128EDD71" w14:textId="77777777" w:rsidR="004071C1" w:rsidRPr="00BC72BD" w:rsidRDefault="004071C1" w:rsidP="00A71C1C">
      <w:pPr>
        <w:pStyle w:val="FootnoteText"/>
        <w:spacing w:after="60" w:line="216" w:lineRule="auto"/>
        <w:rPr>
          <w:color w:val="0E57FC" w:themeColor="accent4" w:themeTint="99"/>
        </w:rPr>
      </w:pPr>
      <w:r>
        <w:rPr>
          <w:rStyle w:val="FootnoteReference"/>
        </w:rPr>
        <w:footnoteRef/>
      </w:r>
      <w:r>
        <w:t xml:space="preserve"> Commonwealth Government of Australia. Report on Government Services, 2023. Available from: </w:t>
      </w:r>
      <w:hyperlink r:id="rId63" w:history="1">
        <w:r w:rsidRPr="00BC72BD">
          <w:rPr>
            <w:rStyle w:val="Hyperlink"/>
            <w:color w:val="0E57FC" w:themeColor="accent4" w:themeTint="99"/>
          </w:rPr>
          <w:t>https://www.pc.gov.au/ongoing/report-on-government-services/2023/community-services/aged-care-services/rogs-2023-partf-section14-aged-care-data-tables.xlsx</w:t>
        </w:r>
      </w:hyperlink>
      <w:r w:rsidRPr="00BC72BD">
        <w:rPr>
          <w:color w:val="0E57FC" w:themeColor="accent4" w:themeTint="99"/>
        </w:rPr>
        <w:t xml:space="preserve"> </w:t>
      </w:r>
    </w:p>
  </w:footnote>
  <w:footnote w:id="71">
    <w:p w14:paraId="0E3AB6AB" w14:textId="77777777" w:rsidR="005D0DA9" w:rsidRDefault="005D0DA9" w:rsidP="00A71C1C">
      <w:pPr>
        <w:pStyle w:val="FootnoteText"/>
        <w:spacing w:after="60" w:line="216" w:lineRule="auto"/>
      </w:pPr>
      <w:r>
        <w:rPr>
          <w:rStyle w:val="FootnoteReference"/>
        </w:rPr>
        <w:footnoteRef/>
      </w:r>
      <w:r>
        <w:t xml:space="preserve"> Australian Institute of Health and Welfare. OECD Health Care Quality and Outcomes Indicators, Australia 2021, 2022.</w:t>
      </w:r>
      <w:r w:rsidRPr="00765846">
        <w:t xml:space="preserve"> </w:t>
      </w:r>
      <w:hyperlink r:id="rId64" w:history="1">
        <w:r w:rsidRPr="00BC72BD">
          <w:rPr>
            <w:rStyle w:val="Hyperlink"/>
            <w:color w:val="0E57FC" w:themeColor="accent4" w:themeTint="99"/>
          </w:rPr>
          <w:t>https://www.aihw.gov.au/reports/international-comparisons/oecd-health-care-quality-and-outcomes-indicators-2021/contents/about</w:t>
        </w:r>
      </w:hyperlink>
      <w:r w:rsidRPr="00BC72BD">
        <w:rPr>
          <w:color w:val="0E57FC" w:themeColor="accent4" w:themeTint="99"/>
        </w:rPr>
        <w:t xml:space="preserve"> </w:t>
      </w:r>
    </w:p>
  </w:footnote>
  <w:footnote w:id="72">
    <w:p w14:paraId="7D7E6C20" w14:textId="77777777" w:rsidR="005D0DA9" w:rsidRPr="00BC72BD" w:rsidRDefault="005D0DA9" w:rsidP="00A71C1C">
      <w:pPr>
        <w:pStyle w:val="FootnoteText"/>
        <w:spacing w:after="60" w:line="216" w:lineRule="auto"/>
        <w:rPr>
          <w:color w:val="0E57FC" w:themeColor="accent4" w:themeTint="99"/>
        </w:rPr>
      </w:pPr>
      <w:r>
        <w:rPr>
          <w:rStyle w:val="FootnoteReference"/>
        </w:rPr>
        <w:footnoteRef/>
      </w:r>
      <w:r>
        <w:t xml:space="preserve"> Australian Institute of Health and Welfare. Admitted patient safety and quality, 2022. Available from: </w:t>
      </w:r>
      <w:hyperlink r:id="rId65" w:history="1">
        <w:r w:rsidRPr="00BC72BD">
          <w:rPr>
            <w:rStyle w:val="Hyperlink"/>
            <w:color w:val="0E57FC" w:themeColor="accent4" w:themeTint="99"/>
          </w:rPr>
          <w:t>https://www.aihw.gov.au/reports-data/myhospitals/intersection/quality/apc</w:t>
        </w:r>
      </w:hyperlink>
      <w:r w:rsidRPr="00BC72BD">
        <w:rPr>
          <w:color w:val="0E57FC" w:themeColor="accent4" w:themeTint="99"/>
        </w:rPr>
        <w:t xml:space="preserve"> </w:t>
      </w:r>
    </w:p>
  </w:footnote>
  <w:footnote w:id="73">
    <w:p w14:paraId="43296D06" w14:textId="01AD55E1" w:rsidR="0069494E" w:rsidRPr="00BC72BD" w:rsidRDefault="0069494E" w:rsidP="00A71C1C">
      <w:pPr>
        <w:pStyle w:val="FootnoteText"/>
        <w:spacing w:after="60" w:line="216" w:lineRule="auto"/>
        <w:rPr>
          <w:color w:val="0E57FC" w:themeColor="accent4" w:themeTint="99"/>
        </w:rPr>
      </w:pPr>
      <w:r>
        <w:rPr>
          <w:rStyle w:val="FootnoteReference"/>
        </w:rPr>
        <w:footnoteRef/>
      </w:r>
      <w:r>
        <w:t xml:space="preserve"> Australian Bureau of Statistics. Patient Experiences</w:t>
      </w:r>
      <w:r w:rsidR="00FC2891">
        <w:t>, 2022</w:t>
      </w:r>
      <w:r>
        <w:t xml:space="preserve">. Available from: </w:t>
      </w:r>
      <w:hyperlink r:id="rId66" w:history="1">
        <w:r w:rsidRPr="00BC72BD">
          <w:rPr>
            <w:rStyle w:val="Hyperlink"/>
            <w:color w:val="0E57FC" w:themeColor="accent4" w:themeTint="99"/>
          </w:rPr>
          <w:t>https://www.abs.gov.au/statistics/health/health-services/patient-experiences/latest-release</w:t>
        </w:r>
      </w:hyperlink>
      <w:r w:rsidRPr="00BC72BD">
        <w:rPr>
          <w:color w:val="0E57FC" w:themeColor="accent4" w:themeTint="99"/>
        </w:rPr>
        <w:t xml:space="preserve"> </w:t>
      </w:r>
    </w:p>
  </w:footnote>
  <w:footnote w:id="74">
    <w:p w14:paraId="27484936" w14:textId="0F77EF01" w:rsidR="0069494E" w:rsidRDefault="0069494E" w:rsidP="00A71C1C">
      <w:pPr>
        <w:pStyle w:val="FootnoteText"/>
        <w:spacing w:after="60" w:line="216" w:lineRule="auto"/>
      </w:pPr>
      <w:r>
        <w:rPr>
          <w:rStyle w:val="FootnoteReference"/>
        </w:rPr>
        <w:footnoteRef/>
      </w:r>
      <w:r>
        <w:t xml:space="preserve"> Australian Health Practitioner Regulation Agency. More practitioners than ever want to work in Australian health systems</w:t>
      </w:r>
      <w:r w:rsidR="00FC2891">
        <w:t>, 2023</w:t>
      </w:r>
      <w:r>
        <w:t xml:space="preserve">. Available from: </w:t>
      </w:r>
      <w:hyperlink r:id="rId67" w:anchor=":~:text=The%20number%20of%20registered%20medical,registration%20as%20of%20June%202023" w:history="1">
        <w:r w:rsidRPr="00BC72BD">
          <w:rPr>
            <w:rStyle w:val="Hyperlink"/>
            <w:color w:val="0E57FC" w:themeColor="accent4" w:themeTint="99"/>
          </w:rPr>
          <w:t>https://www.ahpra.gov.au/News/2023-08-17--New-workforce-data.aspx#:~:text=The%20number%20of%20registered%20medical,registration%20as%20of%20June%202023</w:t>
        </w:r>
      </w:hyperlink>
      <w:r w:rsidRPr="00BC72BD">
        <w:rPr>
          <w:color w:val="0E57FC" w:themeColor="accent4" w:themeTint="99"/>
        </w:rPr>
        <w:t xml:space="preserve">. </w:t>
      </w:r>
    </w:p>
  </w:footnote>
  <w:footnote w:id="75">
    <w:p w14:paraId="79D860A6" w14:textId="173F23F9" w:rsidR="004B5C2C" w:rsidRDefault="004B5C2C" w:rsidP="00A71C1C">
      <w:pPr>
        <w:pStyle w:val="FootnoteText"/>
        <w:spacing w:after="60" w:line="216" w:lineRule="auto"/>
      </w:pPr>
      <w:r>
        <w:rPr>
          <w:rStyle w:val="FootnoteReference"/>
        </w:rPr>
        <w:footnoteRef/>
      </w:r>
      <w:r>
        <w:t xml:space="preserve"> </w:t>
      </w:r>
      <w:hyperlink r:id="rId68" w:anchor="experience-with-health-professionals" w:history="1">
        <w:r w:rsidR="00FA727A" w:rsidRPr="00BC72BD">
          <w:rPr>
            <w:rStyle w:val="Hyperlink"/>
            <w:color w:val="0E57FC" w:themeColor="accent4" w:themeTint="99"/>
          </w:rPr>
          <w:t>https://www.abs.gov.au/statistics/health/health-services/patient-experiences/latest-release#experience-with-health-professionals</w:t>
        </w:r>
      </w:hyperlink>
      <w:r w:rsidR="00FA727A" w:rsidRPr="00BC72BD">
        <w:rPr>
          <w:color w:val="0E57FC" w:themeColor="accent4" w:themeTint="99"/>
        </w:rPr>
        <w:t xml:space="preserve"> </w:t>
      </w:r>
    </w:p>
  </w:footnote>
  <w:footnote w:id="76">
    <w:p w14:paraId="37F32DA7" w14:textId="77777777" w:rsidR="00E86922" w:rsidRDefault="00E86922" w:rsidP="00A71C1C">
      <w:pPr>
        <w:pStyle w:val="FootnoteText"/>
        <w:spacing w:after="60" w:line="216" w:lineRule="auto"/>
      </w:pPr>
      <w:r>
        <w:rPr>
          <w:rStyle w:val="FootnoteReference"/>
        </w:rPr>
        <w:footnoteRef/>
      </w:r>
      <w:r>
        <w:t xml:space="preserve"> Commonwealth Department of Health. National Medical Workforce Strategy: 2021-31 Investing in our medical workforce to meet Australia’s health needs, 2021. Available from: </w:t>
      </w:r>
      <w:hyperlink r:id="rId69" w:history="1">
        <w:r w:rsidRPr="00BC72BD">
          <w:rPr>
            <w:rStyle w:val="Hyperlink"/>
            <w:color w:val="0E57FC" w:themeColor="accent4" w:themeTint="99"/>
          </w:rPr>
          <w:t>https://www.health.gov.au/sites/default/files/documents/2022/03/national-medical-workforce-strategy-2021-2031.pdf</w:t>
        </w:r>
      </w:hyperlink>
      <w:r w:rsidRPr="00BC72BD">
        <w:rPr>
          <w:color w:val="0E57FC" w:themeColor="accent4" w:themeTint="99"/>
        </w:rPr>
        <w:t xml:space="preserve"> </w:t>
      </w:r>
    </w:p>
  </w:footnote>
  <w:footnote w:id="77">
    <w:p w14:paraId="072B2DD2" w14:textId="77777777" w:rsidR="00E86922" w:rsidRDefault="00E86922" w:rsidP="00A71C1C">
      <w:pPr>
        <w:pStyle w:val="FootnoteText"/>
        <w:spacing w:after="60" w:line="216" w:lineRule="auto"/>
      </w:pPr>
      <w:r>
        <w:rPr>
          <w:rStyle w:val="FootnoteReference"/>
        </w:rPr>
        <w:footnoteRef/>
      </w:r>
      <w:r>
        <w:t xml:space="preserve"> Medical Deans Australia and New Zealand, ‘National Data Report 2020: 2015–2019 data from final year students at Australian medical schools’, Medical Deans Australia and New Zealand website.</w:t>
      </w:r>
      <w:r w:rsidRPr="00C432CA">
        <w:rPr>
          <w:noProof/>
          <w:sz w:val="20"/>
        </w:rPr>
        <w:t xml:space="preserve"> </w:t>
      </w:r>
    </w:p>
  </w:footnote>
  <w:footnote w:id="78">
    <w:p w14:paraId="04849C22" w14:textId="737740B6" w:rsidR="00910BD0" w:rsidRPr="00BC72BD" w:rsidRDefault="00910BD0" w:rsidP="00A71C1C">
      <w:pPr>
        <w:pStyle w:val="FootnoteText"/>
        <w:spacing w:after="60" w:line="216" w:lineRule="auto"/>
        <w:rPr>
          <w:color w:val="0E57FC" w:themeColor="accent4" w:themeTint="99"/>
        </w:rPr>
      </w:pPr>
      <w:r>
        <w:rPr>
          <w:rStyle w:val="FootnoteReference"/>
        </w:rPr>
        <w:footnoteRef/>
      </w:r>
      <w:r>
        <w:t xml:space="preserve"> </w:t>
      </w:r>
      <w:r w:rsidRPr="00910BD0">
        <w:t xml:space="preserve">Commonwealth Department of Health. National Medical Workforce Strategy: 2021-31 Investing in our medical workforce to meet Australia’s health needs, 2021. Available from: </w:t>
      </w:r>
      <w:hyperlink r:id="rId70" w:history="1">
        <w:r w:rsidR="00FA727A" w:rsidRPr="00BC72BD">
          <w:rPr>
            <w:rStyle w:val="Hyperlink"/>
            <w:color w:val="0E57FC" w:themeColor="accent4" w:themeTint="99"/>
          </w:rPr>
          <w:t>https://www.health.gov.au/sites/default/files/documents/2022/03/national-medical-workforce-strategy-2021-2031.pdf</w:t>
        </w:r>
      </w:hyperlink>
      <w:r w:rsidR="00FA727A" w:rsidRPr="00BC72BD">
        <w:rPr>
          <w:color w:val="0E57FC" w:themeColor="accent4" w:themeTint="99"/>
        </w:rPr>
        <w:t xml:space="preserve"> </w:t>
      </w:r>
    </w:p>
  </w:footnote>
  <w:footnote w:id="79">
    <w:p w14:paraId="1E899613" w14:textId="77777777" w:rsidR="00E86922" w:rsidRDefault="00E86922" w:rsidP="00A71C1C">
      <w:pPr>
        <w:pStyle w:val="FootnoteText"/>
        <w:spacing w:after="60" w:line="216" w:lineRule="auto"/>
      </w:pPr>
      <w:r>
        <w:rPr>
          <w:rStyle w:val="FootnoteReference"/>
        </w:rPr>
        <w:footnoteRef/>
      </w:r>
      <w:r>
        <w:t xml:space="preserve"> Australian Government Department of Health and Aged Care. National Health Workforce Data Tool Data selected: Number of practitioners by primary specialty in labour force in Australia 2013 to 2020, 2020.</w:t>
      </w:r>
    </w:p>
  </w:footnote>
  <w:footnote w:id="80">
    <w:p w14:paraId="76D2E55F" w14:textId="392A3810" w:rsidR="0069494E" w:rsidRPr="00BC72BD" w:rsidRDefault="0069494E" w:rsidP="00A71C1C">
      <w:pPr>
        <w:pStyle w:val="FootnoteText"/>
        <w:spacing w:after="60" w:line="216" w:lineRule="auto"/>
        <w:rPr>
          <w:color w:val="0E57FC" w:themeColor="accent4" w:themeTint="99"/>
        </w:rPr>
      </w:pPr>
      <w:r>
        <w:rPr>
          <w:rStyle w:val="FootnoteReference"/>
        </w:rPr>
        <w:footnoteRef/>
      </w:r>
      <w:r>
        <w:t xml:space="preserve"> National Skills Commission. Projecting employment to 2026 [Insights]</w:t>
      </w:r>
      <w:r w:rsidR="00FC2891">
        <w:t>, 2022</w:t>
      </w:r>
      <w:r>
        <w:t xml:space="preserve">. Available from: </w:t>
      </w:r>
      <w:hyperlink r:id="rId71" w:history="1">
        <w:r w:rsidRPr="00BC72BD">
          <w:rPr>
            <w:rStyle w:val="Hyperlink"/>
            <w:color w:val="0E57FC" w:themeColor="accent4" w:themeTint="99"/>
          </w:rPr>
          <w:t>https://labourmarketinsights.gov.au/industries/industry-details?industryCode=Q</w:t>
        </w:r>
      </w:hyperlink>
      <w:r w:rsidRPr="00BC72BD">
        <w:rPr>
          <w:color w:val="0E57FC" w:themeColor="accent4" w:themeTint="99"/>
        </w:rPr>
        <w:t xml:space="preserve"> </w:t>
      </w:r>
    </w:p>
  </w:footnote>
  <w:footnote w:id="81">
    <w:p w14:paraId="13B66939" w14:textId="3EF9FB15" w:rsidR="0069494E" w:rsidRDefault="0069494E" w:rsidP="00A71C1C">
      <w:pPr>
        <w:pStyle w:val="FootnoteText"/>
        <w:spacing w:after="60" w:line="216" w:lineRule="auto"/>
      </w:pPr>
      <w:r>
        <w:rPr>
          <w:rStyle w:val="FootnoteReference"/>
        </w:rPr>
        <w:footnoteRef/>
      </w:r>
      <w:r>
        <w:t xml:space="preserve"> National Skills Commission. Care Workforce Labour Market Study</w:t>
      </w:r>
      <w:r w:rsidR="00FC2891">
        <w:t>, 2021</w:t>
      </w:r>
      <w:r>
        <w:t xml:space="preserve">. Available from: </w:t>
      </w:r>
      <w:hyperlink r:id="rId72" w:history="1">
        <w:r w:rsidRPr="00BC72BD">
          <w:rPr>
            <w:rStyle w:val="Hyperlink"/>
            <w:color w:val="0E57FC" w:themeColor="accent4" w:themeTint="99"/>
          </w:rPr>
          <w:t>https://www.nationalskillscommission.gov.au/sites/default/files/2022-10/Care%20Workforce%20Labour%20Market%20Study.pdf</w:t>
        </w:r>
      </w:hyperlink>
      <w:r w:rsidRPr="00BC72BD">
        <w:rPr>
          <w:color w:val="0E57FC" w:themeColor="accent4" w:themeTint="99"/>
        </w:rPr>
        <w:t xml:space="preserve"> </w:t>
      </w:r>
    </w:p>
  </w:footnote>
  <w:footnote w:id="82">
    <w:p w14:paraId="63B78DC6" w14:textId="77777777" w:rsidR="00F862A4" w:rsidRPr="00BC72BD" w:rsidRDefault="00F862A4" w:rsidP="00A71C1C">
      <w:pPr>
        <w:pStyle w:val="FootnoteText"/>
        <w:spacing w:after="60" w:line="216" w:lineRule="auto"/>
        <w:rPr>
          <w:color w:val="0E57FC" w:themeColor="accent4" w:themeTint="99"/>
        </w:rPr>
      </w:pPr>
      <w:r>
        <w:rPr>
          <w:rStyle w:val="FootnoteReference"/>
        </w:rPr>
        <w:footnoteRef/>
      </w:r>
      <w:r>
        <w:t xml:space="preserve"> Australian Institute of Health and Welfare. Rural and remote health, 2022. Available from: </w:t>
      </w:r>
      <w:hyperlink r:id="rId73" w:history="1">
        <w:r w:rsidRPr="00BC72BD">
          <w:rPr>
            <w:rStyle w:val="Hyperlink"/>
            <w:color w:val="0E57FC" w:themeColor="accent4" w:themeTint="99"/>
          </w:rPr>
          <w:t>https://www.aihw.gov.au/reports/rural-remote-australians/rural-and-remote-health</w:t>
        </w:r>
      </w:hyperlink>
      <w:r w:rsidRPr="00BC72BD">
        <w:rPr>
          <w:color w:val="0E57FC" w:themeColor="accent4" w:themeTint="99"/>
        </w:rPr>
        <w:t xml:space="preserve"> </w:t>
      </w:r>
    </w:p>
  </w:footnote>
  <w:footnote w:id="83">
    <w:p w14:paraId="13C6D434" w14:textId="77777777" w:rsidR="00F862A4" w:rsidRPr="00BC72BD" w:rsidRDefault="00F862A4" w:rsidP="00A71C1C">
      <w:pPr>
        <w:pStyle w:val="FootnoteText"/>
        <w:spacing w:after="60" w:line="216" w:lineRule="auto"/>
        <w:rPr>
          <w:color w:val="0E57FC" w:themeColor="accent4" w:themeTint="99"/>
        </w:rPr>
      </w:pPr>
      <w:r>
        <w:rPr>
          <w:rStyle w:val="FootnoteReference"/>
        </w:rPr>
        <w:footnoteRef/>
      </w:r>
      <w:r>
        <w:t xml:space="preserve"> Australian Government Department of Health and Aged Care. Rural Health Workforce, 2021. Available from: </w:t>
      </w:r>
      <w:hyperlink r:id="rId74" w:anchor="australias-rural-health-workforce" w:history="1">
        <w:r w:rsidRPr="00BC72BD">
          <w:rPr>
            <w:rStyle w:val="Hyperlink"/>
            <w:color w:val="0E57FC" w:themeColor="accent4" w:themeTint="99"/>
          </w:rPr>
          <w:t>https://www.health.gov.au/topics/rural-health-workforce/about#australias-rural-health-workforce</w:t>
        </w:r>
      </w:hyperlink>
      <w:r w:rsidRPr="00BC72BD">
        <w:rPr>
          <w:color w:val="0E57FC" w:themeColor="accent4" w:themeTint="99"/>
        </w:rPr>
        <w:t xml:space="preserve"> </w:t>
      </w:r>
    </w:p>
  </w:footnote>
  <w:footnote w:id="84">
    <w:p w14:paraId="4DC77840" w14:textId="77777777" w:rsidR="00F862A4" w:rsidRDefault="00F862A4" w:rsidP="00A71C1C">
      <w:pPr>
        <w:spacing w:after="60"/>
      </w:pPr>
      <w:r w:rsidRPr="00441A72">
        <w:rPr>
          <w:rStyle w:val="FootnoteReference"/>
          <w:sz w:val="16"/>
        </w:rPr>
        <w:footnoteRef/>
      </w:r>
      <w:r w:rsidRPr="00441A72">
        <w:rPr>
          <w:rStyle w:val="FootnoteReference"/>
          <w:sz w:val="16"/>
        </w:rPr>
        <w:t xml:space="preserve"> </w:t>
      </w:r>
      <w:r w:rsidRPr="00376E9B">
        <w:rPr>
          <w:sz w:val="16"/>
        </w:rPr>
        <w:t>Tomaschek, Rebecca, et al.</w:t>
      </w:r>
      <w:r>
        <w:rPr>
          <w:sz w:val="16"/>
        </w:rPr>
        <w:t xml:space="preserve"> </w:t>
      </w:r>
      <w:r w:rsidRPr="00376E9B">
        <w:rPr>
          <w:sz w:val="16"/>
        </w:rPr>
        <w:t>"Improvement strategies for the challenging collaboration of general practitioners and specialists for patients with complex chronic conditions: a scoping review." International Journal of Integrated Care 22.3</w:t>
      </w:r>
      <w:r>
        <w:rPr>
          <w:sz w:val="16"/>
        </w:rPr>
        <w:t>, 2022.</w:t>
      </w:r>
    </w:p>
  </w:footnote>
  <w:footnote w:id="85">
    <w:p w14:paraId="785D1347" w14:textId="77777777" w:rsidR="00F862A4" w:rsidRPr="0023291E" w:rsidRDefault="00F862A4" w:rsidP="00A71C1C">
      <w:pPr>
        <w:spacing w:after="60"/>
        <w:rPr>
          <w:sz w:val="16"/>
        </w:rPr>
      </w:pPr>
      <w:r w:rsidRPr="00441A72">
        <w:rPr>
          <w:rStyle w:val="FootnoteReference"/>
          <w:sz w:val="16"/>
        </w:rPr>
        <w:footnoteRef/>
      </w:r>
      <w:r>
        <w:t xml:space="preserve"> </w:t>
      </w:r>
      <w:r w:rsidRPr="0023291E">
        <w:rPr>
          <w:sz w:val="16"/>
        </w:rPr>
        <w:t>Breadon, P., Romanes, D., Fox, L., Bolton, J., and Richardson, L.. A new Medicare: Strengthening general practice. Grattan Institute</w:t>
      </w:r>
      <w:r>
        <w:rPr>
          <w:sz w:val="16"/>
        </w:rPr>
        <w:t>, 2022</w:t>
      </w:r>
      <w:r w:rsidRPr="0023291E">
        <w:rPr>
          <w:sz w:val="16"/>
        </w:rPr>
        <w:t>.</w:t>
      </w:r>
    </w:p>
  </w:footnote>
  <w:footnote w:id="86">
    <w:p w14:paraId="25B97771" w14:textId="77777777" w:rsidR="00F862A4" w:rsidRDefault="00F862A4" w:rsidP="00A71C1C">
      <w:pPr>
        <w:pStyle w:val="FootnoteText"/>
        <w:spacing w:after="60" w:line="216" w:lineRule="auto"/>
      </w:pPr>
      <w:r>
        <w:rPr>
          <w:rStyle w:val="FootnoteReference"/>
        </w:rPr>
        <w:footnoteRef/>
      </w:r>
      <w:r>
        <w:t xml:space="preserve"> Australian Medical Association. The general practitioner workforce: why the neglect must end, 2022. </w:t>
      </w:r>
    </w:p>
  </w:footnote>
  <w:footnote w:id="87">
    <w:p w14:paraId="62CC6E33" w14:textId="77777777" w:rsidR="00A460F6" w:rsidRDefault="00A460F6" w:rsidP="00A71C1C">
      <w:pPr>
        <w:pStyle w:val="FootnoteText"/>
        <w:spacing w:after="60" w:line="216" w:lineRule="auto"/>
      </w:pPr>
      <w:r>
        <w:rPr>
          <w:rStyle w:val="FootnoteReference"/>
        </w:rPr>
        <w:footnoteRef/>
      </w:r>
      <w:r>
        <w:t xml:space="preserve"> Medical Deans Australia and New Zealand – Medical Schools Outcomes Database National Data Report, July 2023</w:t>
      </w:r>
    </w:p>
  </w:footnote>
  <w:footnote w:id="88">
    <w:p w14:paraId="2340FD92" w14:textId="13096FC3" w:rsidR="0069494E" w:rsidRPr="00BC72BD" w:rsidRDefault="0069494E" w:rsidP="00A71C1C">
      <w:pPr>
        <w:pStyle w:val="FootnoteText"/>
        <w:spacing w:after="60" w:line="216" w:lineRule="auto"/>
        <w:rPr>
          <w:color w:val="0E57FC" w:themeColor="accent4" w:themeTint="99"/>
        </w:rPr>
      </w:pPr>
      <w:r>
        <w:rPr>
          <w:rStyle w:val="FootnoteReference"/>
        </w:rPr>
        <w:footnoteRef/>
      </w:r>
      <w:r>
        <w:t xml:space="preserve"> Australian Government Department of Health and Aged Care. National Nursing Workforce Strategy</w:t>
      </w:r>
      <w:r w:rsidR="00FC2891">
        <w:t>, 2023</w:t>
      </w:r>
      <w:r>
        <w:t xml:space="preserve">. Available from: </w:t>
      </w:r>
      <w:hyperlink r:id="rId75" w:history="1">
        <w:r w:rsidRPr="00BC72BD">
          <w:rPr>
            <w:rStyle w:val="Hyperlink"/>
            <w:color w:val="0E57FC" w:themeColor="accent4" w:themeTint="99"/>
          </w:rPr>
          <w:t>https://www.health.gov.au/our-work/national-nursing-workforce-strategy</w:t>
        </w:r>
      </w:hyperlink>
      <w:r w:rsidRPr="00BC72BD">
        <w:rPr>
          <w:color w:val="0E57FC" w:themeColor="accent4" w:themeTint="99"/>
        </w:rPr>
        <w:t xml:space="preserve"> </w:t>
      </w:r>
    </w:p>
  </w:footnote>
  <w:footnote w:id="89">
    <w:p w14:paraId="4006254B" w14:textId="77777777" w:rsidR="00000F68" w:rsidRDefault="00000F68" w:rsidP="00A71C1C">
      <w:pPr>
        <w:pStyle w:val="FootnoteText"/>
        <w:spacing w:after="60" w:line="216" w:lineRule="auto"/>
      </w:pPr>
      <w:r>
        <w:rPr>
          <w:rStyle w:val="FootnoteReference"/>
        </w:rPr>
        <w:footnoteRef/>
      </w:r>
      <w:r>
        <w:t xml:space="preserve"> IHACPA National Efficient Price Determination Reports and Australian Bureau of Statistics Quarterly Consumer Price Index releases</w:t>
      </w:r>
    </w:p>
  </w:footnote>
  <w:footnote w:id="90">
    <w:p w14:paraId="46D18803" w14:textId="77777777" w:rsidR="00000F68" w:rsidRDefault="00000F68" w:rsidP="00A71C1C">
      <w:pPr>
        <w:pStyle w:val="FootnoteText"/>
        <w:spacing w:after="60" w:line="216" w:lineRule="auto"/>
      </w:pPr>
      <w:r>
        <w:rPr>
          <w:rStyle w:val="FootnoteReference"/>
        </w:rPr>
        <w:footnoteRef/>
      </w:r>
      <w:r>
        <w:t xml:space="preserve"> Productivity Commission Report on Government Services 2023, National Health Funding Body Hospital Funding Reports 2012-22.</w:t>
      </w:r>
    </w:p>
  </w:footnote>
  <w:footnote w:id="91">
    <w:p w14:paraId="6F5BA5CA" w14:textId="77777777" w:rsidR="00000F68" w:rsidRDefault="00000F68" w:rsidP="00A71C1C">
      <w:pPr>
        <w:pStyle w:val="FootnoteText"/>
        <w:spacing w:after="60" w:line="216" w:lineRule="auto"/>
      </w:pPr>
      <w:r>
        <w:rPr>
          <w:rStyle w:val="FootnoteReference"/>
        </w:rPr>
        <w:footnoteRef/>
      </w:r>
      <w:r>
        <w:t xml:space="preserve"> Analysis based on information from AIHW Admitted Patient Care data, AIHW Hospital Resource Tables, and NHFB Hospital Funding Reports.</w:t>
      </w:r>
    </w:p>
  </w:footnote>
  <w:footnote w:id="92">
    <w:p w14:paraId="6373EC60" w14:textId="3DB2F338" w:rsidR="0069494E" w:rsidRDefault="0069494E" w:rsidP="00A71C1C">
      <w:pPr>
        <w:pStyle w:val="FootnoteText"/>
        <w:spacing w:after="60" w:line="216" w:lineRule="auto"/>
      </w:pPr>
      <w:r>
        <w:rPr>
          <w:rStyle w:val="FootnoteReference"/>
        </w:rPr>
        <w:footnoteRef/>
      </w:r>
      <w:r>
        <w:t xml:space="preserve"> Appleby J., T Harrison, et al. Payments by Results: How can payment systems help to deliver better care? London; The Kings Fund</w:t>
      </w:r>
      <w:r w:rsidR="00FC2891">
        <w:t>, 2012</w:t>
      </w:r>
      <w:r>
        <w:t>.</w:t>
      </w:r>
    </w:p>
  </w:footnote>
  <w:footnote w:id="93">
    <w:p w14:paraId="5B6FD5CD" w14:textId="77777777" w:rsidR="003827CF" w:rsidRPr="00BC72BD" w:rsidRDefault="003827CF" w:rsidP="00A71C1C">
      <w:pPr>
        <w:pStyle w:val="FootnoteText"/>
        <w:spacing w:after="60" w:line="216" w:lineRule="auto"/>
        <w:rPr>
          <w:color w:val="0E57FC" w:themeColor="accent4" w:themeTint="99"/>
        </w:rPr>
      </w:pPr>
      <w:r>
        <w:rPr>
          <w:rStyle w:val="FootnoteReference"/>
        </w:rPr>
        <w:footnoteRef/>
      </w:r>
      <w:r>
        <w:t xml:space="preserve"> Australian Commonwealth Government. National Partnership on COVID-19 Response, 2020. Available from: </w:t>
      </w:r>
      <w:hyperlink r:id="rId76" w:history="1">
        <w:r w:rsidRPr="00BC72BD">
          <w:rPr>
            <w:rStyle w:val="Hyperlink"/>
            <w:color w:val="0E57FC" w:themeColor="accent4" w:themeTint="99"/>
          </w:rPr>
          <w:t>https://federalfinancialrelations.gov.au</w:t>
        </w:r>
        <w:bookmarkStart w:id="200" w:name="_Hlt146792434"/>
        <w:bookmarkStart w:id="201" w:name="_Hlt146792435"/>
        <w:r w:rsidRPr="00BC72BD">
          <w:rPr>
            <w:rStyle w:val="Hyperlink"/>
            <w:color w:val="0E57FC" w:themeColor="accent4" w:themeTint="99"/>
          </w:rPr>
          <w:t>/</w:t>
        </w:r>
        <w:bookmarkEnd w:id="200"/>
        <w:bookmarkEnd w:id="201"/>
        <w:r w:rsidRPr="00BC72BD">
          <w:rPr>
            <w:rStyle w:val="Hyperlink"/>
            <w:color w:val="0E57FC" w:themeColor="accent4" w:themeTint="99"/>
          </w:rPr>
          <w:t>sites/federalfinancialrelations.gov.au/files/2021-04/covid-19_response_vaccine_amendment_schedule.pdf</w:t>
        </w:r>
      </w:hyperlink>
      <w:r w:rsidRPr="00BC72BD">
        <w:rPr>
          <w:color w:val="0E57FC" w:themeColor="accent4" w:themeTint="99"/>
        </w:rPr>
        <w:t xml:space="preserve"> </w:t>
      </w:r>
    </w:p>
  </w:footnote>
  <w:footnote w:id="94">
    <w:p w14:paraId="6C6A12A1" w14:textId="77777777" w:rsidR="003827CF" w:rsidRDefault="003827CF" w:rsidP="00A71C1C">
      <w:pPr>
        <w:pStyle w:val="FootnoteText"/>
        <w:spacing w:after="60" w:line="216" w:lineRule="auto"/>
      </w:pPr>
      <w:r>
        <w:rPr>
          <w:rStyle w:val="FootnoteReference"/>
        </w:rPr>
        <w:footnoteRef/>
      </w:r>
      <w:r>
        <w:t xml:space="preserve"> Australian Institute of Health and Welfare. COVID-19: looking back on health in 2020, 2021.</w:t>
      </w:r>
    </w:p>
  </w:footnote>
  <w:footnote w:id="95">
    <w:p w14:paraId="3C599FAD" w14:textId="77777777" w:rsidR="003827CF" w:rsidRPr="00BC72BD" w:rsidRDefault="003827CF" w:rsidP="00A71C1C">
      <w:pPr>
        <w:pStyle w:val="FootnoteText"/>
        <w:spacing w:after="60" w:line="216" w:lineRule="auto"/>
        <w:rPr>
          <w:color w:val="0E57FC" w:themeColor="accent4" w:themeTint="99"/>
        </w:rPr>
      </w:pPr>
      <w:r>
        <w:rPr>
          <w:rStyle w:val="FootnoteReference"/>
        </w:rPr>
        <w:footnoteRef/>
      </w:r>
      <w:r>
        <w:t xml:space="preserve"> Australian Institute of Health and Welfare. Admitted patient activity, 2023. Available from: </w:t>
      </w:r>
      <w:hyperlink r:id="rId77" w:history="1">
        <w:r w:rsidRPr="00BC72BD">
          <w:rPr>
            <w:rStyle w:val="Hyperlink"/>
            <w:color w:val="0E57FC" w:themeColor="accent4" w:themeTint="99"/>
          </w:rPr>
          <w:t>https://www.aihw.gov.au/reports-data/myhospitals/intersection/activity/apc</w:t>
        </w:r>
      </w:hyperlink>
      <w:r w:rsidRPr="00BC72BD">
        <w:rPr>
          <w:color w:val="0E57FC" w:themeColor="accent4" w:themeTint="99"/>
        </w:rPr>
        <w:t xml:space="preserve"> </w:t>
      </w:r>
    </w:p>
  </w:footnote>
  <w:footnote w:id="96">
    <w:p w14:paraId="554F8CFC" w14:textId="77777777" w:rsidR="003827CF" w:rsidRPr="00BC72BD" w:rsidRDefault="003827CF" w:rsidP="00A71C1C">
      <w:pPr>
        <w:pStyle w:val="FootnoteText"/>
        <w:spacing w:after="60" w:line="216" w:lineRule="auto"/>
        <w:rPr>
          <w:color w:val="0E57FC" w:themeColor="accent4" w:themeTint="99"/>
        </w:rPr>
      </w:pPr>
      <w:r>
        <w:rPr>
          <w:rStyle w:val="FootnoteReference"/>
        </w:rPr>
        <w:footnoteRef/>
      </w:r>
      <w:r>
        <w:t xml:space="preserve"> Australian Institute of health and Welfare. Emergency department care activity, 2023. Available from: </w:t>
      </w:r>
      <w:hyperlink r:id="rId78" w:history="1">
        <w:r w:rsidRPr="00BC72BD">
          <w:rPr>
            <w:rStyle w:val="Hyperlink"/>
            <w:color w:val="0E57FC" w:themeColor="accent4" w:themeTint="99"/>
          </w:rPr>
          <w:t>https://www.aihw.gov.au/reports-data/myhospitals/intersection/activity/ed</w:t>
        </w:r>
      </w:hyperlink>
      <w:r w:rsidRPr="00BC72BD">
        <w:rPr>
          <w:color w:val="0E57FC" w:themeColor="accent4" w:themeTint="99"/>
        </w:rPr>
        <w:t xml:space="preserve"> </w:t>
      </w:r>
    </w:p>
  </w:footnote>
  <w:footnote w:id="97">
    <w:p w14:paraId="67E070EB" w14:textId="77777777" w:rsidR="003827CF" w:rsidRPr="00BC72BD" w:rsidRDefault="003827CF" w:rsidP="00A71C1C">
      <w:pPr>
        <w:pStyle w:val="FootnoteText"/>
        <w:spacing w:after="60" w:line="216" w:lineRule="auto"/>
        <w:rPr>
          <w:color w:val="0E57FC" w:themeColor="accent4" w:themeTint="99"/>
        </w:rPr>
      </w:pPr>
      <w:r>
        <w:rPr>
          <w:rStyle w:val="FootnoteReference"/>
        </w:rPr>
        <w:footnoteRef/>
      </w:r>
      <w:r>
        <w:t xml:space="preserve"> Australian Institute of Health and Welfare. Elective surgery activity, 2023. Available from: </w:t>
      </w:r>
      <w:hyperlink r:id="rId79" w:history="1">
        <w:r w:rsidRPr="00BC72BD">
          <w:rPr>
            <w:rStyle w:val="Hyperlink"/>
            <w:color w:val="0E57FC" w:themeColor="accent4" w:themeTint="99"/>
          </w:rPr>
          <w:t>https://www.aihw.gov.au/reports-data/myhospitals/intersection/activity/eswt</w:t>
        </w:r>
      </w:hyperlink>
      <w:r w:rsidRPr="00BC72BD">
        <w:rPr>
          <w:color w:val="0E57FC" w:themeColor="accent4" w:themeTint="99"/>
        </w:rPr>
        <w:t xml:space="preserve"> </w:t>
      </w:r>
    </w:p>
  </w:footnote>
  <w:footnote w:id="98">
    <w:p w14:paraId="2858CB41" w14:textId="7452D088" w:rsidR="003827CF" w:rsidRPr="00BC72BD" w:rsidRDefault="003827CF" w:rsidP="00A71C1C">
      <w:pPr>
        <w:pStyle w:val="FootnoteText"/>
        <w:spacing w:after="60" w:line="216" w:lineRule="auto"/>
        <w:rPr>
          <w:color w:val="0E57FC" w:themeColor="accent4" w:themeTint="99"/>
        </w:rPr>
      </w:pPr>
      <w:r>
        <w:rPr>
          <w:rStyle w:val="FootnoteReference"/>
        </w:rPr>
        <w:footnoteRef/>
      </w:r>
      <w:r>
        <w:t xml:space="preserve"> </w:t>
      </w:r>
      <w:r w:rsidRPr="0083466A">
        <w:t xml:space="preserve">Australian Institute of Health and Welfare (2023). Elective surgery activity. Available from: </w:t>
      </w:r>
      <w:hyperlink r:id="rId80" w:history="1">
        <w:r w:rsidR="00A71C1C" w:rsidRPr="00BC72BD">
          <w:rPr>
            <w:rStyle w:val="Hyperlink"/>
            <w:color w:val="0E57FC" w:themeColor="accent4" w:themeTint="99"/>
          </w:rPr>
          <w:t>https://www.aihw.gov.au/reports-data/myhospitals/intersection/activity/eswt</w:t>
        </w:r>
      </w:hyperlink>
      <w:r w:rsidR="00A71C1C" w:rsidRPr="00BC72BD">
        <w:rPr>
          <w:color w:val="0E57FC" w:themeColor="accent4" w:themeTint="99"/>
        </w:rPr>
        <w:t xml:space="preserve"> </w:t>
      </w:r>
    </w:p>
  </w:footnote>
  <w:footnote w:id="99">
    <w:p w14:paraId="4E8BB6C4" w14:textId="0FF5429C" w:rsidR="001E0276" w:rsidRDefault="001E0276" w:rsidP="00A71C1C">
      <w:pPr>
        <w:pStyle w:val="FootnoteText"/>
        <w:spacing w:after="60" w:line="216" w:lineRule="auto"/>
      </w:pPr>
      <w:r>
        <w:rPr>
          <w:rStyle w:val="FootnoteReference"/>
        </w:rPr>
        <w:footnoteRef/>
      </w:r>
      <w:r>
        <w:t xml:space="preserve"> Clause</w:t>
      </w:r>
      <w:r w:rsidR="006E5568">
        <w:t xml:space="preserve"> 1a of the </w:t>
      </w:r>
      <w:r w:rsidR="00725EB6">
        <w:t xml:space="preserve">NHRA </w:t>
      </w:r>
      <w:r w:rsidR="006E5568">
        <w:t>Addendum</w:t>
      </w:r>
    </w:p>
  </w:footnote>
  <w:footnote w:id="100">
    <w:p w14:paraId="5B7F0704" w14:textId="5C22E963" w:rsidR="00E24A70" w:rsidRDefault="00E24A70" w:rsidP="00A71C1C">
      <w:pPr>
        <w:pStyle w:val="FootnoteText"/>
        <w:spacing w:after="60" w:line="216" w:lineRule="auto"/>
      </w:pPr>
      <w:r>
        <w:rPr>
          <w:rStyle w:val="FootnoteReference"/>
        </w:rPr>
        <w:footnoteRef/>
      </w:r>
      <w:r>
        <w:t xml:space="preserve"> </w:t>
      </w:r>
      <w:r w:rsidR="00725EB6">
        <w:t xml:space="preserve">Administrator National Health Funding Pool. National Health Funding Pool Annual Report 2021-22, 2022. Available from: </w:t>
      </w:r>
      <w:hyperlink r:id="rId81" w:history="1">
        <w:r w:rsidR="00725EB6" w:rsidRPr="00BC72BD">
          <w:rPr>
            <w:rStyle w:val="Hyperlink"/>
            <w:color w:val="0E57FC" w:themeColor="accent4" w:themeTint="99"/>
          </w:rPr>
          <w:t>https://www.publichospitalfunding.gov.au/sites/default/files/images/documents/nhfp_annual_report_2021-22.pdf</w:t>
        </w:r>
      </w:hyperlink>
      <w:r w:rsidRPr="00E24A70">
        <w:t>, pages 24</w:t>
      </w:r>
    </w:p>
  </w:footnote>
  <w:footnote w:id="101">
    <w:p w14:paraId="5DA45A07" w14:textId="77777777" w:rsidR="00AD4C09" w:rsidRPr="00BC72BD" w:rsidRDefault="00AD4C09" w:rsidP="00A71C1C">
      <w:pPr>
        <w:pStyle w:val="FootnoteText"/>
        <w:spacing w:after="60" w:line="216" w:lineRule="auto"/>
        <w:rPr>
          <w:color w:val="0E57FC" w:themeColor="accent4" w:themeTint="99"/>
        </w:rPr>
      </w:pPr>
      <w:r>
        <w:rPr>
          <w:rStyle w:val="FootnoteReference"/>
        </w:rPr>
        <w:footnoteRef/>
      </w:r>
      <w:r>
        <w:t xml:space="preserve"> </w:t>
      </w:r>
      <w:bookmarkStart w:id="212" w:name="_Hlk146792691"/>
      <w:r w:rsidRPr="004A67D1">
        <w:t>Australian Bureau of Statistics. Health Conditions Prevalence</w:t>
      </w:r>
      <w:r>
        <w:t>, 2021</w:t>
      </w:r>
      <w:r w:rsidRPr="004A67D1">
        <w:t xml:space="preserve">. Available from: </w:t>
      </w:r>
      <w:hyperlink r:id="rId82" w:history="1">
        <w:r w:rsidRPr="00BC72BD">
          <w:rPr>
            <w:rStyle w:val="Hyperlink"/>
            <w:color w:val="0E57FC" w:themeColor="accent4" w:themeTint="99"/>
          </w:rPr>
          <w:t>https://www.abs.gov.au/statistics/health/health-conditions-and-risks/health-conditions-prevalence/2020-21</w:t>
        </w:r>
      </w:hyperlink>
      <w:r w:rsidRPr="00BC72BD">
        <w:rPr>
          <w:color w:val="0E57FC" w:themeColor="accent4" w:themeTint="99"/>
        </w:rPr>
        <w:t xml:space="preserve"> </w:t>
      </w:r>
      <w:bookmarkEnd w:id="212"/>
    </w:p>
  </w:footnote>
  <w:footnote w:id="102">
    <w:p w14:paraId="24FC12C0" w14:textId="059A5980" w:rsidR="00433310" w:rsidRDefault="00D31730" w:rsidP="00A71C1C">
      <w:pPr>
        <w:pStyle w:val="FootnoteText"/>
        <w:spacing w:after="60" w:line="216" w:lineRule="auto"/>
      </w:pPr>
      <w:r>
        <w:rPr>
          <w:rStyle w:val="FootnoteReference"/>
        </w:rPr>
        <w:footnoteRef/>
      </w:r>
      <w:r>
        <w:t xml:space="preserve"> A</w:t>
      </w:r>
      <w:r w:rsidR="0089733F">
        <w:t>ustralian Private Hospital Association. Private in public growth adds to premium woes</w:t>
      </w:r>
      <w:r w:rsidR="00725EB6">
        <w:t>, 2017</w:t>
      </w:r>
      <w:r w:rsidR="0089733F">
        <w:t xml:space="preserve">. Available from: </w:t>
      </w:r>
      <w:hyperlink r:id="rId83" w:history="1">
        <w:r w:rsidR="00433310" w:rsidRPr="00EF72FA">
          <w:rPr>
            <w:rStyle w:val="Hyperlink"/>
            <w:color w:val="0E57FC" w:themeColor="accent4" w:themeTint="99"/>
          </w:rPr>
          <w:t>https://journalists.medianet.com.au/Release/883946/3818719</w:t>
        </w:r>
      </w:hyperlink>
      <w:r w:rsidR="00433310" w:rsidRPr="00EF72FA">
        <w:rPr>
          <w:color w:val="0E57FC" w:themeColor="accent4" w:themeTint="99"/>
        </w:rPr>
        <w:t xml:space="preserve"> </w:t>
      </w:r>
    </w:p>
  </w:footnote>
  <w:footnote w:id="103">
    <w:p w14:paraId="37C0FCEB" w14:textId="0F52AD79" w:rsidR="00290E28" w:rsidRDefault="00290E28" w:rsidP="00A71C1C">
      <w:pPr>
        <w:pStyle w:val="FootnoteText"/>
        <w:spacing w:after="60" w:line="216" w:lineRule="auto"/>
      </w:pPr>
      <w:r>
        <w:rPr>
          <w:rStyle w:val="FootnoteReference"/>
        </w:rPr>
        <w:footnoteRef/>
      </w:r>
      <w:r>
        <w:t xml:space="preserve"> </w:t>
      </w:r>
      <w:r w:rsidR="00994482">
        <w:t>R</w:t>
      </w:r>
      <w:r w:rsidR="0029046D">
        <w:t>oyal Australian College of General Practitioners</w:t>
      </w:r>
      <w:r w:rsidR="006A1665">
        <w:t>. Rejected referrals ‘compromising patient care’</w:t>
      </w:r>
      <w:r w:rsidR="00725EB6">
        <w:t>, 2022</w:t>
      </w:r>
      <w:r w:rsidR="006A1665">
        <w:t xml:space="preserve">. Available from: </w:t>
      </w:r>
      <w:hyperlink r:id="rId84" w:history="1">
        <w:r w:rsidR="006A1665" w:rsidRPr="00EF72FA">
          <w:rPr>
            <w:rStyle w:val="Hyperlink"/>
            <w:color w:val="0E57FC" w:themeColor="accent4" w:themeTint="99"/>
          </w:rPr>
          <w:t>https://www1.racgp.org.au/newsgp/professional/rejected-referrals-compromising-patient-care</w:t>
        </w:r>
      </w:hyperlink>
      <w:r w:rsidR="006A1665" w:rsidRPr="00EF72FA">
        <w:rPr>
          <w:color w:val="0E57FC" w:themeColor="accent4" w:themeTint="99"/>
        </w:rPr>
        <w:t xml:space="preserve"> </w:t>
      </w:r>
    </w:p>
  </w:footnote>
  <w:footnote w:id="104">
    <w:p w14:paraId="505E34CF" w14:textId="6166F270" w:rsidR="00FB3E9C" w:rsidRPr="00EF72FA" w:rsidRDefault="00FB3E9C" w:rsidP="00A71C1C">
      <w:pPr>
        <w:pStyle w:val="FootnoteText"/>
        <w:spacing w:after="60" w:line="216" w:lineRule="auto"/>
        <w:rPr>
          <w:color w:val="0E57FC" w:themeColor="accent4" w:themeTint="99"/>
        </w:rPr>
      </w:pPr>
      <w:r>
        <w:rPr>
          <w:rStyle w:val="FootnoteReference"/>
        </w:rPr>
        <w:footnoteRef/>
      </w:r>
      <w:r>
        <w:t xml:space="preserve"> The Sydney Morning Herald</w:t>
      </w:r>
      <w:r w:rsidR="00CA233C">
        <w:t>. Vulnerable and shocked: Patients targeted by hospital revenue push</w:t>
      </w:r>
      <w:r w:rsidR="00725EB6">
        <w:t>, 2019</w:t>
      </w:r>
      <w:r w:rsidR="00CA233C">
        <w:t xml:space="preserve">. Available from: </w:t>
      </w:r>
      <w:hyperlink r:id="rId85" w:history="1">
        <w:r w:rsidR="00CA233C" w:rsidRPr="00EF72FA">
          <w:rPr>
            <w:rStyle w:val="Hyperlink"/>
            <w:color w:val="0E57FC" w:themeColor="accent4" w:themeTint="99"/>
          </w:rPr>
          <w:t>https://www.smh.com.au/business/consumer-affairs/vulnerable-and-shocked-patients-targeted-by-hospital-revenue-push-20190311-p513ad.html</w:t>
        </w:r>
      </w:hyperlink>
      <w:r w:rsidR="00CA233C" w:rsidRPr="00EF72FA">
        <w:rPr>
          <w:color w:val="0E57FC" w:themeColor="accent4" w:themeTint="99"/>
        </w:rPr>
        <w:t xml:space="preserve"> </w:t>
      </w:r>
    </w:p>
  </w:footnote>
  <w:footnote w:id="105">
    <w:p w14:paraId="3F1C26E7" w14:textId="29934B75" w:rsidR="008A7BD3" w:rsidRDefault="008A7BD3" w:rsidP="00A71C1C">
      <w:pPr>
        <w:pStyle w:val="FootnoteText"/>
        <w:spacing w:after="60" w:line="216" w:lineRule="auto"/>
      </w:pPr>
      <w:r>
        <w:rPr>
          <w:rStyle w:val="FootnoteReference"/>
        </w:rPr>
        <w:footnoteRef/>
      </w:r>
      <w:r>
        <w:t xml:space="preserve"> </w:t>
      </w:r>
      <w:r w:rsidR="008F0D2A">
        <w:t>Victorian Auditor-General’s Office. Managing Private Medical Practice in Public Hospitals</w:t>
      </w:r>
      <w:r w:rsidR="00725EB6">
        <w:t>, 2019</w:t>
      </w:r>
      <w:r w:rsidR="008F0D2A">
        <w:t xml:space="preserve">. Available from: </w:t>
      </w:r>
      <w:hyperlink r:id="rId86" w:history="1">
        <w:r w:rsidR="008F0D2A" w:rsidRPr="00EF72FA">
          <w:rPr>
            <w:rStyle w:val="Hyperlink"/>
            <w:color w:val="0E57FC" w:themeColor="accent4" w:themeTint="99"/>
          </w:rPr>
          <w:t>https://www.audit.vic.gov.au/sites/default/files/2019-06/200619-Managing-Private.pdf</w:t>
        </w:r>
      </w:hyperlink>
      <w:r w:rsidR="008F0D2A" w:rsidRPr="00EF72FA">
        <w:rPr>
          <w:color w:val="0E57FC" w:themeColor="accent4" w:themeTint="99"/>
        </w:rPr>
        <w:t xml:space="preserve"> </w:t>
      </w:r>
    </w:p>
  </w:footnote>
  <w:footnote w:id="106">
    <w:p w14:paraId="641905FD" w14:textId="5DE593A5" w:rsidR="00A2260F" w:rsidRDefault="00A2260F" w:rsidP="00A71C1C">
      <w:pPr>
        <w:pStyle w:val="FootnoteText"/>
        <w:spacing w:after="60" w:line="216" w:lineRule="auto"/>
      </w:pPr>
      <w:r>
        <w:rPr>
          <w:rStyle w:val="FootnoteReference"/>
        </w:rPr>
        <w:footnoteRef/>
      </w:r>
      <w:r>
        <w:t xml:space="preserve"> Queensland Audit Office. Right of private practice: Senior medical officer conduct, report 13: 2013-14</w:t>
      </w:r>
      <w:r w:rsidR="00725EB6">
        <w:t>, 2013</w:t>
      </w:r>
      <w:r>
        <w:t xml:space="preserve">. Available from: </w:t>
      </w:r>
      <w:hyperlink r:id="rId87" w:history="1">
        <w:r w:rsidRPr="00EF72FA">
          <w:rPr>
            <w:rStyle w:val="Hyperlink"/>
            <w:color w:val="0E57FC" w:themeColor="accent4" w:themeTint="99"/>
          </w:rPr>
          <w:t>https://www.qao.qld.gov.au/sites/default/files/reports/rtp_right_of_private_practice_senior_medical_officer_conduct.pdf</w:t>
        </w:r>
      </w:hyperlink>
      <w:r w:rsidRPr="00EF72FA">
        <w:rPr>
          <w:color w:val="0E57FC" w:themeColor="accent4" w:themeTint="99"/>
        </w:rPr>
        <w:t xml:space="preserve"> </w:t>
      </w:r>
    </w:p>
  </w:footnote>
  <w:footnote w:id="107">
    <w:p w14:paraId="65CFE42E" w14:textId="73EF7B88" w:rsidR="00191835" w:rsidRDefault="00191835" w:rsidP="00A71C1C">
      <w:pPr>
        <w:pStyle w:val="FootnoteText"/>
        <w:spacing w:after="60" w:line="216" w:lineRule="auto"/>
      </w:pPr>
      <w:r>
        <w:rPr>
          <w:rStyle w:val="FootnoteReference"/>
        </w:rPr>
        <w:footnoteRef/>
      </w:r>
      <w:r>
        <w:t xml:space="preserve"> </w:t>
      </w:r>
      <w:r w:rsidR="001F445B">
        <w:t>Independent Hospital Pricing Authority</w:t>
      </w:r>
      <w:r w:rsidR="007F4A62">
        <w:t xml:space="preserve"> and Ernst &amp; Young</w:t>
      </w:r>
      <w:r w:rsidR="003944D3">
        <w:t>. Private Patient Public Hospital Service Utilisation</w:t>
      </w:r>
      <w:r w:rsidR="00725EB6">
        <w:t>, 2017</w:t>
      </w:r>
      <w:r w:rsidR="003944D3">
        <w:t xml:space="preserve">. Available from: </w:t>
      </w:r>
      <w:hyperlink r:id="rId88" w:history="1">
        <w:r w:rsidR="003944D3" w:rsidRPr="00EF72FA">
          <w:rPr>
            <w:rStyle w:val="Hyperlink"/>
            <w:color w:val="0E57FC" w:themeColor="accent4" w:themeTint="99"/>
          </w:rPr>
          <w:t>https://www.ihacpa.gov.au/sites/default/files/2022-02/Private%20Patient%20Public%20Hospital%20Service%20Utilisation.pdf</w:t>
        </w:r>
      </w:hyperlink>
      <w:r w:rsidR="003944D3" w:rsidRPr="00EF72FA">
        <w:rPr>
          <w:color w:val="0E57FC" w:themeColor="accent4" w:themeTint="99"/>
        </w:rPr>
        <w:t xml:space="preserve"> </w:t>
      </w:r>
    </w:p>
  </w:footnote>
  <w:footnote w:id="108">
    <w:p w14:paraId="3918A9B2" w14:textId="0380C558" w:rsidR="003428FC" w:rsidRPr="00EF72FA" w:rsidRDefault="003428FC" w:rsidP="00A71C1C">
      <w:pPr>
        <w:pStyle w:val="FootnoteText"/>
        <w:spacing w:after="60" w:line="216" w:lineRule="auto"/>
        <w:rPr>
          <w:color w:val="0E57FC" w:themeColor="accent4" w:themeTint="99"/>
        </w:rPr>
      </w:pPr>
      <w:r>
        <w:rPr>
          <w:rStyle w:val="FootnoteReference"/>
        </w:rPr>
        <w:footnoteRef/>
      </w:r>
      <w:r>
        <w:t xml:space="preserve"> The Auditor-General </w:t>
      </w:r>
      <w:r w:rsidR="006F532A">
        <w:t>Report</w:t>
      </w:r>
      <w:r>
        <w:t xml:space="preserve">. </w:t>
      </w:r>
      <w:r w:rsidR="0066360F">
        <w:t>Australian Government Funding of Public Hospital Services – Risk Management, Data Monitoring and Reporting Arrangements</w:t>
      </w:r>
      <w:r w:rsidR="00725EB6">
        <w:t>, 2019</w:t>
      </w:r>
      <w:r w:rsidR="00460051">
        <w:t xml:space="preserve">. Available from: </w:t>
      </w:r>
      <w:hyperlink r:id="rId89" w:history="1">
        <w:r w:rsidR="00460051" w:rsidRPr="00EF72FA">
          <w:rPr>
            <w:rStyle w:val="Hyperlink"/>
            <w:color w:val="0E57FC" w:themeColor="accent4" w:themeTint="99"/>
          </w:rPr>
          <w:t>https://www.anao.gov.au/sites/default/files/Auditor-General_Report_2018-2019_26.PDF</w:t>
        </w:r>
      </w:hyperlink>
      <w:r w:rsidR="00460051" w:rsidRPr="00EF72FA">
        <w:rPr>
          <w:color w:val="0E57FC" w:themeColor="accent4" w:themeTint="99"/>
        </w:rPr>
        <w:t xml:space="preserve"> </w:t>
      </w:r>
    </w:p>
  </w:footnote>
  <w:footnote w:id="109">
    <w:p w14:paraId="59EC52DE" w14:textId="6C9DFB46" w:rsidR="006A1721" w:rsidRDefault="006A1721" w:rsidP="006A1721">
      <w:pPr>
        <w:pStyle w:val="FootnoteText"/>
      </w:pPr>
      <w:r>
        <w:rPr>
          <w:rStyle w:val="FootnoteReference"/>
        </w:rPr>
        <w:footnoteRef/>
      </w:r>
      <w:r>
        <w:t xml:space="preserve"> </w:t>
      </w:r>
      <w:r w:rsidR="00725EB6">
        <w:t xml:space="preserve">The PHN Cooperative, </w:t>
      </w:r>
      <w:hyperlink r:id="rId90" w:history="1">
        <w:r w:rsidR="00725EB6" w:rsidRPr="00EF72FA">
          <w:rPr>
            <w:rStyle w:val="Hyperlink"/>
            <w:color w:val="0E57FC" w:themeColor="accent4" w:themeTint="99"/>
          </w:rPr>
          <w:t>https://www.phncooperative.org.au/</w:t>
        </w:r>
      </w:hyperlink>
      <w:r w:rsidRPr="00EF72FA">
        <w:rPr>
          <w:color w:val="0E57FC" w:themeColor="accent4" w:themeTint="99"/>
        </w:rPr>
        <w:t xml:space="preserve"> </w:t>
      </w:r>
    </w:p>
  </w:footnote>
  <w:footnote w:id="110">
    <w:p w14:paraId="1AA1DABC" w14:textId="6C7D328D" w:rsidR="00244201" w:rsidRDefault="00244201">
      <w:pPr>
        <w:pStyle w:val="FootnoteText"/>
      </w:pPr>
      <w:r>
        <w:rPr>
          <w:rStyle w:val="FootnoteReference"/>
        </w:rPr>
        <w:footnoteRef/>
      </w:r>
      <w:r>
        <w:t xml:space="preserve"> Commonwealth Department of Health and Ageing. Strengthening Medicare Taskforce Report, December 2022: Page 4</w:t>
      </w:r>
    </w:p>
  </w:footnote>
  <w:footnote w:id="111">
    <w:p w14:paraId="45473D20" w14:textId="0B868925" w:rsidR="009E4715" w:rsidRDefault="009E4715">
      <w:pPr>
        <w:pStyle w:val="FootnoteText"/>
      </w:pPr>
      <w:r>
        <w:rPr>
          <w:rStyle w:val="FootnoteReference"/>
        </w:rPr>
        <w:footnoteRef/>
      </w:r>
      <w:r>
        <w:t xml:space="preserve"> Australian Government Productivity Commission. Report on Government Services</w:t>
      </w:r>
      <w:r w:rsidR="00725EB6">
        <w:t>,</w:t>
      </w:r>
      <w:r>
        <w:t xml:space="preserve"> 2023: Chapter 14 aged care services. Available from: </w:t>
      </w:r>
      <w:hyperlink r:id="rId91" w:history="1">
        <w:r w:rsidR="00725EB6" w:rsidRPr="00EF72FA">
          <w:rPr>
            <w:rStyle w:val="Hyperlink"/>
            <w:color w:val="0E57FC" w:themeColor="accent4" w:themeTint="99"/>
          </w:rPr>
          <w:t>https://www.pc.gov.au/ongoing/report-on-government-services/2023/communityservices/aged-care-services</w:t>
        </w:r>
      </w:hyperlink>
      <w:r w:rsidR="00725EB6" w:rsidRPr="00EF72FA">
        <w:rPr>
          <w:color w:val="0E57FC" w:themeColor="accent4" w:themeTint="99"/>
        </w:rPr>
        <w:t xml:space="preserve"> </w:t>
      </w:r>
    </w:p>
  </w:footnote>
  <w:footnote w:id="112">
    <w:p w14:paraId="5F329613" w14:textId="6DE15A45" w:rsidR="003A6B15" w:rsidRDefault="003A6B15" w:rsidP="003A6B15">
      <w:pPr>
        <w:pStyle w:val="FootnoteText"/>
      </w:pPr>
      <w:r>
        <w:rPr>
          <w:rStyle w:val="FootnoteReference"/>
        </w:rPr>
        <w:footnoteRef/>
      </w:r>
      <w:r>
        <w:t xml:space="preserve"> New South Wales Department of Health. Written submission to the NHRA Addendum Mid-</w:t>
      </w:r>
      <w:r w:rsidR="00B36E26">
        <w:t>T</w:t>
      </w:r>
      <w:r>
        <w:t>erm Review</w:t>
      </w:r>
      <w:r w:rsidR="00725EB6">
        <w:t>, 2023</w:t>
      </w:r>
      <w:r>
        <w:t xml:space="preserve">. </w:t>
      </w:r>
    </w:p>
  </w:footnote>
  <w:footnote w:id="113">
    <w:p w14:paraId="29FF5EE6" w14:textId="19191FE9" w:rsidR="003A7A4A" w:rsidRDefault="003A7A4A" w:rsidP="003A7A4A">
      <w:pPr>
        <w:pStyle w:val="FootnoteText"/>
      </w:pPr>
      <w:r>
        <w:rPr>
          <w:rStyle w:val="FootnoteReference"/>
        </w:rPr>
        <w:footnoteRef/>
      </w:r>
      <w:r>
        <w:t xml:space="preserve"> Western Australia Department of Health. Written submission to the NHRA Addendum Mid-</w:t>
      </w:r>
      <w:r w:rsidR="00B36E26">
        <w:t>T</w:t>
      </w:r>
      <w:r>
        <w:t>erm Review</w:t>
      </w:r>
      <w:r w:rsidR="00725EB6">
        <w:t>, 2023</w:t>
      </w:r>
      <w:r>
        <w:t>.</w:t>
      </w:r>
    </w:p>
  </w:footnote>
  <w:footnote w:id="114">
    <w:p w14:paraId="091E7182" w14:textId="4B43876C" w:rsidR="00017929" w:rsidRDefault="00017929">
      <w:pPr>
        <w:pStyle w:val="FootnoteText"/>
      </w:pPr>
      <w:r>
        <w:rPr>
          <w:rStyle w:val="FootnoteReference"/>
        </w:rPr>
        <w:footnoteRef/>
      </w:r>
      <w:r>
        <w:t xml:space="preserve"> </w:t>
      </w:r>
      <w:bookmarkStart w:id="233" w:name="_Hlk146792855"/>
      <w:r w:rsidR="00756B21">
        <w:t>Data gathered by the National Disability Insurance Agency (NDIA) through manual collection by Health Liaison Officers (HLOs). All data are point in time and represent NDIS participants known to the NDIA at the date of reporting.</w:t>
      </w:r>
      <w:bookmarkEnd w:id="233"/>
    </w:p>
  </w:footnote>
  <w:footnote w:id="115">
    <w:p w14:paraId="6DA7B093" w14:textId="3B45DA1E" w:rsidR="007B1274" w:rsidRDefault="007B1274">
      <w:pPr>
        <w:pStyle w:val="FootnoteText"/>
      </w:pPr>
      <w:r>
        <w:rPr>
          <w:rStyle w:val="FootnoteReference"/>
        </w:rPr>
        <w:footnoteRef/>
      </w:r>
      <w:r>
        <w:t xml:space="preserve"> Stewar</w:t>
      </w:r>
      <w:r w:rsidR="00727E10">
        <w:t xml:space="preserve">tBrown (2023). </w:t>
      </w:r>
      <w:r w:rsidR="007535D3" w:rsidRPr="00E01D13">
        <w:t>Aged Care Financial Survey Report</w:t>
      </w:r>
    </w:p>
  </w:footnote>
  <w:footnote w:id="116">
    <w:p w14:paraId="7D620AC0" w14:textId="77777777" w:rsidR="00A70199" w:rsidRDefault="00A70199" w:rsidP="00A70199">
      <w:pPr>
        <w:pStyle w:val="FootnoteText"/>
      </w:pPr>
      <w:r>
        <w:rPr>
          <w:rStyle w:val="FootnoteReference"/>
        </w:rPr>
        <w:footnoteRef/>
      </w:r>
      <w:r>
        <w:t xml:space="preserve"> Data gathered by the NDIA through manual collection by Health Liaison Officers. All data are point in time and represent NDIS participants known to the NDIA at the date of reporting.</w:t>
      </w:r>
    </w:p>
  </w:footnote>
  <w:footnote w:id="117">
    <w:p w14:paraId="3250CE2D" w14:textId="5ED3D422" w:rsidR="00B77318" w:rsidRPr="00EF72FA" w:rsidRDefault="00B77318">
      <w:pPr>
        <w:pStyle w:val="FootnoteText"/>
        <w:rPr>
          <w:color w:val="0E57FC" w:themeColor="accent4" w:themeTint="99"/>
        </w:rPr>
      </w:pPr>
      <w:r>
        <w:rPr>
          <w:rStyle w:val="FootnoteReference"/>
        </w:rPr>
        <w:footnoteRef/>
      </w:r>
      <w:r>
        <w:t xml:space="preserve"> </w:t>
      </w:r>
      <w:r w:rsidR="00725EB6">
        <w:t xml:space="preserve">Australian Government Department of Treasury. 2023 Intergenerational Report, 2023. Available from: </w:t>
      </w:r>
      <w:hyperlink r:id="rId92" w:history="1">
        <w:r w:rsidR="00725EB6" w:rsidRPr="00EF72FA">
          <w:rPr>
            <w:rStyle w:val="Hyperlink"/>
            <w:color w:val="0E57FC" w:themeColor="accent4" w:themeTint="99"/>
          </w:rPr>
          <w:t>https://treasury.gov.au/publication/2023-intergenerational-report</w:t>
        </w:r>
      </w:hyperlink>
      <w:r w:rsidRPr="00EF72FA">
        <w:rPr>
          <w:color w:val="0E57FC" w:themeColor="accent4" w:themeTint="99"/>
        </w:rPr>
        <w:t xml:space="preserve"> </w:t>
      </w:r>
    </w:p>
  </w:footnote>
  <w:footnote w:id="118">
    <w:p w14:paraId="2E8CA460" w14:textId="6549C4FE" w:rsidR="0049203F" w:rsidRDefault="0049203F">
      <w:pPr>
        <w:pStyle w:val="FootnoteText"/>
      </w:pPr>
      <w:r>
        <w:rPr>
          <w:rStyle w:val="FootnoteReference"/>
        </w:rPr>
        <w:footnoteRef/>
      </w:r>
      <w:r>
        <w:t xml:space="preserve"> </w:t>
      </w:r>
      <w:r w:rsidRPr="0049203F">
        <w:t>Song X, Mitnitski A, Rockwood K.</w:t>
      </w:r>
      <w:r>
        <w:t xml:space="preserve"> </w:t>
      </w:r>
      <w:r w:rsidRPr="0049203F">
        <w:t>Prevalence and 10-year outcomes of frailty in older adults in relation to deficit accumulation. J Am Geriatr Soc. 2010;58(4):681–7</w:t>
      </w:r>
      <w:r w:rsidR="0035326E">
        <w:t>, 2010</w:t>
      </w:r>
      <w:r w:rsidRPr="0049203F">
        <w:t>.</w:t>
      </w:r>
    </w:p>
  </w:footnote>
  <w:footnote w:id="119">
    <w:p w14:paraId="3275DF9F" w14:textId="7415647A" w:rsidR="002427EC" w:rsidRDefault="002427EC">
      <w:pPr>
        <w:pStyle w:val="FootnoteText"/>
      </w:pPr>
      <w:r>
        <w:rPr>
          <w:rStyle w:val="FootnoteReference"/>
        </w:rPr>
        <w:footnoteRef/>
      </w:r>
      <w:r>
        <w:t xml:space="preserve"> R</w:t>
      </w:r>
      <w:r w:rsidRPr="002427EC">
        <w:t>yburn B, Wells Y, Foreman P.</w:t>
      </w:r>
      <w:r>
        <w:t xml:space="preserve"> </w:t>
      </w:r>
      <w:r w:rsidRPr="002427EC">
        <w:t>Enabling independence: restorative approaches to home care provision for frail older adults. Health and Social Care in the Community. 2009;17:225–234.</w:t>
      </w:r>
    </w:p>
  </w:footnote>
  <w:footnote w:id="120">
    <w:p w14:paraId="27E8229C" w14:textId="3FAA3218" w:rsidR="001F5AAA" w:rsidRDefault="001F5AAA">
      <w:pPr>
        <w:pStyle w:val="FootnoteText"/>
      </w:pPr>
      <w:r>
        <w:rPr>
          <w:rStyle w:val="FootnoteReference"/>
        </w:rPr>
        <w:footnoteRef/>
      </w:r>
      <w:r>
        <w:t xml:space="preserve"> OECD</w:t>
      </w:r>
      <w:r w:rsidR="00444E34">
        <w:t>/EU</w:t>
      </w:r>
      <w:r>
        <w:t xml:space="preserve">. </w:t>
      </w:r>
      <w:r w:rsidR="00444E34" w:rsidRPr="00444E34">
        <w:t>Health at a Glance: Europe 2018: State of Health in the EU Cycle. Paris</w:t>
      </w:r>
      <w:r w:rsidR="0035326E">
        <w:t>, 2018</w:t>
      </w:r>
      <w:r w:rsidR="00444E34" w:rsidRPr="00444E34">
        <w:t xml:space="preserve">. </w:t>
      </w:r>
    </w:p>
  </w:footnote>
  <w:footnote w:id="121">
    <w:p w14:paraId="2A10DD0B" w14:textId="4C45EE69" w:rsidR="00A44A43" w:rsidRPr="00EF72FA" w:rsidRDefault="00A44A43" w:rsidP="00A44A43">
      <w:pPr>
        <w:pStyle w:val="FootnoteText"/>
        <w:rPr>
          <w:color w:val="0E57FC" w:themeColor="accent4" w:themeTint="99"/>
        </w:rPr>
      </w:pPr>
      <w:r>
        <w:rPr>
          <w:rStyle w:val="FootnoteReference"/>
        </w:rPr>
        <w:footnoteRef/>
      </w:r>
      <w:r>
        <w:t xml:space="preserve"> Australian Commission on Safety and Quality in Health Care. The Fourth Atlas</w:t>
      </w:r>
      <w:r w:rsidR="0035326E">
        <w:t>,</w:t>
      </w:r>
      <w:r>
        <w:t xml:space="preserve"> 2021. Available from: </w:t>
      </w:r>
      <w:hyperlink r:id="rId93" w:history="1">
        <w:r w:rsidRPr="00EF72FA">
          <w:rPr>
            <w:rStyle w:val="Hyperlink"/>
            <w:color w:val="0E57FC" w:themeColor="accent4" w:themeTint="99"/>
          </w:rPr>
          <w:t>https://www.safetyandquality.gov.au/sites/default/files/2021-04/The%20Fourth%20Australian%20Atlas%20of%20Healthcare%20Variation%202021_Full%20publication.pdf</w:t>
        </w:r>
      </w:hyperlink>
      <w:r w:rsidRPr="00EF72FA">
        <w:rPr>
          <w:color w:val="0E57FC" w:themeColor="accent4" w:themeTint="99"/>
        </w:rPr>
        <w:t xml:space="preserve"> </w:t>
      </w:r>
    </w:p>
  </w:footnote>
  <w:footnote w:id="122">
    <w:p w14:paraId="43413F11" w14:textId="77777777" w:rsidR="004949AB" w:rsidRDefault="004949AB" w:rsidP="004949AB">
      <w:pPr>
        <w:pStyle w:val="FootnoteText"/>
      </w:pPr>
      <w:r>
        <w:rPr>
          <w:rStyle w:val="FootnoteReference"/>
        </w:rPr>
        <w:footnoteRef/>
      </w:r>
      <w:r>
        <w:t xml:space="preserve"> Clause 17 of the 2011 NHRA grandfathered those services that were provided in hospitals in 2010 as eligible for continued Commonwealth funding at specified hospitals (known as the A17 list).</w:t>
      </w:r>
    </w:p>
  </w:footnote>
  <w:footnote w:id="123">
    <w:p w14:paraId="486BBD76" w14:textId="0D2D56E1" w:rsidR="0093705B" w:rsidRDefault="0093705B" w:rsidP="0093705B">
      <w:pPr>
        <w:pStyle w:val="FootnoteText"/>
      </w:pPr>
      <w:r>
        <w:rPr>
          <w:rStyle w:val="FootnoteReference"/>
        </w:rPr>
        <w:footnoteRef/>
      </w:r>
      <w:r>
        <w:t xml:space="preserve"> I</w:t>
      </w:r>
      <w:r w:rsidR="00F0670D">
        <w:t xml:space="preserve">ndependent </w:t>
      </w:r>
      <w:r>
        <w:t>H</w:t>
      </w:r>
      <w:r w:rsidR="00F0670D">
        <w:t xml:space="preserve">ealth and </w:t>
      </w:r>
      <w:r>
        <w:t>A</w:t>
      </w:r>
      <w:r w:rsidR="00F0670D">
        <w:t xml:space="preserve">ged </w:t>
      </w:r>
      <w:r>
        <w:t>C</w:t>
      </w:r>
      <w:r w:rsidR="00F0670D">
        <w:t xml:space="preserve">are </w:t>
      </w:r>
      <w:r>
        <w:t>P</w:t>
      </w:r>
      <w:r w:rsidR="00F0670D">
        <w:t xml:space="preserve">ricing </w:t>
      </w:r>
      <w:r>
        <w:t>A</w:t>
      </w:r>
      <w:r w:rsidR="00F0670D">
        <w:t>uthority</w:t>
      </w:r>
      <w:r>
        <w:t>. Future Funding Models for Australia’s Public Hospitals: A discussion paper on options for funding Australian public hospitals into the future, November</w:t>
      </w:r>
      <w:r w:rsidR="00F0670D">
        <w:t>, 2021</w:t>
      </w:r>
      <w:r>
        <w:t>.</w:t>
      </w:r>
    </w:p>
  </w:footnote>
  <w:footnote w:id="124">
    <w:p w14:paraId="60BB5BD1" w14:textId="1A981038" w:rsidR="00EC4B5B" w:rsidRDefault="00EC4B5B">
      <w:pPr>
        <w:pStyle w:val="FootnoteText"/>
      </w:pPr>
      <w:r>
        <w:rPr>
          <w:rStyle w:val="FootnoteReference"/>
        </w:rPr>
        <w:footnoteRef/>
      </w:r>
      <w:r>
        <w:t xml:space="preserve"> </w:t>
      </w:r>
      <w:r w:rsidR="00D9582C">
        <w:t xml:space="preserve">Council of Australian Governments Health Council. </w:t>
      </w:r>
      <w:r w:rsidR="00E6000B">
        <w:t>Woman-centred Care: Strategic directions for Australian maternity services, 2019.</w:t>
      </w:r>
    </w:p>
  </w:footnote>
  <w:footnote w:id="125">
    <w:p w14:paraId="3639FBEC" w14:textId="56F4BC34" w:rsidR="000E2377" w:rsidRDefault="000E2377">
      <w:pPr>
        <w:pStyle w:val="FootnoteText"/>
      </w:pPr>
      <w:r>
        <w:rPr>
          <w:rStyle w:val="FootnoteReference"/>
        </w:rPr>
        <w:footnoteRef/>
      </w:r>
      <w:r>
        <w:t xml:space="preserve"> </w:t>
      </w:r>
      <w:r w:rsidRPr="000E2377">
        <w:t>Neville, Dr Sarah Elizabeth (2023). “What makes bundled payments work? Lessons from the US”. IHACPA Conference 2023, the Future of Funding. Brisbane, Australia August 2023.</w:t>
      </w:r>
    </w:p>
  </w:footnote>
  <w:footnote w:id="126">
    <w:p w14:paraId="68503873" w14:textId="68337373" w:rsidR="0093705B" w:rsidRPr="008A374F" w:rsidRDefault="0093705B" w:rsidP="0093705B">
      <w:pPr>
        <w:pStyle w:val="FootnoteText"/>
        <w:rPr>
          <w:szCs w:val="16"/>
        </w:rPr>
      </w:pPr>
      <w:r w:rsidRPr="008A374F">
        <w:rPr>
          <w:rStyle w:val="FootnoteReference"/>
          <w:szCs w:val="16"/>
        </w:rPr>
        <w:footnoteRef/>
      </w:r>
      <w:r w:rsidRPr="008A374F">
        <w:rPr>
          <w:szCs w:val="16"/>
        </w:rPr>
        <w:t xml:space="preserve"> </w:t>
      </w:r>
      <w:r w:rsidR="00F0670D">
        <w:rPr>
          <w:szCs w:val="16"/>
        </w:rPr>
        <w:t xml:space="preserve">Productivity Commission. Inquiry Report No. 84, Shifting The Dial, 5 Year Productivity Review, 2017. Available from: </w:t>
      </w:r>
      <w:hyperlink r:id="rId94" w:history="1">
        <w:r w:rsidR="00696D3B" w:rsidRPr="00EF72FA">
          <w:rPr>
            <w:rStyle w:val="Hyperlink"/>
            <w:color w:val="0E57FC" w:themeColor="accent4" w:themeTint="99"/>
            <w:szCs w:val="16"/>
          </w:rPr>
          <w:t>https://www.pc.gov.au/inquiries/completed/productivity-review/report/productivity-review.pdf</w:t>
        </w:r>
      </w:hyperlink>
      <w:r w:rsidRPr="00EF72FA">
        <w:rPr>
          <w:color w:val="0E57FC" w:themeColor="accent4" w:themeTint="99"/>
          <w:szCs w:val="16"/>
        </w:rPr>
        <w:t xml:space="preserve"> </w:t>
      </w:r>
    </w:p>
  </w:footnote>
  <w:footnote w:id="127">
    <w:p w14:paraId="689272C9" w14:textId="1716E5D9" w:rsidR="0093705B" w:rsidRDefault="0093705B" w:rsidP="009D3F23">
      <w:pPr>
        <w:pStyle w:val="FootnoteText"/>
        <w:spacing w:after="60" w:line="216" w:lineRule="auto"/>
      </w:pPr>
      <w:r>
        <w:rPr>
          <w:rStyle w:val="FootnoteReference"/>
        </w:rPr>
        <w:footnoteRef/>
      </w:r>
      <w:r>
        <w:t xml:space="preserve"> </w:t>
      </w:r>
      <w:r w:rsidR="00696D3B" w:rsidRPr="00696D3B">
        <w:rPr>
          <w:szCs w:val="16"/>
        </w:rPr>
        <w:t>Braithwaite, J., Glasziou, P. &amp; Westbrook, J. The three numbers you need to know about healthcare: the 60-30-10 Challenge. BMC Med 18, 102</w:t>
      </w:r>
      <w:r w:rsidR="00696D3B">
        <w:rPr>
          <w:szCs w:val="16"/>
        </w:rPr>
        <w:t xml:space="preserve">, </w:t>
      </w:r>
      <w:r w:rsidR="00696D3B" w:rsidRPr="00696D3B">
        <w:rPr>
          <w:szCs w:val="16"/>
        </w:rPr>
        <w:t>2020.</w:t>
      </w:r>
      <w:r w:rsidR="00696D3B">
        <w:rPr>
          <w:szCs w:val="16"/>
        </w:rPr>
        <w:t xml:space="preserve"> Available from:</w:t>
      </w:r>
      <w:r>
        <w:rPr>
          <w:szCs w:val="16"/>
        </w:rPr>
        <w:t xml:space="preserve"> </w:t>
      </w:r>
      <w:hyperlink r:id="rId95" w:history="1">
        <w:r w:rsidRPr="00EF72FA">
          <w:rPr>
            <w:rStyle w:val="Hyperlink"/>
            <w:color w:val="0E57FC" w:themeColor="accent4" w:themeTint="99"/>
          </w:rPr>
          <w:t>https://bmcmedicine</w:t>
        </w:r>
        <w:bookmarkStart w:id="256" w:name="_Hlt146793215"/>
        <w:bookmarkStart w:id="257" w:name="_Hlt146793216"/>
        <w:r w:rsidRPr="00EF72FA">
          <w:rPr>
            <w:rStyle w:val="Hyperlink"/>
            <w:color w:val="0E57FC" w:themeColor="accent4" w:themeTint="99"/>
          </w:rPr>
          <w:t>.</w:t>
        </w:r>
        <w:bookmarkEnd w:id="256"/>
        <w:bookmarkEnd w:id="257"/>
        <w:r w:rsidRPr="00EF72FA">
          <w:rPr>
            <w:rStyle w:val="Hyperlink"/>
            <w:color w:val="0E57FC" w:themeColor="accent4" w:themeTint="99"/>
          </w:rPr>
          <w:t>biomedcentral.com/articles/10.1186/s12916-020-01563-4</w:t>
        </w:r>
      </w:hyperlink>
      <w:r w:rsidRPr="00EF72FA">
        <w:rPr>
          <w:color w:val="0E57FC" w:themeColor="accent4" w:themeTint="99"/>
        </w:rPr>
        <w:t xml:space="preserve"> </w:t>
      </w:r>
    </w:p>
  </w:footnote>
  <w:footnote w:id="128">
    <w:p w14:paraId="554A6F25" w14:textId="2EBF5078" w:rsidR="0093705B" w:rsidRDefault="0093705B" w:rsidP="009D3F23">
      <w:pPr>
        <w:pStyle w:val="FootnoteText"/>
        <w:spacing w:after="60" w:line="216" w:lineRule="auto"/>
      </w:pPr>
      <w:r>
        <w:rPr>
          <w:rStyle w:val="FootnoteReference"/>
        </w:rPr>
        <w:footnoteRef/>
      </w:r>
      <w:r>
        <w:t xml:space="preserve"> </w:t>
      </w:r>
      <w:r w:rsidR="00696D3B">
        <w:t>Runciman, W</w:t>
      </w:r>
      <w:r w:rsidR="007A1A05">
        <w:t xml:space="preserve">. et. al. CareTrack: assessing the appropriateness of health care delivery in Australia. </w:t>
      </w:r>
      <w:r w:rsidR="007A1A05" w:rsidRPr="007A1A05">
        <w:rPr>
          <w:szCs w:val="16"/>
        </w:rPr>
        <w:t xml:space="preserve">Med J Aust 2012; 197 (2): 100-105. </w:t>
      </w:r>
      <w:r w:rsidR="007A1A05">
        <w:t xml:space="preserve">Available from: </w:t>
      </w:r>
      <w:hyperlink r:id="rId96" w:history="1">
        <w:r w:rsidR="007A1A05" w:rsidRPr="00EF72FA">
          <w:rPr>
            <w:rStyle w:val="Hyperlink"/>
            <w:color w:val="0E57FC" w:themeColor="accent4" w:themeTint="99"/>
          </w:rPr>
          <w:t>https://www.mja.com.au/journal/2012/197/2/caretrack-assessing-appropriateness-health-care-delivery-australia</w:t>
        </w:r>
      </w:hyperlink>
      <w:r w:rsidRPr="00EF72FA">
        <w:rPr>
          <w:color w:val="0E57FC" w:themeColor="accent4" w:themeTint="99"/>
        </w:rPr>
        <w:t xml:space="preserve"> </w:t>
      </w:r>
    </w:p>
  </w:footnote>
  <w:footnote w:id="129">
    <w:p w14:paraId="2396CE63" w14:textId="063820EB" w:rsidR="0093705B" w:rsidRPr="00D556B8" w:rsidRDefault="0093705B" w:rsidP="009D3F23">
      <w:pPr>
        <w:pStyle w:val="FootnoteText"/>
        <w:spacing w:after="60" w:line="216" w:lineRule="auto"/>
        <w:rPr>
          <w:szCs w:val="16"/>
        </w:rPr>
      </w:pPr>
      <w:r w:rsidRPr="00D556B8">
        <w:rPr>
          <w:rStyle w:val="FootnoteReference"/>
          <w:szCs w:val="16"/>
        </w:rPr>
        <w:footnoteRef/>
      </w:r>
      <w:r w:rsidRPr="00D556B8">
        <w:rPr>
          <w:szCs w:val="16"/>
        </w:rPr>
        <w:t xml:space="preserve"> </w:t>
      </w:r>
      <w:r w:rsidR="00FD4644">
        <w:rPr>
          <w:szCs w:val="16"/>
        </w:rPr>
        <w:t xml:space="preserve">Choosing wisely, </w:t>
      </w:r>
      <w:hyperlink r:id="rId97" w:history="1">
        <w:r w:rsidR="00FD4644" w:rsidRPr="00EF72FA">
          <w:rPr>
            <w:rStyle w:val="Hyperlink"/>
            <w:color w:val="0E57FC" w:themeColor="accent4" w:themeTint="99"/>
            <w:szCs w:val="16"/>
          </w:rPr>
          <w:t>https://www.choosingwisely.org.au/</w:t>
        </w:r>
      </w:hyperlink>
      <w:r w:rsidRPr="00EF72FA">
        <w:rPr>
          <w:color w:val="0E57FC" w:themeColor="accent4" w:themeTint="99"/>
          <w:szCs w:val="16"/>
        </w:rPr>
        <w:t xml:space="preserve"> </w:t>
      </w:r>
    </w:p>
  </w:footnote>
  <w:footnote w:id="130">
    <w:p w14:paraId="7583300F" w14:textId="77777777" w:rsidR="009C77D1" w:rsidRPr="00EF72FA" w:rsidRDefault="009C77D1" w:rsidP="009D3F23">
      <w:pPr>
        <w:pStyle w:val="FootnoteText"/>
        <w:spacing w:after="60" w:line="216" w:lineRule="auto"/>
        <w:rPr>
          <w:color w:val="0E57FC" w:themeColor="accent4" w:themeTint="99"/>
        </w:rPr>
      </w:pPr>
      <w:r>
        <w:rPr>
          <w:rStyle w:val="FootnoteReference"/>
        </w:rPr>
        <w:footnoteRef/>
      </w:r>
      <w:r>
        <w:t xml:space="preserve"> National Health Funding Body funding reports 2012-22. Available from: </w:t>
      </w:r>
      <w:hyperlink r:id="rId98" w:history="1">
        <w:r w:rsidRPr="00EF72FA">
          <w:rPr>
            <w:rStyle w:val="Hyperlink"/>
            <w:color w:val="0E57FC" w:themeColor="accent4" w:themeTint="99"/>
          </w:rPr>
          <w:t>https://www.publichospitalfunding.gov.au/public-hospital-funding-reports</w:t>
        </w:r>
      </w:hyperlink>
    </w:p>
  </w:footnote>
  <w:footnote w:id="131">
    <w:p w14:paraId="2A5D4888" w14:textId="77777777" w:rsidR="004B7F9B" w:rsidRDefault="004B7F9B" w:rsidP="009D3F23">
      <w:pPr>
        <w:pStyle w:val="FootnoteText"/>
        <w:spacing w:after="60" w:line="216" w:lineRule="auto"/>
      </w:pPr>
      <w:r>
        <w:rPr>
          <w:rStyle w:val="FootnoteReference"/>
        </w:rPr>
        <w:footnoteRef/>
      </w:r>
      <w:r>
        <w:t xml:space="preserve"> Analysis based on AIHW admitted patient data, public hospital funding reports, public hospital data from 2023 Productivity Commission Report on Government Services</w:t>
      </w:r>
    </w:p>
  </w:footnote>
  <w:footnote w:id="132">
    <w:p w14:paraId="7E07C499" w14:textId="7E285602" w:rsidR="009C77D1" w:rsidRDefault="009C77D1" w:rsidP="009D3F23">
      <w:pPr>
        <w:pStyle w:val="FootnoteText"/>
        <w:spacing w:after="60" w:line="216" w:lineRule="auto"/>
      </w:pPr>
      <w:r>
        <w:rPr>
          <w:rStyle w:val="FootnoteReference"/>
        </w:rPr>
        <w:footnoteRef/>
      </w:r>
      <w:r>
        <w:t xml:space="preserve"> </w:t>
      </w:r>
      <w:r w:rsidR="00FD4644">
        <w:t>Administrator National Health Funding Pool.</w:t>
      </w:r>
      <w:r>
        <w:t xml:space="preserve"> </w:t>
      </w:r>
      <w:r w:rsidRPr="006B2E73">
        <w:t>The National Health Funding Pool Annual Report 2021-22</w:t>
      </w:r>
      <w:r>
        <w:t>, page 45</w:t>
      </w:r>
      <w:r w:rsidR="00FD4644">
        <w:t xml:space="preserve">. Available from: </w:t>
      </w:r>
      <w:hyperlink r:id="rId99" w:history="1">
        <w:r w:rsidR="00FD4644" w:rsidRPr="00EF72FA">
          <w:rPr>
            <w:rStyle w:val="Hyperlink"/>
            <w:color w:val="0E57FC" w:themeColor="accent4" w:themeTint="99"/>
          </w:rPr>
          <w:t>https://www.publichospitalfunding.gov.au/sites/default/files/images/documents/nhfp_annual_report_2021-22.pdf</w:t>
        </w:r>
      </w:hyperlink>
    </w:p>
  </w:footnote>
  <w:footnote w:id="133">
    <w:p w14:paraId="0B0E1EB7" w14:textId="4AC2D5E4" w:rsidR="009C77D1" w:rsidRDefault="009C77D1" w:rsidP="009D3F23">
      <w:pPr>
        <w:pStyle w:val="FootnoteText"/>
        <w:spacing w:after="60" w:line="216" w:lineRule="auto"/>
      </w:pPr>
      <w:r>
        <w:rPr>
          <w:rStyle w:val="FootnoteReference"/>
        </w:rPr>
        <w:footnoteRef/>
      </w:r>
      <w:r>
        <w:t xml:space="preserve"> </w:t>
      </w:r>
      <w:bookmarkStart w:id="265" w:name="_Hlk146793598"/>
      <w:r w:rsidR="00FD4644">
        <w:t xml:space="preserve">South Western Sydney Local Health District. Notes to the State Outcomes Budget Schedule, 2022-23 Service Agreement, 2022. Available from: </w:t>
      </w:r>
      <w:hyperlink r:id="rId100" w:history="1">
        <w:r w:rsidR="00FD4644" w:rsidRPr="00EF72FA">
          <w:rPr>
            <w:rStyle w:val="Hyperlink"/>
            <w:color w:val="0E57FC" w:themeColor="accent4" w:themeTint="99"/>
          </w:rPr>
          <w:t>https://www.swslhd.health.nsw.gov.au/pdfs/ScheduleC-2022-2023.pdf</w:t>
        </w:r>
      </w:hyperlink>
      <w:r w:rsidRPr="00EF72FA">
        <w:rPr>
          <w:color w:val="0E57FC" w:themeColor="accent4" w:themeTint="99"/>
        </w:rPr>
        <w:t xml:space="preserve"> </w:t>
      </w:r>
      <w:bookmarkEnd w:id="265"/>
    </w:p>
  </w:footnote>
  <w:footnote w:id="134">
    <w:p w14:paraId="37BD1325" w14:textId="45688A0E" w:rsidR="009C77D1" w:rsidRPr="00EF72FA" w:rsidRDefault="009C77D1" w:rsidP="009C77D1">
      <w:pPr>
        <w:pStyle w:val="FootnoteText"/>
        <w:rPr>
          <w:color w:val="0E57FC" w:themeColor="accent4" w:themeTint="99"/>
        </w:rPr>
      </w:pPr>
      <w:r>
        <w:rPr>
          <w:rStyle w:val="FootnoteReference"/>
        </w:rPr>
        <w:footnoteRef/>
      </w:r>
      <w:r>
        <w:t xml:space="preserve"> </w:t>
      </w:r>
      <w:r w:rsidR="00FD4644">
        <w:t xml:space="preserve">Australian Institute of Health and Welfare. Health expenditure Australia 2020-21, 2022. Available from: </w:t>
      </w:r>
      <w:hyperlink r:id="rId101" w:history="1">
        <w:r w:rsidR="00FD4644" w:rsidRPr="00EF72FA">
          <w:rPr>
            <w:rStyle w:val="Hyperlink"/>
            <w:color w:val="0E57FC" w:themeColor="accent4" w:themeTint="99"/>
          </w:rPr>
          <w:t>https://www.aihw.gov.au/getmedia/931a083a-e2a1-4f0d-9a09-140d55682711/Health-expenditure-Australia-2020-21.pdf?inline=true</w:t>
        </w:r>
      </w:hyperlink>
      <w:r w:rsidRPr="00EF72FA">
        <w:rPr>
          <w:color w:val="0E57FC" w:themeColor="accent4" w:themeTint="99"/>
        </w:rPr>
        <w:t xml:space="preserve"> </w:t>
      </w:r>
    </w:p>
  </w:footnote>
  <w:footnote w:id="135">
    <w:p w14:paraId="6B9442E9" w14:textId="6969423A" w:rsidR="009C77D1" w:rsidRPr="00EF72FA" w:rsidRDefault="009C77D1" w:rsidP="009C77D1">
      <w:pPr>
        <w:pStyle w:val="FootnoteText"/>
        <w:rPr>
          <w:color w:val="0E57FC" w:themeColor="accent4" w:themeTint="99"/>
        </w:rPr>
      </w:pPr>
      <w:r>
        <w:rPr>
          <w:rStyle w:val="FootnoteReference"/>
        </w:rPr>
        <w:footnoteRef/>
      </w:r>
      <w:r>
        <w:t xml:space="preserve"> </w:t>
      </w:r>
      <w:r w:rsidR="00FD4644">
        <w:t xml:space="preserve">Administrator National Health Funding Pool. Public Hospital Funding, Funding Formula. Available from: </w:t>
      </w:r>
      <w:hyperlink r:id="rId102" w:history="1">
        <w:r w:rsidR="00FD4644" w:rsidRPr="00EF72FA">
          <w:rPr>
            <w:rStyle w:val="Hyperlink"/>
            <w:color w:val="0E57FC" w:themeColor="accent4" w:themeTint="99"/>
          </w:rPr>
          <w:t>https://www.publichospitalfunding.gov.au/public-hospital-funding/funding-formula</w:t>
        </w:r>
      </w:hyperlink>
      <w:r w:rsidRPr="00EF72FA">
        <w:rPr>
          <w:color w:val="0E57FC" w:themeColor="accent4" w:themeTint="99"/>
        </w:rPr>
        <w:t xml:space="preserve"> </w:t>
      </w:r>
    </w:p>
  </w:footnote>
  <w:footnote w:id="136">
    <w:p w14:paraId="31D7E7FF" w14:textId="713FB6FD" w:rsidR="009C77D1" w:rsidRDefault="009C77D1" w:rsidP="009C77D1">
      <w:pPr>
        <w:pStyle w:val="FootnoteText"/>
      </w:pPr>
      <w:r>
        <w:rPr>
          <w:rStyle w:val="FootnoteReference"/>
        </w:rPr>
        <w:footnoteRef/>
      </w:r>
      <w:r>
        <w:t xml:space="preserve"> </w:t>
      </w:r>
      <w:bookmarkStart w:id="274" w:name="_Hlk146793744"/>
      <w:r w:rsidR="00FD4644">
        <w:t xml:space="preserve">Independent Health and Aged Care Pricing Authority. National Pricing Model 2023-24, 2023. Available from: </w:t>
      </w:r>
      <w:hyperlink r:id="rId103" w:history="1">
        <w:r w:rsidR="00FD4644" w:rsidRPr="00EF72FA">
          <w:rPr>
            <w:rStyle w:val="Hyperlink"/>
            <w:color w:val="0E57FC" w:themeColor="accent4" w:themeTint="99"/>
          </w:rPr>
          <w:t>https://www.ihacpa.gov.au/sites/default/files/2023-03/national_pricing_model_technical_specifications_2032-24.pdf</w:t>
        </w:r>
      </w:hyperlink>
      <w:r w:rsidRPr="00EF72FA">
        <w:rPr>
          <w:color w:val="0E57FC" w:themeColor="accent4" w:themeTint="99"/>
        </w:rPr>
        <w:t xml:space="preserve"> </w:t>
      </w:r>
      <w:bookmarkEnd w:id="274"/>
    </w:p>
  </w:footnote>
  <w:footnote w:id="137">
    <w:p w14:paraId="6EC2AF87" w14:textId="55445574" w:rsidR="009C77D1" w:rsidRPr="00EF72FA" w:rsidRDefault="009C77D1" w:rsidP="009C77D1">
      <w:pPr>
        <w:pStyle w:val="FootnoteText"/>
        <w:rPr>
          <w:color w:val="0E57FC" w:themeColor="accent4" w:themeTint="99"/>
        </w:rPr>
      </w:pPr>
      <w:r>
        <w:rPr>
          <w:rStyle w:val="FootnoteReference"/>
        </w:rPr>
        <w:footnoteRef/>
      </w:r>
      <w:r>
        <w:t xml:space="preserve"> </w:t>
      </w:r>
      <w:r w:rsidR="00FD4644">
        <w:t>Administrator National Health Funding Pool. Public Hospital Funding, Funding Types. Available from:</w:t>
      </w:r>
      <w:r>
        <w:t xml:space="preserve"> </w:t>
      </w:r>
      <w:hyperlink r:id="rId104" w:history="1">
        <w:r w:rsidRPr="00EF72FA">
          <w:rPr>
            <w:rStyle w:val="Hyperlink"/>
            <w:color w:val="0E57FC" w:themeColor="accent4" w:themeTint="99"/>
          </w:rPr>
          <w:t>https://www.publichospitalfunding.gov.au/public-hospital-funding/funding-types</w:t>
        </w:r>
      </w:hyperlink>
    </w:p>
  </w:footnote>
  <w:footnote w:id="138">
    <w:p w14:paraId="3DD4CE3F" w14:textId="54A4E0BD" w:rsidR="009C77D1" w:rsidRDefault="009C77D1" w:rsidP="009C77D1">
      <w:pPr>
        <w:pStyle w:val="FootnoteText"/>
      </w:pPr>
      <w:r>
        <w:rPr>
          <w:rStyle w:val="FootnoteReference"/>
        </w:rPr>
        <w:footnoteRef/>
      </w:r>
      <w:r>
        <w:t xml:space="preserve"> </w:t>
      </w:r>
      <w:r w:rsidR="00FD4644">
        <w:t>Administrator National Health Funding Pool. National Health Funding Pool Annual Report 2021-22, 20</w:t>
      </w:r>
      <w:r w:rsidR="00EC707F">
        <w:t>22. Available from:</w:t>
      </w:r>
      <w:r>
        <w:t xml:space="preserve"> </w:t>
      </w:r>
      <w:hyperlink r:id="rId105" w:history="1">
        <w:r w:rsidRPr="00EF72FA">
          <w:rPr>
            <w:rStyle w:val="Hyperlink"/>
            <w:color w:val="0E57FC" w:themeColor="accent4" w:themeTint="99"/>
          </w:rPr>
          <w:t>https://www.publichospitalfunding.gov.au/publications/national-health-fun</w:t>
        </w:r>
        <w:bookmarkStart w:id="276" w:name="_Hlt146793824"/>
        <w:bookmarkStart w:id="277" w:name="_Hlt146793825"/>
        <w:r w:rsidRPr="00EF72FA">
          <w:rPr>
            <w:rStyle w:val="Hyperlink"/>
            <w:color w:val="0E57FC" w:themeColor="accent4" w:themeTint="99"/>
          </w:rPr>
          <w:t>d</w:t>
        </w:r>
        <w:bookmarkEnd w:id="276"/>
        <w:bookmarkEnd w:id="277"/>
        <w:r w:rsidRPr="00EF72FA">
          <w:rPr>
            <w:rStyle w:val="Hyperlink"/>
            <w:color w:val="0E57FC" w:themeColor="accent4" w:themeTint="99"/>
          </w:rPr>
          <w:t>ing-pool-annual-report-2021-22</w:t>
        </w:r>
      </w:hyperlink>
      <w:r>
        <w:t>, page 60</w:t>
      </w:r>
    </w:p>
  </w:footnote>
  <w:footnote w:id="139">
    <w:p w14:paraId="46832ABF" w14:textId="6019D1C7" w:rsidR="009B6DA1" w:rsidRPr="00EF72FA" w:rsidRDefault="009B6DA1" w:rsidP="009B6DA1">
      <w:pPr>
        <w:pStyle w:val="FootnoteText"/>
        <w:rPr>
          <w:color w:val="0E57FC" w:themeColor="accent4" w:themeTint="99"/>
        </w:rPr>
      </w:pPr>
      <w:r>
        <w:rPr>
          <w:rStyle w:val="FootnoteReference"/>
        </w:rPr>
        <w:footnoteRef/>
      </w:r>
      <w:r>
        <w:t xml:space="preserve"> </w:t>
      </w:r>
      <w:bookmarkStart w:id="278" w:name="_Hlk146793921"/>
      <w:r w:rsidR="00EC707F">
        <w:t>Independent Health and Aged Care Pricing Authority. Hospital Teaching, Training and Research Activities National Best Endeavours Data Set Technical Specifications for reporting. Available from:</w:t>
      </w:r>
      <w:r>
        <w:t xml:space="preserve"> </w:t>
      </w:r>
      <w:hyperlink r:id="rId106" w:history="1">
        <w:r w:rsidRPr="00EF72FA">
          <w:rPr>
            <w:rStyle w:val="Hyperlink"/>
            <w:color w:val="0E57FC" w:themeColor="accent4" w:themeTint="99"/>
          </w:rPr>
          <w:t>https://www.ihacpa.gov.au/resources/hospital-teaching-training-and-research-activities-national-best-endeavours-data-set-technical-specificati</w:t>
        </w:r>
        <w:bookmarkStart w:id="279" w:name="_Hlt146793881"/>
        <w:bookmarkStart w:id="280" w:name="_Hlt146793882"/>
        <w:r w:rsidRPr="00EF72FA">
          <w:rPr>
            <w:rStyle w:val="Hyperlink"/>
            <w:color w:val="0E57FC" w:themeColor="accent4" w:themeTint="99"/>
          </w:rPr>
          <w:t>o</w:t>
        </w:r>
        <w:bookmarkEnd w:id="279"/>
        <w:bookmarkEnd w:id="280"/>
        <w:r w:rsidRPr="00EF72FA">
          <w:rPr>
            <w:rStyle w:val="Hyperlink"/>
            <w:color w:val="0E57FC" w:themeColor="accent4" w:themeTint="99"/>
          </w:rPr>
          <w:t>ns-reporting</w:t>
        </w:r>
      </w:hyperlink>
      <w:r w:rsidRPr="00EF72FA">
        <w:rPr>
          <w:color w:val="0E57FC" w:themeColor="accent4" w:themeTint="99"/>
        </w:rPr>
        <w:t xml:space="preserve"> </w:t>
      </w:r>
    </w:p>
    <w:bookmarkEnd w:id="278"/>
  </w:footnote>
  <w:footnote w:id="140">
    <w:p w14:paraId="2CA9E4B9" w14:textId="6578B54A" w:rsidR="009C77D1" w:rsidRPr="00EF72FA" w:rsidRDefault="009C77D1" w:rsidP="009C77D1">
      <w:pPr>
        <w:pStyle w:val="FootnoteText"/>
        <w:rPr>
          <w:color w:val="0E57FC" w:themeColor="accent4" w:themeTint="99"/>
        </w:rPr>
      </w:pPr>
      <w:r>
        <w:rPr>
          <w:rStyle w:val="FootnoteReference"/>
        </w:rPr>
        <w:footnoteRef/>
      </w:r>
      <w:r>
        <w:t xml:space="preserve"> </w:t>
      </w:r>
      <w:r w:rsidR="00EC707F">
        <w:t xml:space="preserve">Independent Health and Aged Care Pricing Authority. National Pricing Model 2023-24, 2023. Available from: </w:t>
      </w:r>
      <w:hyperlink r:id="rId107" w:history="1">
        <w:r w:rsidR="00EC707F" w:rsidRPr="00EF72FA">
          <w:rPr>
            <w:rStyle w:val="Hyperlink"/>
            <w:color w:val="0E57FC" w:themeColor="accent4" w:themeTint="99"/>
          </w:rPr>
          <w:t>https://www.ihacpa.gov.au/sites/default/files/2023-03/national_pricing_model_technical_specifications_2032-24.pdf</w:t>
        </w:r>
      </w:hyperlink>
    </w:p>
  </w:footnote>
  <w:footnote w:id="141">
    <w:p w14:paraId="19277A77" w14:textId="23617464" w:rsidR="00EF7BC9" w:rsidRDefault="00EF7BC9" w:rsidP="00EF7BC9">
      <w:pPr>
        <w:pStyle w:val="FootnoteText"/>
      </w:pPr>
      <w:r>
        <w:rPr>
          <w:rStyle w:val="FootnoteReference"/>
        </w:rPr>
        <w:footnoteRef/>
      </w:r>
      <w:r>
        <w:t xml:space="preserve"> </w:t>
      </w:r>
      <w:bookmarkStart w:id="291" w:name="_Hlk146793962"/>
      <w:r w:rsidR="00EC707F">
        <w:t xml:space="preserve">Department of Health and Aged Care. National Medicines Policy, 2022. Available from: </w:t>
      </w:r>
      <w:hyperlink r:id="rId108" w:history="1">
        <w:r w:rsidR="00EC707F" w:rsidRPr="00EF72FA">
          <w:rPr>
            <w:rStyle w:val="Hyperlink"/>
            <w:color w:val="0E57FC" w:themeColor="accent4" w:themeTint="99"/>
          </w:rPr>
          <w:t>https://www.health.gov.au/sites/default/files/2022-12/national-medicines-policy.pdf</w:t>
        </w:r>
      </w:hyperlink>
      <w:r>
        <w:t>, page 1</w:t>
      </w:r>
      <w:r w:rsidR="00EC707F">
        <w:t>.</w:t>
      </w:r>
      <w:bookmarkEnd w:id="291"/>
    </w:p>
  </w:footnote>
  <w:footnote w:id="142">
    <w:p w14:paraId="1A91E26D" w14:textId="77777777" w:rsidR="00EF7BC9" w:rsidRDefault="00EF7BC9" w:rsidP="00EF7BC9">
      <w:pPr>
        <w:pStyle w:val="FootnoteText"/>
      </w:pPr>
      <w:r>
        <w:rPr>
          <w:rStyle w:val="FootnoteReference"/>
        </w:rPr>
        <w:footnoteRef/>
      </w:r>
      <w:r>
        <w:t xml:space="preserve"> Submission from the Society of Hospital Pharmacists of Australia, Review analysis of PBS Expenditure and Prescriptions Report 1 July 2021 to 30 June 2022.</w:t>
      </w:r>
    </w:p>
  </w:footnote>
  <w:footnote w:id="143">
    <w:p w14:paraId="69A8361A" w14:textId="008BC318" w:rsidR="00EF7BC9" w:rsidRDefault="00EF7BC9" w:rsidP="00EF7BC9">
      <w:pPr>
        <w:pStyle w:val="FootnoteText"/>
      </w:pPr>
      <w:r>
        <w:rPr>
          <w:rStyle w:val="FootnoteReference"/>
        </w:rPr>
        <w:footnoteRef/>
      </w:r>
      <w:r>
        <w:t xml:space="preserve"> </w:t>
      </w:r>
      <w:r w:rsidR="00EC707F">
        <w:t xml:space="preserve">Services Australia. </w:t>
      </w:r>
      <w:r w:rsidRPr="00EC707F">
        <w:t>Highly specialised drugs - Services Australia</w:t>
      </w:r>
      <w:r>
        <w:t>, accessed 5 September 2023</w:t>
      </w:r>
      <w:r w:rsidR="00EC707F">
        <w:t xml:space="preserve">. Available from: </w:t>
      </w:r>
      <w:hyperlink r:id="rId109" w:anchor=":~:text=Highly%20specialised%20drugs%20(HSDs)%20are,is%20part%20of%20the%20PBS" w:history="1">
        <w:r w:rsidR="00EC707F" w:rsidRPr="00EF72FA">
          <w:rPr>
            <w:rStyle w:val="Hyperlink"/>
            <w:color w:val="0E57FC" w:themeColor="accent4" w:themeTint="99"/>
          </w:rPr>
          <w:t>https://www.servicesaustralia.gov.au/highly-specialised-drugs#:~:text=Highly%20specialised%20drugs%20(HSDs)%20are,is%20part%20of%20the%20PBS</w:t>
        </w:r>
      </w:hyperlink>
      <w:r w:rsidR="00EC707F" w:rsidRPr="00EC707F">
        <w:t>.</w:t>
      </w:r>
      <w:r w:rsidR="00EC707F">
        <w:t xml:space="preserve"> </w:t>
      </w:r>
    </w:p>
  </w:footnote>
  <w:footnote w:id="144">
    <w:p w14:paraId="6C8B84C1" w14:textId="0912DEF9" w:rsidR="008F5C6A" w:rsidRDefault="008F5C6A" w:rsidP="005518F6">
      <w:pPr>
        <w:pStyle w:val="FootnoteText"/>
        <w:spacing w:after="60" w:line="216" w:lineRule="auto"/>
      </w:pPr>
      <w:r>
        <w:rPr>
          <w:rStyle w:val="FootnoteReference"/>
        </w:rPr>
        <w:footnoteRef/>
      </w:r>
      <w:r w:rsidR="00EC707F">
        <w:t xml:space="preserve"> Australian Commonwealth Government. National Health Reform Agreement Long Term Reforms Roadmap. Available from: </w:t>
      </w:r>
      <w:hyperlink r:id="rId110" w:history="1">
        <w:r w:rsidR="00EC707F" w:rsidRPr="00EF72FA">
          <w:rPr>
            <w:rStyle w:val="Hyperlink"/>
            <w:color w:val="0E57FC" w:themeColor="accent4" w:themeTint="99"/>
          </w:rPr>
          <w:t>https://www.health.gov.au/resources/publications/national-health-reform-agreement-nhra-long-term-health-reforms-roadmap</w:t>
        </w:r>
      </w:hyperlink>
      <w:r>
        <w:t xml:space="preserve"> </w:t>
      </w:r>
    </w:p>
  </w:footnote>
  <w:footnote w:id="145">
    <w:p w14:paraId="52E10530" w14:textId="261EAFAB" w:rsidR="00D544AB" w:rsidRDefault="00D544AB" w:rsidP="005518F6">
      <w:pPr>
        <w:pStyle w:val="FootnoteText"/>
        <w:spacing w:after="60" w:line="216" w:lineRule="auto"/>
      </w:pPr>
      <w:r>
        <w:rPr>
          <w:rStyle w:val="FootnoteReference"/>
        </w:rPr>
        <w:footnoteRef/>
      </w:r>
      <w:r>
        <w:t xml:space="preserve"> </w:t>
      </w:r>
      <w:r w:rsidR="0010336B">
        <w:t xml:space="preserve">The Health Innovation Fund </w:t>
      </w:r>
      <w:r w:rsidR="009F5165">
        <w:t xml:space="preserve">(HIF) </w:t>
      </w:r>
      <w:r w:rsidR="0010336B">
        <w:t>is</w:t>
      </w:r>
      <w:r w:rsidRPr="00D544AB">
        <w:t xml:space="preserve"> a $100m fund linked to signing onto the 2018 Heads of Agreement ($50m) and the 2020-25 Addendum ($50m). Projects funded under the HIF ha</w:t>
      </w:r>
      <w:r w:rsidR="009F5165">
        <w:t>ve</w:t>
      </w:r>
      <w:r w:rsidRPr="00D544AB">
        <w:t xml:space="preserve"> to aligned with the objectives of the NHRA long-term reforms</w:t>
      </w:r>
      <w:r w:rsidR="00A16EBC">
        <w:t xml:space="preserve"> and is provided </w:t>
      </w:r>
      <w:r w:rsidR="008E7EF3" w:rsidRPr="008E7EF3">
        <w:t>to States</w:t>
      </w:r>
      <w:r w:rsidR="00050D37">
        <w:t xml:space="preserve"> and </w:t>
      </w:r>
      <w:r w:rsidR="008E7EF3" w:rsidRPr="008E7EF3">
        <w:t>Territories to fund trials that support health prevention and the better use of health data (consistent with the reforms outlined at Clauses 7(c)(v) and (vi)).</w:t>
      </w:r>
    </w:p>
  </w:footnote>
  <w:footnote w:id="146">
    <w:p w14:paraId="3F70DB5F" w14:textId="70397EE1" w:rsidR="008F5C6A" w:rsidRDefault="008F5C6A" w:rsidP="008F5C6A">
      <w:pPr>
        <w:pStyle w:val="FootnoteText"/>
      </w:pPr>
      <w:r>
        <w:rPr>
          <w:rStyle w:val="FootnoteReference"/>
        </w:rPr>
        <w:footnoteRef/>
      </w:r>
      <w:r>
        <w:t xml:space="preserve"> </w:t>
      </w:r>
      <w:r w:rsidRPr="00E678EC">
        <w:t>Under the Health Innovation Fund the Commonwealth provides $100 million to States</w:t>
      </w:r>
      <w:r w:rsidR="00050D37">
        <w:t xml:space="preserve"> and </w:t>
      </w:r>
      <w:r w:rsidRPr="00E678EC">
        <w:t>Territories to fund trials that support health prevention and the better use of health data (consistent with the reforms outlined at Clauses 7(c)(v) and (vi)).</w:t>
      </w:r>
    </w:p>
  </w:footnote>
  <w:footnote w:id="147">
    <w:p w14:paraId="679C9DB5" w14:textId="77777777" w:rsidR="008F5C6A" w:rsidRDefault="008F5C6A" w:rsidP="008F5C6A">
      <w:pPr>
        <w:pStyle w:val="FootnoteText"/>
      </w:pPr>
      <w:r>
        <w:rPr>
          <w:rStyle w:val="FootnoteReference"/>
        </w:rPr>
        <w:footnoteRef/>
      </w:r>
      <w:r>
        <w:t xml:space="preserve"> </w:t>
      </w:r>
      <w:hyperlink r:id="rId111" w:history="1">
        <w:r w:rsidRPr="00EF72FA">
          <w:rPr>
            <w:rStyle w:val="Hyperlink"/>
            <w:color w:val="0E57FC" w:themeColor="accent4" w:themeTint="99"/>
          </w:rPr>
          <w:t>https://www.health.nsw.gov.au/lumos</w:t>
        </w:r>
      </w:hyperlink>
      <w:r w:rsidRPr="00EF72FA">
        <w:rPr>
          <w:color w:val="0E57FC" w:themeColor="accent4" w:themeTint="99"/>
        </w:rPr>
        <w:t xml:space="preserve"> </w:t>
      </w:r>
    </w:p>
  </w:footnote>
  <w:footnote w:id="148">
    <w:p w14:paraId="3D5D854D" w14:textId="0A1E7FC8" w:rsidR="00643611" w:rsidRDefault="00643611" w:rsidP="00643611">
      <w:pPr>
        <w:pStyle w:val="FootnoteText"/>
      </w:pPr>
      <w:r>
        <w:rPr>
          <w:rStyle w:val="FootnoteReference"/>
        </w:rPr>
        <w:footnoteRef/>
      </w:r>
      <w:r>
        <w:t xml:space="preserve"> National Preventive Health Strategy, 2021.</w:t>
      </w:r>
      <w:r w:rsidRPr="00643611">
        <w:rPr>
          <w:sz w:val="20"/>
        </w:rPr>
        <w:t xml:space="preserve"> </w:t>
      </w:r>
      <w:hyperlink r:id="rId112" w:history="1">
        <w:r w:rsidR="00B65386" w:rsidRPr="00B25012">
          <w:rPr>
            <w:rStyle w:val="Hyperlink"/>
            <w:color w:val="0E57FC" w:themeColor="accent4" w:themeTint="99"/>
          </w:rPr>
          <w:t>www.health.gov.au/sites/default/files/documents/2021/12/national-preventive-health-strategy-2021-2030.pdf</w:t>
        </w:r>
      </w:hyperlink>
      <w:r w:rsidR="00B65386" w:rsidRPr="00B25012">
        <w:rPr>
          <w:color w:val="0E57FC" w:themeColor="accent4" w:themeTint="99"/>
        </w:rPr>
        <w:t xml:space="preserve"> </w:t>
      </w:r>
    </w:p>
  </w:footnote>
  <w:footnote w:id="149">
    <w:p w14:paraId="52A491AD" w14:textId="3FBAE080" w:rsidR="005C0482" w:rsidRPr="00B65386" w:rsidRDefault="005C0482">
      <w:pPr>
        <w:pStyle w:val="FootnoteText"/>
        <w:rPr>
          <w:color w:val="0E57FC" w:themeColor="accent4" w:themeTint="99"/>
        </w:rPr>
      </w:pPr>
      <w:r>
        <w:rPr>
          <w:rStyle w:val="FootnoteReference"/>
        </w:rPr>
        <w:footnoteRef/>
      </w:r>
      <w:r>
        <w:t xml:space="preserve"> </w:t>
      </w:r>
      <w:r w:rsidR="006752A2" w:rsidRPr="006752A2">
        <w:t>Remoteness area, 2017–2021</w:t>
      </w:r>
      <w:r w:rsidR="006752A2">
        <w:t xml:space="preserve">. </w:t>
      </w:r>
      <w:hyperlink r:id="rId113" w:history="1">
        <w:r w:rsidRPr="00B65386">
          <w:rPr>
            <w:rStyle w:val="Hyperlink"/>
            <w:color w:val="0E57FC" w:themeColor="accent4" w:themeTint="99"/>
          </w:rPr>
          <w:t>https://www.aihw.gov.au/reports/life-expectancy-deaths/mort-books/contents/mort-books</w:t>
        </w:r>
      </w:hyperlink>
    </w:p>
  </w:footnote>
  <w:footnote w:id="150">
    <w:p w14:paraId="035BE80D" w14:textId="35433FB1" w:rsidR="00F7577D" w:rsidRDefault="00F7577D">
      <w:pPr>
        <w:pStyle w:val="FootnoteText"/>
      </w:pPr>
      <w:r>
        <w:rPr>
          <w:rStyle w:val="FootnoteReference"/>
        </w:rPr>
        <w:footnoteRef/>
      </w:r>
      <w:r>
        <w:t xml:space="preserve"> </w:t>
      </w:r>
      <w:r w:rsidRPr="00F7577D">
        <w:t>https://www.aihw.gov.au/getmedia/20bc5bf9-d46c-40a7-96c1-d632a1d448bc/aihw-hpf-50.pdf.aspx?inline=true</w:t>
      </w:r>
    </w:p>
  </w:footnote>
  <w:footnote w:id="151">
    <w:p w14:paraId="02482E48" w14:textId="377737F6" w:rsidR="00531135" w:rsidRPr="00B65386" w:rsidRDefault="00531135" w:rsidP="00531135">
      <w:pPr>
        <w:pStyle w:val="FootnoteText"/>
        <w:rPr>
          <w:color w:val="0E57FC" w:themeColor="accent4" w:themeTint="99"/>
        </w:rPr>
      </w:pPr>
      <w:r>
        <w:rPr>
          <w:rStyle w:val="FootnoteReference"/>
        </w:rPr>
        <w:footnoteRef/>
      </w:r>
      <w:r>
        <w:t xml:space="preserve"> </w:t>
      </w:r>
      <w:r w:rsidR="00EC707F">
        <w:t xml:space="preserve">Department of Health and Aged Care. National Strategic Framework for Rural and Remote Health, 2016. Available from: </w:t>
      </w:r>
      <w:hyperlink r:id="rId114" w:history="1">
        <w:r w:rsidR="00EC707F" w:rsidRPr="00B65386">
          <w:rPr>
            <w:rStyle w:val="Hyperlink"/>
            <w:color w:val="0E57FC" w:themeColor="accent4" w:themeTint="99"/>
          </w:rPr>
          <w:t>https://www1.health.gov.au/internet/main/publishing.nsf/Content/national-strategic-framework-rural-remote-health</w:t>
        </w:r>
      </w:hyperlink>
      <w:r w:rsidRPr="00B65386">
        <w:rPr>
          <w:color w:val="0E57FC" w:themeColor="accent4" w:themeTint="99"/>
        </w:rPr>
        <w:t xml:space="preserve"> </w:t>
      </w:r>
    </w:p>
  </w:footnote>
  <w:footnote w:id="152">
    <w:p w14:paraId="26242DF0" w14:textId="52AFF862" w:rsidR="00531135" w:rsidRPr="00B65386" w:rsidRDefault="00531135" w:rsidP="00531135">
      <w:pPr>
        <w:pStyle w:val="FootnoteText"/>
        <w:rPr>
          <w:color w:val="0E57FC" w:themeColor="accent4" w:themeTint="99"/>
        </w:rPr>
      </w:pPr>
      <w:r>
        <w:rPr>
          <w:rStyle w:val="FootnoteReference"/>
        </w:rPr>
        <w:footnoteRef/>
      </w:r>
      <w:r>
        <w:t xml:space="preserve"> </w:t>
      </w:r>
      <w:r w:rsidR="00EC707F">
        <w:t xml:space="preserve">Department of Health and Aged Care. Stronger Rural Health Strategy. Available from: </w:t>
      </w:r>
      <w:hyperlink r:id="rId115" w:history="1">
        <w:r w:rsidR="00EC707F" w:rsidRPr="00B65386">
          <w:rPr>
            <w:rStyle w:val="Hyperlink"/>
            <w:color w:val="0E57FC" w:themeColor="accent4" w:themeTint="99"/>
          </w:rPr>
          <w:t>https://www.health.gov.au/topics/rural-health-workforce/stronger-rural-health-strategy</w:t>
        </w:r>
      </w:hyperlink>
      <w:r w:rsidRPr="00B65386">
        <w:rPr>
          <w:color w:val="0E57FC" w:themeColor="accent4" w:themeTint="99"/>
        </w:rPr>
        <w:t xml:space="preserve"> </w:t>
      </w:r>
    </w:p>
  </w:footnote>
  <w:footnote w:id="153">
    <w:p w14:paraId="4FD5F5CA" w14:textId="705C562E" w:rsidR="00227C63" w:rsidRPr="00B65386" w:rsidRDefault="00227C63" w:rsidP="00227C63">
      <w:pPr>
        <w:pStyle w:val="FootnoteText"/>
        <w:rPr>
          <w:color w:val="0E57FC" w:themeColor="accent4" w:themeTint="99"/>
        </w:rPr>
      </w:pPr>
      <w:r>
        <w:rPr>
          <w:rStyle w:val="FootnoteReference"/>
        </w:rPr>
        <w:footnoteRef/>
      </w:r>
      <w:r>
        <w:t xml:space="preserve"> Commonwealth Department of Health</w:t>
      </w:r>
      <w:r w:rsidR="00EC707F">
        <w:t>.</w:t>
      </w:r>
      <w:r>
        <w:t xml:space="preserve"> National Medical Workforce Strategy: 2021-31 Investing in our medical workforce to meet Australia’s health needs</w:t>
      </w:r>
      <w:r w:rsidR="00EC707F">
        <w:t>, 2021</w:t>
      </w:r>
      <w:r>
        <w:t xml:space="preserve">. Available from: </w:t>
      </w:r>
      <w:hyperlink r:id="rId116" w:history="1">
        <w:r w:rsidRPr="00B65386">
          <w:rPr>
            <w:rStyle w:val="Hyperlink"/>
            <w:color w:val="0E57FC" w:themeColor="accent4" w:themeTint="99"/>
          </w:rPr>
          <w:t>https://www.health.gov.au/sites/default/files/documents/2022/03/national-medical-workforce-strategy-2021-2031.pdf</w:t>
        </w:r>
      </w:hyperlink>
      <w:r w:rsidRPr="00B65386">
        <w:rPr>
          <w:color w:val="0E57FC" w:themeColor="accent4" w:themeTint="99"/>
        </w:rPr>
        <w:t xml:space="preserve"> </w:t>
      </w:r>
    </w:p>
  </w:footnote>
  <w:footnote w:id="154">
    <w:p w14:paraId="5E431FC5" w14:textId="3A694006" w:rsidR="00227C63" w:rsidRPr="00B65386" w:rsidRDefault="00227C63" w:rsidP="00227C63">
      <w:pPr>
        <w:pStyle w:val="FootnoteText"/>
        <w:rPr>
          <w:color w:val="0E57FC" w:themeColor="accent4" w:themeTint="99"/>
        </w:rPr>
      </w:pPr>
      <w:r>
        <w:rPr>
          <w:rStyle w:val="FootnoteReference"/>
        </w:rPr>
        <w:footnoteRef/>
      </w:r>
      <w:r>
        <w:t xml:space="preserve"> Australian Institute of Health and Welfare. </w:t>
      </w:r>
      <w:hyperlink r:id="rId117" w:history="1">
        <w:r w:rsidRPr="00B65386">
          <w:rPr>
            <w:rStyle w:val="Hyperlink"/>
            <w:color w:val="0E57FC" w:themeColor="accent4" w:themeTint="99"/>
          </w:rPr>
          <w:t>https://www.aihw.gov.au/reports/rural-remote-australians/rural-and-remote-health</w:t>
        </w:r>
      </w:hyperlink>
      <w:r w:rsidRPr="00B65386">
        <w:rPr>
          <w:color w:val="0E57FC" w:themeColor="accent4" w:themeTint="99"/>
        </w:rPr>
        <w:t xml:space="preserve"> </w:t>
      </w:r>
    </w:p>
  </w:footnote>
  <w:footnote w:id="155">
    <w:p w14:paraId="5026BD27" w14:textId="342A058D" w:rsidR="00227C63" w:rsidRDefault="00227C63" w:rsidP="00227C63">
      <w:pPr>
        <w:pStyle w:val="FootnoteText"/>
      </w:pPr>
      <w:r>
        <w:rPr>
          <w:rStyle w:val="FootnoteReference"/>
        </w:rPr>
        <w:footnoteRef/>
      </w:r>
      <w:r>
        <w:t xml:space="preserve"> Australian Medical Association. The general practitioner workforce: why the neglect must end</w:t>
      </w:r>
      <w:r w:rsidR="00EC707F">
        <w:t>, 2022</w:t>
      </w:r>
      <w:r>
        <w:t xml:space="preserve">. </w:t>
      </w:r>
    </w:p>
  </w:footnote>
  <w:footnote w:id="156">
    <w:p w14:paraId="79337348" w14:textId="5BD44C5C" w:rsidR="00227C63" w:rsidRPr="00B65386" w:rsidRDefault="00227C63" w:rsidP="00227C63">
      <w:pPr>
        <w:pStyle w:val="FootnoteText"/>
        <w:rPr>
          <w:color w:val="0E57FC" w:themeColor="accent4" w:themeTint="99"/>
        </w:rPr>
      </w:pPr>
      <w:r>
        <w:rPr>
          <w:rStyle w:val="FootnoteReference"/>
        </w:rPr>
        <w:footnoteRef/>
      </w:r>
      <w:r>
        <w:t xml:space="preserve"> National Skills Commission. Projecting employment to 2026 [Insights]</w:t>
      </w:r>
      <w:r w:rsidR="00EC707F">
        <w:t>, 2022</w:t>
      </w:r>
      <w:r>
        <w:t xml:space="preserve">. Available from: </w:t>
      </w:r>
      <w:hyperlink r:id="rId118" w:history="1">
        <w:r w:rsidRPr="00B65386">
          <w:rPr>
            <w:rStyle w:val="Hyperlink"/>
            <w:color w:val="0E57FC" w:themeColor="accent4" w:themeTint="99"/>
          </w:rPr>
          <w:t>https://labourmarketinsights.gov.au/industries/industry-details?industryCode=Q</w:t>
        </w:r>
      </w:hyperlink>
      <w:r w:rsidRPr="00B65386">
        <w:rPr>
          <w:color w:val="0E57FC" w:themeColor="accent4" w:themeTint="99"/>
        </w:rPr>
        <w:t xml:space="preserve"> </w:t>
      </w:r>
    </w:p>
  </w:footnote>
  <w:footnote w:id="157">
    <w:p w14:paraId="45DA837F" w14:textId="4970751A" w:rsidR="00227C63" w:rsidRPr="00B65386" w:rsidRDefault="00227C63" w:rsidP="00227C63">
      <w:pPr>
        <w:pStyle w:val="FootnoteText"/>
        <w:rPr>
          <w:color w:val="0E57FC" w:themeColor="accent4" w:themeTint="99"/>
        </w:rPr>
      </w:pPr>
      <w:r>
        <w:rPr>
          <w:rStyle w:val="FootnoteReference"/>
        </w:rPr>
        <w:footnoteRef/>
      </w:r>
      <w:r>
        <w:t xml:space="preserve"> National Skills Commission. Care Workforce Labour Market Study</w:t>
      </w:r>
      <w:r w:rsidR="00EC707F">
        <w:t>, 2021</w:t>
      </w:r>
      <w:r>
        <w:t xml:space="preserve">. Available from: </w:t>
      </w:r>
      <w:hyperlink r:id="rId119" w:history="1">
        <w:r w:rsidRPr="00B65386">
          <w:rPr>
            <w:rStyle w:val="Hyperlink"/>
            <w:color w:val="0E57FC" w:themeColor="accent4" w:themeTint="99"/>
          </w:rPr>
          <w:t>https://www.nationalskillscommission.gov.au/sites/default/files/2022-10/Care%20Workforce%20Labour%20Market%20Study.pdf</w:t>
        </w:r>
      </w:hyperlink>
      <w:r w:rsidRPr="00B65386">
        <w:rPr>
          <w:color w:val="0E57FC" w:themeColor="accent4" w:themeTint="99"/>
        </w:rPr>
        <w:t xml:space="preserve"> </w:t>
      </w:r>
    </w:p>
  </w:footnote>
  <w:footnote w:id="158">
    <w:p w14:paraId="57EC2C63" w14:textId="4F2614DB" w:rsidR="00D20143" w:rsidRPr="00B65386" w:rsidRDefault="00D20143" w:rsidP="00D20143">
      <w:pPr>
        <w:pStyle w:val="FootnoteText"/>
        <w:rPr>
          <w:color w:val="0E57FC" w:themeColor="accent4" w:themeTint="99"/>
        </w:rPr>
      </w:pPr>
      <w:r>
        <w:rPr>
          <w:rStyle w:val="FootnoteReference"/>
        </w:rPr>
        <w:footnoteRef/>
      </w:r>
      <w:r>
        <w:t xml:space="preserve"> </w:t>
      </w:r>
      <w:bookmarkStart w:id="315" w:name="_Hlk146794341"/>
      <w:r w:rsidR="00EC707F">
        <w:t xml:space="preserve">Closing The Gap. National Agreement on Closing The Gap, 2020. Available from: </w:t>
      </w:r>
      <w:hyperlink r:id="rId120" w:history="1">
        <w:r w:rsidR="00EC707F" w:rsidRPr="00B65386">
          <w:rPr>
            <w:rStyle w:val="Hyperlink"/>
            <w:color w:val="0E57FC" w:themeColor="accent4" w:themeTint="99"/>
          </w:rPr>
          <w:t>https://www.closingthegap.gov.au/national-agreement</w:t>
        </w:r>
      </w:hyperlink>
      <w:r w:rsidRPr="00B65386">
        <w:rPr>
          <w:color w:val="0E57FC" w:themeColor="accent4" w:themeTint="99"/>
        </w:rPr>
        <w:t xml:space="preserve"> </w:t>
      </w:r>
      <w:bookmarkEnd w:id="315"/>
    </w:p>
  </w:footnote>
  <w:footnote w:id="159">
    <w:p w14:paraId="15B1B604" w14:textId="047856BB" w:rsidR="008B47EA" w:rsidRDefault="008B47EA">
      <w:pPr>
        <w:pStyle w:val="FootnoteText"/>
      </w:pPr>
      <w:r>
        <w:rPr>
          <w:rStyle w:val="FootnoteReference"/>
        </w:rPr>
        <w:footnoteRef/>
      </w:r>
      <w:r>
        <w:t xml:space="preserve"> </w:t>
      </w:r>
      <w:r w:rsidR="00EC707F">
        <w:t xml:space="preserve">National Aboriginal Community Controlled Health Organisation. Key Facts. Available from: </w:t>
      </w:r>
      <w:hyperlink r:id="rId121" w:history="1">
        <w:r w:rsidR="00EC707F" w:rsidRPr="00B65386">
          <w:rPr>
            <w:rStyle w:val="Hyperlink"/>
            <w:color w:val="0E57FC" w:themeColor="accent4" w:themeTint="99"/>
          </w:rPr>
          <w:t>https://www.naccho.org.au/app/uploads/2022/11/NACCHO_KeyFacts_infographics_A4_221115.pdf</w:t>
        </w:r>
      </w:hyperlink>
      <w:r w:rsidRPr="00B65386">
        <w:rPr>
          <w:color w:val="0E57FC" w:themeColor="accent4" w:themeTint="99"/>
        </w:rPr>
        <w:t xml:space="preserve"> </w:t>
      </w:r>
    </w:p>
  </w:footnote>
  <w:footnote w:id="160">
    <w:p w14:paraId="386B05DA" w14:textId="3BC032AB" w:rsidR="00DD043A" w:rsidRDefault="00DD043A">
      <w:pPr>
        <w:pStyle w:val="FootnoteText"/>
      </w:pPr>
      <w:r>
        <w:rPr>
          <w:rStyle w:val="FootnoteReference"/>
        </w:rPr>
        <w:footnoteRef/>
      </w:r>
      <w:r>
        <w:t xml:space="preserve"> </w:t>
      </w:r>
      <w:r w:rsidR="0028327D">
        <w:t>National Aboriginal Community Controlled Health Organisation and Equity</w:t>
      </w:r>
      <w:r w:rsidR="00966335">
        <w:t xml:space="preserve"> Economics</w:t>
      </w:r>
      <w:r w:rsidR="0028327D">
        <w:t>.</w:t>
      </w:r>
      <w:r w:rsidR="00966335">
        <w:t xml:space="preserve"> Measuring the Gap in </w:t>
      </w:r>
      <w:r w:rsidR="00E20173">
        <w:t>H</w:t>
      </w:r>
      <w:r w:rsidR="00966335">
        <w:t xml:space="preserve">ealth </w:t>
      </w:r>
      <w:r w:rsidR="00E20173">
        <w:t>Expenditure</w:t>
      </w:r>
      <w:r w:rsidR="00966335">
        <w:t xml:space="preserve">: Aboriginal and </w:t>
      </w:r>
      <w:r w:rsidR="00E20173">
        <w:t>Torres</w:t>
      </w:r>
      <w:r w:rsidR="00966335">
        <w:t xml:space="preserve"> Strait Islander Australians. May 2022</w:t>
      </w:r>
      <w:r w:rsidR="0028327D">
        <w:t xml:space="preserve"> </w:t>
      </w:r>
    </w:p>
  </w:footnote>
  <w:footnote w:id="161">
    <w:p w14:paraId="665E8618" w14:textId="77777777" w:rsidR="00DE239E" w:rsidRPr="00B65386" w:rsidRDefault="00DE239E" w:rsidP="00DE239E">
      <w:pPr>
        <w:pStyle w:val="FootnoteText"/>
        <w:rPr>
          <w:color w:val="0E57FC" w:themeColor="accent4" w:themeTint="99"/>
        </w:rPr>
      </w:pPr>
      <w:r>
        <w:rPr>
          <w:rStyle w:val="FootnoteReference"/>
        </w:rPr>
        <w:footnoteRef/>
      </w:r>
      <w:r>
        <w:t xml:space="preserve"> Independent Health and Aged Care Pricing Authority. National Pricing Model 2023-24, 2023. Available from: </w:t>
      </w:r>
      <w:hyperlink r:id="rId122" w:history="1">
        <w:r w:rsidRPr="00B65386">
          <w:rPr>
            <w:rStyle w:val="Hyperlink"/>
            <w:color w:val="0E57FC" w:themeColor="accent4" w:themeTint="99"/>
          </w:rPr>
          <w:t>https://www.ihacpa.gov.au/sites/default/files/2023-03/national_pricing_model_technical_specifications_2032-24.pdf</w:t>
        </w:r>
      </w:hyperlink>
      <w:r w:rsidRPr="00B65386">
        <w:rPr>
          <w:color w:val="0E57FC" w:themeColor="accent4" w:themeTint="99"/>
        </w:rPr>
        <w:t xml:space="preserve"> </w:t>
      </w:r>
    </w:p>
  </w:footnote>
  <w:footnote w:id="162">
    <w:p w14:paraId="6780D8F1" w14:textId="763ACC15" w:rsidR="00D7782B" w:rsidRPr="00B65386" w:rsidRDefault="00D7782B">
      <w:pPr>
        <w:pStyle w:val="FootnoteText"/>
        <w:rPr>
          <w:color w:val="0E57FC" w:themeColor="accent4" w:themeTint="99"/>
        </w:rPr>
      </w:pPr>
      <w:r>
        <w:rPr>
          <w:rStyle w:val="FootnoteReference"/>
        </w:rPr>
        <w:footnoteRef/>
      </w:r>
      <w:r>
        <w:t xml:space="preserve"> </w:t>
      </w:r>
      <w:r w:rsidR="00EC707F">
        <w:t xml:space="preserve">National Aboriginal Community Controlled Health Organisation. Key Facts. Available from: </w:t>
      </w:r>
      <w:hyperlink r:id="rId123" w:history="1">
        <w:r w:rsidR="00EC707F" w:rsidRPr="00B65386">
          <w:rPr>
            <w:rStyle w:val="Hyperlink"/>
            <w:color w:val="0E57FC" w:themeColor="accent4" w:themeTint="99"/>
          </w:rPr>
          <w:t>https://www.naccho.org.au/app/uploads/2022/11/NACCHO_KeyFacts_infographics_A4_221115.pdf</w:t>
        </w:r>
      </w:hyperlink>
      <w:r w:rsidRPr="00B65386">
        <w:rPr>
          <w:color w:val="0E57FC" w:themeColor="accent4" w:themeTint="99"/>
        </w:rPr>
        <w:t xml:space="preserve"> </w:t>
      </w:r>
    </w:p>
  </w:footnote>
  <w:footnote w:id="163">
    <w:p w14:paraId="51075679" w14:textId="77777777" w:rsidR="008C7A00" w:rsidRPr="00B65386" w:rsidRDefault="008C7A00" w:rsidP="008C7A00">
      <w:pPr>
        <w:pStyle w:val="FootnoteText"/>
        <w:rPr>
          <w:color w:val="0E57FC" w:themeColor="accent4" w:themeTint="99"/>
        </w:rPr>
      </w:pPr>
      <w:r>
        <w:rPr>
          <w:rStyle w:val="FootnoteReference"/>
        </w:rPr>
        <w:footnoteRef/>
      </w:r>
      <w:r w:rsidR="001C6C9F">
        <w:t xml:space="preserve"> Australian Institute of Health and Welfare (2023). Deaths in Australia. Available from: </w:t>
      </w:r>
      <w:hyperlink r:id="rId124" w:history="1">
        <w:r w:rsidR="001C6C9F" w:rsidRPr="00B65386">
          <w:rPr>
            <w:rStyle w:val="Hyperlink"/>
            <w:color w:val="0E57FC" w:themeColor="accent4" w:themeTint="99"/>
          </w:rPr>
          <w:t>https://www.aihw.gov.au/reports/life-expectancy-deaths/deaths-in-australia/contents/summary</w:t>
        </w:r>
      </w:hyperlink>
      <w:r w:rsidR="001C6C9F" w:rsidRPr="00B65386">
        <w:rPr>
          <w:color w:val="0E57FC" w:themeColor="accent4" w:themeTint="99"/>
        </w:rPr>
        <w:t xml:space="preserve"> </w:t>
      </w:r>
    </w:p>
  </w:footnote>
  <w:footnote w:id="164">
    <w:p w14:paraId="08642AF3" w14:textId="2AE9A182" w:rsidR="00756FE9" w:rsidRPr="00B65386" w:rsidRDefault="00756FE9" w:rsidP="00DB08BE">
      <w:pPr>
        <w:pStyle w:val="FootnoteText"/>
        <w:spacing w:after="60" w:line="216" w:lineRule="auto"/>
        <w:rPr>
          <w:color w:val="0E57FC" w:themeColor="accent4" w:themeTint="99"/>
        </w:rPr>
      </w:pPr>
      <w:r>
        <w:rPr>
          <w:rStyle w:val="FootnoteReference"/>
        </w:rPr>
        <w:footnoteRef/>
      </w:r>
      <w:r>
        <w:t xml:space="preserve"> </w:t>
      </w:r>
      <w:r w:rsidR="00EC707F">
        <w:t>Department of Health and Aged Care. Australia’s rural health workforce. Available from:</w:t>
      </w:r>
      <w:r>
        <w:t xml:space="preserve"> </w:t>
      </w:r>
      <w:hyperlink r:id="rId125" w:history="1">
        <w:r w:rsidR="00DB08BE" w:rsidRPr="00B65386">
          <w:rPr>
            <w:rStyle w:val="Hyperlink"/>
            <w:color w:val="0E57FC" w:themeColor="accent4" w:themeTint="99"/>
          </w:rPr>
          <w:t>https://www.health.gov.au/topics/rural-health-workforce/about</w:t>
        </w:r>
      </w:hyperlink>
      <w:r w:rsidR="00DB08BE" w:rsidRPr="00B65386">
        <w:rPr>
          <w:color w:val="0E57FC" w:themeColor="accent4" w:themeTint="99"/>
        </w:rPr>
        <w:t xml:space="preserve"> </w:t>
      </w:r>
    </w:p>
  </w:footnote>
  <w:footnote w:id="165">
    <w:p w14:paraId="1B8548A1" w14:textId="468C4FCD" w:rsidR="00667C2E" w:rsidRDefault="00667C2E" w:rsidP="00DB08BE">
      <w:pPr>
        <w:pStyle w:val="FootnoteText"/>
        <w:spacing w:after="60" w:line="216" w:lineRule="auto"/>
      </w:pPr>
      <w:r>
        <w:rPr>
          <w:rStyle w:val="FootnoteReference"/>
        </w:rPr>
        <w:footnoteRef/>
      </w:r>
      <w:r>
        <w:t xml:space="preserve"> Royal Australian College of General Practitioners. General Practice Health of the nation</w:t>
      </w:r>
      <w:r w:rsidR="00EC707F">
        <w:t>,</w:t>
      </w:r>
      <w:r>
        <w:t xml:space="preserve"> 2022.</w:t>
      </w:r>
    </w:p>
  </w:footnote>
  <w:footnote w:id="166">
    <w:p w14:paraId="353B42A6" w14:textId="77777777" w:rsidR="001776ED" w:rsidRDefault="001776ED" w:rsidP="00DB08BE">
      <w:pPr>
        <w:pStyle w:val="FootnoteText"/>
        <w:spacing w:after="60" w:line="216" w:lineRule="auto"/>
      </w:pPr>
      <w:r>
        <w:rPr>
          <w:rStyle w:val="FootnoteReference"/>
        </w:rPr>
        <w:footnoteRef/>
      </w:r>
      <w:r>
        <w:t xml:space="preserve"> Medical Deans Australia and New Zealand – Medical Schools Outcomes Database National Data Report, July 2023</w:t>
      </w:r>
    </w:p>
  </w:footnote>
  <w:footnote w:id="167">
    <w:p w14:paraId="63400CBF" w14:textId="3008F847" w:rsidR="00667C2E" w:rsidRPr="00B65386" w:rsidRDefault="00667C2E" w:rsidP="00DB08BE">
      <w:pPr>
        <w:pStyle w:val="FootnoteText"/>
        <w:spacing w:after="60" w:line="216" w:lineRule="auto"/>
        <w:rPr>
          <w:color w:val="0E57FC" w:themeColor="accent4" w:themeTint="99"/>
        </w:rPr>
      </w:pPr>
      <w:r>
        <w:rPr>
          <w:rStyle w:val="FootnoteReference"/>
        </w:rPr>
        <w:footnoteRef/>
      </w:r>
      <w:r>
        <w:t xml:space="preserve"> </w:t>
      </w:r>
      <w:r w:rsidR="00041C0D">
        <w:t xml:space="preserve">Department of Health and Aged Care. National Medical Workforce Strategy 2021-2031. Available from: </w:t>
      </w:r>
      <w:hyperlink r:id="rId126" w:history="1">
        <w:r w:rsidR="00041C0D" w:rsidRPr="00B65386">
          <w:rPr>
            <w:rStyle w:val="Hyperlink"/>
            <w:color w:val="0E57FC" w:themeColor="accent4" w:themeTint="99"/>
          </w:rPr>
          <w:t>https://www.health.gov.au/resources/publications/national-medical-workforce-strategy-2021-2031?language=en</w:t>
        </w:r>
      </w:hyperlink>
      <w:r w:rsidRPr="00B65386">
        <w:rPr>
          <w:color w:val="0E57FC" w:themeColor="accent4" w:themeTint="99"/>
        </w:rPr>
        <w:t xml:space="preserve"> </w:t>
      </w:r>
    </w:p>
  </w:footnote>
  <w:footnote w:id="168">
    <w:p w14:paraId="2B35E76F" w14:textId="4D72D547" w:rsidR="00667C2E" w:rsidRPr="00B65386" w:rsidRDefault="00667C2E" w:rsidP="00DB08BE">
      <w:pPr>
        <w:pStyle w:val="FootnoteText"/>
        <w:spacing w:after="60" w:line="216" w:lineRule="auto"/>
        <w:rPr>
          <w:color w:val="0E57FC" w:themeColor="accent4" w:themeTint="99"/>
        </w:rPr>
      </w:pPr>
      <w:r>
        <w:rPr>
          <w:rStyle w:val="FootnoteReference"/>
        </w:rPr>
        <w:footnoteRef/>
      </w:r>
      <w:r>
        <w:t xml:space="preserve"> </w:t>
      </w:r>
      <w:r w:rsidR="00041C0D">
        <w:t>Department of Health and Aged Care. National Nursing Workforce Strategy. Available from</w:t>
      </w:r>
      <w:r w:rsidR="00041C0D" w:rsidRPr="00B65386">
        <w:rPr>
          <w:color w:val="0E57FC" w:themeColor="accent4" w:themeTint="99"/>
        </w:rPr>
        <w:t>:</w:t>
      </w:r>
      <w:r w:rsidRPr="00B65386">
        <w:rPr>
          <w:color w:val="0E57FC" w:themeColor="accent4" w:themeTint="99"/>
        </w:rPr>
        <w:t xml:space="preserve"> </w:t>
      </w:r>
      <w:hyperlink r:id="rId127" w:history="1">
        <w:r w:rsidRPr="00B65386">
          <w:rPr>
            <w:rStyle w:val="Hyperlink"/>
            <w:color w:val="0E57FC" w:themeColor="accent4" w:themeTint="99"/>
          </w:rPr>
          <w:t>https://www.health.gov.au/our-work/national-nursing-workforce-strategy</w:t>
        </w:r>
      </w:hyperlink>
      <w:r w:rsidRPr="00B65386">
        <w:rPr>
          <w:color w:val="0E57FC" w:themeColor="accent4" w:themeTint="99"/>
        </w:rPr>
        <w:t xml:space="preserve"> </w:t>
      </w:r>
    </w:p>
  </w:footnote>
  <w:footnote w:id="169">
    <w:p w14:paraId="0132FF8D" w14:textId="77777777" w:rsidR="009F7EDF" w:rsidRPr="00B65386" w:rsidRDefault="009F7EDF" w:rsidP="00DB08BE">
      <w:pPr>
        <w:pStyle w:val="FootnoteText"/>
        <w:spacing w:after="60" w:line="216" w:lineRule="auto"/>
        <w:rPr>
          <w:color w:val="0E57FC" w:themeColor="accent4" w:themeTint="99"/>
        </w:rPr>
      </w:pPr>
      <w:r>
        <w:rPr>
          <w:rStyle w:val="FootnoteReference"/>
        </w:rPr>
        <w:footnoteRef/>
      </w:r>
      <w:r>
        <w:t xml:space="preserve"> Department of Health and Aged Care. National Aboriginal and Torres Strait Islander Health Workforce Strategic Framework and Implementation Plan 2021-2031. Available from: </w:t>
      </w:r>
      <w:hyperlink r:id="rId128" w:history="1">
        <w:r w:rsidRPr="00B65386">
          <w:rPr>
            <w:rStyle w:val="Hyperlink"/>
            <w:color w:val="0E57FC" w:themeColor="accent4" w:themeTint="99"/>
          </w:rPr>
          <w:t>https://www.health.gov.au/resources/publications/national-aboriginal-and-torres-strait-islander-health-workforce-strategic-framework-and-implementation-plan-2021-2031?language=en</w:t>
        </w:r>
      </w:hyperlink>
      <w:r w:rsidRPr="00B65386">
        <w:rPr>
          <w:color w:val="0E57FC" w:themeColor="accent4" w:themeTint="99"/>
        </w:rPr>
        <w:t xml:space="preserve"> </w:t>
      </w:r>
    </w:p>
  </w:footnote>
  <w:footnote w:id="170">
    <w:p w14:paraId="66A14CD8" w14:textId="6E5F3614" w:rsidR="00667C2E" w:rsidRDefault="00667C2E" w:rsidP="00667C2E">
      <w:pPr>
        <w:pStyle w:val="FootnoteText"/>
      </w:pPr>
      <w:r>
        <w:rPr>
          <w:rStyle w:val="FootnoteReference"/>
        </w:rPr>
        <w:footnoteRef/>
      </w:r>
      <w:r>
        <w:t xml:space="preserve"> </w:t>
      </w:r>
      <w:r w:rsidR="00E62EB6">
        <w:t>Scottish Government. Health workforce. Available from:</w:t>
      </w:r>
      <w:r>
        <w:t xml:space="preserve"> </w:t>
      </w:r>
      <w:hyperlink r:id="rId129" w:history="1">
        <w:r w:rsidR="00B65386" w:rsidRPr="00B65386">
          <w:rPr>
            <w:rStyle w:val="Hyperlink"/>
            <w:color w:val="0E57FC" w:themeColor="accent4" w:themeTint="99"/>
          </w:rPr>
          <w:t>https://www.gov.scot/policies/health-workforce/</w:t>
        </w:r>
      </w:hyperlink>
      <w:r w:rsidR="00B65386" w:rsidRPr="00B65386">
        <w:rPr>
          <w:color w:val="0E57FC" w:themeColor="accent4" w:themeTint="99"/>
        </w:rPr>
        <w:t xml:space="preserve"> </w:t>
      </w:r>
    </w:p>
  </w:footnote>
  <w:footnote w:id="171">
    <w:p w14:paraId="550DD701" w14:textId="230CEBC5" w:rsidR="00667C2E" w:rsidRDefault="00667C2E" w:rsidP="00667C2E">
      <w:pPr>
        <w:pStyle w:val="FootnoteText"/>
      </w:pPr>
      <w:r>
        <w:rPr>
          <w:rStyle w:val="FootnoteReference"/>
        </w:rPr>
        <w:footnoteRef/>
      </w:r>
      <w:r>
        <w:t xml:space="preserve"> </w:t>
      </w:r>
      <w:r w:rsidR="00A82BC0">
        <w:t>Australian Institute of Digital Health. Northern health using The Clinician’s digital health platform to expand their Victorian Virtual Emergency Department statewide</w:t>
      </w:r>
      <w:r w:rsidR="00E62EB6">
        <w:t>, 2022</w:t>
      </w:r>
      <w:r w:rsidR="00A82BC0">
        <w:t>. Available from:</w:t>
      </w:r>
      <w:hyperlink r:id="rId130" w:history="1">
        <w:r w:rsidR="00A82BC0" w:rsidRPr="00B65386">
          <w:rPr>
            <w:rStyle w:val="Hyperlink"/>
            <w:color w:val="0E57FC" w:themeColor="accent4" w:themeTint="99"/>
          </w:rPr>
          <w:t>https://digitalhealth.org.au/blog/northern-health-using-the-clinicians-digital-health-platform/</w:t>
        </w:r>
      </w:hyperlink>
      <w:r w:rsidRPr="00B65386">
        <w:rPr>
          <w:color w:val="0E57FC" w:themeColor="accent4" w:themeTint="99"/>
        </w:rPr>
        <w:t xml:space="preserve"> </w:t>
      </w:r>
    </w:p>
  </w:footnote>
  <w:footnote w:id="172">
    <w:p w14:paraId="0EFE27B8" w14:textId="77E4A0C5" w:rsidR="00667C2E" w:rsidRDefault="00667C2E" w:rsidP="00667C2E">
      <w:pPr>
        <w:pStyle w:val="FootnoteText"/>
      </w:pPr>
      <w:r>
        <w:rPr>
          <w:rStyle w:val="FootnoteReference"/>
        </w:rPr>
        <w:footnoteRef/>
      </w:r>
      <w:r>
        <w:t xml:space="preserve"> </w:t>
      </w:r>
      <w:r w:rsidR="00BD42D0" w:rsidRPr="00BD42D0">
        <w:t>https://www.health.gov.au/resources/publications/national-aboriginal-and-torres-strait-islander-health-plan-2021-2031</w:t>
      </w:r>
    </w:p>
  </w:footnote>
  <w:footnote w:id="173">
    <w:p w14:paraId="36731169" w14:textId="758A89A7" w:rsidR="004815A0" w:rsidRDefault="004815A0">
      <w:pPr>
        <w:pStyle w:val="FootnoteText"/>
      </w:pPr>
      <w:r>
        <w:rPr>
          <w:rStyle w:val="FootnoteReference"/>
        </w:rPr>
        <w:footnoteRef/>
      </w:r>
      <w:r>
        <w:t xml:space="preserve"> </w:t>
      </w:r>
      <w:r w:rsidR="007760EB">
        <w:t>Council of Australian Governments. National Health Reform Agreement.</w:t>
      </w:r>
      <w:r w:rsidR="00A82BC0">
        <w:t xml:space="preserve"> Available from: </w:t>
      </w:r>
      <w:hyperlink r:id="rId131" w:history="1">
        <w:r w:rsidR="00A82BC0" w:rsidRPr="00B65386">
          <w:rPr>
            <w:rStyle w:val="Hyperlink"/>
            <w:color w:val="0E57FC" w:themeColor="accent4" w:themeTint="99"/>
          </w:rPr>
          <w:t>https://federalfinancialrelations.gov.au/sites/federalfinancialrelations.gov.au/files/2021-08/national-agreement.pdf</w:t>
        </w:r>
      </w:hyperlink>
      <w:r w:rsidR="00553653">
        <w:t>, page 44</w:t>
      </w:r>
    </w:p>
  </w:footnote>
  <w:footnote w:id="174">
    <w:p w14:paraId="4CA11F16" w14:textId="2BF0635F" w:rsidR="00A327F4" w:rsidRPr="00832600" w:rsidRDefault="00A327F4" w:rsidP="00A327F4">
      <w:pPr>
        <w:pStyle w:val="FootnoteText"/>
        <w:tabs>
          <w:tab w:val="left" w:pos="3901"/>
        </w:tabs>
        <w:rPr>
          <w:color w:val="0E57FC" w:themeColor="accent4" w:themeTint="99"/>
        </w:rPr>
      </w:pPr>
      <w:r>
        <w:rPr>
          <w:rStyle w:val="FootnoteReference"/>
        </w:rPr>
        <w:footnoteRef/>
      </w:r>
      <w:r>
        <w:t xml:space="preserve"> Australian Institute of Health and Welfare. Emergency department care activity</w:t>
      </w:r>
      <w:r w:rsidR="00041C0D">
        <w:t>, 2023</w:t>
      </w:r>
      <w:r>
        <w:t xml:space="preserve">. Available from: </w:t>
      </w:r>
      <w:hyperlink r:id="rId132" w:history="1">
        <w:r w:rsidRPr="00832600">
          <w:rPr>
            <w:rStyle w:val="Hyperlink"/>
            <w:color w:val="0E57FC" w:themeColor="accent4" w:themeTint="99"/>
          </w:rPr>
          <w:t>https://www.aihw.gov.au/reports-data/myhospitals/intersection/activity/ed</w:t>
        </w:r>
      </w:hyperlink>
    </w:p>
  </w:footnote>
  <w:footnote w:id="175">
    <w:p w14:paraId="181CE053" w14:textId="091A9D42" w:rsidR="00A327F4" w:rsidRPr="00832600" w:rsidRDefault="00A327F4" w:rsidP="00A327F4">
      <w:pPr>
        <w:pStyle w:val="FootnoteText"/>
        <w:rPr>
          <w:color w:val="0E57FC" w:themeColor="accent4" w:themeTint="99"/>
        </w:rPr>
      </w:pPr>
      <w:r>
        <w:rPr>
          <w:rStyle w:val="FootnoteReference"/>
        </w:rPr>
        <w:footnoteRef/>
      </w:r>
      <w:r>
        <w:t xml:space="preserve"> Australian Institute of Health and Welfare. Elective surgery activity</w:t>
      </w:r>
      <w:r w:rsidR="00041C0D">
        <w:t>, 2023</w:t>
      </w:r>
      <w:r>
        <w:t xml:space="preserve">. Available from: </w:t>
      </w:r>
      <w:hyperlink r:id="rId133" w:history="1">
        <w:r w:rsidRPr="00832600">
          <w:rPr>
            <w:rStyle w:val="Hyperlink"/>
            <w:color w:val="0E57FC" w:themeColor="accent4" w:themeTint="99"/>
          </w:rPr>
          <w:t>https://www.aihw.gov.au/reports-data/myhospitals/intersection/activity/eswt</w:t>
        </w:r>
      </w:hyperlink>
    </w:p>
  </w:footnote>
  <w:footnote w:id="176">
    <w:p w14:paraId="14CF0CDF" w14:textId="1A437696" w:rsidR="000920F5" w:rsidRPr="00832600" w:rsidRDefault="000920F5" w:rsidP="00EA1E97">
      <w:pPr>
        <w:pStyle w:val="FootnoteText"/>
        <w:rPr>
          <w:color w:val="0E57FC" w:themeColor="accent4" w:themeTint="99"/>
        </w:rPr>
      </w:pPr>
      <w:r>
        <w:rPr>
          <w:rStyle w:val="FootnoteReference"/>
        </w:rPr>
        <w:footnoteRef/>
      </w:r>
      <w:r>
        <w:t xml:space="preserve"> Australian Institute of Health and Welfare. Emergency department care activity, 2023. Available from: </w:t>
      </w:r>
      <w:hyperlink r:id="rId134" w:history="1">
        <w:r w:rsidRPr="00832600">
          <w:rPr>
            <w:rStyle w:val="Hyperlink"/>
            <w:color w:val="0E57FC" w:themeColor="accent4" w:themeTint="99"/>
          </w:rPr>
          <w:t>https://www.aihw.gov.au/reports-data/myhospitals/intersection/activity/ed</w:t>
        </w:r>
      </w:hyperlink>
      <w:r w:rsidRPr="00832600">
        <w:rPr>
          <w:color w:val="0E57FC" w:themeColor="accent4" w:themeTint="99"/>
        </w:rPr>
        <w:t xml:space="preserve"> </w:t>
      </w:r>
    </w:p>
  </w:footnote>
  <w:footnote w:id="177">
    <w:p w14:paraId="27452DBA" w14:textId="77777777" w:rsidR="000920F5" w:rsidRDefault="000920F5" w:rsidP="000920F5">
      <w:pPr>
        <w:pStyle w:val="FootnoteText"/>
      </w:pPr>
      <w:r>
        <w:rPr>
          <w:rStyle w:val="FootnoteReference"/>
        </w:rPr>
        <w:footnoteRef/>
      </w:r>
      <w:r>
        <w:t xml:space="preserve"> </w:t>
      </w:r>
      <w:hyperlink r:id="rId135" w:history="1">
        <w:r w:rsidRPr="00832600">
          <w:rPr>
            <w:rStyle w:val="Hyperlink"/>
            <w:color w:val="0E57FC" w:themeColor="accent4" w:themeTint="99"/>
          </w:rPr>
          <w:t>https://www.aihw.gov.au/reports-data/myhospitals/intersection/activity/ed</w:t>
        </w:r>
      </w:hyperlink>
      <w:r w:rsidRPr="00832600">
        <w:rPr>
          <w:color w:val="0E57FC" w:themeColor="accent4" w:themeTint="99"/>
        </w:rPr>
        <w:t xml:space="preserve"> </w:t>
      </w:r>
    </w:p>
  </w:footnote>
  <w:footnote w:id="178">
    <w:p w14:paraId="3B2B4523" w14:textId="1EA4076B" w:rsidR="002D49D2" w:rsidRDefault="002D49D2">
      <w:pPr>
        <w:pStyle w:val="FootnoteText"/>
      </w:pPr>
      <w:r>
        <w:rPr>
          <w:rStyle w:val="FootnoteReference"/>
        </w:rPr>
        <w:footnoteRef/>
      </w:r>
      <w:r>
        <w:t xml:space="preserve"> </w:t>
      </w:r>
      <w:r w:rsidR="007760EB">
        <w:t xml:space="preserve">Prime Minister of Australia. Improving Future Preparedness: Inquiry Into The Response To The COVID-19 Pandemic. Available from: </w:t>
      </w:r>
      <w:hyperlink r:id="rId136" w:history="1">
        <w:r w:rsidR="007760EB" w:rsidRPr="00832600">
          <w:rPr>
            <w:rStyle w:val="Hyperlink"/>
            <w:color w:val="0E57FC" w:themeColor="accent4" w:themeTint="99"/>
          </w:rPr>
          <w:t>https://www.pm.gov.au/media/improving-future-preparedness-inquiry-response-covid-19-pandemic</w:t>
        </w:r>
      </w:hyperlink>
      <w:r w:rsidRPr="00832600">
        <w:rPr>
          <w:color w:val="0E57FC" w:themeColor="accent4" w:themeTint="99"/>
        </w:rPr>
        <w:t xml:space="preserve"> </w:t>
      </w:r>
    </w:p>
  </w:footnote>
  <w:footnote w:id="179">
    <w:p w14:paraId="0085FA4C" w14:textId="60B193A9" w:rsidR="00FF7918" w:rsidRPr="00832600" w:rsidRDefault="00FF7918" w:rsidP="00A228A5">
      <w:pPr>
        <w:pStyle w:val="FootnoteText"/>
        <w:spacing w:line="192" w:lineRule="auto"/>
        <w:rPr>
          <w:color w:val="0E57FC" w:themeColor="accent4" w:themeTint="99"/>
        </w:rPr>
      </w:pPr>
      <w:r>
        <w:rPr>
          <w:rStyle w:val="FootnoteReference"/>
        </w:rPr>
        <w:footnoteRef/>
      </w:r>
      <w:r>
        <w:t xml:space="preserve"> </w:t>
      </w:r>
      <w:r w:rsidRPr="00FF7918">
        <w:t xml:space="preserve">Australian Institute of Health and Welfare. Elective surgery waiting times, 2022. Available from: </w:t>
      </w:r>
      <w:hyperlink r:id="rId137" w:history="1">
        <w:r w:rsidRPr="00832600">
          <w:rPr>
            <w:rStyle w:val="Hyperlink"/>
            <w:color w:val="0E57FC" w:themeColor="accent4" w:themeTint="99"/>
          </w:rPr>
          <w:t>https://myhospitalsapi.aihw.gov.au/api/v1/measure-downloads/myh-es</w:t>
        </w:r>
      </w:hyperlink>
      <w:r w:rsidRPr="00832600">
        <w:rPr>
          <w:color w:val="0E57FC" w:themeColor="accent4" w:themeTint="99"/>
        </w:rPr>
        <w:t xml:space="preserve"> </w:t>
      </w:r>
    </w:p>
  </w:footnote>
  <w:footnote w:id="180">
    <w:p w14:paraId="195D5068" w14:textId="7483F569" w:rsidR="00F92533" w:rsidRDefault="00F92533">
      <w:pPr>
        <w:pStyle w:val="FootnoteText"/>
      </w:pPr>
      <w:r>
        <w:rPr>
          <w:rStyle w:val="FootnoteReference"/>
        </w:rPr>
        <w:footnoteRef/>
      </w:r>
      <w:r>
        <w:t xml:space="preserve"> As at 30 August 2023, sourced from the Commonwealth Department of Health and Aged Care</w:t>
      </w:r>
    </w:p>
  </w:footnote>
  <w:footnote w:id="181">
    <w:p w14:paraId="57DE4884" w14:textId="4A9553EB" w:rsidR="004B1D8D" w:rsidRDefault="004B1D8D">
      <w:pPr>
        <w:pStyle w:val="FootnoteText"/>
      </w:pPr>
      <w:r>
        <w:rPr>
          <w:rStyle w:val="FootnoteReference"/>
        </w:rPr>
        <w:footnoteRef/>
      </w:r>
      <w:r>
        <w:t xml:space="preserve"> </w:t>
      </w:r>
      <w:hyperlink r:id="rId138" w:history="1">
        <w:r w:rsidR="00725B44" w:rsidRPr="005D61F9">
          <w:rPr>
            <w:rStyle w:val="Hyperlink"/>
            <w:color w:val="0E57FC" w:themeColor="accent4" w:themeTint="99"/>
          </w:rPr>
          <w:t>https://catalyst.nejm.org/doi/full/10.1056/CAT.20.0530</w:t>
        </w:r>
      </w:hyperlink>
      <w:r w:rsidR="00725B44" w:rsidRPr="005D61F9">
        <w:rPr>
          <w:color w:val="0E57FC" w:themeColor="accent4" w:themeTint="99"/>
        </w:rPr>
        <w:t xml:space="preserve"> </w:t>
      </w:r>
    </w:p>
  </w:footnote>
  <w:footnote w:id="182">
    <w:p w14:paraId="6E9FBA17" w14:textId="59227F98" w:rsidR="00725B44" w:rsidRDefault="00725B44">
      <w:pPr>
        <w:pStyle w:val="FootnoteText"/>
      </w:pPr>
      <w:r>
        <w:rPr>
          <w:rStyle w:val="FootnoteReference"/>
        </w:rPr>
        <w:footnoteRef/>
      </w:r>
      <w:r>
        <w:t xml:space="preserve"> </w:t>
      </w:r>
      <w:hyperlink r:id="rId139" w:history="1">
        <w:r w:rsidRPr="005D61F9">
          <w:rPr>
            <w:rStyle w:val="Hyperlink"/>
            <w:color w:val="0E57FC" w:themeColor="accent4" w:themeTint="99"/>
          </w:rPr>
          <w:t>https://catalyst.nejm.org/doi/full/10.1056/CAT.20.0530</w:t>
        </w:r>
      </w:hyperlink>
      <w:r w:rsidRPr="005D61F9">
        <w:rPr>
          <w:color w:val="0E57FC" w:themeColor="accent4" w:themeTint="99"/>
        </w:rPr>
        <w:t xml:space="preserve"> </w:t>
      </w:r>
    </w:p>
  </w:footnote>
  <w:footnote w:id="183">
    <w:p w14:paraId="380A335D" w14:textId="6B3C61F6" w:rsidR="00F86F12" w:rsidRDefault="00F86F12">
      <w:pPr>
        <w:pStyle w:val="FootnoteText"/>
      </w:pPr>
      <w:r>
        <w:rPr>
          <w:rStyle w:val="FootnoteReference"/>
        </w:rPr>
        <w:footnoteRef/>
      </w:r>
      <w:r>
        <w:t xml:space="preserve"> </w:t>
      </w:r>
      <w:hyperlink r:id="rId140" w:history="1">
        <w:r w:rsidRPr="005D61F9">
          <w:rPr>
            <w:rStyle w:val="Hyperlink"/>
            <w:color w:val="0E57FC" w:themeColor="accent4" w:themeTint="99"/>
          </w:rPr>
          <w:t>https://catalyst.nejm.org/doi/full/10.1056/CAT.20.0530</w:t>
        </w:r>
      </w:hyperlink>
      <w:r w:rsidRPr="005D61F9">
        <w:rPr>
          <w:color w:val="0E57FC" w:themeColor="accent4" w:themeTint="99"/>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67AA5" w14:textId="64BF645A" w:rsidR="00BF0BA5" w:rsidRDefault="00BF0BA5">
    <w:pPr>
      <w:pStyle w:val="Header"/>
    </w:pPr>
  </w:p>
  <w:p w14:paraId="3E9B55FB" w14:textId="77777777" w:rsidR="00BF0BA5" w:rsidRDefault="00BF0BA5"/>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0783C" w14:textId="54DA1591" w:rsidR="00F132E1" w:rsidRDefault="00F132E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7CB8E" w14:textId="4D7A3750" w:rsidR="0053360F" w:rsidRPr="00C0090D" w:rsidRDefault="001017A8" w:rsidP="00817851">
    <w:pPr>
      <w:pStyle w:val="Header"/>
      <w:jc w:val="right"/>
      <w:rPr>
        <w:rFonts w:ascii="OpenSansRegular" w:hAnsi="OpenSansRegular" w:cs="OpenSansRegular"/>
      </w:rPr>
    </w:pPr>
    <w:r>
      <w:rPr>
        <w:rFonts w:ascii="OpenSansRegular" w:hAnsi="OpenSansRegular" w:cs="OpenSansRegular"/>
        <w:noProof/>
      </w:rPr>
      <w:drawing>
        <wp:inline distT="0" distB="0" distL="0" distR="0" wp14:anchorId="1E3933E7" wp14:editId="02BCA04F">
          <wp:extent cx="3950141" cy="270000"/>
          <wp:effectExtent l="0" t="0" r="0" b="0"/>
          <wp:docPr id="1115524942" name="Picture 11155249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50141" cy="270000"/>
                  </a:xfrm>
                  <a:prstGeom prst="rect">
                    <a:avLst/>
                  </a:prstGeom>
                  <a:noFill/>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FB9E" w14:textId="6C13F63B" w:rsidR="00F132E1" w:rsidRDefault="00F132E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AF528" w14:textId="3C60F2E4" w:rsidR="00F132E1" w:rsidRDefault="00F132E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0FBA1" w14:textId="6E52EC0B" w:rsidR="0053360F" w:rsidRPr="00C0090D" w:rsidRDefault="001017A8" w:rsidP="00817851">
    <w:pPr>
      <w:pStyle w:val="Header"/>
      <w:jc w:val="right"/>
      <w:rPr>
        <w:rFonts w:ascii="OpenSansRegular" w:hAnsi="OpenSansRegular" w:cs="OpenSansRegular"/>
      </w:rPr>
    </w:pPr>
    <w:r>
      <w:rPr>
        <w:rFonts w:ascii="OpenSansRegular" w:hAnsi="OpenSansRegular" w:cs="OpenSansRegular"/>
        <w:noProof/>
      </w:rPr>
      <w:drawing>
        <wp:inline distT="0" distB="0" distL="0" distR="0" wp14:anchorId="037C9236" wp14:editId="1E8D3CFB">
          <wp:extent cx="4037727" cy="270000"/>
          <wp:effectExtent l="0" t="0" r="0" b="0"/>
          <wp:docPr id="1115524944" name="Picture 1115524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15" name="Picture 14897936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7727" cy="27000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FC8C4" w14:textId="64A8D785" w:rsidR="00F132E1" w:rsidRDefault="00F132E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67DB9" w14:textId="041AB60B" w:rsidR="00F132E1" w:rsidRDefault="00F132E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541C8" w14:textId="0FC665CB" w:rsidR="001E0045" w:rsidRPr="00C0090D" w:rsidRDefault="00EF45DA" w:rsidP="00817851">
    <w:pPr>
      <w:pStyle w:val="Header"/>
      <w:jc w:val="right"/>
      <w:rPr>
        <w:rFonts w:ascii="OpenSansRegular" w:hAnsi="OpenSansRegular" w:cs="OpenSansRegular"/>
      </w:rPr>
    </w:pPr>
    <w:r>
      <w:rPr>
        <w:rFonts w:ascii="OpenSansRegular" w:hAnsi="OpenSansRegular" w:cs="OpenSansRegular"/>
        <w:noProof/>
      </w:rPr>
      <w:drawing>
        <wp:inline distT="0" distB="0" distL="0" distR="0" wp14:anchorId="229C59E3" wp14:editId="2B6922A8">
          <wp:extent cx="3993454" cy="270000"/>
          <wp:effectExtent l="0" t="0" r="0" b="0"/>
          <wp:docPr id="1115524945" name="Picture 11155249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16" name="Picture 14897936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93454" cy="270000"/>
                  </a:xfrm>
                  <a:prstGeom prst="rect">
                    <a:avLst/>
                  </a:prstGeom>
                  <a:noFill/>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A1269" w14:textId="7E364C51" w:rsidR="00F132E1" w:rsidRDefault="00F132E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E7538" w14:textId="163A11AF" w:rsidR="00F132E1" w:rsidRDefault="00F132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3792B" w14:textId="531B04E1" w:rsidR="00137F51" w:rsidRPr="00474643" w:rsidRDefault="009D6E46" w:rsidP="00474643">
    <w:pPr>
      <w:pStyle w:val="Header"/>
    </w:pPr>
    <w:r>
      <w:rPr>
        <w:noProof/>
      </w:rPr>
      <w:drawing>
        <wp:anchor distT="0" distB="0" distL="114300" distR="114300" simplePos="0" relativeHeight="251658752" behindDoc="1" locked="0" layoutInCell="1" allowOverlap="1" wp14:anchorId="4E971DDA" wp14:editId="2754A545">
          <wp:simplePos x="0" y="0"/>
          <wp:positionH relativeFrom="margin">
            <wp:posOffset>-914400</wp:posOffset>
          </wp:positionH>
          <wp:positionV relativeFrom="paragraph">
            <wp:posOffset>-540385</wp:posOffset>
          </wp:positionV>
          <wp:extent cx="7593330" cy="10693400"/>
          <wp:effectExtent l="0" t="0" r="7620" b="0"/>
          <wp:wrapNone/>
          <wp:docPr id="481345135" name="Picture 481345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45135" name="Picture 481345135">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3330" cy="10693400"/>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C0A63" w14:textId="4CC5291C" w:rsidR="001875A7" w:rsidRPr="00C0090D" w:rsidRDefault="00165645" w:rsidP="00817851">
    <w:pPr>
      <w:pStyle w:val="Header"/>
      <w:jc w:val="right"/>
      <w:rPr>
        <w:rFonts w:ascii="OpenSansRegular" w:hAnsi="OpenSansRegular" w:cs="OpenSansRegular"/>
      </w:rPr>
    </w:pPr>
    <w:r>
      <w:rPr>
        <w:rFonts w:ascii="OpenSansRegular" w:hAnsi="OpenSansRegular" w:cs="OpenSansRegular"/>
        <w:noProof/>
      </w:rPr>
      <w:drawing>
        <wp:inline distT="0" distB="0" distL="0" distR="0" wp14:anchorId="01E64CA9" wp14:editId="3DD52155">
          <wp:extent cx="4121857" cy="270000"/>
          <wp:effectExtent l="0" t="0" r="0" b="0"/>
          <wp:docPr id="1115524947" name="Picture 11155249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19" name="Picture 148979361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21857" cy="27000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79752" w14:textId="493BCD26" w:rsidR="00F132E1" w:rsidRDefault="00F132E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985E1" w14:textId="66CDBE1A" w:rsidR="00F132E1" w:rsidRDefault="00F132E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47360" w14:textId="7E02DE9B" w:rsidR="005319B2" w:rsidRPr="00C0090D" w:rsidRDefault="00165645" w:rsidP="00817851">
    <w:pPr>
      <w:pStyle w:val="Header"/>
      <w:jc w:val="right"/>
      <w:rPr>
        <w:rFonts w:ascii="OpenSansRegular" w:hAnsi="OpenSansRegular" w:cs="OpenSansRegular"/>
      </w:rPr>
    </w:pPr>
    <w:r>
      <w:rPr>
        <w:rFonts w:ascii="OpenSansRegular" w:hAnsi="OpenSansRegular" w:cs="OpenSansRegular"/>
        <w:noProof/>
      </w:rPr>
      <w:drawing>
        <wp:inline distT="0" distB="0" distL="0" distR="0" wp14:anchorId="2237CB2C" wp14:editId="3EF3E477">
          <wp:extent cx="4167082" cy="270000"/>
          <wp:effectExtent l="0" t="0" r="0" b="0"/>
          <wp:docPr id="1115524948" name="Picture 11155249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26" name="Picture 14897936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67082" cy="270000"/>
                  </a:xfrm>
                  <a:prstGeom prst="rect">
                    <a:avLst/>
                  </a:prstGeom>
                  <a:noFill/>
                </pic:spPr>
              </pic:pic>
            </a:graphicData>
          </a:graphic>
        </wp:inline>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7B0BC" w14:textId="42C6FC66" w:rsidR="00F132E1" w:rsidRDefault="00F132E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1C311" w14:textId="0917273D" w:rsidR="00F132E1" w:rsidRDefault="00F132E1">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BF305" w14:textId="5849028F" w:rsidR="003B63CE" w:rsidRPr="00C0090D" w:rsidRDefault="00DC5040" w:rsidP="00817851">
    <w:pPr>
      <w:pStyle w:val="Header"/>
      <w:jc w:val="right"/>
      <w:rPr>
        <w:rFonts w:ascii="OpenSansRegular" w:hAnsi="OpenSansRegular" w:cs="OpenSansRegular"/>
      </w:rPr>
    </w:pPr>
    <w:r>
      <w:rPr>
        <w:rFonts w:ascii="OpenSansRegular" w:hAnsi="OpenSansRegular" w:cs="OpenSansRegular"/>
        <w:noProof/>
      </w:rPr>
      <w:drawing>
        <wp:inline distT="0" distB="0" distL="0" distR="0" wp14:anchorId="795A5F2A" wp14:editId="2D9074AF">
          <wp:extent cx="4167082" cy="270000"/>
          <wp:effectExtent l="0" t="0" r="0" b="0"/>
          <wp:docPr id="52379491" name="Picture 52379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9491" name="Picture 5237949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67082" cy="27000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B325F" w14:textId="4F22E77B" w:rsidR="00F132E1" w:rsidRDefault="00F132E1">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7CACF" w14:textId="46708BF7" w:rsidR="00F132E1" w:rsidRDefault="00F132E1">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C5821" w14:textId="66B65094" w:rsidR="000A3E36" w:rsidRDefault="008F2F05" w:rsidP="00CF5FD6">
    <w:pPr>
      <w:pStyle w:val="Header"/>
      <w:jc w:val="right"/>
    </w:pPr>
    <w:r>
      <w:rPr>
        <w:noProof/>
      </w:rPr>
      <w:drawing>
        <wp:inline distT="0" distB="0" distL="0" distR="0" wp14:anchorId="07C08A8D" wp14:editId="6F43BDC7">
          <wp:extent cx="4037727" cy="270000"/>
          <wp:effectExtent l="0" t="0" r="0" b="0"/>
          <wp:docPr id="1115524935" name="Picture 11155249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45128" name="Picture 48134512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7727" cy="27000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0D64F" w14:textId="396EA512" w:rsidR="00CF5D62" w:rsidRDefault="00CF5D62">
    <w:pPr>
      <w:pStyle w:val="Header"/>
    </w:pPr>
  </w:p>
  <w:p w14:paraId="7CB6090F" w14:textId="77777777" w:rsidR="00287EE3" w:rsidRDefault="00287EE3"/>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44BBC" w14:textId="03F41905" w:rsidR="00F132E1" w:rsidRDefault="00F132E1">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A37C3" w14:textId="1C46D701" w:rsidR="00F132E1" w:rsidRDefault="00F132E1">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E1690" w14:textId="64B2FA15" w:rsidR="00312700" w:rsidRPr="00C0090D" w:rsidRDefault="008F2F05" w:rsidP="00817851">
    <w:pPr>
      <w:pStyle w:val="Header"/>
      <w:jc w:val="right"/>
      <w:rPr>
        <w:rFonts w:ascii="OpenSansRegular" w:hAnsi="OpenSansRegular" w:cs="OpenSansRegular"/>
      </w:rPr>
    </w:pPr>
    <w:r>
      <w:rPr>
        <w:rFonts w:ascii="OpenSansRegular" w:hAnsi="OpenSansRegular" w:cs="OpenSansRegular"/>
        <w:noProof/>
      </w:rPr>
      <w:drawing>
        <wp:inline distT="0" distB="0" distL="0" distR="0" wp14:anchorId="4A34FE58" wp14:editId="14D45C2E">
          <wp:extent cx="4215313" cy="270000"/>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5313" cy="270000"/>
                  </a:xfrm>
                  <a:prstGeom prst="rect">
                    <a:avLst/>
                  </a:prstGeom>
                  <a:noFill/>
                </pic:spPr>
              </pic:pic>
            </a:graphicData>
          </a:graphic>
        </wp:inline>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33A97" w14:textId="7B3E3366" w:rsidR="00F132E1" w:rsidRDefault="00F132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7EF89" w14:textId="7D40D2C4" w:rsidR="00F132E1" w:rsidRDefault="00F132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D3E4C" w14:textId="3AE2B4A5" w:rsidR="00E33B5F" w:rsidRPr="00354E5B" w:rsidRDefault="007366FE" w:rsidP="007366FE">
    <w:pPr>
      <w:pStyle w:val="Footer"/>
      <w:spacing w:line="240" w:lineRule="auto"/>
      <w:rPr>
        <w:rFonts w:ascii="OpenSansRegular" w:hAnsi="OpenSansRegular" w:cs="OpenSansRegular"/>
      </w:rPr>
    </w:pPr>
    <w:r w:rsidRPr="00354E5B">
      <w:rPr>
        <w:rStyle w:val="PageNumber"/>
        <w:rFonts w:ascii="OpenSansRegular" w:hAnsi="OpenSansRegular" w:cs="OpenSansRegular"/>
      </w:rPr>
      <w:t>Mid-Term Review of the National Health Reform Agreement Addendum 2020-2025 –</w:t>
    </w:r>
    <w:r w:rsidR="008E78BC">
      <w:rPr>
        <w:rStyle w:val="PageNumber"/>
        <w:rFonts w:ascii="OpenSansRegular" w:hAnsi="OpenSansRegular" w:cs="OpenSansRegular"/>
      </w:rPr>
      <w:t xml:space="preserve"> </w:t>
    </w:r>
    <w:r w:rsidR="00F509AB">
      <w:rPr>
        <w:rStyle w:val="PageNumber"/>
        <w:rFonts w:ascii="OpenSansRegular" w:hAnsi="OpenSansRegular" w:cs="OpenSansRegular"/>
      </w:rPr>
      <w:t>Final</w:t>
    </w:r>
    <w:r w:rsidRPr="00354E5B">
      <w:rPr>
        <w:rStyle w:val="PageNumber"/>
        <w:rFonts w:ascii="OpenSansRegular" w:hAnsi="OpenSansRegular" w:cs="OpenSansRegular"/>
      </w:rPr>
      <w:t xml:space="preserve">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5609C" w14:textId="603F738D" w:rsidR="00F132E1" w:rsidRDefault="00F132E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B5661" w14:textId="72BA42FF" w:rsidR="00F132E1" w:rsidRDefault="00F132E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8F10F" w14:textId="6EA932EF" w:rsidR="00137F51" w:rsidRPr="00C0090D" w:rsidRDefault="00F6437F" w:rsidP="00817851">
    <w:pPr>
      <w:pStyle w:val="Header"/>
      <w:jc w:val="right"/>
      <w:rPr>
        <w:rFonts w:ascii="OpenSansRegular" w:hAnsi="OpenSansRegular" w:cs="OpenSansRegular"/>
      </w:rPr>
    </w:pPr>
    <w:r>
      <w:rPr>
        <w:rFonts w:ascii="OpenSansRegular" w:hAnsi="OpenSansRegular" w:cs="OpenSansRegular"/>
        <w:noProof/>
      </w:rPr>
      <w:drawing>
        <wp:inline distT="0" distB="0" distL="0" distR="0" wp14:anchorId="208D1514" wp14:editId="46E21D7F">
          <wp:extent cx="4212500" cy="270000"/>
          <wp:effectExtent l="0" t="0" r="0" b="0"/>
          <wp:docPr id="155" name="Pictur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2500" cy="270000"/>
                  </a:xfrm>
                  <a:prstGeom prst="rect">
                    <a:avLst/>
                  </a:prstGeom>
                  <a:noFill/>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D7D5E" w14:textId="2638F922" w:rsidR="00F132E1" w:rsidRDefault="00F13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649B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2CAA2C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A6A322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1832A0B"/>
    <w:multiLevelType w:val="hybridMultilevel"/>
    <w:tmpl w:val="BE1EFAA6"/>
    <w:lvl w:ilvl="0" w:tplc="51326F6A">
      <w:start w:val="1"/>
      <w:numFmt w:val="bullet"/>
      <w:pStyle w:val="Longdotpoin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2801768"/>
    <w:multiLevelType w:val="hybridMultilevel"/>
    <w:tmpl w:val="61EC2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2A10084"/>
    <w:multiLevelType w:val="hybridMultilevel"/>
    <w:tmpl w:val="6ECAB894"/>
    <w:lvl w:ilvl="0" w:tplc="FFFFFFFF">
      <w:start w:val="1"/>
      <w:numFmt w:val="bullet"/>
      <w:lvlText w:val=""/>
      <w:lvlJc w:val="left"/>
      <w:pPr>
        <w:ind w:left="720" w:hanging="360"/>
      </w:pPr>
      <w:rPr>
        <w:rFonts w:ascii="Symbol" w:hAnsi="Symbol" w:hint="default"/>
      </w:rPr>
    </w:lvl>
    <w:lvl w:ilvl="1" w:tplc="0C090017">
      <w:start w:val="1"/>
      <w:numFmt w:val="lowerLetter"/>
      <w:lvlText w:val="%2)"/>
      <w:lvlJc w:val="left"/>
      <w:pPr>
        <w:ind w:left="502"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2DB2827"/>
    <w:multiLevelType w:val="multilevel"/>
    <w:tmpl w:val="E0023528"/>
    <w:lvl w:ilvl="0">
      <w:start w:val="1"/>
      <w:numFmt w:val="upperLetter"/>
      <w:pStyle w:val="AlphabeticList"/>
      <w:lvlText w:val="%1"/>
      <w:lvlJc w:val="left"/>
      <w:pPr>
        <w:ind w:left="340" w:hanging="340"/>
      </w:pPr>
      <w:rPr>
        <w:rFonts w:hint="default"/>
      </w:rPr>
    </w:lvl>
    <w:lvl w:ilvl="1">
      <w:start w:val="1"/>
      <w:numFmt w:val="lowerLetter"/>
      <w:pStyle w:val="AlphabeticList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8" w15:restartNumberingAfterBreak="0">
    <w:nsid w:val="02FE73B8"/>
    <w:multiLevelType w:val="hybridMultilevel"/>
    <w:tmpl w:val="60ECD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56803E5"/>
    <w:multiLevelType w:val="hybridMultilevel"/>
    <w:tmpl w:val="16D2DFC4"/>
    <w:lvl w:ilvl="0" w:tplc="FFFFFFFF">
      <w:start w:val="1"/>
      <w:numFmt w:val="lowerLetter"/>
      <w:lvlText w:val="%1)"/>
      <w:lvlJc w:val="left"/>
      <w:pPr>
        <w:ind w:left="862" w:hanging="360"/>
      </w:pPr>
      <w:rPr>
        <w:b w:val="0"/>
        <w:bCs w:val="0"/>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0" w15:restartNumberingAfterBreak="0">
    <w:nsid w:val="07AD1B81"/>
    <w:multiLevelType w:val="hybridMultilevel"/>
    <w:tmpl w:val="C4104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882046"/>
    <w:multiLevelType w:val="hybridMultilevel"/>
    <w:tmpl w:val="C048FF5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BE805CD"/>
    <w:multiLevelType w:val="multilevel"/>
    <w:tmpl w:val="E702B9E2"/>
    <w:lvl w:ilvl="0">
      <w:start w:val="1"/>
      <w:numFmt w:val="upperLetter"/>
      <w:pStyle w:val="Appendixheading"/>
      <w:lvlText w:val="Appendix %1"/>
      <w:lvlJc w:val="left"/>
      <w:pPr>
        <w:ind w:left="3856" w:hanging="385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2"/>
      <w:lvlText w:val="%1.%2."/>
      <w:lvlJc w:val="left"/>
      <w:pPr>
        <w:ind w:left="792" w:hanging="792"/>
      </w:pPr>
      <w:rPr>
        <w:rFonts w:hint="default"/>
      </w:rPr>
    </w:lvl>
    <w:lvl w:ilvl="2">
      <w:start w:val="1"/>
      <w:numFmt w:val="decimal"/>
      <w:pStyle w:val="Appendixhead3"/>
      <w:lvlText w:val="%1.%2.%3."/>
      <w:lvlJc w:val="left"/>
      <w:pPr>
        <w:ind w:left="794" w:hanging="794"/>
      </w:pPr>
      <w:rPr>
        <w:rFonts w:hint="default"/>
      </w:rPr>
    </w:lvl>
    <w:lvl w:ilvl="3">
      <w:start w:val="1"/>
      <w:numFmt w:val="decimal"/>
      <w:pStyle w:val="Appendixhead4"/>
      <w:lvlText w:val="%1.%2.%3.%4."/>
      <w:lvlJc w:val="left"/>
      <w:pPr>
        <w:ind w:left="794" w:hanging="794"/>
      </w:pPr>
      <w:rPr>
        <w:rFonts w:hint="default"/>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pStyle w:val="AppendixTableCaption"/>
      <w:suff w:val="nothing"/>
      <w:lvlText w:val="Table %1.%7"/>
      <w:lvlJc w:val="left"/>
      <w:pPr>
        <w:ind w:left="0" w:firstLine="0"/>
      </w:pPr>
      <w:rPr>
        <w:rFonts w:hint="default"/>
      </w:rPr>
    </w:lvl>
    <w:lvl w:ilvl="7">
      <w:start w:val="1"/>
      <w:numFmt w:val="decimal"/>
      <w:lvlRestart w:val="1"/>
      <w:pStyle w:val="AppendixChartCaption"/>
      <w:suff w:val="nothing"/>
      <w:lvlText w:val="Chart %1.%8"/>
      <w:lvlJc w:val="left"/>
      <w:pPr>
        <w:ind w:left="0" w:firstLine="0"/>
      </w:pPr>
      <w:rPr>
        <w:rFonts w:hint="default"/>
      </w:rPr>
    </w:lvl>
    <w:lvl w:ilvl="8">
      <w:start w:val="1"/>
      <w:numFmt w:val="decimal"/>
      <w:lvlRestart w:val="1"/>
      <w:pStyle w:val="AppendixFigureCaption"/>
      <w:suff w:val="nothing"/>
      <w:lvlText w:val="Figure %1.%9"/>
      <w:lvlJc w:val="left"/>
      <w:pPr>
        <w:ind w:left="0" w:firstLine="0"/>
      </w:pPr>
      <w:rPr>
        <w:rFonts w:hint="default"/>
      </w:rPr>
    </w:lvl>
  </w:abstractNum>
  <w:abstractNum w:abstractNumId="13" w15:restartNumberingAfterBreak="0">
    <w:nsid w:val="0CE55C69"/>
    <w:multiLevelType w:val="hybridMultilevel"/>
    <w:tmpl w:val="CF14AE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DFA5356"/>
    <w:multiLevelType w:val="hybridMultilevel"/>
    <w:tmpl w:val="25D4A65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7">
      <w:start w:val="1"/>
      <w:numFmt w:val="lowerLetter"/>
      <w:lvlText w:val="%3)"/>
      <w:lvlJc w:val="left"/>
      <w:pPr>
        <w:ind w:left="2340" w:hanging="36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EA87980"/>
    <w:multiLevelType w:val="hybridMultilevel"/>
    <w:tmpl w:val="9244A838"/>
    <w:lvl w:ilvl="0" w:tplc="17E0648E">
      <w:start w:val="1"/>
      <w:numFmt w:val="lowerLetter"/>
      <w:lvlText w:val="%1)"/>
      <w:lvlJc w:val="left"/>
      <w:pPr>
        <w:ind w:left="502" w:hanging="360"/>
      </w:pPr>
      <w:rPr>
        <w:b w:val="0"/>
        <w:bCs/>
        <w:color w:val="000000" w:themeColor="text1"/>
      </w:rPr>
    </w:lvl>
    <w:lvl w:ilvl="1" w:tplc="FFFFFFFF">
      <w:start w:val="1"/>
      <w:numFmt w:val="lowerLetter"/>
      <w:lvlText w:val="%2."/>
      <w:lvlJc w:val="left"/>
      <w:pPr>
        <w:ind w:left="1222" w:hanging="360"/>
      </w:pPr>
    </w:lvl>
    <w:lvl w:ilvl="2" w:tplc="FFFFFFFF">
      <w:start w:val="1"/>
      <w:numFmt w:val="lowerRoman"/>
      <w:lvlText w:val="%3."/>
      <w:lvlJc w:val="right"/>
      <w:pPr>
        <w:ind w:left="1942" w:hanging="180"/>
      </w:pPr>
    </w:lvl>
    <w:lvl w:ilvl="3" w:tplc="FFFFFFFF">
      <w:start w:val="1"/>
      <w:numFmt w:val="decimal"/>
      <w:lvlText w:val="%4."/>
      <w:lvlJc w:val="left"/>
      <w:pPr>
        <w:ind w:left="2662" w:hanging="360"/>
      </w:pPr>
    </w:lvl>
    <w:lvl w:ilvl="4" w:tplc="FFFFFFFF">
      <w:start w:val="1"/>
      <w:numFmt w:val="lowerLetter"/>
      <w:lvlText w:val="%5."/>
      <w:lvlJc w:val="left"/>
      <w:pPr>
        <w:ind w:left="3382" w:hanging="360"/>
      </w:pPr>
    </w:lvl>
    <w:lvl w:ilvl="5" w:tplc="FFFFFFFF">
      <w:start w:val="1"/>
      <w:numFmt w:val="lowerRoman"/>
      <w:lvlText w:val="%6."/>
      <w:lvlJc w:val="right"/>
      <w:pPr>
        <w:ind w:left="4102" w:hanging="180"/>
      </w:pPr>
    </w:lvl>
    <w:lvl w:ilvl="6" w:tplc="FFFFFFFF">
      <w:start w:val="1"/>
      <w:numFmt w:val="decimal"/>
      <w:lvlText w:val="%7."/>
      <w:lvlJc w:val="left"/>
      <w:pPr>
        <w:ind w:left="4822" w:hanging="360"/>
      </w:pPr>
    </w:lvl>
    <w:lvl w:ilvl="7" w:tplc="FFFFFFFF">
      <w:start w:val="1"/>
      <w:numFmt w:val="lowerLetter"/>
      <w:lvlText w:val="%8."/>
      <w:lvlJc w:val="left"/>
      <w:pPr>
        <w:ind w:left="5542" w:hanging="360"/>
      </w:pPr>
    </w:lvl>
    <w:lvl w:ilvl="8" w:tplc="FFFFFFFF">
      <w:start w:val="1"/>
      <w:numFmt w:val="lowerRoman"/>
      <w:lvlText w:val="%9."/>
      <w:lvlJc w:val="right"/>
      <w:pPr>
        <w:ind w:left="6262" w:hanging="180"/>
      </w:pPr>
    </w:lvl>
  </w:abstractNum>
  <w:abstractNum w:abstractNumId="16" w15:restartNumberingAfterBreak="0">
    <w:nsid w:val="0F030A84"/>
    <w:multiLevelType w:val="hybridMultilevel"/>
    <w:tmpl w:val="1F3243C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07F1484"/>
    <w:multiLevelType w:val="hybridMultilevel"/>
    <w:tmpl w:val="47FE61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0C91020"/>
    <w:multiLevelType w:val="hybridMultilevel"/>
    <w:tmpl w:val="8A2E96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2852577"/>
    <w:multiLevelType w:val="hybridMultilevel"/>
    <w:tmpl w:val="77F0B300"/>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14BA59E1"/>
    <w:multiLevelType w:val="hybridMultilevel"/>
    <w:tmpl w:val="88325D00"/>
    <w:lvl w:ilvl="0" w:tplc="0C090017">
      <w:start w:val="1"/>
      <w:numFmt w:val="lowerLetter"/>
      <w:lvlText w:val="%1)"/>
      <w:lvlJc w:val="left"/>
      <w:pPr>
        <w:ind w:left="777" w:hanging="360"/>
      </w:p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21" w15:restartNumberingAfterBreak="0">
    <w:nsid w:val="1579747A"/>
    <w:multiLevelType w:val="multilevel"/>
    <w:tmpl w:val="9FB8ED98"/>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nothing"/>
      <w:lvlText w:val="Table %2"/>
      <w:lvlJc w:val="left"/>
      <w:pPr>
        <w:ind w:left="0"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22" w15:restartNumberingAfterBreak="0">
    <w:nsid w:val="15CD031D"/>
    <w:multiLevelType w:val="hybridMultilevel"/>
    <w:tmpl w:val="30B28348"/>
    <w:lvl w:ilvl="0" w:tplc="EE7C8B8A">
      <w:start w:val="1"/>
      <w:numFmt w:val="decimal"/>
      <w:lvlText w:val="(%1)"/>
      <w:lvlJc w:val="left"/>
      <w:pPr>
        <w:ind w:left="720" w:hanging="360"/>
      </w:pPr>
      <w:rPr>
        <w:rFonts w:hint="default"/>
        <w:b/>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67D6D20"/>
    <w:multiLevelType w:val="hybridMultilevel"/>
    <w:tmpl w:val="48B02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6BA05B8"/>
    <w:multiLevelType w:val="hybridMultilevel"/>
    <w:tmpl w:val="1E6EC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84840F2"/>
    <w:multiLevelType w:val="hybridMultilevel"/>
    <w:tmpl w:val="9FBA0B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18B17F71"/>
    <w:multiLevelType w:val="multilevel"/>
    <w:tmpl w:val="EEACCFFE"/>
    <w:lvl w:ilvl="0">
      <w:start w:val="5"/>
      <w:numFmt w:val="decimal"/>
      <w:lvlText w:val="%1"/>
      <w:lvlJc w:val="left"/>
      <w:pPr>
        <w:ind w:left="420" w:hanging="420"/>
      </w:pPr>
    </w:lvl>
    <w:lvl w:ilvl="1">
      <w:start w:val="8"/>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7" w15:restartNumberingAfterBreak="0">
    <w:nsid w:val="18E0104F"/>
    <w:multiLevelType w:val="multilevel"/>
    <w:tmpl w:val="57629E32"/>
    <w:lvl w:ilvl="0">
      <w:start w:val="1"/>
      <w:numFmt w:val="bullet"/>
      <w:pStyle w:val="ListBullet3"/>
      <w:lvlText w:val=""/>
      <w:lvlJc w:val="left"/>
      <w:pPr>
        <w:ind w:left="1021" w:hanging="341"/>
      </w:pPr>
      <w:rPr>
        <w:rFonts w:ascii="Symbol" w:hAnsi="Symbol" w:hint="default"/>
      </w:rPr>
    </w:lvl>
    <w:lvl w:ilvl="1">
      <w:start w:val="1"/>
      <w:numFmt w:val="bullet"/>
      <w:lvlText w:val="–"/>
      <w:lvlJc w:val="left"/>
      <w:pPr>
        <w:ind w:left="1361" w:hanging="341"/>
      </w:pPr>
      <w:rPr>
        <w:rFonts w:ascii="Verdana" w:hAnsi="Verdana" w:hint="default"/>
      </w:rPr>
    </w:lvl>
    <w:lvl w:ilvl="2">
      <w:start w:val="1"/>
      <w:numFmt w:val="bullet"/>
      <w:lvlText w:val=""/>
      <w:lvlJc w:val="left"/>
      <w:pPr>
        <w:ind w:left="1701" w:hanging="341"/>
      </w:pPr>
      <w:rPr>
        <w:rFonts w:ascii="Symbol" w:hAnsi="Symbol" w:hint="default"/>
      </w:rPr>
    </w:lvl>
    <w:lvl w:ilvl="3">
      <w:start w:val="1"/>
      <w:numFmt w:val="bullet"/>
      <w:lvlText w:val="–"/>
      <w:lvlJc w:val="left"/>
      <w:pPr>
        <w:ind w:left="2041" w:hanging="341"/>
      </w:pPr>
      <w:rPr>
        <w:rFonts w:ascii="Verdana" w:hAnsi="Verdana" w:hint="default"/>
      </w:rPr>
    </w:lvl>
    <w:lvl w:ilvl="4">
      <w:start w:val="1"/>
      <w:numFmt w:val="bullet"/>
      <w:lvlText w:val=""/>
      <w:lvlJc w:val="left"/>
      <w:pPr>
        <w:ind w:left="2381" w:hanging="341"/>
      </w:pPr>
      <w:rPr>
        <w:rFonts w:ascii="Symbol" w:hAnsi="Symbol" w:hint="default"/>
      </w:rPr>
    </w:lvl>
    <w:lvl w:ilvl="5">
      <w:start w:val="1"/>
      <w:numFmt w:val="bullet"/>
      <w:lvlText w:val="–"/>
      <w:lvlJc w:val="left"/>
      <w:pPr>
        <w:ind w:left="2721" w:hanging="341"/>
      </w:pPr>
      <w:rPr>
        <w:rFonts w:ascii="Verdana" w:hAnsi="Verdana" w:hint="default"/>
      </w:rPr>
    </w:lvl>
    <w:lvl w:ilvl="6">
      <w:start w:val="1"/>
      <w:numFmt w:val="bullet"/>
      <w:lvlText w:val=""/>
      <w:lvlJc w:val="left"/>
      <w:pPr>
        <w:ind w:left="3061" w:hanging="341"/>
      </w:pPr>
      <w:rPr>
        <w:rFonts w:ascii="Symbol" w:hAnsi="Symbol" w:hint="default"/>
      </w:rPr>
    </w:lvl>
    <w:lvl w:ilvl="7">
      <w:start w:val="1"/>
      <w:numFmt w:val="bullet"/>
      <w:lvlText w:val="–"/>
      <w:lvlJc w:val="left"/>
      <w:pPr>
        <w:ind w:left="3401" w:hanging="341"/>
      </w:pPr>
      <w:rPr>
        <w:rFonts w:ascii="Verdana" w:hAnsi="Verdana" w:hint="default"/>
      </w:rPr>
    </w:lvl>
    <w:lvl w:ilvl="8">
      <w:start w:val="1"/>
      <w:numFmt w:val="bullet"/>
      <w:lvlText w:val=""/>
      <w:lvlJc w:val="left"/>
      <w:pPr>
        <w:ind w:left="3741" w:hanging="341"/>
      </w:pPr>
      <w:rPr>
        <w:rFonts w:ascii="Symbol" w:hAnsi="Symbol" w:hint="default"/>
      </w:rPr>
    </w:lvl>
  </w:abstractNum>
  <w:abstractNum w:abstractNumId="28" w15:restartNumberingAfterBreak="0">
    <w:nsid w:val="1AA274A7"/>
    <w:multiLevelType w:val="hybridMultilevel"/>
    <w:tmpl w:val="0106BA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1B537627"/>
    <w:multiLevelType w:val="hybridMultilevel"/>
    <w:tmpl w:val="19647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B577F9B"/>
    <w:multiLevelType w:val="hybridMultilevel"/>
    <w:tmpl w:val="9D32F3E8"/>
    <w:lvl w:ilvl="0" w:tplc="17F43FF8">
      <w:start w:val="1"/>
      <w:numFmt w:val="lowerLetter"/>
      <w:lvlText w:val="%1)"/>
      <w:lvlJc w:val="left"/>
      <w:pPr>
        <w:ind w:left="717" w:hanging="6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31" w15:restartNumberingAfterBreak="0">
    <w:nsid w:val="1BC57E0B"/>
    <w:multiLevelType w:val="hybridMultilevel"/>
    <w:tmpl w:val="A0BE2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BD026E3"/>
    <w:multiLevelType w:val="hybridMultilevel"/>
    <w:tmpl w:val="35E87BFE"/>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33" w15:restartNumberingAfterBreak="0">
    <w:nsid w:val="1C6E6F53"/>
    <w:multiLevelType w:val="hybridMultilevel"/>
    <w:tmpl w:val="CF00CF56"/>
    <w:lvl w:ilvl="0" w:tplc="0C090001">
      <w:start w:val="1"/>
      <w:numFmt w:val="bullet"/>
      <w:lvlText w:val=""/>
      <w:lvlJc w:val="left"/>
      <w:pPr>
        <w:ind w:left="1440" w:hanging="360"/>
      </w:pPr>
      <w:rPr>
        <w:rFonts w:ascii="Symbol" w:hAnsi="Symbol" w:hint="default"/>
        <w:b w:val="0"/>
        <w:bCs w:val="0"/>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 w15:restartNumberingAfterBreak="0">
    <w:nsid w:val="1D62601F"/>
    <w:multiLevelType w:val="hybridMultilevel"/>
    <w:tmpl w:val="8BE8CB7E"/>
    <w:lvl w:ilvl="0" w:tplc="263C27A0">
      <w:start w:val="1"/>
      <w:numFmt w:val="lowerLetter"/>
      <w:lvlText w:val="%1)"/>
      <w:lvlJc w:val="left"/>
      <w:pPr>
        <w:ind w:left="862" w:hanging="360"/>
      </w:pPr>
      <w:rPr>
        <w:b w:val="0"/>
        <w:bCs w:val="0"/>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35" w15:restartNumberingAfterBreak="0">
    <w:nsid w:val="1E4B5192"/>
    <w:multiLevelType w:val="hybridMultilevel"/>
    <w:tmpl w:val="08BC982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ECF1F42"/>
    <w:multiLevelType w:val="hybridMultilevel"/>
    <w:tmpl w:val="978C43C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7" w15:restartNumberingAfterBreak="0">
    <w:nsid w:val="22956591"/>
    <w:multiLevelType w:val="hybridMultilevel"/>
    <w:tmpl w:val="6E86A062"/>
    <w:lvl w:ilvl="0" w:tplc="0C09000F">
      <w:start w:val="1"/>
      <w:numFmt w:val="decimal"/>
      <w:lvlText w:val="%1."/>
      <w:lvlJc w:val="left"/>
      <w:pPr>
        <w:ind w:left="777" w:hanging="360"/>
      </w:p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38" w15:restartNumberingAfterBreak="0">
    <w:nsid w:val="22B51FC7"/>
    <w:multiLevelType w:val="hybridMultilevel"/>
    <w:tmpl w:val="BCEAFA1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9" w15:restartNumberingAfterBreak="0">
    <w:nsid w:val="247712C8"/>
    <w:multiLevelType w:val="hybridMultilevel"/>
    <w:tmpl w:val="7FBA6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5CB0905"/>
    <w:multiLevelType w:val="hybridMultilevel"/>
    <w:tmpl w:val="D9843BF2"/>
    <w:lvl w:ilvl="0" w:tplc="0C090017">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284A5B46"/>
    <w:multiLevelType w:val="hybridMultilevel"/>
    <w:tmpl w:val="43E6307A"/>
    <w:lvl w:ilvl="0" w:tplc="0C090017">
      <w:start w:val="1"/>
      <w:numFmt w:val="lowerLetter"/>
      <w:lvlText w:val="%1)"/>
      <w:lvlJc w:val="left"/>
      <w:pPr>
        <w:ind w:left="908" w:hanging="360"/>
      </w:pPr>
      <w:rPr>
        <w:rFonts w:hint="default"/>
      </w:rPr>
    </w:lvl>
    <w:lvl w:ilvl="1" w:tplc="FFFFFFFF" w:tentative="1">
      <w:start w:val="1"/>
      <w:numFmt w:val="bullet"/>
      <w:lvlText w:val="o"/>
      <w:lvlJc w:val="left"/>
      <w:pPr>
        <w:ind w:left="1628" w:hanging="360"/>
      </w:pPr>
      <w:rPr>
        <w:rFonts w:ascii="Courier New" w:hAnsi="Courier New" w:cs="Courier New" w:hint="default"/>
      </w:rPr>
    </w:lvl>
    <w:lvl w:ilvl="2" w:tplc="FFFFFFFF" w:tentative="1">
      <w:start w:val="1"/>
      <w:numFmt w:val="bullet"/>
      <w:lvlText w:val=""/>
      <w:lvlJc w:val="left"/>
      <w:pPr>
        <w:ind w:left="2348" w:hanging="360"/>
      </w:pPr>
      <w:rPr>
        <w:rFonts w:ascii="Wingdings" w:hAnsi="Wingdings" w:hint="default"/>
      </w:rPr>
    </w:lvl>
    <w:lvl w:ilvl="3" w:tplc="FFFFFFFF" w:tentative="1">
      <w:start w:val="1"/>
      <w:numFmt w:val="bullet"/>
      <w:lvlText w:val=""/>
      <w:lvlJc w:val="left"/>
      <w:pPr>
        <w:ind w:left="3068" w:hanging="360"/>
      </w:pPr>
      <w:rPr>
        <w:rFonts w:ascii="Symbol" w:hAnsi="Symbol" w:hint="default"/>
      </w:rPr>
    </w:lvl>
    <w:lvl w:ilvl="4" w:tplc="FFFFFFFF" w:tentative="1">
      <w:start w:val="1"/>
      <w:numFmt w:val="bullet"/>
      <w:lvlText w:val="o"/>
      <w:lvlJc w:val="left"/>
      <w:pPr>
        <w:ind w:left="3788" w:hanging="360"/>
      </w:pPr>
      <w:rPr>
        <w:rFonts w:ascii="Courier New" w:hAnsi="Courier New" w:cs="Courier New" w:hint="default"/>
      </w:rPr>
    </w:lvl>
    <w:lvl w:ilvl="5" w:tplc="FFFFFFFF" w:tentative="1">
      <w:start w:val="1"/>
      <w:numFmt w:val="bullet"/>
      <w:lvlText w:val=""/>
      <w:lvlJc w:val="left"/>
      <w:pPr>
        <w:ind w:left="4508" w:hanging="360"/>
      </w:pPr>
      <w:rPr>
        <w:rFonts w:ascii="Wingdings" w:hAnsi="Wingdings" w:hint="default"/>
      </w:rPr>
    </w:lvl>
    <w:lvl w:ilvl="6" w:tplc="FFFFFFFF" w:tentative="1">
      <w:start w:val="1"/>
      <w:numFmt w:val="bullet"/>
      <w:lvlText w:val=""/>
      <w:lvlJc w:val="left"/>
      <w:pPr>
        <w:ind w:left="5228" w:hanging="360"/>
      </w:pPr>
      <w:rPr>
        <w:rFonts w:ascii="Symbol" w:hAnsi="Symbol" w:hint="default"/>
      </w:rPr>
    </w:lvl>
    <w:lvl w:ilvl="7" w:tplc="FFFFFFFF" w:tentative="1">
      <w:start w:val="1"/>
      <w:numFmt w:val="bullet"/>
      <w:lvlText w:val="o"/>
      <w:lvlJc w:val="left"/>
      <w:pPr>
        <w:ind w:left="5948" w:hanging="360"/>
      </w:pPr>
      <w:rPr>
        <w:rFonts w:ascii="Courier New" w:hAnsi="Courier New" w:cs="Courier New" w:hint="default"/>
      </w:rPr>
    </w:lvl>
    <w:lvl w:ilvl="8" w:tplc="FFFFFFFF" w:tentative="1">
      <w:start w:val="1"/>
      <w:numFmt w:val="bullet"/>
      <w:lvlText w:val=""/>
      <w:lvlJc w:val="left"/>
      <w:pPr>
        <w:ind w:left="6668" w:hanging="360"/>
      </w:pPr>
      <w:rPr>
        <w:rFonts w:ascii="Wingdings" w:hAnsi="Wingdings" w:hint="default"/>
      </w:rPr>
    </w:lvl>
  </w:abstractNum>
  <w:abstractNum w:abstractNumId="42" w15:restartNumberingAfterBreak="0">
    <w:nsid w:val="28BF57ED"/>
    <w:multiLevelType w:val="hybridMultilevel"/>
    <w:tmpl w:val="C5CC9C6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299E5326"/>
    <w:multiLevelType w:val="hybridMultilevel"/>
    <w:tmpl w:val="6FA6C1EA"/>
    <w:lvl w:ilvl="0" w:tplc="B5E6B85C">
      <w:start w:val="1"/>
      <w:numFmt w:val="lowerLetter"/>
      <w:lvlText w:val="%1)"/>
      <w:lvlJc w:val="left"/>
      <w:pPr>
        <w:ind w:left="720" w:hanging="360"/>
      </w:pPr>
      <w:rPr>
        <w:b w:val="0"/>
        <w:bCs w:val="0"/>
      </w:rPr>
    </w:lvl>
    <w:lvl w:ilvl="1" w:tplc="E43A0282">
      <w:start w:val="1"/>
      <w:numFmt w:val="lowerLetter"/>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ABF1EAC"/>
    <w:multiLevelType w:val="hybridMultilevel"/>
    <w:tmpl w:val="D5360A9C"/>
    <w:lvl w:ilvl="0" w:tplc="5AEEEDA8">
      <w:start w:val="1"/>
      <w:numFmt w:val="decimal"/>
      <w:lvlText w:val="(%1)"/>
      <w:lvlJc w:val="left"/>
      <w:pPr>
        <w:ind w:left="720" w:hanging="360"/>
      </w:pPr>
      <w:rPr>
        <w:b/>
        <w:bCs/>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5" w15:restartNumberingAfterBreak="0">
    <w:nsid w:val="2B7F55E3"/>
    <w:multiLevelType w:val="hybridMultilevel"/>
    <w:tmpl w:val="52920C44"/>
    <w:lvl w:ilvl="0" w:tplc="FFFFFFFF">
      <w:start w:val="1"/>
      <w:numFmt w:val="lowerLetter"/>
      <w:lvlText w:val="%1)"/>
      <w:lvlJc w:val="left"/>
      <w:pPr>
        <w:ind w:left="862" w:hanging="360"/>
      </w:pPr>
    </w:lvl>
    <w:lvl w:ilvl="1" w:tplc="0C090017">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46" w15:restartNumberingAfterBreak="0">
    <w:nsid w:val="2B9F302D"/>
    <w:multiLevelType w:val="multilevel"/>
    <w:tmpl w:val="58063B50"/>
    <w:lvl w:ilvl="0">
      <w:start w:val="1"/>
      <w:numFmt w:val="bullet"/>
      <w:pStyle w:val="BulletedText1"/>
      <w:lvlText w:val=""/>
      <w:lvlJc w:val="left"/>
      <w:pPr>
        <w:ind w:left="227" w:hanging="227"/>
      </w:pPr>
      <w:rPr>
        <w:rFonts w:ascii="Wingdings" w:hAnsi="Wingdings" w:hint="default"/>
        <w:color w:val="44546A"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44546A"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44546A"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44546A"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44546A" w:themeColor="text2"/>
      </w:rPr>
    </w:lvl>
  </w:abstractNum>
  <w:abstractNum w:abstractNumId="47" w15:restartNumberingAfterBreak="0">
    <w:nsid w:val="2C725BB6"/>
    <w:multiLevelType w:val="hybridMultilevel"/>
    <w:tmpl w:val="651C3E86"/>
    <w:lvl w:ilvl="0" w:tplc="0C090001">
      <w:start w:val="1"/>
      <w:numFmt w:val="bullet"/>
      <w:lvlText w:val=""/>
      <w:lvlJc w:val="left"/>
      <w:pPr>
        <w:ind w:left="360" w:hanging="360"/>
      </w:pPr>
      <w:rPr>
        <w:rFonts w:ascii="Symbol" w:hAnsi="Symbol"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2CEB7D85"/>
    <w:multiLevelType w:val="hybridMultilevel"/>
    <w:tmpl w:val="B35A1734"/>
    <w:lvl w:ilvl="0" w:tplc="0C090017">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30C23372"/>
    <w:multiLevelType w:val="hybridMultilevel"/>
    <w:tmpl w:val="0156A7C2"/>
    <w:lvl w:ilvl="0" w:tplc="0C090017">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329B155E"/>
    <w:multiLevelType w:val="hybridMultilevel"/>
    <w:tmpl w:val="B73C2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3895411"/>
    <w:multiLevelType w:val="hybridMultilevel"/>
    <w:tmpl w:val="15F6C4E6"/>
    <w:lvl w:ilvl="0" w:tplc="52305328">
      <w:start w:val="1"/>
      <w:numFmt w:val="lowerLetter"/>
      <w:lvlText w:val="%1)"/>
      <w:lvlJc w:val="left"/>
      <w:pPr>
        <w:ind w:left="360" w:hanging="360"/>
      </w:pPr>
      <w:rPr>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349272BD"/>
    <w:multiLevelType w:val="hybridMultilevel"/>
    <w:tmpl w:val="4EB25930"/>
    <w:lvl w:ilvl="0" w:tplc="FFFFFFFF">
      <w:start w:val="1"/>
      <w:numFmt w:val="lowerLetter"/>
      <w:lvlText w:val="%1)"/>
      <w:lvlJc w:val="left"/>
      <w:pPr>
        <w:ind w:left="862" w:hanging="360"/>
      </w:pPr>
      <w:rPr>
        <w:b w:val="0"/>
        <w:bCs w:val="0"/>
      </w:rPr>
    </w:lvl>
    <w:lvl w:ilvl="1" w:tplc="0C090017">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53" w15:restartNumberingAfterBreak="0">
    <w:nsid w:val="35872AE4"/>
    <w:multiLevelType w:val="hybridMultilevel"/>
    <w:tmpl w:val="2CC00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91A6813"/>
    <w:multiLevelType w:val="hybridMultilevel"/>
    <w:tmpl w:val="B6C4EDB6"/>
    <w:lvl w:ilvl="0" w:tplc="0C090001">
      <w:start w:val="1"/>
      <w:numFmt w:val="bullet"/>
      <w:lvlText w:val=""/>
      <w:lvlJc w:val="left"/>
      <w:pPr>
        <w:ind w:left="6" w:hanging="360"/>
      </w:pPr>
      <w:rPr>
        <w:rFonts w:ascii="Symbol" w:hAnsi="Symbol" w:hint="default"/>
      </w:rPr>
    </w:lvl>
    <w:lvl w:ilvl="1" w:tplc="0C090003">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55" w15:restartNumberingAfterBreak="0">
    <w:nsid w:val="3BB54ED5"/>
    <w:multiLevelType w:val="hybridMultilevel"/>
    <w:tmpl w:val="515ED3DE"/>
    <w:lvl w:ilvl="0" w:tplc="FFFFFFFF">
      <w:start w:val="1"/>
      <w:numFmt w:val="lowerLetter"/>
      <w:lvlText w:val="%1)"/>
      <w:lvlJc w:val="left"/>
      <w:pPr>
        <w:ind w:left="862" w:hanging="360"/>
      </w:pPr>
      <w:rPr>
        <w:b w:val="0"/>
        <w:bCs w:val="0"/>
      </w:rPr>
    </w:lvl>
    <w:lvl w:ilvl="1" w:tplc="8BFA863E">
      <w:start w:val="1"/>
      <w:numFmt w:val="bullet"/>
      <w:lvlText w:val="-"/>
      <w:lvlJc w:val="left"/>
      <w:pPr>
        <w:ind w:left="1582" w:hanging="360"/>
      </w:pPr>
      <w:rPr>
        <w:rFonts w:ascii="Calibri" w:eastAsiaTheme="minorHAnsi" w:hAnsi="Calibri" w:cs="Calibri" w:hint="default"/>
      </w:r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56" w15:restartNumberingAfterBreak="0">
    <w:nsid w:val="3BCA70BD"/>
    <w:multiLevelType w:val="hybridMultilevel"/>
    <w:tmpl w:val="A4B899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D3715EB"/>
    <w:multiLevelType w:val="hybridMultilevel"/>
    <w:tmpl w:val="62C213BE"/>
    <w:lvl w:ilvl="0" w:tplc="FFFFFFFF">
      <w:start w:val="1"/>
      <w:numFmt w:val="decimal"/>
      <w:lvlText w:val="%1."/>
      <w:lvlJc w:val="left"/>
      <w:pPr>
        <w:ind w:left="360" w:hanging="360"/>
      </w:pPr>
    </w:lvl>
    <w:lvl w:ilvl="1" w:tplc="0C090017">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3D39779E"/>
    <w:multiLevelType w:val="hybridMultilevel"/>
    <w:tmpl w:val="2F82F3F8"/>
    <w:lvl w:ilvl="0" w:tplc="0C090001">
      <w:start w:val="1"/>
      <w:numFmt w:val="bullet"/>
      <w:lvlText w:val=""/>
      <w:lvlJc w:val="left"/>
      <w:pPr>
        <w:ind w:left="360" w:hanging="360"/>
      </w:pPr>
      <w:rPr>
        <w:rFonts w:ascii="Symbol" w:hAnsi="Symbol" w:hint="default"/>
      </w:rPr>
    </w:lvl>
    <w:lvl w:ilvl="1" w:tplc="0C090017">
      <w:start w:val="1"/>
      <w:numFmt w:val="lowerLetter"/>
      <w:lvlText w:val="%2)"/>
      <w:lvlJc w:val="left"/>
      <w:pPr>
        <w:ind w:left="502" w:hanging="360"/>
      </w:p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3F276C73"/>
    <w:multiLevelType w:val="hybridMultilevel"/>
    <w:tmpl w:val="C5CC9C6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3F2B23D8"/>
    <w:multiLevelType w:val="hybridMultilevel"/>
    <w:tmpl w:val="C5CC9C6E"/>
    <w:lvl w:ilvl="0" w:tplc="0C09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3F7C3C58"/>
    <w:multiLevelType w:val="hybridMultilevel"/>
    <w:tmpl w:val="5CA0B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FAD01D2"/>
    <w:multiLevelType w:val="multilevel"/>
    <w:tmpl w:val="F8FC7412"/>
    <w:lvl w:ilvl="0">
      <w:start w:val="1"/>
      <w:numFmt w:val="decimal"/>
      <w:pStyle w:val="Heading1"/>
      <w:lvlText w:val="%1"/>
      <w:lvlJc w:val="left"/>
      <w:pPr>
        <w:ind w:left="794" w:hanging="794"/>
      </w:pPr>
      <w:rPr>
        <w:rFonts w:hint="default"/>
      </w:rPr>
    </w:lvl>
    <w:lvl w:ilvl="1">
      <w:start w:val="1"/>
      <w:numFmt w:val="decimal"/>
      <w:pStyle w:val="Heading2"/>
      <w:lvlText w:val="%1.%2"/>
      <w:lvlJc w:val="left"/>
      <w:pPr>
        <w:ind w:left="794" w:hanging="794"/>
      </w:pPr>
      <w:rPr>
        <w:rFonts w:hint="default"/>
      </w:rPr>
    </w:lvl>
    <w:lvl w:ilvl="2">
      <w:start w:val="1"/>
      <w:numFmt w:val="decimal"/>
      <w:pStyle w:val="Heading3"/>
      <w:lvlText w:val="%1.%2.%3"/>
      <w:lvlJc w:val="left"/>
      <w:pPr>
        <w:ind w:left="1021" w:hanging="1021"/>
      </w:pPr>
      <w:rPr>
        <w:rFonts w:hint="default"/>
        <w:b/>
        <w:bCs w:val="0"/>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1247" w:hanging="1247"/>
      </w:pPr>
      <w:rPr>
        <w:rFonts w:hint="default"/>
      </w:rPr>
    </w:lvl>
    <w:lvl w:ilvl="6">
      <w:start w:val="1"/>
      <w:numFmt w:val="decimal"/>
      <w:lvlRestart w:val="1"/>
      <w:pStyle w:val="CaptionTable"/>
      <w:suff w:val="nothing"/>
      <w:lvlText w:val="Table %1.%7"/>
      <w:lvlJc w:val="left"/>
      <w:pPr>
        <w:ind w:left="0" w:firstLine="0"/>
      </w:pPr>
      <w:rPr>
        <w:rFonts w:hint="default"/>
      </w:rPr>
    </w:lvl>
    <w:lvl w:ilvl="7">
      <w:start w:val="1"/>
      <w:numFmt w:val="decimal"/>
      <w:lvlRestart w:val="1"/>
      <w:pStyle w:val="CaptionChart"/>
      <w:suff w:val="nothing"/>
      <w:lvlText w:val="Chart %1.%8"/>
      <w:lvlJc w:val="left"/>
      <w:pPr>
        <w:ind w:left="0" w:firstLine="0"/>
      </w:pPr>
      <w:rPr>
        <w:rFonts w:hint="default"/>
      </w:rPr>
    </w:lvl>
    <w:lvl w:ilvl="8">
      <w:start w:val="1"/>
      <w:numFmt w:val="decimal"/>
      <w:lvlRestart w:val="1"/>
      <w:pStyle w:val="CaptionFigure"/>
      <w:suff w:val="nothing"/>
      <w:lvlText w:val="Figure %1.%9"/>
      <w:lvlJc w:val="left"/>
      <w:pPr>
        <w:ind w:left="0" w:firstLine="0"/>
      </w:pPr>
      <w:rPr>
        <w:rFonts w:hint="default"/>
      </w:rPr>
    </w:lvl>
  </w:abstractNum>
  <w:abstractNum w:abstractNumId="63" w15:restartNumberingAfterBreak="0">
    <w:nsid w:val="405F4842"/>
    <w:multiLevelType w:val="multilevel"/>
    <w:tmpl w:val="281C291A"/>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64" w15:restartNumberingAfterBreak="0">
    <w:nsid w:val="407F115F"/>
    <w:multiLevelType w:val="hybridMultilevel"/>
    <w:tmpl w:val="29C4BF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09F43F5"/>
    <w:multiLevelType w:val="multilevel"/>
    <w:tmpl w:val="DCD8D9F6"/>
    <w:lvl w:ilvl="0">
      <w:start w:val="1"/>
      <w:numFmt w:val="lowerLetter"/>
      <w:lvlText w:val="%1)"/>
      <w:lvlJc w:val="left"/>
      <w:pPr>
        <w:ind w:left="340" w:hanging="340"/>
      </w:pPr>
      <w:rPr>
        <w:rFonts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66" w15:restartNumberingAfterBreak="0">
    <w:nsid w:val="40A119E0"/>
    <w:multiLevelType w:val="hybridMultilevel"/>
    <w:tmpl w:val="D41264EC"/>
    <w:lvl w:ilvl="0" w:tplc="FFFFFFFF">
      <w:start w:val="1"/>
      <w:numFmt w:val="lowerLetter"/>
      <w:lvlText w:val="%1)"/>
      <w:lvlJc w:val="left"/>
      <w:pPr>
        <w:ind w:left="720" w:hanging="360"/>
      </w:pPr>
    </w:lvl>
    <w:lvl w:ilvl="1" w:tplc="0C0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40BF2C0B"/>
    <w:multiLevelType w:val="hybridMultilevel"/>
    <w:tmpl w:val="CC349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10C31C5"/>
    <w:multiLevelType w:val="hybridMultilevel"/>
    <w:tmpl w:val="FCD8A26E"/>
    <w:lvl w:ilvl="0" w:tplc="0C090001">
      <w:start w:val="1"/>
      <w:numFmt w:val="bullet"/>
      <w:lvlText w:val=""/>
      <w:lvlJc w:val="left"/>
      <w:pPr>
        <w:ind w:left="360" w:hanging="360"/>
      </w:pPr>
      <w:rPr>
        <w:rFonts w:ascii="Symbol" w:hAnsi="Symbol"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431827F7"/>
    <w:multiLevelType w:val="hybridMultilevel"/>
    <w:tmpl w:val="C60C7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34B5E45"/>
    <w:multiLevelType w:val="hybridMultilevel"/>
    <w:tmpl w:val="8C226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3972870"/>
    <w:multiLevelType w:val="hybridMultilevel"/>
    <w:tmpl w:val="9BF6AB92"/>
    <w:lvl w:ilvl="0" w:tplc="0C090017">
      <w:start w:val="1"/>
      <w:numFmt w:val="lowerLetter"/>
      <w:lvlText w:val="%1)"/>
      <w:lvlJc w:val="left"/>
      <w:pPr>
        <w:ind w:left="502" w:hanging="360"/>
      </w:pPr>
      <w:rPr>
        <w:rFonts w:hint="default"/>
        <w:b w:val="0"/>
        <w:bCs w:val="0"/>
      </w:rPr>
    </w:lvl>
    <w:lvl w:ilvl="1" w:tplc="83A86226">
      <w:start w:val="1"/>
      <w:numFmt w:val="decimal"/>
      <w:lvlText w:val="%2."/>
      <w:lvlJc w:val="left"/>
      <w:pPr>
        <w:ind w:left="1222" w:hanging="360"/>
      </w:pPr>
      <w:rPr>
        <w:rFonts w:hint="default"/>
      </w:r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72" w15:restartNumberingAfterBreak="0">
    <w:nsid w:val="43A13C54"/>
    <w:multiLevelType w:val="hybridMultilevel"/>
    <w:tmpl w:val="D5025C16"/>
    <w:lvl w:ilvl="0" w:tplc="FFFFFFFF">
      <w:start w:val="1"/>
      <w:numFmt w:val="bullet"/>
      <w:lvlText w:val=""/>
      <w:lvlJc w:val="left"/>
      <w:pPr>
        <w:ind w:left="720" w:hanging="360"/>
      </w:pPr>
      <w:rPr>
        <w:rFonts w:ascii="Symbol" w:hAnsi="Symbol" w:hint="default"/>
      </w:rPr>
    </w:lvl>
    <w:lvl w:ilvl="1" w:tplc="0C090017">
      <w:start w:val="1"/>
      <w:numFmt w:val="lowerLetter"/>
      <w:lvlText w:val="%2)"/>
      <w:lvlJc w:val="left"/>
      <w:pPr>
        <w:ind w:left="502"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43B360D6"/>
    <w:multiLevelType w:val="hybridMultilevel"/>
    <w:tmpl w:val="C5CC9C6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43F72F32"/>
    <w:multiLevelType w:val="hybridMultilevel"/>
    <w:tmpl w:val="238AE32A"/>
    <w:lvl w:ilvl="0" w:tplc="FFFFFFFF">
      <w:start w:val="1"/>
      <w:numFmt w:val="bullet"/>
      <w:lvlText w:val=""/>
      <w:lvlJc w:val="left"/>
      <w:pPr>
        <w:ind w:left="720" w:hanging="360"/>
      </w:pPr>
      <w:rPr>
        <w:rFonts w:ascii="Symbol" w:hAnsi="Symbol" w:hint="default"/>
      </w:rPr>
    </w:lvl>
    <w:lvl w:ilvl="1" w:tplc="0C090017">
      <w:start w:val="1"/>
      <w:numFmt w:val="lowerLetter"/>
      <w:lvlText w:val="%2)"/>
      <w:lvlJc w:val="left"/>
      <w:pPr>
        <w:ind w:left="502"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451578A7"/>
    <w:multiLevelType w:val="multilevel"/>
    <w:tmpl w:val="1356211C"/>
    <w:lvl w:ilvl="0">
      <w:start w:val="1"/>
      <w:numFmt w:val="bullet"/>
      <w:pStyle w:val="List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76" w15:restartNumberingAfterBreak="0">
    <w:nsid w:val="455A46F2"/>
    <w:multiLevelType w:val="hybridMultilevel"/>
    <w:tmpl w:val="446E8FBE"/>
    <w:lvl w:ilvl="0" w:tplc="FFFFFFFF">
      <w:start w:val="1"/>
      <w:numFmt w:val="lowerLetter"/>
      <w:lvlText w:val="%1)"/>
      <w:lvlJc w:val="left"/>
      <w:pPr>
        <w:ind w:left="720" w:hanging="360"/>
      </w:pPr>
    </w:lvl>
    <w:lvl w:ilvl="1" w:tplc="0C090017">
      <w:start w:val="1"/>
      <w:numFmt w:val="lowerLetter"/>
      <w:lvlText w:val="%2)"/>
      <w:lvlJc w:val="left"/>
      <w:pPr>
        <w:ind w:left="72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6031218"/>
    <w:multiLevelType w:val="hybridMultilevel"/>
    <w:tmpl w:val="34D09472"/>
    <w:lvl w:ilvl="0" w:tplc="0C09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463B08B6"/>
    <w:multiLevelType w:val="hybridMultilevel"/>
    <w:tmpl w:val="BC3CFC3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46F01660"/>
    <w:multiLevelType w:val="hybridMultilevel"/>
    <w:tmpl w:val="C5CC9C6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 w15:restartNumberingAfterBreak="0">
    <w:nsid w:val="46F567D8"/>
    <w:multiLevelType w:val="hybridMultilevel"/>
    <w:tmpl w:val="7F427DE4"/>
    <w:lvl w:ilvl="0" w:tplc="0C09000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47DD1EDC"/>
    <w:multiLevelType w:val="hybridMultilevel"/>
    <w:tmpl w:val="073C021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4864598B"/>
    <w:multiLevelType w:val="hybridMultilevel"/>
    <w:tmpl w:val="9F3C33F4"/>
    <w:lvl w:ilvl="0" w:tplc="0C09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4BC5038A"/>
    <w:multiLevelType w:val="hybridMultilevel"/>
    <w:tmpl w:val="1D1C350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4D113EB0"/>
    <w:multiLevelType w:val="hybridMultilevel"/>
    <w:tmpl w:val="681C6082"/>
    <w:lvl w:ilvl="0" w:tplc="F8323608">
      <w:start w:val="1"/>
      <w:numFmt w:val="bullet"/>
      <w:lvlText w:val="•"/>
      <w:lvlJc w:val="left"/>
      <w:pPr>
        <w:tabs>
          <w:tab w:val="num" w:pos="720"/>
        </w:tabs>
        <w:ind w:left="720" w:hanging="360"/>
      </w:pPr>
      <w:rPr>
        <w:rFonts w:ascii="Arial" w:hAnsi="Arial" w:hint="default"/>
      </w:rPr>
    </w:lvl>
    <w:lvl w:ilvl="1" w:tplc="3174791C" w:tentative="1">
      <w:start w:val="1"/>
      <w:numFmt w:val="bullet"/>
      <w:lvlText w:val="•"/>
      <w:lvlJc w:val="left"/>
      <w:pPr>
        <w:tabs>
          <w:tab w:val="num" w:pos="1440"/>
        </w:tabs>
        <w:ind w:left="1440" w:hanging="360"/>
      </w:pPr>
      <w:rPr>
        <w:rFonts w:ascii="Arial" w:hAnsi="Arial" w:hint="default"/>
      </w:rPr>
    </w:lvl>
    <w:lvl w:ilvl="2" w:tplc="9D323788" w:tentative="1">
      <w:start w:val="1"/>
      <w:numFmt w:val="bullet"/>
      <w:lvlText w:val="•"/>
      <w:lvlJc w:val="left"/>
      <w:pPr>
        <w:tabs>
          <w:tab w:val="num" w:pos="2160"/>
        </w:tabs>
        <w:ind w:left="2160" w:hanging="360"/>
      </w:pPr>
      <w:rPr>
        <w:rFonts w:ascii="Arial" w:hAnsi="Arial" w:hint="default"/>
      </w:rPr>
    </w:lvl>
    <w:lvl w:ilvl="3" w:tplc="BA4C8CD4" w:tentative="1">
      <w:start w:val="1"/>
      <w:numFmt w:val="bullet"/>
      <w:lvlText w:val="•"/>
      <w:lvlJc w:val="left"/>
      <w:pPr>
        <w:tabs>
          <w:tab w:val="num" w:pos="2880"/>
        </w:tabs>
        <w:ind w:left="2880" w:hanging="360"/>
      </w:pPr>
      <w:rPr>
        <w:rFonts w:ascii="Arial" w:hAnsi="Arial" w:hint="default"/>
      </w:rPr>
    </w:lvl>
    <w:lvl w:ilvl="4" w:tplc="45203298" w:tentative="1">
      <w:start w:val="1"/>
      <w:numFmt w:val="bullet"/>
      <w:lvlText w:val="•"/>
      <w:lvlJc w:val="left"/>
      <w:pPr>
        <w:tabs>
          <w:tab w:val="num" w:pos="3600"/>
        </w:tabs>
        <w:ind w:left="3600" w:hanging="360"/>
      </w:pPr>
      <w:rPr>
        <w:rFonts w:ascii="Arial" w:hAnsi="Arial" w:hint="default"/>
      </w:rPr>
    </w:lvl>
    <w:lvl w:ilvl="5" w:tplc="467675AC" w:tentative="1">
      <w:start w:val="1"/>
      <w:numFmt w:val="bullet"/>
      <w:lvlText w:val="•"/>
      <w:lvlJc w:val="left"/>
      <w:pPr>
        <w:tabs>
          <w:tab w:val="num" w:pos="4320"/>
        </w:tabs>
        <w:ind w:left="4320" w:hanging="360"/>
      </w:pPr>
      <w:rPr>
        <w:rFonts w:ascii="Arial" w:hAnsi="Arial" w:hint="default"/>
      </w:rPr>
    </w:lvl>
    <w:lvl w:ilvl="6" w:tplc="CB6EECFC" w:tentative="1">
      <w:start w:val="1"/>
      <w:numFmt w:val="bullet"/>
      <w:lvlText w:val="•"/>
      <w:lvlJc w:val="left"/>
      <w:pPr>
        <w:tabs>
          <w:tab w:val="num" w:pos="5040"/>
        </w:tabs>
        <w:ind w:left="5040" w:hanging="360"/>
      </w:pPr>
      <w:rPr>
        <w:rFonts w:ascii="Arial" w:hAnsi="Arial" w:hint="default"/>
      </w:rPr>
    </w:lvl>
    <w:lvl w:ilvl="7" w:tplc="3C7E4138" w:tentative="1">
      <w:start w:val="1"/>
      <w:numFmt w:val="bullet"/>
      <w:lvlText w:val="•"/>
      <w:lvlJc w:val="left"/>
      <w:pPr>
        <w:tabs>
          <w:tab w:val="num" w:pos="5760"/>
        </w:tabs>
        <w:ind w:left="5760" w:hanging="360"/>
      </w:pPr>
      <w:rPr>
        <w:rFonts w:ascii="Arial" w:hAnsi="Arial" w:hint="default"/>
      </w:rPr>
    </w:lvl>
    <w:lvl w:ilvl="8" w:tplc="5114E31E"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4D184B09"/>
    <w:multiLevelType w:val="hybridMultilevel"/>
    <w:tmpl w:val="C510B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9" w15:restartNumberingAfterBreak="0">
    <w:nsid w:val="4F413008"/>
    <w:multiLevelType w:val="hybridMultilevel"/>
    <w:tmpl w:val="F1920CDC"/>
    <w:lvl w:ilvl="0" w:tplc="0C09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4F59415A"/>
    <w:multiLevelType w:val="hybridMultilevel"/>
    <w:tmpl w:val="A8264D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50022D6D"/>
    <w:multiLevelType w:val="hybridMultilevel"/>
    <w:tmpl w:val="AB822C60"/>
    <w:lvl w:ilvl="0" w:tplc="0C09000F">
      <w:start w:val="1"/>
      <w:numFmt w:val="decimal"/>
      <w:lvlText w:val="%1."/>
      <w:lvlJc w:val="left"/>
      <w:pPr>
        <w:ind w:left="360" w:hanging="360"/>
      </w:pPr>
    </w:lvl>
    <w:lvl w:ilvl="1" w:tplc="E5D81B40">
      <w:start w:val="1"/>
      <w:numFmt w:val="lowerLetter"/>
      <w:lvlText w:val="%2)"/>
      <w:lvlJc w:val="left"/>
      <w:pPr>
        <w:ind w:left="862" w:hanging="360"/>
      </w:pPr>
      <w:rPr>
        <w:b/>
        <w:bCs/>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2" w15:restartNumberingAfterBreak="0">
    <w:nsid w:val="50A50BDE"/>
    <w:multiLevelType w:val="hybridMultilevel"/>
    <w:tmpl w:val="E48EA81C"/>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93" w15:restartNumberingAfterBreak="0">
    <w:nsid w:val="50BC0EAB"/>
    <w:multiLevelType w:val="hybridMultilevel"/>
    <w:tmpl w:val="B7D05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51502455"/>
    <w:multiLevelType w:val="hybridMultilevel"/>
    <w:tmpl w:val="31E0D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518C3D94"/>
    <w:multiLevelType w:val="hybridMultilevel"/>
    <w:tmpl w:val="C5CC9C6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 w15:restartNumberingAfterBreak="0">
    <w:nsid w:val="51AE4DB3"/>
    <w:multiLevelType w:val="hybridMultilevel"/>
    <w:tmpl w:val="02803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522E690E"/>
    <w:multiLevelType w:val="hybridMultilevel"/>
    <w:tmpl w:val="01542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2316D42"/>
    <w:multiLevelType w:val="hybridMultilevel"/>
    <w:tmpl w:val="A5589F36"/>
    <w:lvl w:ilvl="0" w:tplc="0C090017">
      <w:start w:val="1"/>
      <w:numFmt w:val="lowerLetter"/>
      <w:lvlText w:val="%1)"/>
      <w:lvlJc w:val="left"/>
      <w:pPr>
        <w:ind w:left="1008" w:hanging="360"/>
      </w:pPr>
    </w:lvl>
    <w:lvl w:ilvl="1" w:tplc="0C090019" w:tentative="1">
      <w:start w:val="1"/>
      <w:numFmt w:val="lowerLetter"/>
      <w:lvlText w:val="%2."/>
      <w:lvlJc w:val="left"/>
      <w:pPr>
        <w:ind w:left="1728" w:hanging="360"/>
      </w:pPr>
    </w:lvl>
    <w:lvl w:ilvl="2" w:tplc="0C09001B" w:tentative="1">
      <w:start w:val="1"/>
      <w:numFmt w:val="lowerRoman"/>
      <w:lvlText w:val="%3."/>
      <w:lvlJc w:val="right"/>
      <w:pPr>
        <w:ind w:left="2448" w:hanging="180"/>
      </w:pPr>
    </w:lvl>
    <w:lvl w:ilvl="3" w:tplc="0C09000F" w:tentative="1">
      <w:start w:val="1"/>
      <w:numFmt w:val="decimal"/>
      <w:lvlText w:val="%4."/>
      <w:lvlJc w:val="left"/>
      <w:pPr>
        <w:ind w:left="3168" w:hanging="360"/>
      </w:pPr>
    </w:lvl>
    <w:lvl w:ilvl="4" w:tplc="0C090019" w:tentative="1">
      <w:start w:val="1"/>
      <w:numFmt w:val="lowerLetter"/>
      <w:lvlText w:val="%5."/>
      <w:lvlJc w:val="left"/>
      <w:pPr>
        <w:ind w:left="3888" w:hanging="360"/>
      </w:pPr>
    </w:lvl>
    <w:lvl w:ilvl="5" w:tplc="0C09001B" w:tentative="1">
      <w:start w:val="1"/>
      <w:numFmt w:val="lowerRoman"/>
      <w:lvlText w:val="%6."/>
      <w:lvlJc w:val="right"/>
      <w:pPr>
        <w:ind w:left="4608" w:hanging="180"/>
      </w:pPr>
    </w:lvl>
    <w:lvl w:ilvl="6" w:tplc="0C09000F" w:tentative="1">
      <w:start w:val="1"/>
      <w:numFmt w:val="decimal"/>
      <w:lvlText w:val="%7."/>
      <w:lvlJc w:val="left"/>
      <w:pPr>
        <w:ind w:left="5328" w:hanging="360"/>
      </w:pPr>
    </w:lvl>
    <w:lvl w:ilvl="7" w:tplc="0C090019" w:tentative="1">
      <w:start w:val="1"/>
      <w:numFmt w:val="lowerLetter"/>
      <w:lvlText w:val="%8."/>
      <w:lvlJc w:val="left"/>
      <w:pPr>
        <w:ind w:left="6048" w:hanging="360"/>
      </w:pPr>
    </w:lvl>
    <w:lvl w:ilvl="8" w:tplc="0C09001B" w:tentative="1">
      <w:start w:val="1"/>
      <w:numFmt w:val="lowerRoman"/>
      <w:lvlText w:val="%9."/>
      <w:lvlJc w:val="right"/>
      <w:pPr>
        <w:ind w:left="6768" w:hanging="180"/>
      </w:pPr>
    </w:lvl>
  </w:abstractNum>
  <w:abstractNum w:abstractNumId="99" w15:restartNumberingAfterBreak="0">
    <w:nsid w:val="53A243B1"/>
    <w:multiLevelType w:val="hybridMultilevel"/>
    <w:tmpl w:val="5516C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6815A46"/>
    <w:multiLevelType w:val="hybridMultilevel"/>
    <w:tmpl w:val="CBE23ABA"/>
    <w:lvl w:ilvl="0" w:tplc="0C090017">
      <w:start w:val="1"/>
      <w:numFmt w:val="lowerLetter"/>
      <w:lvlText w:val="%1)"/>
      <w:lvlJc w:val="left"/>
      <w:pPr>
        <w:ind w:left="862" w:hanging="360"/>
      </w:pPr>
    </w:lvl>
    <w:lvl w:ilvl="1" w:tplc="0C090019">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01" w15:restartNumberingAfterBreak="0">
    <w:nsid w:val="57AB0167"/>
    <w:multiLevelType w:val="hybridMultilevel"/>
    <w:tmpl w:val="6FCC7D1A"/>
    <w:lvl w:ilvl="0" w:tplc="0C090017">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15:restartNumberingAfterBreak="0">
    <w:nsid w:val="5C556017"/>
    <w:multiLevelType w:val="hybridMultilevel"/>
    <w:tmpl w:val="30743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5C8059DA"/>
    <w:multiLevelType w:val="hybridMultilevel"/>
    <w:tmpl w:val="C5CC9C6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 w15:restartNumberingAfterBreak="0">
    <w:nsid w:val="5CDA52F1"/>
    <w:multiLevelType w:val="hybridMultilevel"/>
    <w:tmpl w:val="C5CC9C6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5" w15:restartNumberingAfterBreak="0">
    <w:nsid w:val="5EC32ED2"/>
    <w:multiLevelType w:val="hybridMultilevel"/>
    <w:tmpl w:val="53704AA4"/>
    <w:lvl w:ilvl="0" w:tplc="4A7252C6">
      <w:start w:val="1"/>
      <w:numFmt w:val="lowerLetter"/>
      <w:pStyle w:val="Letterdotpoints"/>
      <w:lvlText w:val="%1)"/>
      <w:lvlJc w:val="left"/>
      <w:pPr>
        <w:ind w:left="720" w:hanging="360"/>
      </w:pPr>
    </w:lvl>
    <w:lvl w:ilvl="1" w:tplc="991EBE2A">
      <w:start w:val="1"/>
      <w:numFmt w:val="lowerLetter"/>
      <w:lvlText w:val="(%2)"/>
      <w:lvlJc w:val="left"/>
      <w:pPr>
        <w:ind w:left="1710" w:hanging="630"/>
      </w:pPr>
      <w:rPr>
        <w:rFonts w:hint="default"/>
      </w:rPr>
    </w:lvl>
    <w:lvl w:ilvl="2" w:tplc="D6B8CA0C">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5F5E6003"/>
    <w:multiLevelType w:val="hybridMultilevel"/>
    <w:tmpl w:val="2E282E56"/>
    <w:lvl w:ilvl="0" w:tplc="0C090001">
      <w:start w:val="1"/>
      <w:numFmt w:val="bullet"/>
      <w:lvlText w:val=""/>
      <w:lvlJc w:val="left"/>
      <w:pPr>
        <w:ind w:left="908" w:hanging="360"/>
      </w:pPr>
      <w:rPr>
        <w:rFonts w:ascii="Symbol" w:hAnsi="Symbol" w:hint="default"/>
      </w:rPr>
    </w:lvl>
    <w:lvl w:ilvl="1" w:tplc="0C090003" w:tentative="1">
      <w:start w:val="1"/>
      <w:numFmt w:val="bullet"/>
      <w:lvlText w:val="o"/>
      <w:lvlJc w:val="left"/>
      <w:pPr>
        <w:ind w:left="1628" w:hanging="360"/>
      </w:pPr>
      <w:rPr>
        <w:rFonts w:ascii="Courier New" w:hAnsi="Courier New" w:cs="Courier New" w:hint="default"/>
      </w:rPr>
    </w:lvl>
    <w:lvl w:ilvl="2" w:tplc="0C090005" w:tentative="1">
      <w:start w:val="1"/>
      <w:numFmt w:val="bullet"/>
      <w:lvlText w:val=""/>
      <w:lvlJc w:val="left"/>
      <w:pPr>
        <w:ind w:left="2348" w:hanging="360"/>
      </w:pPr>
      <w:rPr>
        <w:rFonts w:ascii="Wingdings" w:hAnsi="Wingdings" w:hint="default"/>
      </w:rPr>
    </w:lvl>
    <w:lvl w:ilvl="3" w:tplc="0C090001" w:tentative="1">
      <w:start w:val="1"/>
      <w:numFmt w:val="bullet"/>
      <w:lvlText w:val=""/>
      <w:lvlJc w:val="left"/>
      <w:pPr>
        <w:ind w:left="3068" w:hanging="360"/>
      </w:pPr>
      <w:rPr>
        <w:rFonts w:ascii="Symbol" w:hAnsi="Symbol" w:hint="default"/>
      </w:rPr>
    </w:lvl>
    <w:lvl w:ilvl="4" w:tplc="0C090003" w:tentative="1">
      <w:start w:val="1"/>
      <w:numFmt w:val="bullet"/>
      <w:lvlText w:val="o"/>
      <w:lvlJc w:val="left"/>
      <w:pPr>
        <w:ind w:left="3788" w:hanging="360"/>
      </w:pPr>
      <w:rPr>
        <w:rFonts w:ascii="Courier New" w:hAnsi="Courier New" w:cs="Courier New" w:hint="default"/>
      </w:rPr>
    </w:lvl>
    <w:lvl w:ilvl="5" w:tplc="0C090005" w:tentative="1">
      <w:start w:val="1"/>
      <w:numFmt w:val="bullet"/>
      <w:lvlText w:val=""/>
      <w:lvlJc w:val="left"/>
      <w:pPr>
        <w:ind w:left="4508" w:hanging="360"/>
      </w:pPr>
      <w:rPr>
        <w:rFonts w:ascii="Wingdings" w:hAnsi="Wingdings" w:hint="default"/>
      </w:rPr>
    </w:lvl>
    <w:lvl w:ilvl="6" w:tplc="0C090001" w:tentative="1">
      <w:start w:val="1"/>
      <w:numFmt w:val="bullet"/>
      <w:lvlText w:val=""/>
      <w:lvlJc w:val="left"/>
      <w:pPr>
        <w:ind w:left="5228" w:hanging="360"/>
      </w:pPr>
      <w:rPr>
        <w:rFonts w:ascii="Symbol" w:hAnsi="Symbol" w:hint="default"/>
      </w:rPr>
    </w:lvl>
    <w:lvl w:ilvl="7" w:tplc="0C090003" w:tentative="1">
      <w:start w:val="1"/>
      <w:numFmt w:val="bullet"/>
      <w:lvlText w:val="o"/>
      <w:lvlJc w:val="left"/>
      <w:pPr>
        <w:ind w:left="5948" w:hanging="360"/>
      </w:pPr>
      <w:rPr>
        <w:rFonts w:ascii="Courier New" w:hAnsi="Courier New" w:cs="Courier New" w:hint="default"/>
      </w:rPr>
    </w:lvl>
    <w:lvl w:ilvl="8" w:tplc="0C090005" w:tentative="1">
      <w:start w:val="1"/>
      <w:numFmt w:val="bullet"/>
      <w:lvlText w:val=""/>
      <w:lvlJc w:val="left"/>
      <w:pPr>
        <w:ind w:left="6668" w:hanging="360"/>
      </w:pPr>
      <w:rPr>
        <w:rFonts w:ascii="Wingdings" w:hAnsi="Wingdings" w:hint="default"/>
      </w:rPr>
    </w:lvl>
  </w:abstractNum>
  <w:abstractNum w:abstractNumId="107" w15:restartNumberingAfterBreak="0">
    <w:nsid w:val="600C6DDA"/>
    <w:multiLevelType w:val="hybridMultilevel"/>
    <w:tmpl w:val="1E02BAD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604468A2"/>
    <w:multiLevelType w:val="hybridMultilevel"/>
    <w:tmpl w:val="D8747918"/>
    <w:lvl w:ilvl="0" w:tplc="16A62ACE">
      <w:start w:val="1"/>
      <w:numFmt w:val="bullet"/>
      <w:lvlText w:val="•"/>
      <w:lvlJc w:val="left"/>
      <w:pPr>
        <w:tabs>
          <w:tab w:val="num" w:pos="720"/>
        </w:tabs>
        <w:ind w:left="720" w:hanging="360"/>
      </w:pPr>
      <w:rPr>
        <w:rFonts w:ascii="Arial" w:hAnsi="Arial" w:hint="default"/>
      </w:rPr>
    </w:lvl>
    <w:lvl w:ilvl="1" w:tplc="ABD45F20">
      <w:start w:val="1"/>
      <w:numFmt w:val="bullet"/>
      <w:lvlText w:val="•"/>
      <w:lvlJc w:val="left"/>
      <w:pPr>
        <w:tabs>
          <w:tab w:val="num" w:pos="1440"/>
        </w:tabs>
        <w:ind w:left="1440" w:hanging="360"/>
      </w:pPr>
      <w:rPr>
        <w:rFonts w:ascii="Arial" w:hAnsi="Arial" w:hint="default"/>
      </w:rPr>
    </w:lvl>
    <w:lvl w:ilvl="2" w:tplc="DC96FFEA" w:tentative="1">
      <w:start w:val="1"/>
      <w:numFmt w:val="bullet"/>
      <w:lvlText w:val="•"/>
      <w:lvlJc w:val="left"/>
      <w:pPr>
        <w:tabs>
          <w:tab w:val="num" w:pos="2160"/>
        </w:tabs>
        <w:ind w:left="2160" w:hanging="360"/>
      </w:pPr>
      <w:rPr>
        <w:rFonts w:ascii="Arial" w:hAnsi="Arial" w:hint="default"/>
      </w:rPr>
    </w:lvl>
    <w:lvl w:ilvl="3" w:tplc="508A35E2" w:tentative="1">
      <w:start w:val="1"/>
      <w:numFmt w:val="bullet"/>
      <w:lvlText w:val="•"/>
      <w:lvlJc w:val="left"/>
      <w:pPr>
        <w:tabs>
          <w:tab w:val="num" w:pos="2880"/>
        </w:tabs>
        <w:ind w:left="2880" w:hanging="360"/>
      </w:pPr>
      <w:rPr>
        <w:rFonts w:ascii="Arial" w:hAnsi="Arial" w:hint="default"/>
      </w:rPr>
    </w:lvl>
    <w:lvl w:ilvl="4" w:tplc="84226A3A" w:tentative="1">
      <w:start w:val="1"/>
      <w:numFmt w:val="bullet"/>
      <w:lvlText w:val="•"/>
      <w:lvlJc w:val="left"/>
      <w:pPr>
        <w:tabs>
          <w:tab w:val="num" w:pos="3600"/>
        </w:tabs>
        <w:ind w:left="3600" w:hanging="360"/>
      </w:pPr>
      <w:rPr>
        <w:rFonts w:ascii="Arial" w:hAnsi="Arial" w:hint="default"/>
      </w:rPr>
    </w:lvl>
    <w:lvl w:ilvl="5" w:tplc="A5B6DD20" w:tentative="1">
      <w:start w:val="1"/>
      <w:numFmt w:val="bullet"/>
      <w:lvlText w:val="•"/>
      <w:lvlJc w:val="left"/>
      <w:pPr>
        <w:tabs>
          <w:tab w:val="num" w:pos="4320"/>
        </w:tabs>
        <w:ind w:left="4320" w:hanging="360"/>
      </w:pPr>
      <w:rPr>
        <w:rFonts w:ascii="Arial" w:hAnsi="Arial" w:hint="default"/>
      </w:rPr>
    </w:lvl>
    <w:lvl w:ilvl="6" w:tplc="A94A17EA" w:tentative="1">
      <w:start w:val="1"/>
      <w:numFmt w:val="bullet"/>
      <w:lvlText w:val="•"/>
      <w:lvlJc w:val="left"/>
      <w:pPr>
        <w:tabs>
          <w:tab w:val="num" w:pos="5040"/>
        </w:tabs>
        <w:ind w:left="5040" w:hanging="360"/>
      </w:pPr>
      <w:rPr>
        <w:rFonts w:ascii="Arial" w:hAnsi="Arial" w:hint="default"/>
      </w:rPr>
    </w:lvl>
    <w:lvl w:ilvl="7" w:tplc="C852835C" w:tentative="1">
      <w:start w:val="1"/>
      <w:numFmt w:val="bullet"/>
      <w:lvlText w:val="•"/>
      <w:lvlJc w:val="left"/>
      <w:pPr>
        <w:tabs>
          <w:tab w:val="num" w:pos="5760"/>
        </w:tabs>
        <w:ind w:left="5760" w:hanging="360"/>
      </w:pPr>
      <w:rPr>
        <w:rFonts w:ascii="Arial" w:hAnsi="Arial" w:hint="default"/>
      </w:rPr>
    </w:lvl>
    <w:lvl w:ilvl="8" w:tplc="D6BC90CC"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110" w15:restartNumberingAfterBreak="0">
    <w:nsid w:val="62F46508"/>
    <w:multiLevelType w:val="multilevel"/>
    <w:tmpl w:val="ABF0BB72"/>
    <w:lvl w:ilvl="0">
      <w:start w:val="1"/>
      <w:numFmt w:val="bullet"/>
      <w:pStyle w:val="ListBullet2"/>
      <w:lvlText w:val="–"/>
      <w:lvlJc w:val="left"/>
      <w:pPr>
        <w:ind w:left="680" w:hanging="340"/>
      </w:pPr>
      <w:rPr>
        <w:rFonts w:ascii="Verdana" w:hAnsi="Verdana"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Verdana" w:hAnsi="Verdana" w:hint="default"/>
      </w:rPr>
    </w:lvl>
    <w:lvl w:ilvl="3">
      <w:start w:val="1"/>
      <w:numFmt w:val="bullet"/>
      <w:lvlText w:val=""/>
      <w:lvlJc w:val="left"/>
      <w:pPr>
        <w:ind w:left="1700" w:hanging="340"/>
      </w:pPr>
      <w:rPr>
        <w:rFonts w:ascii="Symbol" w:hAnsi="Symbol" w:hint="default"/>
        <w:color w:val="auto"/>
      </w:rPr>
    </w:lvl>
    <w:lvl w:ilvl="4">
      <w:start w:val="1"/>
      <w:numFmt w:val="bullet"/>
      <w:lvlText w:val="–"/>
      <w:lvlJc w:val="left"/>
      <w:pPr>
        <w:ind w:left="2040" w:hanging="340"/>
      </w:pPr>
      <w:rPr>
        <w:rFonts w:ascii="Verdana" w:hAnsi="Verdana"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Verdana" w:hAnsi="Verdana"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Verdana" w:hAnsi="Verdana" w:hint="default"/>
      </w:rPr>
    </w:lvl>
  </w:abstractNum>
  <w:abstractNum w:abstractNumId="111" w15:restartNumberingAfterBreak="0">
    <w:nsid w:val="65BD4A2C"/>
    <w:multiLevelType w:val="hybridMultilevel"/>
    <w:tmpl w:val="89668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63249ED"/>
    <w:multiLevelType w:val="hybridMultilevel"/>
    <w:tmpl w:val="7FA086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67394E79"/>
    <w:multiLevelType w:val="hybridMultilevel"/>
    <w:tmpl w:val="77E4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67904477"/>
    <w:multiLevelType w:val="hybridMultilevel"/>
    <w:tmpl w:val="9BCEB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67F72FA9"/>
    <w:multiLevelType w:val="hybridMultilevel"/>
    <w:tmpl w:val="301291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6" w15:restartNumberingAfterBreak="0">
    <w:nsid w:val="68BC4B94"/>
    <w:multiLevelType w:val="hybridMultilevel"/>
    <w:tmpl w:val="8D4ADA98"/>
    <w:lvl w:ilvl="0" w:tplc="0C09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 w15:restartNumberingAfterBreak="0">
    <w:nsid w:val="69704C8B"/>
    <w:multiLevelType w:val="hybridMultilevel"/>
    <w:tmpl w:val="5A8051A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6AF217FC"/>
    <w:multiLevelType w:val="hybridMultilevel"/>
    <w:tmpl w:val="A1A6C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6B630424"/>
    <w:multiLevelType w:val="hybridMultilevel"/>
    <w:tmpl w:val="970E6E74"/>
    <w:lvl w:ilvl="0" w:tplc="0C090001">
      <w:start w:val="1"/>
      <w:numFmt w:val="bullet"/>
      <w:lvlText w:val=""/>
      <w:lvlJc w:val="left"/>
      <w:pPr>
        <w:ind w:left="720" w:hanging="360"/>
      </w:pPr>
      <w:rPr>
        <w:rFonts w:ascii="Symbol" w:hAnsi="Symbol" w:hint="default"/>
      </w:rPr>
    </w:lvl>
    <w:lvl w:ilvl="1" w:tplc="EDB24610">
      <w:start w:val="1"/>
      <w:numFmt w:val="bullet"/>
      <w:pStyle w:val="Subdotpoint"/>
      <w:lvlText w:val="o"/>
      <w:lvlJc w:val="left"/>
      <w:pPr>
        <w:ind w:left="1440" w:hanging="360"/>
      </w:pPr>
      <w:rPr>
        <w:rFonts w:ascii="Courier New" w:hAnsi="Courier New" w:cs="Courier New" w:hint="default"/>
        <w:color w:val="000000" w:themeColor="text1"/>
      </w:rPr>
    </w:lvl>
    <w:lvl w:ilvl="2" w:tplc="56626D2C">
      <w:start w:val="1"/>
      <w:numFmt w:val="bullet"/>
      <w:pStyle w:val="Thirdleveldotpoint"/>
      <w:lvlText w:val=""/>
      <w:lvlJc w:val="left"/>
      <w:pPr>
        <w:ind w:left="2160" w:hanging="360"/>
      </w:pPr>
      <w:rPr>
        <w:rFonts w:ascii="Wingdings" w:hAnsi="Wingdings" w:hint="default"/>
      </w:rPr>
    </w:lvl>
    <w:lvl w:ilvl="3" w:tplc="74288522">
      <w:numFmt w:val="bullet"/>
      <w:lvlText w:val="•"/>
      <w:lvlJc w:val="left"/>
      <w:pPr>
        <w:ind w:left="3180" w:hanging="660"/>
      </w:pPr>
      <w:rPr>
        <w:rFonts w:ascii="Calibri" w:eastAsiaTheme="minorHAnsi" w:hAnsi="Calibri" w:cs="Calibri"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6B740A43"/>
    <w:multiLevelType w:val="hybridMultilevel"/>
    <w:tmpl w:val="C9647CEC"/>
    <w:lvl w:ilvl="0" w:tplc="F6BAC496">
      <w:start w:val="1"/>
      <w:numFmt w:val="bullet"/>
      <w:lvlText w:val=""/>
      <w:lvlJc w:val="left"/>
      <w:pPr>
        <w:ind w:left="720" w:hanging="360"/>
      </w:pPr>
      <w:rPr>
        <w:rFonts w:ascii="Symbol" w:hAnsi="Symbol"/>
      </w:rPr>
    </w:lvl>
    <w:lvl w:ilvl="1" w:tplc="5968589E">
      <w:start w:val="1"/>
      <w:numFmt w:val="bullet"/>
      <w:lvlText w:val=""/>
      <w:lvlJc w:val="left"/>
      <w:pPr>
        <w:ind w:left="720" w:hanging="360"/>
      </w:pPr>
      <w:rPr>
        <w:rFonts w:ascii="Symbol" w:hAnsi="Symbol"/>
      </w:rPr>
    </w:lvl>
    <w:lvl w:ilvl="2" w:tplc="3D7896CA">
      <w:start w:val="1"/>
      <w:numFmt w:val="bullet"/>
      <w:lvlText w:val=""/>
      <w:lvlJc w:val="left"/>
      <w:pPr>
        <w:ind w:left="720" w:hanging="360"/>
      </w:pPr>
      <w:rPr>
        <w:rFonts w:ascii="Symbol" w:hAnsi="Symbol"/>
      </w:rPr>
    </w:lvl>
    <w:lvl w:ilvl="3" w:tplc="487AE800">
      <w:start w:val="1"/>
      <w:numFmt w:val="bullet"/>
      <w:lvlText w:val=""/>
      <w:lvlJc w:val="left"/>
      <w:pPr>
        <w:ind w:left="720" w:hanging="360"/>
      </w:pPr>
      <w:rPr>
        <w:rFonts w:ascii="Symbol" w:hAnsi="Symbol"/>
      </w:rPr>
    </w:lvl>
    <w:lvl w:ilvl="4" w:tplc="D2685610">
      <w:start w:val="1"/>
      <w:numFmt w:val="bullet"/>
      <w:lvlText w:val=""/>
      <w:lvlJc w:val="left"/>
      <w:pPr>
        <w:ind w:left="720" w:hanging="360"/>
      </w:pPr>
      <w:rPr>
        <w:rFonts w:ascii="Symbol" w:hAnsi="Symbol"/>
      </w:rPr>
    </w:lvl>
    <w:lvl w:ilvl="5" w:tplc="36466374">
      <w:start w:val="1"/>
      <w:numFmt w:val="bullet"/>
      <w:lvlText w:val=""/>
      <w:lvlJc w:val="left"/>
      <w:pPr>
        <w:ind w:left="720" w:hanging="360"/>
      </w:pPr>
      <w:rPr>
        <w:rFonts w:ascii="Symbol" w:hAnsi="Symbol"/>
      </w:rPr>
    </w:lvl>
    <w:lvl w:ilvl="6" w:tplc="D1D442C4">
      <w:start w:val="1"/>
      <w:numFmt w:val="bullet"/>
      <w:lvlText w:val=""/>
      <w:lvlJc w:val="left"/>
      <w:pPr>
        <w:ind w:left="720" w:hanging="360"/>
      </w:pPr>
      <w:rPr>
        <w:rFonts w:ascii="Symbol" w:hAnsi="Symbol"/>
      </w:rPr>
    </w:lvl>
    <w:lvl w:ilvl="7" w:tplc="DF206BCC">
      <w:start w:val="1"/>
      <w:numFmt w:val="bullet"/>
      <w:lvlText w:val=""/>
      <w:lvlJc w:val="left"/>
      <w:pPr>
        <w:ind w:left="720" w:hanging="360"/>
      </w:pPr>
      <w:rPr>
        <w:rFonts w:ascii="Symbol" w:hAnsi="Symbol"/>
      </w:rPr>
    </w:lvl>
    <w:lvl w:ilvl="8" w:tplc="DAFEE328">
      <w:start w:val="1"/>
      <w:numFmt w:val="bullet"/>
      <w:lvlText w:val=""/>
      <w:lvlJc w:val="left"/>
      <w:pPr>
        <w:ind w:left="720" w:hanging="360"/>
      </w:pPr>
      <w:rPr>
        <w:rFonts w:ascii="Symbol" w:hAnsi="Symbol"/>
      </w:rPr>
    </w:lvl>
  </w:abstractNum>
  <w:abstractNum w:abstractNumId="121" w15:restartNumberingAfterBreak="0">
    <w:nsid w:val="6BDC16C3"/>
    <w:multiLevelType w:val="hybridMultilevel"/>
    <w:tmpl w:val="ED381632"/>
    <w:lvl w:ilvl="0" w:tplc="C8284926">
      <w:start w:val="1"/>
      <w:numFmt w:val="bullet"/>
      <w:lvlText w:val="•"/>
      <w:lvlJc w:val="left"/>
      <w:pPr>
        <w:tabs>
          <w:tab w:val="num" w:pos="720"/>
        </w:tabs>
        <w:ind w:left="720" w:hanging="360"/>
      </w:pPr>
      <w:rPr>
        <w:rFonts w:ascii="Arial" w:hAnsi="Arial" w:hint="default"/>
      </w:rPr>
    </w:lvl>
    <w:lvl w:ilvl="1" w:tplc="B476C01E">
      <w:numFmt w:val="bullet"/>
      <w:lvlText w:val="•"/>
      <w:lvlJc w:val="left"/>
      <w:pPr>
        <w:tabs>
          <w:tab w:val="num" w:pos="1440"/>
        </w:tabs>
        <w:ind w:left="1440" w:hanging="360"/>
      </w:pPr>
      <w:rPr>
        <w:rFonts w:ascii="Arial" w:hAnsi="Arial" w:hint="default"/>
      </w:rPr>
    </w:lvl>
    <w:lvl w:ilvl="2" w:tplc="D8108F06" w:tentative="1">
      <w:start w:val="1"/>
      <w:numFmt w:val="bullet"/>
      <w:lvlText w:val="•"/>
      <w:lvlJc w:val="left"/>
      <w:pPr>
        <w:tabs>
          <w:tab w:val="num" w:pos="2160"/>
        </w:tabs>
        <w:ind w:left="2160" w:hanging="360"/>
      </w:pPr>
      <w:rPr>
        <w:rFonts w:ascii="Arial" w:hAnsi="Arial" w:hint="default"/>
      </w:rPr>
    </w:lvl>
    <w:lvl w:ilvl="3" w:tplc="46BAE418" w:tentative="1">
      <w:start w:val="1"/>
      <w:numFmt w:val="bullet"/>
      <w:lvlText w:val="•"/>
      <w:lvlJc w:val="left"/>
      <w:pPr>
        <w:tabs>
          <w:tab w:val="num" w:pos="2880"/>
        </w:tabs>
        <w:ind w:left="2880" w:hanging="360"/>
      </w:pPr>
      <w:rPr>
        <w:rFonts w:ascii="Arial" w:hAnsi="Arial" w:hint="default"/>
      </w:rPr>
    </w:lvl>
    <w:lvl w:ilvl="4" w:tplc="F3C09D9C" w:tentative="1">
      <w:start w:val="1"/>
      <w:numFmt w:val="bullet"/>
      <w:lvlText w:val="•"/>
      <w:lvlJc w:val="left"/>
      <w:pPr>
        <w:tabs>
          <w:tab w:val="num" w:pos="3600"/>
        </w:tabs>
        <w:ind w:left="3600" w:hanging="360"/>
      </w:pPr>
      <w:rPr>
        <w:rFonts w:ascii="Arial" w:hAnsi="Arial" w:hint="default"/>
      </w:rPr>
    </w:lvl>
    <w:lvl w:ilvl="5" w:tplc="D83AE202" w:tentative="1">
      <w:start w:val="1"/>
      <w:numFmt w:val="bullet"/>
      <w:lvlText w:val="•"/>
      <w:lvlJc w:val="left"/>
      <w:pPr>
        <w:tabs>
          <w:tab w:val="num" w:pos="4320"/>
        </w:tabs>
        <w:ind w:left="4320" w:hanging="360"/>
      </w:pPr>
      <w:rPr>
        <w:rFonts w:ascii="Arial" w:hAnsi="Arial" w:hint="default"/>
      </w:rPr>
    </w:lvl>
    <w:lvl w:ilvl="6" w:tplc="0680AEC2" w:tentative="1">
      <w:start w:val="1"/>
      <w:numFmt w:val="bullet"/>
      <w:lvlText w:val="•"/>
      <w:lvlJc w:val="left"/>
      <w:pPr>
        <w:tabs>
          <w:tab w:val="num" w:pos="5040"/>
        </w:tabs>
        <w:ind w:left="5040" w:hanging="360"/>
      </w:pPr>
      <w:rPr>
        <w:rFonts w:ascii="Arial" w:hAnsi="Arial" w:hint="default"/>
      </w:rPr>
    </w:lvl>
    <w:lvl w:ilvl="7" w:tplc="FE768AC6" w:tentative="1">
      <w:start w:val="1"/>
      <w:numFmt w:val="bullet"/>
      <w:lvlText w:val="•"/>
      <w:lvlJc w:val="left"/>
      <w:pPr>
        <w:tabs>
          <w:tab w:val="num" w:pos="5760"/>
        </w:tabs>
        <w:ind w:left="5760" w:hanging="360"/>
      </w:pPr>
      <w:rPr>
        <w:rFonts w:ascii="Arial" w:hAnsi="Arial" w:hint="default"/>
      </w:rPr>
    </w:lvl>
    <w:lvl w:ilvl="8" w:tplc="6BFE6056"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6C34493A"/>
    <w:multiLevelType w:val="hybridMultilevel"/>
    <w:tmpl w:val="88720F30"/>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3" w15:restartNumberingAfterBreak="0">
    <w:nsid w:val="6D7A28B3"/>
    <w:multiLevelType w:val="hybridMultilevel"/>
    <w:tmpl w:val="B83EAEDC"/>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4" w15:restartNumberingAfterBreak="0">
    <w:nsid w:val="6E6C67D1"/>
    <w:multiLevelType w:val="multilevel"/>
    <w:tmpl w:val="3230CE52"/>
    <w:lvl w:ilvl="0">
      <w:start w:val="1"/>
      <w:numFmt w:val="lowerLetter"/>
      <w:lvlText w:val="%1)"/>
      <w:lvlJc w:val="left"/>
      <w:pPr>
        <w:ind w:left="340" w:hanging="340"/>
      </w:pPr>
      <w:rPr>
        <w:rFonts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125" w15:restartNumberingAfterBreak="0">
    <w:nsid w:val="6E9925C3"/>
    <w:multiLevelType w:val="hybridMultilevel"/>
    <w:tmpl w:val="EA009098"/>
    <w:lvl w:ilvl="0" w:tplc="0C09000F">
      <w:start w:val="1"/>
      <w:numFmt w:val="decimal"/>
      <w:lvlText w:val="%1."/>
      <w:lvlJc w:val="left"/>
      <w:pPr>
        <w:ind w:left="777" w:hanging="360"/>
      </w:p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126" w15:restartNumberingAfterBreak="0">
    <w:nsid w:val="6EDA7D02"/>
    <w:multiLevelType w:val="hybridMultilevel"/>
    <w:tmpl w:val="1116BEA0"/>
    <w:lvl w:ilvl="0" w:tplc="A5D091DE">
      <w:start w:val="1"/>
      <w:numFmt w:val="bullet"/>
      <w:lvlText w:val=""/>
      <w:lvlJc w:val="left"/>
      <w:pPr>
        <w:ind w:left="720" w:hanging="360"/>
      </w:pPr>
      <w:rPr>
        <w:rFonts w:ascii="Symbol" w:hAnsi="Symbol"/>
      </w:rPr>
    </w:lvl>
    <w:lvl w:ilvl="1" w:tplc="9510EB10">
      <w:start w:val="1"/>
      <w:numFmt w:val="bullet"/>
      <w:lvlText w:val=""/>
      <w:lvlJc w:val="left"/>
      <w:pPr>
        <w:ind w:left="720" w:hanging="360"/>
      </w:pPr>
      <w:rPr>
        <w:rFonts w:ascii="Symbol" w:hAnsi="Symbol"/>
      </w:rPr>
    </w:lvl>
    <w:lvl w:ilvl="2" w:tplc="86C6040C">
      <w:start w:val="1"/>
      <w:numFmt w:val="bullet"/>
      <w:lvlText w:val=""/>
      <w:lvlJc w:val="left"/>
      <w:pPr>
        <w:ind w:left="720" w:hanging="360"/>
      </w:pPr>
      <w:rPr>
        <w:rFonts w:ascii="Symbol" w:hAnsi="Symbol"/>
      </w:rPr>
    </w:lvl>
    <w:lvl w:ilvl="3" w:tplc="921CBBF2">
      <w:start w:val="1"/>
      <w:numFmt w:val="bullet"/>
      <w:lvlText w:val=""/>
      <w:lvlJc w:val="left"/>
      <w:pPr>
        <w:ind w:left="720" w:hanging="360"/>
      </w:pPr>
      <w:rPr>
        <w:rFonts w:ascii="Symbol" w:hAnsi="Symbol"/>
      </w:rPr>
    </w:lvl>
    <w:lvl w:ilvl="4" w:tplc="CB725F1A">
      <w:start w:val="1"/>
      <w:numFmt w:val="bullet"/>
      <w:lvlText w:val=""/>
      <w:lvlJc w:val="left"/>
      <w:pPr>
        <w:ind w:left="720" w:hanging="360"/>
      </w:pPr>
      <w:rPr>
        <w:rFonts w:ascii="Symbol" w:hAnsi="Symbol"/>
      </w:rPr>
    </w:lvl>
    <w:lvl w:ilvl="5" w:tplc="E334DEF2">
      <w:start w:val="1"/>
      <w:numFmt w:val="bullet"/>
      <w:lvlText w:val=""/>
      <w:lvlJc w:val="left"/>
      <w:pPr>
        <w:ind w:left="720" w:hanging="360"/>
      </w:pPr>
      <w:rPr>
        <w:rFonts w:ascii="Symbol" w:hAnsi="Symbol"/>
      </w:rPr>
    </w:lvl>
    <w:lvl w:ilvl="6" w:tplc="6CBAA5BE">
      <w:start w:val="1"/>
      <w:numFmt w:val="bullet"/>
      <w:lvlText w:val=""/>
      <w:lvlJc w:val="left"/>
      <w:pPr>
        <w:ind w:left="720" w:hanging="360"/>
      </w:pPr>
      <w:rPr>
        <w:rFonts w:ascii="Symbol" w:hAnsi="Symbol"/>
      </w:rPr>
    </w:lvl>
    <w:lvl w:ilvl="7" w:tplc="D3D2A332">
      <w:start w:val="1"/>
      <w:numFmt w:val="bullet"/>
      <w:lvlText w:val=""/>
      <w:lvlJc w:val="left"/>
      <w:pPr>
        <w:ind w:left="720" w:hanging="360"/>
      </w:pPr>
      <w:rPr>
        <w:rFonts w:ascii="Symbol" w:hAnsi="Symbol"/>
      </w:rPr>
    </w:lvl>
    <w:lvl w:ilvl="8" w:tplc="6436C49A">
      <w:start w:val="1"/>
      <w:numFmt w:val="bullet"/>
      <w:lvlText w:val=""/>
      <w:lvlJc w:val="left"/>
      <w:pPr>
        <w:ind w:left="720" w:hanging="360"/>
      </w:pPr>
      <w:rPr>
        <w:rFonts w:ascii="Symbol" w:hAnsi="Symbol"/>
      </w:rPr>
    </w:lvl>
  </w:abstractNum>
  <w:abstractNum w:abstractNumId="127" w15:restartNumberingAfterBreak="0">
    <w:nsid w:val="71A8137A"/>
    <w:multiLevelType w:val="hybridMultilevel"/>
    <w:tmpl w:val="464A0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724D43CC"/>
    <w:multiLevelType w:val="hybridMultilevel"/>
    <w:tmpl w:val="5F303F46"/>
    <w:lvl w:ilvl="0" w:tplc="83946BC2">
      <w:start w:val="1"/>
      <w:numFmt w:val="lowerLetter"/>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29" w15:restartNumberingAfterBreak="0">
    <w:nsid w:val="73C63AFE"/>
    <w:multiLevelType w:val="hybridMultilevel"/>
    <w:tmpl w:val="C2FE1D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75F33241"/>
    <w:multiLevelType w:val="hybridMultilevel"/>
    <w:tmpl w:val="2B7EFE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76137DB4"/>
    <w:multiLevelType w:val="hybridMultilevel"/>
    <w:tmpl w:val="5D3074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774C792E"/>
    <w:multiLevelType w:val="hybridMultilevel"/>
    <w:tmpl w:val="55EEDF78"/>
    <w:lvl w:ilvl="0" w:tplc="AA04D3CC">
      <w:start w:val="1"/>
      <w:numFmt w:val="bullet"/>
      <w:lvlText w:val="•"/>
      <w:lvlJc w:val="left"/>
      <w:pPr>
        <w:tabs>
          <w:tab w:val="num" w:pos="720"/>
        </w:tabs>
        <w:ind w:left="720" w:hanging="360"/>
      </w:pPr>
      <w:rPr>
        <w:rFonts w:ascii="Arial" w:hAnsi="Arial" w:hint="default"/>
      </w:rPr>
    </w:lvl>
    <w:lvl w:ilvl="1" w:tplc="E07A6C62" w:tentative="1">
      <w:start w:val="1"/>
      <w:numFmt w:val="bullet"/>
      <w:lvlText w:val="•"/>
      <w:lvlJc w:val="left"/>
      <w:pPr>
        <w:tabs>
          <w:tab w:val="num" w:pos="1440"/>
        </w:tabs>
        <w:ind w:left="1440" w:hanging="360"/>
      </w:pPr>
      <w:rPr>
        <w:rFonts w:ascii="Arial" w:hAnsi="Arial" w:hint="default"/>
      </w:rPr>
    </w:lvl>
    <w:lvl w:ilvl="2" w:tplc="73587726" w:tentative="1">
      <w:start w:val="1"/>
      <w:numFmt w:val="bullet"/>
      <w:lvlText w:val="•"/>
      <w:lvlJc w:val="left"/>
      <w:pPr>
        <w:tabs>
          <w:tab w:val="num" w:pos="2160"/>
        </w:tabs>
        <w:ind w:left="2160" w:hanging="360"/>
      </w:pPr>
      <w:rPr>
        <w:rFonts w:ascii="Arial" w:hAnsi="Arial" w:hint="default"/>
      </w:rPr>
    </w:lvl>
    <w:lvl w:ilvl="3" w:tplc="7318F944" w:tentative="1">
      <w:start w:val="1"/>
      <w:numFmt w:val="bullet"/>
      <w:lvlText w:val="•"/>
      <w:lvlJc w:val="left"/>
      <w:pPr>
        <w:tabs>
          <w:tab w:val="num" w:pos="2880"/>
        </w:tabs>
        <w:ind w:left="2880" w:hanging="360"/>
      </w:pPr>
      <w:rPr>
        <w:rFonts w:ascii="Arial" w:hAnsi="Arial" w:hint="default"/>
      </w:rPr>
    </w:lvl>
    <w:lvl w:ilvl="4" w:tplc="3C748092" w:tentative="1">
      <w:start w:val="1"/>
      <w:numFmt w:val="bullet"/>
      <w:lvlText w:val="•"/>
      <w:lvlJc w:val="left"/>
      <w:pPr>
        <w:tabs>
          <w:tab w:val="num" w:pos="3600"/>
        </w:tabs>
        <w:ind w:left="3600" w:hanging="360"/>
      </w:pPr>
      <w:rPr>
        <w:rFonts w:ascii="Arial" w:hAnsi="Arial" w:hint="default"/>
      </w:rPr>
    </w:lvl>
    <w:lvl w:ilvl="5" w:tplc="DF149AFC" w:tentative="1">
      <w:start w:val="1"/>
      <w:numFmt w:val="bullet"/>
      <w:lvlText w:val="•"/>
      <w:lvlJc w:val="left"/>
      <w:pPr>
        <w:tabs>
          <w:tab w:val="num" w:pos="4320"/>
        </w:tabs>
        <w:ind w:left="4320" w:hanging="360"/>
      </w:pPr>
      <w:rPr>
        <w:rFonts w:ascii="Arial" w:hAnsi="Arial" w:hint="default"/>
      </w:rPr>
    </w:lvl>
    <w:lvl w:ilvl="6" w:tplc="295E5686" w:tentative="1">
      <w:start w:val="1"/>
      <w:numFmt w:val="bullet"/>
      <w:lvlText w:val="•"/>
      <w:lvlJc w:val="left"/>
      <w:pPr>
        <w:tabs>
          <w:tab w:val="num" w:pos="5040"/>
        </w:tabs>
        <w:ind w:left="5040" w:hanging="360"/>
      </w:pPr>
      <w:rPr>
        <w:rFonts w:ascii="Arial" w:hAnsi="Arial" w:hint="default"/>
      </w:rPr>
    </w:lvl>
    <w:lvl w:ilvl="7" w:tplc="A8565F0C" w:tentative="1">
      <w:start w:val="1"/>
      <w:numFmt w:val="bullet"/>
      <w:lvlText w:val="•"/>
      <w:lvlJc w:val="left"/>
      <w:pPr>
        <w:tabs>
          <w:tab w:val="num" w:pos="5760"/>
        </w:tabs>
        <w:ind w:left="5760" w:hanging="360"/>
      </w:pPr>
      <w:rPr>
        <w:rFonts w:ascii="Arial" w:hAnsi="Arial" w:hint="default"/>
      </w:rPr>
    </w:lvl>
    <w:lvl w:ilvl="8" w:tplc="B99AC462" w:tentative="1">
      <w:start w:val="1"/>
      <w:numFmt w:val="bullet"/>
      <w:lvlText w:val="•"/>
      <w:lvlJc w:val="left"/>
      <w:pPr>
        <w:tabs>
          <w:tab w:val="num" w:pos="6480"/>
        </w:tabs>
        <w:ind w:left="6480" w:hanging="360"/>
      </w:pPr>
      <w:rPr>
        <w:rFonts w:ascii="Arial" w:hAnsi="Arial" w:hint="default"/>
      </w:rPr>
    </w:lvl>
  </w:abstractNum>
  <w:abstractNum w:abstractNumId="133" w15:restartNumberingAfterBreak="0">
    <w:nsid w:val="77B947F7"/>
    <w:multiLevelType w:val="hybridMultilevel"/>
    <w:tmpl w:val="147E7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77FD02E3"/>
    <w:multiLevelType w:val="hybridMultilevel"/>
    <w:tmpl w:val="CA20D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77FF521F"/>
    <w:multiLevelType w:val="hybridMultilevel"/>
    <w:tmpl w:val="1D1C350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7B5B13C5"/>
    <w:multiLevelType w:val="hybridMultilevel"/>
    <w:tmpl w:val="269C845A"/>
    <w:lvl w:ilvl="0" w:tplc="0C090017">
      <w:start w:val="1"/>
      <w:numFmt w:val="lowerLetter"/>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37" w15:restartNumberingAfterBreak="0">
    <w:nsid w:val="7C9A7A3C"/>
    <w:multiLevelType w:val="hybridMultilevel"/>
    <w:tmpl w:val="C5CC9C6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8" w15:restartNumberingAfterBreak="0">
    <w:nsid w:val="7CEE78F2"/>
    <w:multiLevelType w:val="hybridMultilevel"/>
    <w:tmpl w:val="E5D84806"/>
    <w:lvl w:ilvl="0" w:tplc="FFFFFFFF">
      <w:start w:val="1"/>
      <w:numFmt w:val="bullet"/>
      <w:lvlText w:val=""/>
      <w:lvlJc w:val="left"/>
      <w:pPr>
        <w:ind w:left="777"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139" w15:restartNumberingAfterBreak="0">
    <w:nsid w:val="7E316EC7"/>
    <w:multiLevelType w:val="hybridMultilevel"/>
    <w:tmpl w:val="17A80ED0"/>
    <w:lvl w:ilvl="0" w:tplc="7E029E7A">
      <w:start w:val="1"/>
      <w:numFmt w:val="bullet"/>
      <w:lvlText w:val=""/>
      <w:lvlJc w:val="left"/>
      <w:pPr>
        <w:tabs>
          <w:tab w:val="num" w:pos="720"/>
        </w:tabs>
        <w:ind w:left="720" w:hanging="360"/>
      </w:pPr>
      <w:rPr>
        <w:rFonts w:ascii="Symbol" w:hAnsi="Symbol" w:hint="default"/>
      </w:rPr>
    </w:lvl>
    <w:lvl w:ilvl="1" w:tplc="22046DE0" w:tentative="1">
      <w:start w:val="1"/>
      <w:numFmt w:val="bullet"/>
      <w:lvlText w:val=""/>
      <w:lvlJc w:val="left"/>
      <w:pPr>
        <w:tabs>
          <w:tab w:val="num" w:pos="1440"/>
        </w:tabs>
        <w:ind w:left="1440" w:hanging="360"/>
      </w:pPr>
      <w:rPr>
        <w:rFonts w:ascii="Symbol" w:hAnsi="Symbol" w:hint="default"/>
      </w:rPr>
    </w:lvl>
    <w:lvl w:ilvl="2" w:tplc="967801B8" w:tentative="1">
      <w:start w:val="1"/>
      <w:numFmt w:val="bullet"/>
      <w:lvlText w:val=""/>
      <w:lvlJc w:val="left"/>
      <w:pPr>
        <w:tabs>
          <w:tab w:val="num" w:pos="2160"/>
        </w:tabs>
        <w:ind w:left="2160" w:hanging="360"/>
      </w:pPr>
      <w:rPr>
        <w:rFonts w:ascii="Symbol" w:hAnsi="Symbol" w:hint="default"/>
      </w:rPr>
    </w:lvl>
    <w:lvl w:ilvl="3" w:tplc="4F4C8302" w:tentative="1">
      <w:start w:val="1"/>
      <w:numFmt w:val="bullet"/>
      <w:lvlText w:val=""/>
      <w:lvlJc w:val="left"/>
      <w:pPr>
        <w:tabs>
          <w:tab w:val="num" w:pos="2880"/>
        </w:tabs>
        <w:ind w:left="2880" w:hanging="360"/>
      </w:pPr>
      <w:rPr>
        <w:rFonts w:ascii="Symbol" w:hAnsi="Symbol" w:hint="default"/>
      </w:rPr>
    </w:lvl>
    <w:lvl w:ilvl="4" w:tplc="45CC2604" w:tentative="1">
      <w:start w:val="1"/>
      <w:numFmt w:val="bullet"/>
      <w:lvlText w:val=""/>
      <w:lvlJc w:val="left"/>
      <w:pPr>
        <w:tabs>
          <w:tab w:val="num" w:pos="3600"/>
        </w:tabs>
        <w:ind w:left="3600" w:hanging="360"/>
      </w:pPr>
      <w:rPr>
        <w:rFonts w:ascii="Symbol" w:hAnsi="Symbol" w:hint="default"/>
      </w:rPr>
    </w:lvl>
    <w:lvl w:ilvl="5" w:tplc="E43092E8" w:tentative="1">
      <w:start w:val="1"/>
      <w:numFmt w:val="bullet"/>
      <w:lvlText w:val=""/>
      <w:lvlJc w:val="left"/>
      <w:pPr>
        <w:tabs>
          <w:tab w:val="num" w:pos="4320"/>
        </w:tabs>
        <w:ind w:left="4320" w:hanging="360"/>
      </w:pPr>
      <w:rPr>
        <w:rFonts w:ascii="Symbol" w:hAnsi="Symbol" w:hint="default"/>
      </w:rPr>
    </w:lvl>
    <w:lvl w:ilvl="6" w:tplc="719CC842" w:tentative="1">
      <w:start w:val="1"/>
      <w:numFmt w:val="bullet"/>
      <w:lvlText w:val=""/>
      <w:lvlJc w:val="left"/>
      <w:pPr>
        <w:tabs>
          <w:tab w:val="num" w:pos="5040"/>
        </w:tabs>
        <w:ind w:left="5040" w:hanging="360"/>
      </w:pPr>
      <w:rPr>
        <w:rFonts w:ascii="Symbol" w:hAnsi="Symbol" w:hint="default"/>
      </w:rPr>
    </w:lvl>
    <w:lvl w:ilvl="7" w:tplc="40C66DF2" w:tentative="1">
      <w:start w:val="1"/>
      <w:numFmt w:val="bullet"/>
      <w:lvlText w:val=""/>
      <w:lvlJc w:val="left"/>
      <w:pPr>
        <w:tabs>
          <w:tab w:val="num" w:pos="5760"/>
        </w:tabs>
        <w:ind w:left="5760" w:hanging="360"/>
      </w:pPr>
      <w:rPr>
        <w:rFonts w:ascii="Symbol" w:hAnsi="Symbol" w:hint="default"/>
      </w:rPr>
    </w:lvl>
    <w:lvl w:ilvl="8" w:tplc="6E3C4B9A" w:tentative="1">
      <w:start w:val="1"/>
      <w:numFmt w:val="bullet"/>
      <w:lvlText w:val=""/>
      <w:lvlJc w:val="left"/>
      <w:pPr>
        <w:tabs>
          <w:tab w:val="num" w:pos="6480"/>
        </w:tabs>
        <w:ind w:left="6480" w:hanging="360"/>
      </w:pPr>
      <w:rPr>
        <w:rFonts w:ascii="Symbol" w:hAnsi="Symbol" w:hint="default"/>
      </w:rPr>
    </w:lvl>
  </w:abstractNum>
  <w:abstractNum w:abstractNumId="140" w15:restartNumberingAfterBreak="0">
    <w:nsid w:val="7FAF39FC"/>
    <w:multiLevelType w:val="hybridMultilevel"/>
    <w:tmpl w:val="7E24A9F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1" w15:restartNumberingAfterBreak="0">
    <w:nsid w:val="7FD552DF"/>
    <w:multiLevelType w:val="hybridMultilevel"/>
    <w:tmpl w:val="C5CC9C6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394427606">
    <w:abstractNumId w:val="46"/>
  </w:num>
  <w:num w:numId="2" w16cid:durableId="1144469236">
    <w:abstractNumId w:val="62"/>
  </w:num>
  <w:num w:numId="3" w16cid:durableId="2108188688">
    <w:abstractNumId w:val="3"/>
  </w:num>
  <w:num w:numId="4" w16cid:durableId="2037384258">
    <w:abstractNumId w:val="2"/>
  </w:num>
  <w:num w:numId="5" w16cid:durableId="1488939121">
    <w:abstractNumId w:val="1"/>
  </w:num>
  <w:num w:numId="6" w16cid:durableId="1316833031">
    <w:abstractNumId w:val="0"/>
  </w:num>
  <w:num w:numId="7" w16cid:durableId="1198006569">
    <w:abstractNumId w:val="82"/>
  </w:num>
  <w:num w:numId="8" w16cid:durableId="1061515784">
    <w:abstractNumId w:val="77"/>
  </w:num>
  <w:num w:numId="9" w16cid:durableId="199242282">
    <w:abstractNumId w:val="109"/>
  </w:num>
  <w:num w:numId="10" w16cid:durableId="1885828936">
    <w:abstractNumId w:val="21"/>
  </w:num>
  <w:num w:numId="11" w16cid:durableId="1876969143">
    <w:abstractNumId w:val="12"/>
  </w:num>
  <w:num w:numId="12" w16cid:durableId="2036223500">
    <w:abstractNumId w:val="7"/>
  </w:num>
  <w:num w:numId="13" w16cid:durableId="1245799298">
    <w:abstractNumId w:val="75"/>
  </w:num>
  <w:num w:numId="14" w16cid:durableId="547649471">
    <w:abstractNumId w:val="63"/>
  </w:num>
  <w:num w:numId="15" w16cid:durableId="559052346">
    <w:abstractNumId w:val="110"/>
  </w:num>
  <w:num w:numId="16" w16cid:durableId="1452630917">
    <w:abstractNumId w:val="27"/>
  </w:num>
  <w:num w:numId="17" w16cid:durableId="875852157">
    <w:abstractNumId w:val="105"/>
  </w:num>
  <w:num w:numId="18" w16cid:durableId="1392850276">
    <w:abstractNumId w:val="4"/>
  </w:num>
  <w:num w:numId="19" w16cid:durableId="1817259464">
    <w:abstractNumId w:val="119"/>
  </w:num>
  <w:num w:numId="20" w16cid:durableId="295569858">
    <w:abstractNumId w:val="127"/>
  </w:num>
  <w:num w:numId="21" w16cid:durableId="165441310">
    <w:abstractNumId w:val="121"/>
  </w:num>
  <w:num w:numId="22" w16cid:durableId="508568644">
    <w:abstractNumId w:val="132"/>
  </w:num>
  <w:num w:numId="23" w16cid:durableId="2085102188">
    <w:abstractNumId w:val="86"/>
  </w:num>
  <w:num w:numId="24" w16cid:durableId="1142769871">
    <w:abstractNumId w:val="108"/>
  </w:num>
  <w:num w:numId="25" w16cid:durableId="1324820421">
    <w:abstractNumId w:val="52"/>
  </w:num>
  <w:num w:numId="26" w16cid:durableId="1502045126">
    <w:abstractNumId w:val="91"/>
  </w:num>
  <w:num w:numId="27" w16cid:durableId="523708604">
    <w:abstractNumId w:val="118"/>
  </w:num>
  <w:num w:numId="28" w16cid:durableId="456414477">
    <w:abstractNumId w:val="8"/>
  </w:num>
  <w:num w:numId="29" w16cid:durableId="1271208238">
    <w:abstractNumId w:val="94"/>
  </w:num>
  <w:num w:numId="30" w16cid:durableId="1360931373">
    <w:abstractNumId w:val="58"/>
  </w:num>
  <w:num w:numId="31" w16cid:durableId="653989243">
    <w:abstractNumId w:val="139"/>
  </w:num>
  <w:num w:numId="32" w16cid:durableId="1617710524">
    <w:abstractNumId w:val="136"/>
  </w:num>
  <w:num w:numId="33" w16cid:durableId="247353664">
    <w:abstractNumId w:val="87"/>
  </w:num>
  <w:num w:numId="34" w16cid:durableId="577176579">
    <w:abstractNumId w:val="9"/>
  </w:num>
  <w:num w:numId="35" w16cid:durableId="1603760278">
    <w:abstractNumId w:val="66"/>
  </w:num>
  <w:num w:numId="36" w16cid:durableId="1045637410">
    <w:abstractNumId w:val="31"/>
  </w:num>
  <w:num w:numId="37" w16cid:durableId="1070927980">
    <w:abstractNumId w:val="112"/>
  </w:num>
  <w:num w:numId="38" w16cid:durableId="706023862">
    <w:abstractNumId w:val="122"/>
  </w:num>
  <w:num w:numId="39" w16cid:durableId="1734810719">
    <w:abstractNumId w:val="128"/>
  </w:num>
  <w:num w:numId="40" w16cid:durableId="569584405">
    <w:abstractNumId w:val="14"/>
  </w:num>
  <w:num w:numId="41" w16cid:durableId="168981900">
    <w:abstractNumId w:val="90"/>
  </w:num>
  <w:num w:numId="42" w16cid:durableId="197816181">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863509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66638599">
    <w:abstractNumId w:val="54"/>
  </w:num>
  <w:num w:numId="45" w16cid:durableId="1259755730">
    <w:abstractNumId w:val="64"/>
  </w:num>
  <w:num w:numId="46" w16cid:durableId="1647050880">
    <w:abstractNumId w:val="71"/>
  </w:num>
  <w:num w:numId="47" w16cid:durableId="1165702655">
    <w:abstractNumId w:val="117"/>
  </w:num>
  <w:num w:numId="48" w16cid:durableId="709838119">
    <w:abstractNumId w:val="33"/>
  </w:num>
  <w:num w:numId="49" w16cid:durableId="1391613106">
    <w:abstractNumId w:val="111"/>
  </w:num>
  <w:num w:numId="50" w16cid:durableId="1917086195">
    <w:abstractNumId w:val="140"/>
  </w:num>
  <w:num w:numId="51" w16cid:durableId="1380545758">
    <w:abstractNumId w:val="61"/>
  </w:num>
  <w:num w:numId="52" w16cid:durableId="865600136">
    <w:abstractNumId w:val="17"/>
  </w:num>
  <w:num w:numId="53" w16cid:durableId="944537016">
    <w:abstractNumId w:val="93"/>
  </w:num>
  <w:num w:numId="54" w16cid:durableId="1677808266">
    <w:abstractNumId w:val="72"/>
  </w:num>
  <w:num w:numId="55" w16cid:durableId="1004940789">
    <w:abstractNumId w:val="6"/>
  </w:num>
  <w:num w:numId="56" w16cid:durableId="494616521">
    <w:abstractNumId w:val="74"/>
  </w:num>
  <w:num w:numId="57" w16cid:durableId="20198923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78940386">
    <w:abstractNumId w:val="38"/>
  </w:num>
  <w:num w:numId="59" w16cid:durableId="2017612724">
    <w:abstractNumId w:val="45"/>
  </w:num>
  <w:num w:numId="60" w16cid:durableId="1707833713">
    <w:abstractNumId w:val="92"/>
  </w:num>
  <w:num w:numId="61" w16cid:durableId="1558665334">
    <w:abstractNumId w:val="65"/>
  </w:num>
  <w:num w:numId="62" w16cid:durableId="2141192807">
    <w:abstractNumId w:val="133"/>
  </w:num>
  <w:num w:numId="63" w16cid:durableId="1326281123">
    <w:abstractNumId w:val="53"/>
  </w:num>
  <w:num w:numId="64" w16cid:durableId="1446342142">
    <w:abstractNumId w:val="23"/>
  </w:num>
  <w:num w:numId="65" w16cid:durableId="1789161638">
    <w:abstractNumId w:val="72"/>
    <w:lvlOverride w:ilvl="0"/>
    <w:lvlOverride w:ilvl="1">
      <w:startOverride w:val="1"/>
    </w:lvlOverride>
    <w:lvlOverride w:ilvl="2"/>
    <w:lvlOverride w:ilvl="3"/>
    <w:lvlOverride w:ilvl="4"/>
    <w:lvlOverride w:ilvl="5"/>
    <w:lvlOverride w:ilvl="6"/>
    <w:lvlOverride w:ilvl="7"/>
    <w:lvlOverride w:ilvl="8"/>
  </w:num>
  <w:num w:numId="66" w16cid:durableId="1027871730">
    <w:abstractNumId w:val="74"/>
    <w:lvlOverride w:ilvl="0"/>
    <w:lvlOverride w:ilvl="1">
      <w:startOverride w:val="1"/>
    </w:lvlOverride>
    <w:lvlOverride w:ilvl="2"/>
    <w:lvlOverride w:ilvl="3"/>
    <w:lvlOverride w:ilvl="4"/>
    <w:lvlOverride w:ilvl="5"/>
    <w:lvlOverride w:ilvl="6"/>
    <w:lvlOverride w:ilvl="7"/>
    <w:lvlOverride w:ilvl="8"/>
  </w:num>
  <w:num w:numId="67" w16cid:durableId="517501164">
    <w:abstractNumId w:val="18"/>
  </w:num>
  <w:num w:numId="68" w16cid:durableId="1564365508">
    <w:abstractNumId w:val="56"/>
  </w:num>
  <w:num w:numId="69" w16cid:durableId="1929539213">
    <w:abstractNumId w:val="39"/>
  </w:num>
  <w:num w:numId="70" w16cid:durableId="1764036695">
    <w:abstractNumId w:val="67"/>
  </w:num>
  <w:num w:numId="71" w16cid:durableId="363335710">
    <w:abstractNumId w:val="29"/>
  </w:num>
  <w:num w:numId="72" w16cid:durableId="1859274888">
    <w:abstractNumId w:val="22"/>
  </w:num>
  <w:num w:numId="73" w16cid:durableId="1064449015">
    <w:abstractNumId w:val="50"/>
  </w:num>
  <w:num w:numId="74" w16cid:durableId="1437629114">
    <w:abstractNumId w:val="134"/>
  </w:num>
  <w:num w:numId="75" w16cid:durableId="21788886">
    <w:abstractNumId w:val="28"/>
  </w:num>
  <w:num w:numId="76" w16cid:durableId="135219043">
    <w:abstractNumId w:val="97"/>
  </w:num>
  <w:num w:numId="77" w16cid:durableId="5080595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321888246">
    <w:abstractNumId w:val="15"/>
  </w:num>
  <w:num w:numId="79" w16cid:durableId="1041126148">
    <w:abstractNumId w:val="25"/>
  </w:num>
  <w:num w:numId="80" w16cid:durableId="283390239">
    <w:abstractNumId w:val="26"/>
    <w:lvlOverride w:ilvl="0">
      <w:startOverride w:val="5"/>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55359912">
    <w:abstractNumId w:val="124"/>
    <w:lvlOverride w:ilvl="0">
      <w:startOverride w:val="1"/>
    </w:lvlOverride>
    <w:lvlOverride w:ilvl="1"/>
    <w:lvlOverride w:ilvl="2"/>
    <w:lvlOverride w:ilvl="3"/>
    <w:lvlOverride w:ilvl="4"/>
    <w:lvlOverride w:ilvl="5"/>
    <w:lvlOverride w:ilvl="6"/>
    <w:lvlOverride w:ilvl="7"/>
    <w:lvlOverride w:ilvl="8"/>
  </w:num>
  <w:num w:numId="82" w16cid:durableId="157157532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73428043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519810978">
    <w:abstractNumId w:val="91"/>
  </w:num>
  <w:num w:numId="85" w16cid:durableId="807086539">
    <w:abstractNumId w:val="131"/>
  </w:num>
  <w:num w:numId="86" w16cid:durableId="309947480">
    <w:abstractNumId w:val="10"/>
  </w:num>
  <w:num w:numId="87" w16cid:durableId="1069185618">
    <w:abstractNumId w:val="113"/>
  </w:num>
  <w:num w:numId="88" w16cid:durableId="1835493216">
    <w:abstractNumId w:val="5"/>
  </w:num>
  <w:num w:numId="89" w16cid:durableId="243994090">
    <w:abstractNumId w:val="96"/>
  </w:num>
  <w:num w:numId="90" w16cid:durableId="1953852542">
    <w:abstractNumId w:val="70"/>
  </w:num>
  <w:num w:numId="91" w16cid:durableId="1807579693">
    <w:abstractNumId w:val="114"/>
  </w:num>
  <w:num w:numId="92" w16cid:durableId="1979459685">
    <w:abstractNumId w:val="36"/>
  </w:num>
  <w:num w:numId="93" w16cid:durableId="1884828369">
    <w:abstractNumId w:val="69"/>
  </w:num>
  <w:num w:numId="94" w16cid:durableId="1624649258">
    <w:abstractNumId w:val="79"/>
  </w:num>
  <w:num w:numId="95" w16cid:durableId="714964114">
    <w:abstractNumId w:val="81"/>
  </w:num>
  <w:num w:numId="96" w16cid:durableId="1368917163">
    <w:abstractNumId w:val="116"/>
  </w:num>
  <w:num w:numId="97" w16cid:durableId="1374960851">
    <w:abstractNumId w:val="89"/>
  </w:num>
  <w:num w:numId="98" w16cid:durableId="481703978">
    <w:abstractNumId w:val="84"/>
  </w:num>
  <w:num w:numId="99" w16cid:durableId="1811748083">
    <w:abstractNumId w:val="60"/>
  </w:num>
  <w:num w:numId="100" w16cid:durableId="1870221521">
    <w:abstractNumId w:val="95"/>
  </w:num>
  <w:num w:numId="101" w16cid:durableId="819809397">
    <w:abstractNumId w:val="59"/>
  </w:num>
  <w:num w:numId="102" w16cid:durableId="1797870286">
    <w:abstractNumId w:val="137"/>
  </w:num>
  <w:num w:numId="103" w16cid:durableId="1939437322">
    <w:abstractNumId w:val="104"/>
  </w:num>
  <w:num w:numId="104" w16cid:durableId="276644686">
    <w:abstractNumId w:val="103"/>
  </w:num>
  <w:num w:numId="105" w16cid:durableId="1015764450">
    <w:abstractNumId w:val="80"/>
  </w:num>
  <w:num w:numId="106" w16cid:durableId="2019769470">
    <w:abstractNumId w:val="42"/>
  </w:num>
  <w:num w:numId="107" w16cid:durableId="19089054">
    <w:abstractNumId w:val="141"/>
  </w:num>
  <w:num w:numId="108" w16cid:durableId="1525559638">
    <w:abstractNumId w:val="78"/>
  </w:num>
  <w:num w:numId="109" w16cid:durableId="1736665153">
    <w:abstractNumId w:val="49"/>
  </w:num>
  <w:num w:numId="110" w16cid:durableId="1185483531">
    <w:abstractNumId w:val="51"/>
  </w:num>
  <w:num w:numId="111" w16cid:durableId="1322199074">
    <w:abstractNumId w:val="68"/>
  </w:num>
  <w:num w:numId="112" w16cid:durableId="1773471954">
    <w:abstractNumId w:val="48"/>
  </w:num>
  <w:num w:numId="113" w16cid:durableId="529336863">
    <w:abstractNumId w:val="19"/>
  </w:num>
  <w:num w:numId="114" w16cid:durableId="160394004">
    <w:abstractNumId w:val="123"/>
  </w:num>
  <w:num w:numId="115" w16cid:durableId="437871189">
    <w:abstractNumId w:val="57"/>
  </w:num>
  <w:num w:numId="116" w16cid:durableId="1788156794">
    <w:abstractNumId w:val="102"/>
  </w:num>
  <w:num w:numId="117" w16cid:durableId="685179542">
    <w:abstractNumId w:val="119"/>
  </w:num>
  <w:num w:numId="118" w16cid:durableId="369568823">
    <w:abstractNumId w:val="119"/>
  </w:num>
  <w:num w:numId="119" w16cid:durableId="414476748">
    <w:abstractNumId w:val="115"/>
  </w:num>
  <w:num w:numId="120" w16cid:durableId="706494402">
    <w:abstractNumId w:val="32"/>
  </w:num>
  <w:num w:numId="121" w16cid:durableId="1012488501">
    <w:abstractNumId w:val="75"/>
  </w:num>
  <w:num w:numId="122" w16cid:durableId="16202518">
    <w:abstractNumId w:val="75"/>
  </w:num>
  <w:num w:numId="123" w16cid:durableId="1830750440">
    <w:abstractNumId w:val="99"/>
  </w:num>
  <w:num w:numId="124" w16cid:durableId="884677973">
    <w:abstractNumId w:val="62"/>
  </w:num>
  <w:num w:numId="125" w16cid:durableId="383287071">
    <w:abstractNumId w:val="62"/>
  </w:num>
  <w:num w:numId="126" w16cid:durableId="746074944">
    <w:abstractNumId w:val="106"/>
  </w:num>
  <w:num w:numId="127" w16cid:durableId="1745645706">
    <w:abstractNumId w:val="126"/>
  </w:num>
  <w:num w:numId="128" w16cid:durableId="459496200">
    <w:abstractNumId w:val="120"/>
  </w:num>
  <w:num w:numId="129" w16cid:durableId="2005815250">
    <w:abstractNumId w:val="85"/>
  </w:num>
  <w:num w:numId="130" w16cid:durableId="1699886162">
    <w:abstractNumId w:val="107"/>
  </w:num>
  <w:num w:numId="131" w16cid:durableId="772210878">
    <w:abstractNumId w:val="47"/>
  </w:num>
  <w:num w:numId="132" w16cid:durableId="1627348478">
    <w:abstractNumId w:val="41"/>
  </w:num>
  <w:num w:numId="133" w16cid:durableId="1907570088">
    <w:abstractNumId w:val="101"/>
  </w:num>
  <w:num w:numId="134" w16cid:durableId="920720346">
    <w:abstractNumId w:val="40"/>
  </w:num>
  <w:num w:numId="135" w16cid:durableId="508983117">
    <w:abstractNumId w:val="13"/>
  </w:num>
  <w:num w:numId="136" w16cid:durableId="712853434">
    <w:abstractNumId w:val="130"/>
  </w:num>
  <w:num w:numId="137" w16cid:durableId="442309875">
    <w:abstractNumId w:val="83"/>
  </w:num>
  <w:num w:numId="138" w16cid:durableId="798034113">
    <w:abstractNumId w:val="16"/>
  </w:num>
  <w:num w:numId="139" w16cid:durableId="1382560915">
    <w:abstractNumId w:val="35"/>
  </w:num>
  <w:num w:numId="140" w16cid:durableId="1376812075">
    <w:abstractNumId w:val="98"/>
  </w:num>
  <w:num w:numId="141" w16cid:durableId="418254491">
    <w:abstractNumId w:val="11"/>
  </w:num>
  <w:num w:numId="142" w16cid:durableId="1411078123">
    <w:abstractNumId w:val="37"/>
  </w:num>
  <w:num w:numId="143" w16cid:durableId="377319037">
    <w:abstractNumId w:val="125"/>
  </w:num>
  <w:num w:numId="144" w16cid:durableId="1452436040">
    <w:abstractNumId w:val="20"/>
  </w:num>
  <w:num w:numId="145" w16cid:durableId="884372310">
    <w:abstractNumId w:val="30"/>
  </w:num>
  <w:num w:numId="146" w16cid:durableId="620301559">
    <w:abstractNumId w:val="138"/>
  </w:num>
  <w:num w:numId="147" w16cid:durableId="1770663362">
    <w:abstractNumId w:val="76"/>
  </w:num>
  <w:num w:numId="148" w16cid:durableId="2103986350">
    <w:abstractNumId w:val="129"/>
  </w:num>
  <w:num w:numId="149" w16cid:durableId="1324889320">
    <w:abstractNumId w:val="75"/>
  </w:num>
  <w:num w:numId="150" w16cid:durableId="724912136">
    <w:abstractNumId w:val="75"/>
  </w:num>
  <w:num w:numId="151" w16cid:durableId="1739283119">
    <w:abstractNumId w:val="75"/>
  </w:num>
  <w:num w:numId="152" w16cid:durableId="932396097">
    <w:abstractNumId w:val="4"/>
  </w:num>
  <w:num w:numId="153" w16cid:durableId="1182669669">
    <w:abstractNumId w:val="4"/>
  </w:num>
  <w:num w:numId="154" w16cid:durableId="94794742">
    <w:abstractNumId w:val="4"/>
  </w:num>
  <w:num w:numId="155" w16cid:durableId="1591044953">
    <w:abstractNumId w:val="24"/>
  </w:num>
  <w:num w:numId="156" w16cid:durableId="1180318092">
    <w:abstractNumId w:val="73"/>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da-DK" w:vendorID="64" w:dllVersion="0" w:nlCheck="1" w:checkStyle="0"/>
  <w:activeWritingStyle w:appName="MSWord" w:lang="en-GB" w:vendorID="64" w:dllVersion="0" w:nlCheck="1" w:checkStyle="0"/>
  <w:defaultTabStop w:val="720"/>
  <w:hyphenationZone w:val="425"/>
  <w:characterSpacingControl w:val="doNotCompress"/>
  <w:savePreviewPicture/>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0AB"/>
    <w:rsid w:val="00000052"/>
    <w:rsid w:val="0000012F"/>
    <w:rsid w:val="0000019F"/>
    <w:rsid w:val="0000025D"/>
    <w:rsid w:val="00000282"/>
    <w:rsid w:val="00000299"/>
    <w:rsid w:val="000003F1"/>
    <w:rsid w:val="000004C7"/>
    <w:rsid w:val="000005FE"/>
    <w:rsid w:val="000006A9"/>
    <w:rsid w:val="00000794"/>
    <w:rsid w:val="000007B5"/>
    <w:rsid w:val="000008CB"/>
    <w:rsid w:val="000008F7"/>
    <w:rsid w:val="00000934"/>
    <w:rsid w:val="00000988"/>
    <w:rsid w:val="000009D5"/>
    <w:rsid w:val="00000D49"/>
    <w:rsid w:val="00000DD4"/>
    <w:rsid w:val="00000EC0"/>
    <w:rsid w:val="00000F68"/>
    <w:rsid w:val="00001069"/>
    <w:rsid w:val="000010BD"/>
    <w:rsid w:val="000010C1"/>
    <w:rsid w:val="000010CD"/>
    <w:rsid w:val="000011E6"/>
    <w:rsid w:val="0000124C"/>
    <w:rsid w:val="00001251"/>
    <w:rsid w:val="00001410"/>
    <w:rsid w:val="0000142E"/>
    <w:rsid w:val="00001469"/>
    <w:rsid w:val="000014B3"/>
    <w:rsid w:val="00001664"/>
    <w:rsid w:val="0000174D"/>
    <w:rsid w:val="000017B3"/>
    <w:rsid w:val="00001834"/>
    <w:rsid w:val="0000186A"/>
    <w:rsid w:val="00001897"/>
    <w:rsid w:val="000018D8"/>
    <w:rsid w:val="000018DF"/>
    <w:rsid w:val="00001987"/>
    <w:rsid w:val="00001A9D"/>
    <w:rsid w:val="00001AA3"/>
    <w:rsid w:val="00001B26"/>
    <w:rsid w:val="00001B42"/>
    <w:rsid w:val="00001B5C"/>
    <w:rsid w:val="00001BBD"/>
    <w:rsid w:val="00001C22"/>
    <w:rsid w:val="00001C84"/>
    <w:rsid w:val="00001CC8"/>
    <w:rsid w:val="0000204C"/>
    <w:rsid w:val="00002076"/>
    <w:rsid w:val="0000229E"/>
    <w:rsid w:val="000022E5"/>
    <w:rsid w:val="00002348"/>
    <w:rsid w:val="0000238A"/>
    <w:rsid w:val="0000241F"/>
    <w:rsid w:val="00002423"/>
    <w:rsid w:val="0000244F"/>
    <w:rsid w:val="00002454"/>
    <w:rsid w:val="000026D2"/>
    <w:rsid w:val="000027FD"/>
    <w:rsid w:val="00002839"/>
    <w:rsid w:val="000028BE"/>
    <w:rsid w:val="00002A41"/>
    <w:rsid w:val="00002A42"/>
    <w:rsid w:val="00002BCD"/>
    <w:rsid w:val="00002CFE"/>
    <w:rsid w:val="00002D62"/>
    <w:rsid w:val="00002D90"/>
    <w:rsid w:val="00002E1F"/>
    <w:rsid w:val="00002E7C"/>
    <w:rsid w:val="00002FC2"/>
    <w:rsid w:val="00003284"/>
    <w:rsid w:val="00003379"/>
    <w:rsid w:val="000033F8"/>
    <w:rsid w:val="000033FE"/>
    <w:rsid w:val="000034C7"/>
    <w:rsid w:val="00003519"/>
    <w:rsid w:val="00003530"/>
    <w:rsid w:val="00003606"/>
    <w:rsid w:val="0000360B"/>
    <w:rsid w:val="000036B8"/>
    <w:rsid w:val="0000372C"/>
    <w:rsid w:val="0000394C"/>
    <w:rsid w:val="0000397F"/>
    <w:rsid w:val="0000398D"/>
    <w:rsid w:val="00003AFA"/>
    <w:rsid w:val="00003B5E"/>
    <w:rsid w:val="00003B95"/>
    <w:rsid w:val="00003B9D"/>
    <w:rsid w:val="00003E4E"/>
    <w:rsid w:val="00003F6B"/>
    <w:rsid w:val="00003FB3"/>
    <w:rsid w:val="00004047"/>
    <w:rsid w:val="0000407A"/>
    <w:rsid w:val="000040C8"/>
    <w:rsid w:val="0000411F"/>
    <w:rsid w:val="0000416C"/>
    <w:rsid w:val="0000430E"/>
    <w:rsid w:val="000044E6"/>
    <w:rsid w:val="00004596"/>
    <w:rsid w:val="000045B8"/>
    <w:rsid w:val="000046F5"/>
    <w:rsid w:val="0000471E"/>
    <w:rsid w:val="0000476E"/>
    <w:rsid w:val="000047E8"/>
    <w:rsid w:val="00004954"/>
    <w:rsid w:val="00004A01"/>
    <w:rsid w:val="00004B1F"/>
    <w:rsid w:val="00004B7E"/>
    <w:rsid w:val="00004D30"/>
    <w:rsid w:val="00004DA6"/>
    <w:rsid w:val="00004ED7"/>
    <w:rsid w:val="00004F8A"/>
    <w:rsid w:val="00004F98"/>
    <w:rsid w:val="000050CD"/>
    <w:rsid w:val="00005151"/>
    <w:rsid w:val="000052D8"/>
    <w:rsid w:val="000053EC"/>
    <w:rsid w:val="000054D9"/>
    <w:rsid w:val="000055B9"/>
    <w:rsid w:val="000055F4"/>
    <w:rsid w:val="00005663"/>
    <w:rsid w:val="00005800"/>
    <w:rsid w:val="00005873"/>
    <w:rsid w:val="0000588C"/>
    <w:rsid w:val="000058AF"/>
    <w:rsid w:val="000059BF"/>
    <w:rsid w:val="00005B17"/>
    <w:rsid w:val="00005C11"/>
    <w:rsid w:val="00005DA0"/>
    <w:rsid w:val="00005DDA"/>
    <w:rsid w:val="00005DE9"/>
    <w:rsid w:val="00005E29"/>
    <w:rsid w:val="00005E39"/>
    <w:rsid w:val="00005F27"/>
    <w:rsid w:val="00005FAB"/>
    <w:rsid w:val="00005FFF"/>
    <w:rsid w:val="00006221"/>
    <w:rsid w:val="0000627D"/>
    <w:rsid w:val="0000634F"/>
    <w:rsid w:val="000063C9"/>
    <w:rsid w:val="000063CE"/>
    <w:rsid w:val="00006569"/>
    <w:rsid w:val="00006607"/>
    <w:rsid w:val="00006634"/>
    <w:rsid w:val="000066AE"/>
    <w:rsid w:val="000066C8"/>
    <w:rsid w:val="000066E6"/>
    <w:rsid w:val="000067E5"/>
    <w:rsid w:val="00006959"/>
    <w:rsid w:val="00006A40"/>
    <w:rsid w:val="00006B06"/>
    <w:rsid w:val="00006B20"/>
    <w:rsid w:val="00006C81"/>
    <w:rsid w:val="00006C8F"/>
    <w:rsid w:val="00006CC5"/>
    <w:rsid w:val="00006E0B"/>
    <w:rsid w:val="00006EF4"/>
    <w:rsid w:val="000071A1"/>
    <w:rsid w:val="0000727F"/>
    <w:rsid w:val="00007375"/>
    <w:rsid w:val="00007491"/>
    <w:rsid w:val="00007969"/>
    <w:rsid w:val="00007970"/>
    <w:rsid w:val="00007AFA"/>
    <w:rsid w:val="00007B43"/>
    <w:rsid w:val="00007C07"/>
    <w:rsid w:val="00007DDD"/>
    <w:rsid w:val="00007F73"/>
    <w:rsid w:val="000100EA"/>
    <w:rsid w:val="00010207"/>
    <w:rsid w:val="000102F3"/>
    <w:rsid w:val="000103CB"/>
    <w:rsid w:val="0001040A"/>
    <w:rsid w:val="000104B6"/>
    <w:rsid w:val="00010501"/>
    <w:rsid w:val="0001055A"/>
    <w:rsid w:val="000105C5"/>
    <w:rsid w:val="0001086F"/>
    <w:rsid w:val="00010971"/>
    <w:rsid w:val="00010997"/>
    <w:rsid w:val="00010A75"/>
    <w:rsid w:val="00010AAC"/>
    <w:rsid w:val="00010AF5"/>
    <w:rsid w:val="00010CDD"/>
    <w:rsid w:val="00010D8B"/>
    <w:rsid w:val="00010DDA"/>
    <w:rsid w:val="00010F58"/>
    <w:rsid w:val="00010F97"/>
    <w:rsid w:val="000111BF"/>
    <w:rsid w:val="000111D4"/>
    <w:rsid w:val="000112AD"/>
    <w:rsid w:val="00011396"/>
    <w:rsid w:val="00011462"/>
    <w:rsid w:val="00011470"/>
    <w:rsid w:val="000114D8"/>
    <w:rsid w:val="00011558"/>
    <w:rsid w:val="000115DA"/>
    <w:rsid w:val="00011649"/>
    <w:rsid w:val="000116B0"/>
    <w:rsid w:val="000116E7"/>
    <w:rsid w:val="000116F5"/>
    <w:rsid w:val="000118A3"/>
    <w:rsid w:val="000118D2"/>
    <w:rsid w:val="00011951"/>
    <w:rsid w:val="00011961"/>
    <w:rsid w:val="000119C6"/>
    <w:rsid w:val="00011A54"/>
    <w:rsid w:val="00011B1C"/>
    <w:rsid w:val="00011CA6"/>
    <w:rsid w:val="00011D36"/>
    <w:rsid w:val="00011E08"/>
    <w:rsid w:val="00011E29"/>
    <w:rsid w:val="00011E60"/>
    <w:rsid w:val="00011EBB"/>
    <w:rsid w:val="00011F41"/>
    <w:rsid w:val="00011F53"/>
    <w:rsid w:val="00012069"/>
    <w:rsid w:val="0001211F"/>
    <w:rsid w:val="00012181"/>
    <w:rsid w:val="000121A2"/>
    <w:rsid w:val="0001225D"/>
    <w:rsid w:val="00012275"/>
    <w:rsid w:val="0001227D"/>
    <w:rsid w:val="00012399"/>
    <w:rsid w:val="000123DF"/>
    <w:rsid w:val="00012509"/>
    <w:rsid w:val="0001259C"/>
    <w:rsid w:val="000125AE"/>
    <w:rsid w:val="00012610"/>
    <w:rsid w:val="00012758"/>
    <w:rsid w:val="0001275B"/>
    <w:rsid w:val="0001277D"/>
    <w:rsid w:val="00012797"/>
    <w:rsid w:val="000127FF"/>
    <w:rsid w:val="000128EE"/>
    <w:rsid w:val="00012918"/>
    <w:rsid w:val="00012A1F"/>
    <w:rsid w:val="00012B5F"/>
    <w:rsid w:val="00012BEF"/>
    <w:rsid w:val="00012C21"/>
    <w:rsid w:val="00012E53"/>
    <w:rsid w:val="00012E5D"/>
    <w:rsid w:val="00012EF9"/>
    <w:rsid w:val="00012F14"/>
    <w:rsid w:val="000131A3"/>
    <w:rsid w:val="000132AE"/>
    <w:rsid w:val="000132BD"/>
    <w:rsid w:val="000134BE"/>
    <w:rsid w:val="0001351F"/>
    <w:rsid w:val="00013578"/>
    <w:rsid w:val="00013623"/>
    <w:rsid w:val="000136A8"/>
    <w:rsid w:val="000136B4"/>
    <w:rsid w:val="000137B8"/>
    <w:rsid w:val="00013847"/>
    <w:rsid w:val="000138D7"/>
    <w:rsid w:val="000139EA"/>
    <w:rsid w:val="00013E3C"/>
    <w:rsid w:val="00013F40"/>
    <w:rsid w:val="00013FB1"/>
    <w:rsid w:val="00014139"/>
    <w:rsid w:val="000141DC"/>
    <w:rsid w:val="00014210"/>
    <w:rsid w:val="00014271"/>
    <w:rsid w:val="00014291"/>
    <w:rsid w:val="000143F2"/>
    <w:rsid w:val="00014402"/>
    <w:rsid w:val="000144A6"/>
    <w:rsid w:val="00014552"/>
    <w:rsid w:val="00014595"/>
    <w:rsid w:val="000147BC"/>
    <w:rsid w:val="000147EE"/>
    <w:rsid w:val="00014888"/>
    <w:rsid w:val="00014993"/>
    <w:rsid w:val="00014A19"/>
    <w:rsid w:val="00014A57"/>
    <w:rsid w:val="00014ACA"/>
    <w:rsid w:val="00014AF0"/>
    <w:rsid w:val="00014B89"/>
    <w:rsid w:val="00014D1B"/>
    <w:rsid w:val="00014D46"/>
    <w:rsid w:val="00014D81"/>
    <w:rsid w:val="00014E0A"/>
    <w:rsid w:val="00014E41"/>
    <w:rsid w:val="00014EC1"/>
    <w:rsid w:val="00014ECD"/>
    <w:rsid w:val="00014F9E"/>
    <w:rsid w:val="0001513E"/>
    <w:rsid w:val="0001523A"/>
    <w:rsid w:val="00015258"/>
    <w:rsid w:val="000152A5"/>
    <w:rsid w:val="0001533F"/>
    <w:rsid w:val="000153B4"/>
    <w:rsid w:val="0001547D"/>
    <w:rsid w:val="000154BF"/>
    <w:rsid w:val="000155BA"/>
    <w:rsid w:val="00015636"/>
    <w:rsid w:val="00015668"/>
    <w:rsid w:val="000156C8"/>
    <w:rsid w:val="00015740"/>
    <w:rsid w:val="00015775"/>
    <w:rsid w:val="000157D6"/>
    <w:rsid w:val="00015833"/>
    <w:rsid w:val="0001583E"/>
    <w:rsid w:val="0001587C"/>
    <w:rsid w:val="0001597A"/>
    <w:rsid w:val="00015AA7"/>
    <w:rsid w:val="00015AF6"/>
    <w:rsid w:val="00015C25"/>
    <w:rsid w:val="00015CCE"/>
    <w:rsid w:val="00015D19"/>
    <w:rsid w:val="00015DCA"/>
    <w:rsid w:val="00016016"/>
    <w:rsid w:val="00016165"/>
    <w:rsid w:val="0001626D"/>
    <w:rsid w:val="00016389"/>
    <w:rsid w:val="00016514"/>
    <w:rsid w:val="0001656C"/>
    <w:rsid w:val="0001657D"/>
    <w:rsid w:val="00016602"/>
    <w:rsid w:val="000167DC"/>
    <w:rsid w:val="0001681A"/>
    <w:rsid w:val="000168B5"/>
    <w:rsid w:val="00016A9C"/>
    <w:rsid w:val="00016B7E"/>
    <w:rsid w:val="00016B8D"/>
    <w:rsid w:val="00016F01"/>
    <w:rsid w:val="0001701C"/>
    <w:rsid w:val="000171DA"/>
    <w:rsid w:val="0001732A"/>
    <w:rsid w:val="000173B3"/>
    <w:rsid w:val="00017442"/>
    <w:rsid w:val="000174BA"/>
    <w:rsid w:val="000174D4"/>
    <w:rsid w:val="0001750A"/>
    <w:rsid w:val="000175C8"/>
    <w:rsid w:val="00017668"/>
    <w:rsid w:val="00017775"/>
    <w:rsid w:val="00017929"/>
    <w:rsid w:val="00017ABB"/>
    <w:rsid w:val="00017BD4"/>
    <w:rsid w:val="00017C2B"/>
    <w:rsid w:val="00017CB4"/>
    <w:rsid w:val="00017CC9"/>
    <w:rsid w:val="00017CDE"/>
    <w:rsid w:val="00017D03"/>
    <w:rsid w:val="00017D9B"/>
    <w:rsid w:val="00017DE1"/>
    <w:rsid w:val="00017E46"/>
    <w:rsid w:val="00017FC2"/>
    <w:rsid w:val="000201C8"/>
    <w:rsid w:val="00020297"/>
    <w:rsid w:val="000202F1"/>
    <w:rsid w:val="00020305"/>
    <w:rsid w:val="0002040D"/>
    <w:rsid w:val="000204B6"/>
    <w:rsid w:val="00020635"/>
    <w:rsid w:val="0002074E"/>
    <w:rsid w:val="0002078D"/>
    <w:rsid w:val="00020869"/>
    <w:rsid w:val="00020A80"/>
    <w:rsid w:val="00020B05"/>
    <w:rsid w:val="00020B39"/>
    <w:rsid w:val="00020B7D"/>
    <w:rsid w:val="00020BF2"/>
    <w:rsid w:val="00020C44"/>
    <w:rsid w:val="00020C75"/>
    <w:rsid w:val="00020C7B"/>
    <w:rsid w:val="00020D16"/>
    <w:rsid w:val="00020D44"/>
    <w:rsid w:val="00020D8C"/>
    <w:rsid w:val="00020DAC"/>
    <w:rsid w:val="00020E6D"/>
    <w:rsid w:val="00020E88"/>
    <w:rsid w:val="00020FDC"/>
    <w:rsid w:val="00021024"/>
    <w:rsid w:val="00021115"/>
    <w:rsid w:val="0002112F"/>
    <w:rsid w:val="000211ED"/>
    <w:rsid w:val="000212B6"/>
    <w:rsid w:val="000213AA"/>
    <w:rsid w:val="00021441"/>
    <w:rsid w:val="000214CD"/>
    <w:rsid w:val="00021500"/>
    <w:rsid w:val="000215F0"/>
    <w:rsid w:val="000218CC"/>
    <w:rsid w:val="00021945"/>
    <w:rsid w:val="000219D1"/>
    <w:rsid w:val="00021A27"/>
    <w:rsid w:val="00021A39"/>
    <w:rsid w:val="00021B4A"/>
    <w:rsid w:val="00021B6B"/>
    <w:rsid w:val="00021C31"/>
    <w:rsid w:val="00021C40"/>
    <w:rsid w:val="00021E36"/>
    <w:rsid w:val="00021EE5"/>
    <w:rsid w:val="0002203D"/>
    <w:rsid w:val="000221D8"/>
    <w:rsid w:val="000221DD"/>
    <w:rsid w:val="0002220F"/>
    <w:rsid w:val="0002226B"/>
    <w:rsid w:val="000223A8"/>
    <w:rsid w:val="0002245E"/>
    <w:rsid w:val="000225F6"/>
    <w:rsid w:val="00022605"/>
    <w:rsid w:val="000227AD"/>
    <w:rsid w:val="000227C1"/>
    <w:rsid w:val="00022920"/>
    <w:rsid w:val="00022976"/>
    <w:rsid w:val="00022A49"/>
    <w:rsid w:val="00022D54"/>
    <w:rsid w:val="00022D77"/>
    <w:rsid w:val="00022E11"/>
    <w:rsid w:val="00022ECC"/>
    <w:rsid w:val="00022F3E"/>
    <w:rsid w:val="00022F59"/>
    <w:rsid w:val="00022F64"/>
    <w:rsid w:val="00023034"/>
    <w:rsid w:val="0002303C"/>
    <w:rsid w:val="0002305E"/>
    <w:rsid w:val="000230D4"/>
    <w:rsid w:val="000231A0"/>
    <w:rsid w:val="00023250"/>
    <w:rsid w:val="0002334D"/>
    <w:rsid w:val="000233F0"/>
    <w:rsid w:val="000234FD"/>
    <w:rsid w:val="00023520"/>
    <w:rsid w:val="000235EF"/>
    <w:rsid w:val="00023604"/>
    <w:rsid w:val="00023683"/>
    <w:rsid w:val="000236D6"/>
    <w:rsid w:val="00023812"/>
    <w:rsid w:val="000238F8"/>
    <w:rsid w:val="000239F9"/>
    <w:rsid w:val="00023A7E"/>
    <w:rsid w:val="00023AFE"/>
    <w:rsid w:val="00023D8C"/>
    <w:rsid w:val="00023E5E"/>
    <w:rsid w:val="00023EDF"/>
    <w:rsid w:val="00023F61"/>
    <w:rsid w:val="00024005"/>
    <w:rsid w:val="00024014"/>
    <w:rsid w:val="00024260"/>
    <w:rsid w:val="000242E3"/>
    <w:rsid w:val="0002433D"/>
    <w:rsid w:val="00024345"/>
    <w:rsid w:val="000243C8"/>
    <w:rsid w:val="000243DE"/>
    <w:rsid w:val="000246A3"/>
    <w:rsid w:val="00024795"/>
    <w:rsid w:val="000248CE"/>
    <w:rsid w:val="00024B13"/>
    <w:rsid w:val="00024B87"/>
    <w:rsid w:val="00024BD6"/>
    <w:rsid w:val="00024C91"/>
    <w:rsid w:val="00024DB0"/>
    <w:rsid w:val="00024F0C"/>
    <w:rsid w:val="00025041"/>
    <w:rsid w:val="000250DA"/>
    <w:rsid w:val="0002518D"/>
    <w:rsid w:val="000251AA"/>
    <w:rsid w:val="00025210"/>
    <w:rsid w:val="0002522C"/>
    <w:rsid w:val="00025271"/>
    <w:rsid w:val="0002532F"/>
    <w:rsid w:val="00025372"/>
    <w:rsid w:val="00025504"/>
    <w:rsid w:val="0002551A"/>
    <w:rsid w:val="00025668"/>
    <w:rsid w:val="000256BA"/>
    <w:rsid w:val="00025781"/>
    <w:rsid w:val="000257B6"/>
    <w:rsid w:val="000258B0"/>
    <w:rsid w:val="00025A29"/>
    <w:rsid w:val="00025B1E"/>
    <w:rsid w:val="00025B3F"/>
    <w:rsid w:val="00025BFD"/>
    <w:rsid w:val="00025CB1"/>
    <w:rsid w:val="00025D69"/>
    <w:rsid w:val="00025E78"/>
    <w:rsid w:val="00025E7D"/>
    <w:rsid w:val="00025EB5"/>
    <w:rsid w:val="00025F55"/>
    <w:rsid w:val="00025F75"/>
    <w:rsid w:val="0002601C"/>
    <w:rsid w:val="00026023"/>
    <w:rsid w:val="00026065"/>
    <w:rsid w:val="00026070"/>
    <w:rsid w:val="000260BB"/>
    <w:rsid w:val="000261B4"/>
    <w:rsid w:val="00026249"/>
    <w:rsid w:val="000262DB"/>
    <w:rsid w:val="0002648D"/>
    <w:rsid w:val="000264B3"/>
    <w:rsid w:val="0002663C"/>
    <w:rsid w:val="0002679F"/>
    <w:rsid w:val="00026829"/>
    <w:rsid w:val="0002682E"/>
    <w:rsid w:val="000268A0"/>
    <w:rsid w:val="000268AF"/>
    <w:rsid w:val="000268D2"/>
    <w:rsid w:val="000268D5"/>
    <w:rsid w:val="0002697B"/>
    <w:rsid w:val="000269C4"/>
    <w:rsid w:val="00026A1E"/>
    <w:rsid w:val="00026B64"/>
    <w:rsid w:val="00026C62"/>
    <w:rsid w:val="00026C76"/>
    <w:rsid w:val="00026CA6"/>
    <w:rsid w:val="00026DB9"/>
    <w:rsid w:val="00026E77"/>
    <w:rsid w:val="00026ECC"/>
    <w:rsid w:val="0002729A"/>
    <w:rsid w:val="00027347"/>
    <w:rsid w:val="00027399"/>
    <w:rsid w:val="0002739C"/>
    <w:rsid w:val="00027407"/>
    <w:rsid w:val="000276CD"/>
    <w:rsid w:val="00027701"/>
    <w:rsid w:val="00027863"/>
    <w:rsid w:val="000278A9"/>
    <w:rsid w:val="0002791C"/>
    <w:rsid w:val="0002792F"/>
    <w:rsid w:val="000279B6"/>
    <w:rsid w:val="00027A2C"/>
    <w:rsid w:val="00027A5A"/>
    <w:rsid w:val="00027A5E"/>
    <w:rsid w:val="00027AA1"/>
    <w:rsid w:val="00027B44"/>
    <w:rsid w:val="00027C44"/>
    <w:rsid w:val="00027D0C"/>
    <w:rsid w:val="00027D35"/>
    <w:rsid w:val="0003005C"/>
    <w:rsid w:val="00030070"/>
    <w:rsid w:val="0003011A"/>
    <w:rsid w:val="00030136"/>
    <w:rsid w:val="000301C9"/>
    <w:rsid w:val="0003020F"/>
    <w:rsid w:val="000304FF"/>
    <w:rsid w:val="00030531"/>
    <w:rsid w:val="0003061C"/>
    <w:rsid w:val="0003070A"/>
    <w:rsid w:val="0003082E"/>
    <w:rsid w:val="0003090A"/>
    <w:rsid w:val="00030AE8"/>
    <w:rsid w:val="00030B90"/>
    <w:rsid w:val="00030B97"/>
    <w:rsid w:val="00030BF7"/>
    <w:rsid w:val="00030C81"/>
    <w:rsid w:val="00030CB2"/>
    <w:rsid w:val="00030CF7"/>
    <w:rsid w:val="00030D85"/>
    <w:rsid w:val="00030DA0"/>
    <w:rsid w:val="00030E5C"/>
    <w:rsid w:val="00030F31"/>
    <w:rsid w:val="00030F4D"/>
    <w:rsid w:val="00031004"/>
    <w:rsid w:val="00031008"/>
    <w:rsid w:val="0003104B"/>
    <w:rsid w:val="0003111A"/>
    <w:rsid w:val="000311E6"/>
    <w:rsid w:val="00031257"/>
    <w:rsid w:val="000312E5"/>
    <w:rsid w:val="000313DE"/>
    <w:rsid w:val="000313F9"/>
    <w:rsid w:val="0003144A"/>
    <w:rsid w:val="000316D5"/>
    <w:rsid w:val="00031772"/>
    <w:rsid w:val="00031A73"/>
    <w:rsid w:val="00031ABC"/>
    <w:rsid w:val="00031C39"/>
    <w:rsid w:val="00031C42"/>
    <w:rsid w:val="00031C49"/>
    <w:rsid w:val="00031CE8"/>
    <w:rsid w:val="00031F08"/>
    <w:rsid w:val="00031F14"/>
    <w:rsid w:val="00031F5C"/>
    <w:rsid w:val="00032020"/>
    <w:rsid w:val="00032029"/>
    <w:rsid w:val="0003202C"/>
    <w:rsid w:val="000320AF"/>
    <w:rsid w:val="000320D9"/>
    <w:rsid w:val="000320FA"/>
    <w:rsid w:val="0003211C"/>
    <w:rsid w:val="00032393"/>
    <w:rsid w:val="000324A8"/>
    <w:rsid w:val="00032539"/>
    <w:rsid w:val="00032542"/>
    <w:rsid w:val="00032594"/>
    <w:rsid w:val="0003261A"/>
    <w:rsid w:val="000326AF"/>
    <w:rsid w:val="00032762"/>
    <w:rsid w:val="000327BF"/>
    <w:rsid w:val="00032934"/>
    <w:rsid w:val="000329A1"/>
    <w:rsid w:val="00032A0A"/>
    <w:rsid w:val="00032A75"/>
    <w:rsid w:val="00032B43"/>
    <w:rsid w:val="00032B78"/>
    <w:rsid w:val="00032BFE"/>
    <w:rsid w:val="00032C27"/>
    <w:rsid w:val="00032C7C"/>
    <w:rsid w:val="00032CC7"/>
    <w:rsid w:val="00032D03"/>
    <w:rsid w:val="00033162"/>
    <w:rsid w:val="0003322C"/>
    <w:rsid w:val="0003328D"/>
    <w:rsid w:val="0003339A"/>
    <w:rsid w:val="000334B2"/>
    <w:rsid w:val="000334DE"/>
    <w:rsid w:val="000334ED"/>
    <w:rsid w:val="000335CD"/>
    <w:rsid w:val="0003361C"/>
    <w:rsid w:val="000336D7"/>
    <w:rsid w:val="000337D1"/>
    <w:rsid w:val="000338AB"/>
    <w:rsid w:val="000338B1"/>
    <w:rsid w:val="000339E9"/>
    <w:rsid w:val="00033B3D"/>
    <w:rsid w:val="00033BB7"/>
    <w:rsid w:val="00033EC2"/>
    <w:rsid w:val="00034302"/>
    <w:rsid w:val="000343E1"/>
    <w:rsid w:val="000343E2"/>
    <w:rsid w:val="000344F2"/>
    <w:rsid w:val="00034502"/>
    <w:rsid w:val="00034529"/>
    <w:rsid w:val="00034544"/>
    <w:rsid w:val="000345DE"/>
    <w:rsid w:val="00034618"/>
    <w:rsid w:val="0003466F"/>
    <w:rsid w:val="00034734"/>
    <w:rsid w:val="0003479D"/>
    <w:rsid w:val="00034A15"/>
    <w:rsid w:val="00034A1F"/>
    <w:rsid w:val="00034ADE"/>
    <w:rsid w:val="00034C51"/>
    <w:rsid w:val="00034C75"/>
    <w:rsid w:val="00034DB6"/>
    <w:rsid w:val="00035214"/>
    <w:rsid w:val="0003537C"/>
    <w:rsid w:val="00035590"/>
    <w:rsid w:val="000355F8"/>
    <w:rsid w:val="00035632"/>
    <w:rsid w:val="00035688"/>
    <w:rsid w:val="00035747"/>
    <w:rsid w:val="0003593B"/>
    <w:rsid w:val="00035C24"/>
    <w:rsid w:val="00035C71"/>
    <w:rsid w:val="00035D1F"/>
    <w:rsid w:val="00035D4B"/>
    <w:rsid w:val="00035DBA"/>
    <w:rsid w:val="00035E72"/>
    <w:rsid w:val="00035F39"/>
    <w:rsid w:val="00035FCD"/>
    <w:rsid w:val="00036065"/>
    <w:rsid w:val="0003606A"/>
    <w:rsid w:val="00036099"/>
    <w:rsid w:val="000361A6"/>
    <w:rsid w:val="000362E1"/>
    <w:rsid w:val="0003639E"/>
    <w:rsid w:val="0003644B"/>
    <w:rsid w:val="00036625"/>
    <w:rsid w:val="00036759"/>
    <w:rsid w:val="0003675D"/>
    <w:rsid w:val="00036843"/>
    <w:rsid w:val="00036937"/>
    <w:rsid w:val="00036A13"/>
    <w:rsid w:val="00036A1F"/>
    <w:rsid w:val="00036A8C"/>
    <w:rsid w:val="00036ACC"/>
    <w:rsid w:val="00036B71"/>
    <w:rsid w:val="00036C39"/>
    <w:rsid w:val="00036CBF"/>
    <w:rsid w:val="00036CC2"/>
    <w:rsid w:val="00036CE5"/>
    <w:rsid w:val="00036CF6"/>
    <w:rsid w:val="00036D1E"/>
    <w:rsid w:val="00036E36"/>
    <w:rsid w:val="00036FF7"/>
    <w:rsid w:val="000370B1"/>
    <w:rsid w:val="000370E3"/>
    <w:rsid w:val="000372E6"/>
    <w:rsid w:val="00037384"/>
    <w:rsid w:val="000374EE"/>
    <w:rsid w:val="00037659"/>
    <w:rsid w:val="0003771B"/>
    <w:rsid w:val="00037791"/>
    <w:rsid w:val="000377C4"/>
    <w:rsid w:val="0003789F"/>
    <w:rsid w:val="000378F6"/>
    <w:rsid w:val="00037934"/>
    <w:rsid w:val="000379AE"/>
    <w:rsid w:val="00037A24"/>
    <w:rsid w:val="00037A44"/>
    <w:rsid w:val="00037A58"/>
    <w:rsid w:val="00037ABE"/>
    <w:rsid w:val="00037B0D"/>
    <w:rsid w:val="00037C17"/>
    <w:rsid w:val="00037CAA"/>
    <w:rsid w:val="00037DAE"/>
    <w:rsid w:val="00037DBA"/>
    <w:rsid w:val="00037E57"/>
    <w:rsid w:val="00037F65"/>
    <w:rsid w:val="00037F6C"/>
    <w:rsid w:val="0004030D"/>
    <w:rsid w:val="00040373"/>
    <w:rsid w:val="00040603"/>
    <w:rsid w:val="00040609"/>
    <w:rsid w:val="0004074A"/>
    <w:rsid w:val="00040785"/>
    <w:rsid w:val="00040849"/>
    <w:rsid w:val="00040862"/>
    <w:rsid w:val="000409C2"/>
    <w:rsid w:val="000409D5"/>
    <w:rsid w:val="00040B48"/>
    <w:rsid w:val="00040C91"/>
    <w:rsid w:val="00040F93"/>
    <w:rsid w:val="00041168"/>
    <w:rsid w:val="0004123E"/>
    <w:rsid w:val="000412B6"/>
    <w:rsid w:val="000412C0"/>
    <w:rsid w:val="00041348"/>
    <w:rsid w:val="0004136E"/>
    <w:rsid w:val="00041513"/>
    <w:rsid w:val="00041553"/>
    <w:rsid w:val="00041562"/>
    <w:rsid w:val="0004157B"/>
    <w:rsid w:val="000415BF"/>
    <w:rsid w:val="00041731"/>
    <w:rsid w:val="0004174B"/>
    <w:rsid w:val="000418EC"/>
    <w:rsid w:val="000418FB"/>
    <w:rsid w:val="0004193C"/>
    <w:rsid w:val="000419BB"/>
    <w:rsid w:val="00041A84"/>
    <w:rsid w:val="00041ABD"/>
    <w:rsid w:val="00041B41"/>
    <w:rsid w:val="00041BF0"/>
    <w:rsid w:val="00041C0D"/>
    <w:rsid w:val="00041D38"/>
    <w:rsid w:val="00041D40"/>
    <w:rsid w:val="00041DB4"/>
    <w:rsid w:val="00041E1E"/>
    <w:rsid w:val="00042155"/>
    <w:rsid w:val="0004229C"/>
    <w:rsid w:val="000423D3"/>
    <w:rsid w:val="00042488"/>
    <w:rsid w:val="00042496"/>
    <w:rsid w:val="000424BA"/>
    <w:rsid w:val="0004263E"/>
    <w:rsid w:val="00042644"/>
    <w:rsid w:val="0004265C"/>
    <w:rsid w:val="0004266E"/>
    <w:rsid w:val="00042678"/>
    <w:rsid w:val="00042707"/>
    <w:rsid w:val="00042751"/>
    <w:rsid w:val="0004277B"/>
    <w:rsid w:val="00042919"/>
    <w:rsid w:val="000429AC"/>
    <w:rsid w:val="00042A9B"/>
    <w:rsid w:val="00042B6A"/>
    <w:rsid w:val="00042B7C"/>
    <w:rsid w:val="00042B99"/>
    <w:rsid w:val="00042BB2"/>
    <w:rsid w:val="00042BC3"/>
    <w:rsid w:val="00042C35"/>
    <w:rsid w:val="00042D8C"/>
    <w:rsid w:val="00042F49"/>
    <w:rsid w:val="000430A5"/>
    <w:rsid w:val="00043190"/>
    <w:rsid w:val="00043205"/>
    <w:rsid w:val="00043432"/>
    <w:rsid w:val="0004343C"/>
    <w:rsid w:val="00043458"/>
    <w:rsid w:val="0004358C"/>
    <w:rsid w:val="00043689"/>
    <w:rsid w:val="0004371E"/>
    <w:rsid w:val="000439CA"/>
    <w:rsid w:val="000439CB"/>
    <w:rsid w:val="00043A47"/>
    <w:rsid w:val="00043B5C"/>
    <w:rsid w:val="00043CEA"/>
    <w:rsid w:val="00043FE5"/>
    <w:rsid w:val="00043FFC"/>
    <w:rsid w:val="00044016"/>
    <w:rsid w:val="000441F5"/>
    <w:rsid w:val="000442A3"/>
    <w:rsid w:val="000442C3"/>
    <w:rsid w:val="000442C9"/>
    <w:rsid w:val="00044300"/>
    <w:rsid w:val="0004454F"/>
    <w:rsid w:val="00044604"/>
    <w:rsid w:val="00044641"/>
    <w:rsid w:val="000448A9"/>
    <w:rsid w:val="000448E9"/>
    <w:rsid w:val="0004491C"/>
    <w:rsid w:val="00044966"/>
    <w:rsid w:val="000449DB"/>
    <w:rsid w:val="000449FF"/>
    <w:rsid w:val="00044BBD"/>
    <w:rsid w:val="00044CC6"/>
    <w:rsid w:val="00044D8A"/>
    <w:rsid w:val="00044DC0"/>
    <w:rsid w:val="00044E93"/>
    <w:rsid w:val="00044FA3"/>
    <w:rsid w:val="0004502F"/>
    <w:rsid w:val="00045258"/>
    <w:rsid w:val="00045345"/>
    <w:rsid w:val="00045426"/>
    <w:rsid w:val="00045463"/>
    <w:rsid w:val="000454C4"/>
    <w:rsid w:val="000454FE"/>
    <w:rsid w:val="000455C8"/>
    <w:rsid w:val="00045719"/>
    <w:rsid w:val="000457C6"/>
    <w:rsid w:val="00045813"/>
    <w:rsid w:val="00045852"/>
    <w:rsid w:val="00045860"/>
    <w:rsid w:val="000458C8"/>
    <w:rsid w:val="00045943"/>
    <w:rsid w:val="00045A75"/>
    <w:rsid w:val="00045AE2"/>
    <w:rsid w:val="00045E9B"/>
    <w:rsid w:val="00045ECD"/>
    <w:rsid w:val="00045FBE"/>
    <w:rsid w:val="00045FFD"/>
    <w:rsid w:val="000460A7"/>
    <w:rsid w:val="000460EC"/>
    <w:rsid w:val="00046108"/>
    <w:rsid w:val="0004628F"/>
    <w:rsid w:val="000462D6"/>
    <w:rsid w:val="00046328"/>
    <w:rsid w:val="00046373"/>
    <w:rsid w:val="000465A2"/>
    <w:rsid w:val="00046733"/>
    <w:rsid w:val="000468CC"/>
    <w:rsid w:val="0004698C"/>
    <w:rsid w:val="00046999"/>
    <w:rsid w:val="0004699C"/>
    <w:rsid w:val="000469F7"/>
    <w:rsid w:val="00046C3B"/>
    <w:rsid w:val="00046C48"/>
    <w:rsid w:val="00046EA4"/>
    <w:rsid w:val="00046FC4"/>
    <w:rsid w:val="00047003"/>
    <w:rsid w:val="0004702B"/>
    <w:rsid w:val="00047042"/>
    <w:rsid w:val="0004711A"/>
    <w:rsid w:val="0004746D"/>
    <w:rsid w:val="000474B9"/>
    <w:rsid w:val="0004753A"/>
    <w:rsid w:val="0004759A"/>
    <w:rsid w:val="000476D8"/>
    <w:rsid w:val="0004782C"/>
    <w:rsid w:val="00047838"/>
    <w:rsid w:val="000478EC"/>
    <w:rsid w:val="00047977"/>
    <w:rsid w:val="00047A9B"/>
    <w:rsid w:val="00047C06"/>
    <w:rsid w:val="00047C40"/>
    <w:rsid w:val="00047C47"/>
    <w:rsid w:val="00047D2E"/>
    <w:rsid w:val="00047D58"/>
    <w:rsid w:val="00047FE4"/>
    <w:rsid w:val="00047FE7"/>
    <w:rsid w:val="00050131"/>
    <w:rsid w:val="00050142"/>
    <w:rsid w:val="00050143"/>
    <w:rsid w:val="00050249"/>
    <w:rsid w:val="000502B5"/>
    <w:rsid w:val="00050308"/>
    <w:rsid w:val="000503E5"/>
    <w:rsid w:val="0005067C"/>
    <w:rsid w:val="000506D3"/>
    <w:rsid w:val="000506E6"/>
    <w:rsid w:val="00050864"/>
    <w:rsid w:val="0005088A"/>
    <w:rsid w:val="0005088F"/>
    <w:rsid w:val="00050977"/>
    <w:rsid w:val="00050A36"/>
    <w:rsid w:val="00050A6C"/>
    <w:rsid w:val="00050AD5"/>
    <w:rsid w:val="00050AF8"/>
    <w:rsid w:val="00050B7F"/>
    <w:rsid w:val="00050CB5"/>
    <w:rsid w:val="00050D00"/>
    <w:rsid w:val="00050D37"/>
    <w:rsid w:val="00050D8C"/>
    <w:rsid w:val="00050E30"/>
    <w:rsid w:val="00050E84"/>
    <w:rsid w:val="00051087"/>
    <w:rsid w:val="000510F1"/>
    <w:rsid w:val="0005111D"/>
    <w:rsid w:val="000512C2"/>
    <w:rsid w:val="000512CB"/>
    <w:rsid w:val="00051326"/>
    <w:rsid w:val="0005137E"/>
    <w:rsid w:val="00051498"/>
    <w:rsid w:val="0005155A"/>
    <w:rsid w:val="000515AA"/>
    <w:rsid w:val="000516C4"/>
    <w:rsid w:val="00051722"/>
    <w:rsid w:val="000517C0"/>
    <w:rsid w:val="000517E9"/>
    <w:rsid w:val="00051847"/>
    <w:rsid w:val="00051905"/>
    <w:rsid w:val="0005191F"/>
    <w:rsid w:val="00051B47"/>
    <w:rsid w:val="00051BDD"/>
    <w:rsid w:val="00051BFA"/>
    <w:rsid w:val="00051C01"/>
    <w:rsid w:val="00051C72"/>
    <w:rsid w:val="00051C8F"/>
    <w:rsid w:val="00051C92"/>
    <w:rsid w:val="00051CBC"/>
    <w:rsid w:val="00051D59"/>
    <w:rsid w:val="00051FFB"/>
    <w:rsid w:val="000522A4"/>
    <w:rsid w:val="0005241E"/>
    <w:rsid w:val="0005249D"/>
    <w:rsid w:val="000524F9"/>
    <w:rsid w:val="00052553"/>
    <w:rsid w:val="000525FC"/>
    <w:rsid w:val="00052634"/>
    <w:rsid w:val="00052852"/>
    <w:rsid w:val="000528A2"/>
    <w:rsid w:val="00052B2D"/>
    <w:rsid w:val="00052BDC"/>
    <w:rsid w:val="00052C97"/>
    <w:rsid w:val="00052CB9"/>
    <w:rsid w:val="00052E1C"/>
    <w:rsid w:val="00052E5B"/>
    <w:rsid w:val="00052F28"/>
    <w:rsid w:val="00052F51"/>
    <w:rsid w:val="00052F8A"/>
    <w:rsid w:val="0005311A"/>
    <w:rsid w:val="0005319A"/>
    <w:rsid w:val="000531DB"/>
    <w:rsid w:val="00053288"/>
    <w:rsid w:val="00053296"/>
    <w:rsid w:val="00053552"/>
    <w:rsid w:val="000535DC"/>
    <w:rsid w:val="00053651"/>
    <w:rsid w:val="00053716"/>
    <w:rsid w:val="00053740"/>
    <w:rsid w:val="00053788"/>
    <w:rsid w:val="000537C5"/>
    <w:rsid w:val="00053825"/>
    <w:rsid w:val="000538B3"/>
    <w:rsid w:val="00053AB2"/>
    <w:rsid w:val="00053CDB"/>
    <w:rsid w:val="00053D92"/>
    <w:rsid w:val="00053EC3"/>
    <w:rsid w:val="00053F14"/>
    <w:rsid w:val="00053F4C"/>
    <w:rsid w:val="0005400A"/>
    <w:rsid w:val="00054108"/>
    <w:rsid w:val="00054139"/>
    <w:rsid w:val="000541A7"/>
    <w:rsid w:val="00054239"/>
    <w:rsid w:val="000542FF"/>
    <w:rsid w:val="0005436C"/>
    <w:rsid w:val="000544FA"/>
    <w:rsid w:val="000545A0"/>
    <w:rsid w:val="000545E1"/>
    <w:rsid w:val="00054651"/>
    <w:rsid w:val="00054665"/>
    <w:rsid w:val="000546E6"/>
    <w:rsid w:val="000548FB"/>
    <w:rsid w:val="00054993"/>
    <w:rsid w:val="000549F6"/>
    <w:rsid w:val="00054AEF"/>
    <w:rsid w:val="00054D5E"/>
    <w:rsid w:val="00054EC0"/>
    <w:rsid w:val="00054F61"/>
    <w:rsid w:val="00055045"/>
    <w:rsid w:val="000550D3"/>
    <w:rsid w:val="0005510F"/>
    <w:rsid w:val="000551F1"/>
    <w:rsid w:val="0005533F"/>
    <w:rsid w:val="00055449"/>
    <w:rsid w:val="000554C8"/>
    <w:rsid w:val="000554EE"/>
    <w:rsid w:val="000555DD"/>
    <w:rsid w:val="000556B6"/>
    <w:rsid w:val="00055788"/>
    <w:rsid w:val="000557F2"/>
    <w:rsid w:val="0005585C"/>
    <w:rsid w:val="000558BF"/>
    <w:rsid w:val="00055AB4"/>
    <w:rsid w:val="00055AD3"/>
    <w:rsid w:val="00055B7A"/>
    <w:rsid w:val="00055BFD"/>
    <w:rsid w:val="00055D1B"/>
    <w:rsid w:val="00055E18"/>
    <w:rsid w:val="00055E3B"/>
    <w:rsid w:val="00055EC0"/>
    <w:rsid w:val="00056005"/>
    <w:rsid w:val="00056061"/>
    <w:rsid w:val="000562E9"/>
    <w:rsid w:val="0005647B"/>
    <w:rsid w:val="000564C6"/>
    <w:rsid w:val="00056545"/>
    <w:rsid w:val="00056669"/>
    <w:rsid w:val="000566DC"/>
    <w:rsid w:val="00056740"/>
    <w:rsid w:val="00056747"/>
    <w:rsid w:val="000567D9"/>
    <w:rsid w:val="00056821"/>
    <w:rsid w:val="00056964"/>
    <w:rsid w:val="00056A27"/>
    <w:rsid w:val="00056ADC"/>
    <w:rsid w:val="00056C31"/>
    <w:rsid w:val="00056CCE"/>
    <w:rsid w:val="00056CD0"/>
    <w:rsid w:val="00056D8E"/>
    <w:rsid w:val="00056DED"/>
    <w:rsid w:val="00056E55"/>
    <w:rsid w:val="00056E9A"/>
    <w:rsid w:val="00056EED"/>
    <w:rsid w:val="0005718E"/>
    <w:rsid w:val="000573FB"/>
    <w:rsid w:val="000574B2"/>
    <w:rsid w:val="00057619"/>
    <w:rsid w:val="000576F4"/>
    <w:rsid w:val="00057727"/>
    <w:rsid w:val="00057825"/>
    <w:rsid w:val="0005783B"/>
    <w:rsid w:val="00057AC7"/>
    <w:rsid w:val="00057AD1"/>
    <w:rsid w:val="00057AF3"/>
    <w:rsid w:val="00057AF9"/>
    <w:rsid w:val="00057B1E"/>
    <w:rsid w:val="00057C98"/>
    <w:rsid w:val="00057CDD"/>
    <w:rsid w:val="00057DBE"/>
    <w:rsid w:val="00060074"/>
    <w:rsid w:val="0006011A"/>
    <w:rsid w:val="00060177"/>
    <w:rsid w:val="00060212"/>
    <w:rsid w:val="00060243"/>
    <w:rsid w:val="000603E1"/>
    <w:rsid w:val="00060673"/>
    <w:rsid w:val="000606C8"/>
    <w:rsid w:val="000606E0"/>
    <w:rsid w:val="00060796"/>
    <w:rsid w:val="00060835"/>
    <w:rsid w:val="00060944"/>
    <w:rsid w:val="000609A3"/>
    <w:rsid w:val="00060B9A"/>
    <w:rsid w:val="00060CA0"/>
    <w:rsid w:val="00060DE3"/>
    <w:rsid w:val="00061024"/>
    <w:rsid w:val="0006106B"/>
    <w:rsid w:val="00061096"/>
    <w:rsid w:val="0006109F"/>
    <w:rsid w:val="000610EC"/>
    <w:rsid w:val="000611D8"/>
    <w:rsid w:val="000611FD"/>
    <w:rsid w:val="000612D9"/>
    <w:rsid w:val="0006143F"/>
    <w:rsid w:val="00061459"/>
    <w:rsid w:val="000614B1"/>
    <w:rsid w:val="00061681"/>
    <w:rsid w:val="00061712"/>
    <w:rsid w:val="00061732"/>
    <w:rsid w:val="000617C8"/>
    <w:rsid w:val="00061802"/>
    <w:rsid w:val="000618FB"/>
    <w:rsid w:val="0006196F"/>
    <w:rsid w:val="000619D0"/>
    <w:rsid w:val="00061B2F"/>
    <w:rsid w:val="00061BDB"/>
    <w:rsid w:val="00061CD3"/>
    <w:rsid w:val="00061E4B"/>
    <w:rsid w:val="00061E74"/>
    <w:rsid w:val="00061E86"/>
    <w:rsid w:val="00061EC1"/>
    <w:rsid w:val="00061F67"/>
    <w:rsid w:val="00062067"/>
    <w:rsid w:val="00062087"/>
    <w:rsid w:val="00062138"/>
    <w:rsid w:val="0006223A"/>
    <w:rsid w:val="0006223D"/>
    <w:rsid w:val="000622A0"/>
    <w:rsid w:val="000622B1"/>
    <w:rsid w:val="0006242C"/>
    <w:rsid w:val="000624A0"/>
    <w:rsid w:val="000625F2"/>
    <w:rsid w:val="0006261E"/>
    <w:rsid w:val="00062689"/>
    <w:rsid w:val="000627A2"/>
    <w:rsid w:val="0006282E"/>
    <w:rsid w:val="00062880"/>
    <w:rsid w:val="000628CB"/>
    <w:rsid w:val="000628F1"/>
    <w:rsid w:val="00062AA0"/>
    <w:rsid w:val="00062BE0"/>
    <w:rsid w:val="00062C3A"/>
    <w:rsid w:val="00062C9B"/>
    <w:rsid w:val="00062CD3"/>
    <w:rsid w:val="00062E99"/>
    <w:rsid w:val="00062F9C"/>
    <w:rsid w:val="000630A6"/>
    <w:rsid w:val="000630CD"/>
    <w:rsid w:val="0006323D"/>
    <w:rsid w:val="00063255"/>
    <w:rsid w:val="0006327E"/>
    <w:rsid w:val="00063441"/>
    <w:rsid w:val="0006345D"/>
    <w:rsid w:val="0006349E"/>
    <w:rsid w:val="000637A6"/>
    <w:rsid w:val="000637F5"/>
    <w:rsid w:val="0006390A"/>
    <w:rsid w:val="00063918"/>
    <w:rsid w:val="00063AB9"/>
    <w:rsid w:val="00063AD4"/>
    <w:rsid w:val="00063B26"/>
    <w:rsid w:val="00063B3D"/>
    <w:rsid w:val="00063BBE"/>
    <w:rsid w:val="00063FCB"/>
    <w:rsid w:val="0006407D"/>
    <w:rsid w:val="000640C2"/>
    <w:rsid w:val="00064154"/>
    <w:rsid w:val="000641C0"/>
    <w:rsid w:val="00064374"/>
    <w:rsid w:val="0006450C"/>
    <w:rsid w:val="00064512"/>
    <w:rsid w:val="00064796"/>
    <w:rsid w:val="00064821"/>
    <w:rsid w:val="00064956"/>
    <w:rsid w:val="00064AED"/>
    <w:rsid w:val="00064CCD"/>
    <w:rsid w:val="00064D06"/>
    <w:rsid w:val="00064D14"/>
    <w:rsid w:val="00064FB9"/>
    <w:rsid w:val="0006506E"/>
    <w:rsid w:val="000651D0"/>
    <w:rsid w:val="0006524F"/>
    <w:rsid w:val="00065311"/>
    <w:rsid w:val="0006536A"/>
    <w:rsid w:val="000653D0"/>
    <w:rsid w:val="00065482"/>
    <w:rsid w:val="000654F1"/>
    <w:rsid w:val="0006560E"/>
    <w:rsid w:val="00065677"/>
    <w:rsid w:val="0006567D"/>
    <w:rsid w:val="0006568C"/>
    <w:rsid w:val="000656D4"/>
    <w:rsid w:val="000656E3"/>
    <w:rsid w:val="00065765"/>
    <w:rsid w:val="000658C3"/>
    <w:rsid w:val="00065921"/>
    <w:rsid w:val="0006595F"/>
    <w:rsid w:val="00065970"/>
    <w:rsid w:val="00065AFA"/>
    <w:rsid w:val="00065C01"/>
    <w:rsid w:val="00065C2B"/>
    <w:rsid w:val="00065C95"/>
    <w:rsid w:val="00065D26"/>
    <w:rsid w:val="00065D35"/>
    <w:rsid w:val="00065D76"/>
    <w:rsid w:val="00065E75"/>
    <w:rsid w:val="00065E89"/>
    <w:rsid w:val="00065EA0"/>
    <w:rsid w:val="00065EFF"/>
    <w:rsid w:val="00066048"/>
    <w:rsid w:val="00066056"/>
    <w:rsid w:val="00066068"/>
    <w:rsid w:val="00066131"/>
    <w:rsid w:val="00066178"/>
    <w:rsid w:val="000661A2"/>
    <w:rsid w:val="00066239"/>
    <w:rsid w:val="00066244"/>
    <w:rsid w:val="00066281"/>
    <w:rsid w:val="0006635F"/>
    <w:rsid w:val="00066360"/>
    <w:rsid w:val="0006643D"/>
    <w:rsid w:val="00066509"/>
    <w:rsid w:val="0006652F"/>
    <w:rsid w:val="000665DD"/>
    <w:rsid w:val="00066613"/>
    <w:rsid w:val="000667B0"/>
    <w:rsid w:val="000668FD"/>
    <w:rsid w:val="00066907"/>
    <w:rsid w:val="0006698C"/>
    <w:rsid w:val="000669F3"/>
    <w:rsid w:val="00066B06"/>
    <w:rsid w:val="00066B8C"/>
    <w:rsid w:val="00066BBA"/>
    <w:rsid w:val="00066BED"/>
    <w:rsid w:val="00066C52"/>
    <w:rsid w:val="00066C8F"/>
    <w:rsid w:val="00066CBD"/>
    <w:rsid w:val="00066EAC"/>
    <w:rsid w:val="00066FE7"/>
    <w:rsid w:val="000670E9"/>
    <w:rsid w:val="00067155"/>
    <w:rsid w:val="000672CC"/>
    <w:rsid w:val="000673A4"/>
    <w:rsid w:val="000673E0"/>
    <w:rsid w:val="0006748F"/>
    <w:rsid w:val="0006761B"/>
    <w:rsid w:val="00067643"/>
    <w:rsid w:val="000676B5"/>
    <w:rsid w:val="000677A0"/>
    <w:rsid w:val="000677FE"/>
    <w:rsid w:val="00067860"/>
    <w:rsid w:val="00067865"/>
    <w:rsid w:val="00067985"/>
    <w:rsid w:val="000679B0"/>
    <w:rsid w:val="000679BC"/>
    <w:rsid w:val="00067A67"/>
    <w:rsid w:val="00067A73"/>
    <w:rsid w:val="00067B26"/>
    <w:rsid w:val="00067C29"/>
    <w:rsid w:val="00067C76"/>
    <w:rsid w:val="00067D0E"/>
    <w:rsid w:val="00067D63"/>
    <w:rsid w:val="00067D68"/>
    <w:rsid w:val="00067D99"/>
    <w:rsid w:val="00067E5A"/>
    <w:rsid w:val="00067ED3"/>
    <w:rsid w:val="00067EEF"/>
    <w:rsid w:val="00070072"/>
    <w:rsid w:val="000700EF"/>
    <w:rsid w:val="00070102"/>
    <w:rsid w:val="000701B8"/>
    <w:rsid w:val="000701D3"/>
    <w:rsid w:val="0007020E"/>
    <w:rsid w:val="00070243"/>
    <w:rsid w:val="000702BE"/>
    <w:rsid w:val="000703EF"/>
    <w:rsid w:val="0007044C"/>
    <w:rsid w:val="000704F4"/>
    <w:rsid w:val="00070594"/>
    <w:rsid w:val="000706D8"/>
    <w:rsid w:val="00070879"/>
    <w:rsid w:val="00070AC1"/>
    <w:rsid w:val="00070B57"/>
    <w:rsid w:val="00070BAB"/>
    <w:rsid w:val="00070C9B"/>
    <w:rsid w:val="00070CA0"/>
    <w:rsid w:val="00070DC5"/>
    <w:rsid w:val="000710AA"/>
    <w:rsid w:val="000711A6"/>
    <w:rsid w:val="00071509"/>
    <w:rsid w:val="00071578"/>
    <w:rsid w:val="0007164F"/>
    <w:rsid w:val="00071759"/>
    <w:rsid w:val="000717F6"/>
    <w:rsid w:val="00071825"/>
    <w:rsid w:val="00071948"/>
    <w:rsid w:val="00071A5C"/>
    <w:rsid w:val="00071A86"/>
    <w:rsid w:val="00071A9D"/>
    <w:rsid w:val="00071ACC"/>
    <w:rsid w:val="00071C0F"/>
    <w:rsid w:val="00071C5A"/>
    <w:rsid w:val="00071D23"/>
    <w:rsid w:val="00071D3D"/>
    <w:rsid w:val="00071E5C"/>
    <w:rsid w:val="00071EF7"/>
    <w:rsid w:val="00072122"/>
    <w:rsid w:val="0007217B"/>
    <w:rsid w:val="0007235B"/>
    <w:rsid w:val="0007242D"/>
    <w:rsid w:val="000725A7"/>
    <w:rsid w:val="00072645"/>
    <w:rsid w:val="000726F7"/>
    <w:rsid w:val="00072721"/>
    <w:rsid w:val="00072782"/>
    <w:rsid w:val="0007278A"/>
    <w:rsid w:val="00072842"/>
    <w:rsid w:val="00072963"/>
    <w:rsid w:val="00072995"/>
    <w:rsid w:val="000729A1"/>
    <w:rsid w:val="000729B2"/>
    <w:rsid w:val="000729C8"/>
    <w:rsid w:val="00072A9A"/>
    <w:rsid w:val="00072C84"/>
    <w:rsid w:val="00072F60"/>
    <w:rsid w:val="00072FA1"/>
    <w:rsid w:val="00072FDA"/>
    <w:rsid w:val="00073172"/>
    <w:rsid w:val="00073181"/>
    <w:rsid w:val="0007319C"/>
    <w:rsid w:val="000731BA"/>
    <w:rsid w:val="000731E5"/>
    <w:rsid w:val="00073248"/>
    <w:rsid w:val="00073274"/>
    <w:rsid w:val="00073491"/>
    <w:rsid w:val="0007349E"/>
    <w:rsid w:val="00073514"/>
    <w:rsid w:val="0007357B"/>
    <w:rsid w:val="000735E1"/>
    <w:rsid w:val="0007369D"/>
    <w:rsid w:val="000736BC"/>
    <w:rsid w:val="000736CD"/>
    <w:rsid w:val="00073724"/>
    <w:rsid w:val="0007381C"/>
    <w:rsid w:val="0007390A"/>
    <w:rsid w:val="000739A3"/>
    <w:rsid w:val="000739C0"/>
    <w:rsid w:val="00073AAA"/>
    <w:rsid w:val="00073AF0"/>
    <w:rsid w:val="00073B2E"/>
    <w:rsid w:val="00073B7A"/>
    <w:rsid w:val="00073BE5"/>
    <w:rsid w:val="00073CCF"/>
    <w:rsid w:val="00073F0A"/>
    <w:rsid w:val="00073F35"/>
    <w:rsid w:val="00073FAB"/>
    <w:rsid w:val="000741D9"/>
    <w:rsid w:val="0007429C"/>
    <w:rsid w:val="000742AB"/>
    <w:rsid w:val="000744C8"/>
    <w:rsid w:val="000744E7"/>
    <w:rsid w:val="00074508"/>
    <w:rsid w:val="00074645"/>
    <w:rsid w:val="00074677"/>
    <w:rsid w:val="00074753"/>
    <w:rsid w:val="00074758"/>
    <w:rsid w:val="00074E69"/>
    <w:rsid w:val="00074F20"/>
    <w:rsid w:val="00074FBF"/>
    <w:rsid w:val="0007505D"/>
    <w:rsid w:val="000750E3"/>
    <w:rsid w:val="00075109"/>
    <w:rsid w:val="000751A1"/>
    <w:rsid w:val="000751C1"/>
    <w:rsid w:val="00075344"/>
    <w:rsid w:val="00075376"/>
    <w:rsid w:val="000754C1"/>
    <w:rsid w:val="000754D1"/>
    <w:rsid w:val="0007551B"/>
    <w:rsid w:val="0007554D"/>
    <w:rsid w:val="00075613"/>
    <w:rsid w:val="0007565A"/>
    <w:rsid w:val="000756A2"/>
    <w:rsid w:val="00075728"/>
    <w:rsid w:val="00075819"/>
    <w:rsid w:val="00075A8E"/>
    <w:rsid w:val="00075AF9"/>
    <w:rsid w:val="00075BF6"/>
    <w:rsid w:val="00075C6C"/>
    <w:rsid w:val="00075C8E"/>
    <w:rsid w:val="00075CC4"/>
    <w:rsid w:val="00075D7D"/>
    <w:rsid w:val="00075DDC"/>
    <w:rsid w:val="00075E03"/>
    <w:rsid w:val="00075EED"/>
    <w:rsid w:val="00075EF6"/>
    <w:rsid w:val="00075F1C"/>
    <w:rsid w:val="00075F3F"/>
    <w:rsid w:val="00075F91"/>
    <w:rsid w:val="00075FA2"/>
    <w:rsid w:val="00076140"/>
    <w:rsid w:val="00076294"/>
    <w:rsid w:val="000762CB"/>
    <w:rsid w:val="000762FA"/>
    <w:rsid w:val="00076393"/>
    <w:rsid w:val="00076564"/>
    <w:rsid w:val="00076571"/>
    <w:rsid w:val="00076631"/>
    <w:rsid w:val="00076672"/>
    <w:rsid w:val="00076690"/>
    <w:rsid w:val="000768E0"/>
    <w:rsid w:val="0007695D"/>
    <w:rsid w:val="0007698E"/>
    <w:rsid w:val="00076990"/>
    <w:rsid w:val="00076A61"/>
    <w:rsid w:val="00076B70"/>
    <w:rsid w:val="00076C03"/>
    <w:rsid w:val="00076C5B"/>
    <w:rsid w:val="00076CFF"/>
    <w:rsid w:val="00076E6E"/>
    <w:rsid w:val="00076F82"/>
    <w:rsid w:val="00077007"/>
    <w:rsid w:val="00077074"/>
    <w:rsid w:val="0007713A"/>
    <w:rsid w:val="0007720E"/>
    <w:rsid w:val="0007727E"/>
    <w:rsid w:val="000772AA"/>
    <w:rsid w:val="000772E0"/>
    <w:rsid w:val="000773D0"/>
    <w:rsid w:val="0007740D"/>
    <w:rsid w:val="0007747E"/>
    <w:rsid w:val="000774B4"/>
    <w:rsid w:val="00077522"/>
    <w:rsid w:val="00077549"/>
    <w:rsid w:val="00077574"/>
    <w:rsid w:val="000775F7"/>
    <w:rsid w:val="0007772C"/>
    <w:rsid w:val="00077813"/>
    <w:rsid w:val="0007781D"/>
    <w:rsid w:val="000778A0"/>
    <w:rsid w:val="000778C6"/>
    <w:rsid w:val="00077A04"/>
    <w:rsid w:val="00077A99"/>
    <w:rsid w:val="00077B29"/>
    <w:rsid w:val="00077C27"/>
    <w:rsid w:val="00077C6E"/>
    <w:rsid w:val="00077CDF"/>
    <w:rsid w:val="00077D04"/>
    <w:rsid w:val="00077D15"/>
    <w:rsid w:val="00077D76"/>
    <w:rsid w:val="00077E49"/>
    <w:rsid w:val="00077E59"/>
    <w:rsid w:val="00077E60"/>
    <w:rsid w:val="00077E97"/>
    <w:rsid w:val="00080045"/>
    <w:rsid w:val="0008004A"/>
    <w:rsid w:val="00080074"/>
    <w:rsid w:val="0008016D"/>
    <w:rsid w:val="00080177"/>
    <w:rsid w:val="000801D7"/>
    <w:rsid w:val="00080234"/>
    <w:rsid w:val="0008029E"/>
    <w:rsid w:val="000802CE"/>
    <w:rsid w:val="000803E9"/>
    <w:rsid w:val="0008046F"/>
    <w:rsid w:val="0008071D"/>
    <w:rsid w:val="00080725"/>
    <w:rsid w:val="00080746"/>
    <w:rsid w:val="00080918"/>
    <w:rsid w:val="0008093E"/>
    <w:rsid w:val="000809CC"/>
    <w:rsid w:val="00080A21"/>
    <w:rsid w:val="00080A26"/>
    <w:rsid w:val="00080A76"/>
    <w:rsid w:val="00080AB1"/>
    <w:rsid w:val="00080CB3"/>
    <w:rsid w:val="00080D30"/>
    <w:rsid w:val="00080D5C"/>
    <w:rsid w:val="00080F91"/>
    <w:rsid w:val="00080FB3"/>
    <w:rsid w:val="000811CD"/>
    <w:rsid w:val="0008120E"/>
    <w:rsid w:val="00081282"/>
    <w:rsid w:val="0008129B"/>
    <w:rsid w:val="000814D9"/>
    <w:rsid w:val="000814F3"/>
    <w:rsid w:val="00081551"/>
    <w:rsid w:val="00081588"/>
    <w:rsid w:val="000816DB"/>
    <w:rsid w:val="000816E9"/>
    <w:rsid w:val="000816FB"/>
    <w:rsid w:val="00081712"/>
    <w:rsid w:val="00081846"/>
    <w:rsid w:val="00081907"/>
    <w:rsid w:val="00081917"/>
    <w:rsid w:val="0008191C"/>
    <w:rsid w:val="0008198F"/>
    <w:rsid w:val="000819AB"/>
    <w:rsid w:val="000819AC"/>
    <w:rsid w:val="00081A87"/>
    <w:rsid w:val="00081AE8"/>
    <w:rsid w:val="00081B6E"/>
    <w:rsid w:val="00081BE9"/>
    <w:rsid w:val="00081EE1"/>
    <w:rsid w:val="0008219D"/>
    <w:rsid w:val="00082206"/>
    <w:rsid w:val="00082234"/>
    <w:rsid w:val="000822EB"/>
    <w:rsid w:val="0008233C"/>
    <w:rsid w:val="00082359"/>
    <w:rsid w:val="000823B3"/>
    <w:rsid w:val="000823E1"/>
    <w:rsid w:val="0008249A"/>
    <w:rsid w:val="0008252A"/>
    <w:rsid w:val="0008259F"/>
    <w:rsid w:val="000825C7"/>
    <w:rsid w:val="00082678"/>
    <w:rsid w:val="000827EC"/>
    <w:rsid w:val="000828CA"/>
    <w:rsid w:val="00082976"/>
    <w:rsid w:val="00082A13"/>
    <w:rsid w:val="00082B62"/>
    <w:rsid w:val="00082D07"/>
    <w:rsid w:val="00082D52"/>
    <w:rsid w:val="00082F28"/>
    <w:rsid w:val="0008318F"/>
    <w:rsid w:val="000831A9"/>
    <w:rsid w:val="0008321D"/>
    <w:rsid w:val="00083287"/>
    <w:rsid w:val="000832BC"/>
    <w:rsid w:val="00083324"/>
    <w:rsid w:val="0008347C"/>
    <w:rsid w:val="000834B4"/>
    <w:rsid w:val="000834CE"/>
    <w:rsid w:val="000835BF"/>
    <w:rsid w:val="00083601"/>
    <w:rsid w:val="00083602"/>
    <w:rsid w:val="0008370C"/>
    <w:rsid w:val="00083751"/>
    <w:rsid w:val="00083984"/>
    <w:rsid w:val="00083AC8"/>
    <w:rsid w:val="00083B56"/>
    <w:rsid w:val="00083B5A"/>
    <w:rsid w:val="00083BB6"/>
    <w:rsid w:val="00083BE1"/>
    <w:rsid w:val="00083C79"/>
    <w:rsid w:val="00083DD5"/>
    <w:rsid w:val="00083E70"/>
    <w:rsid w:val="00083EB6"/>
    <w:rsid w:val="00083F5B"/>
    <w:rsid w:val="00083F67"/>
    <w:rsid w:val="00083FAF"/>
    <w:rsid w:val="00083FFC"/>
    <w:rsid w:val="00084037"/>
    <w:rsid w:val="0008411D"/>
    <w:rsid w:val="00084225"/>
    <w:rsid w:val="00084236"/>
    <w:rsid w:val="00084299"/>
    <w:rsid w:val="000842AA"/>
    <w:rsid w:val="0008430C"/>
    <w:rsid w:val="0008433D"/>
    <w:rsid w:val="00084360"/>
    <w:rsid w:val="00084362"/>
    <w:rsid w:val="00084585"/>
    <w:rsid w:val="0008462A"/>
    <w:rsid w:val="0008468A"/>
    <w:rsid w:val="0008477B"/>
    <w:rsid w:val="00084823"/>
    <w:rsid w:val="000848D4"/>
    <w:rsid w:val="000848FF"/>
    <w:rsid w:val="0008492D"/>
    <w:rsid w:val="000849E8"/>
    <w:rsid w:val="00084BB5"/>
    <w:rsid w:val="00084E4E"/>
    <w:rsid w:val="00084F86"/>
    <w:rsid w:val="00084FEB"/>
    <w:rsid w:val="000850BD"/>
    <w:rsid w:val="000851E9"/>
    <w:rsid w:val="00085377"/>
    <w:rsid w:val="0008542C"/>
    <w:rsid w:val="00085461"/>
    <w:rsid w:val="000854C7"/>
    <w:rsid w:val="00085668"/>
    <w:rsid w:val="000857E4"/>
    <w:rsid w:val="000858C8"/>
    <w:rsid w:val="000858DA"/>
    <w:rsid w:val="000858E5"/>
    <w:rsid w:val="000858FF"/>
    <w:rsid w:val="000859C4"/>
    <w:rsid w:val="00085A2A"/>
    <w:rsid w:val="00085A3C"/>
    <w:rsid w:val="00085AA2"/>
    <w:rsid w:val="00085B27"/>
    <w:rsid w:val="00085CF1"/>
    <w:rsid w:val="00085D4F"/>
    <w:rsid w:val="00085F75"/>
    <w:rsid w:val="00086228"/>
    <w:rsid w:val="00086270"/>
    <w:rsid w:val="00086311"/>
    <w:rsid w:val="00086346"/>
    <w:rsid w:val="00086355"/>
    <w:rsid w:val="000863A9"/>
    <w:rsid w:val="0008643A"/>
    <w:rsid w:val="00086443"/>
    <w:rsid w:val="00086536"/>
    <w:rsid w:val="00086649"/>
    <w:rsid w:val="000866DA"/>
    <w:rsid w:val="0008671E"/>
    <w:rsid w:val="000867D9"/>
    <w:rsid w:val="00086868"/>
    <w:rsid w:val="000868EC"/>
    <w:rsid w:val="000869CD"/>
    <w:rsid w:val="000869E8"/>
    <w:rsid w:val="00086A21"/>
    <w:rsid w:val="00086AA5"/>
    <w:rsid w:val="00086AC8"/>
    <w:rsid w:val="00086B00"/>
    <w:rsid w:val="00086C0D"/>
    <w:rsid w:val="00086C83"/>
    <w:rsid w:val="00086C91"/>
    <w:rsid w:val="00086CBB"/>
    <w:rsid w:val="00086CD5"/>
    <w:rsid w:val="00086D46"/>
    <w:rsid w:val="00086D58"/>
    <w:rsid w:val="00086FC5"/>
    <w:rsid w:val="00086FCF"/>
    <w:rsid w:val="00086FDF"/>
    <w:rsid w:val="0008717C"/>
    <w:rsid w:val="0008724C"/>
    <w:rsid w:val="00087348"/>
    <w:rsid w:val="00087480"/>
    <w:rsid w:val="00087851"/>
    <w:rsid w:val="0008791A"/>
    <w:rsid w:val="00087939"/>
    <w:rsid w:val="00087A72"/>
    <w:rsid w:val="00087BCB"/>
    <w:rsid w:val="00087CB2"/>
    <w:rsid w:val="00087CD8"/>
    <w:rsid w:val="00087D4F"/>
    <w:rsid w:val="00087D58"/>
    <w:rsid w:val="00087D8C"/>
    <w:rsid w:val="00087DCB"/>
    <w:rsid w:val="00087FD3"/>
    <w:rsid w:val="0009002A"/>
    <w:rsid w:val="000900A2"/>
    <w:rsid w:val="0009020C"/>
    <w:rsid w:val="00090255"/>
    <w:rsid w:val="000903C2"/>
    <w:rsid w:val="00090456"/>
    <w:rsid w:val="000904E6"/>
    <w:rsid w:val="000904F8"/>
    <w:rsid w:val="00090507"/>
    <w:rsid w:val="00090535"/>
    <w:rsid w:val="00090639"/>
    <w:rsid w:val="00090779"/>
    <w:rsid w:val="000907D9"/>
    <w:rsid w:val="00090806"/>
    <w:rsid w:val="000908B0"/>
    <w:rsid w:val="000909A6"/>
    <w:rsid w:val="00090C70"/>
    <w:rsid w:val="00090CBE"/>
    <w:rsid w:val="00090D50"/>
    <w:rsid w:val="00090E2C"/>
    <w:rsid w:val="00090E57"/>
    <w:rsid w:val="00090EBA"/>
    <w:rsid w:val="00090F0C"/>
    <w:rsid w:val="00090F94"/>
    <w:rsid w:val="00090F9F"/>
    <w:rsid w:val="0009101D"/>
    <w:rsid w:val="0009107D"/>
    <w:rsid w:val="000910A9"/>
    <w:rsid w:val="0009119A"/>
    <w:rsid w:val="000912CB"/>
    <w:rsid w:val="000913C6"/>
    <w:rsid w:val="000914A8"/>
    <w:rsid w:val="000915C8"/>
    <w:rsid w:val="000916E5"/>
    <w:rsid w:val="000918B4"/>
    <w:rsid w:val="000918DE"/>
    <w:rsid w:val="00091905"/>
    <w:rsid w:val="00091928"/>
    <w:rsid w:val="00091A36"/>
    <w:rsid w:val="00091A71"/>
    <w:rsid w:val="00091B38"/>
    <w:rsid w:val="00091C1D"/>
    <w:rsid w:val="00091D96"/>
    <w:rsid w:val="00091E2E"/>
    <w:rsid w:val="00091F3E"/>
    <w:rsid w:val="00091F4B"/>
    <w:rsid w:val="00091F68"/>
    <w:rsid w:val="00091F99"/>
    <w:rsid w:val="000920C8"/>
    <w:rsid w:val="000920F5"/>
    <w:rsid w:val="000921B0"/>
    <w:rsid w:val="00092341"/>
    <w:rsid w:val="000923C4"/>
    <w:rsid w:val="000925DC"/>
    <w:rsid w:val="000926EC"/>
    <w:rsid w:val="00092708"/>
    <w:rsid w:val="00092711"/>
    <w:rsid w:val="000927EC"/>
    <w:rsid w:val="00092823"/>
    <w:rsid w:val="000928F7"/>
    <w:rsid w:val="0009293E"/>
    <w:rsid w:val="00092B7C"/>
    <w:rsid w:val="00092C16"/>
    <w:rsid w:val="00092C44"/>
    <w:rsid w:val="00092C74"/>
    <w:rsid w:val="00092CC7"/>
    <w:rsid w:val="00092D28"/>
    <w:rsid w:val="00092D50"/>
    <w:rsid w:val="00092ED1"/>
    <w:rsid w:val="00092EDA"/>
    <w:rsid w:val="00092F06"/>
    <w:rsid w:val="0009303D"/>
    <w:rsid w:val="00093073"/>
    <w:rsid w:val="00093114"/>
    <w:rsid w:val="0009312D"/>
    <w:rsid w:val="0009332A"/>
    <w:rsid w:val="00093472"/>
    <w:rsid w:val="000934A5"/>
    <w:rsid w:val="000935E3"/>
    <w:rsid w:val="0009364E"/>
    <w:rsid w:val="00093737"/>
    <w:rsid w:val="000937ED"/>
    <w:rsid w:val="00093968"/>
    <w:rsid w:val="0009397E"/>
    <w:rsid w:val="00093A5B"/>
    <w:rsid w:val="00093C29"/>
    <w:rsid w:val="00093C48"/>
    <w:rsid w:val="00093CB9"/>
    <w:rsid w:val="00093CE9"/>
    <w:rsid w:val="00093E81"/>
    <w:rsid w:val="00093EE3"/>
    <w:rsid w:val="0009401F"/>
    <w:rsid w:val="00094066"/>
    <w:rsid w:val="000940ED"/>
    <w:rsid w:val="00094172"/>
    <w:rsid w:val="00094199"/>
    <w:rsid w:val="00094271"/>
    <w:rsid w:val="00094296"/>
    <w:rsid w:val="00094432"/>
    <w:rsid w:val="0009449F"/>
    <w:rsid w:val="0009453B"/>
    <w:rsid w:val="0009456F"/>
    <w:rsid w:val="00094588"/>
    <w:rsid w:val="00094606"/>
    <w:rsid w:val="00094700"/>
    <w:rsid w:val="0009477C"/>
    <w:rsid w:val="000947B9"/>
    <w:rsid w:val="000947ED"/>
    <w:rsid w:val="00094904"/>
    <w:rsid w:val="00094A3B"/>
    <w:rsid w:val="00094B51"/>
    <w:rsid w:val="00094C00"/>
    <w:rsid w:val="00094CAC"/>
    <w:rsid w:val="00094DDD"/>
    <w:rsid w:val="00094EAC"/>
    <w:rsid w:val="00094EDB"/>
    <w:rsid w:val="00094EF9"/>
    <w:rsid w:val="00094FF2"/>
    <w:rsid w:val="000950AA"/>
    <w:rsid w:val="000950DE"/>
    <w:rsid w:val="000951AB"/>
    <w:rsid w:val="00095218"/>
    <w:rsid w:val="000954CC"/>
    <w:rsid w:val="0009551A"/>
    <w:rsid w:val="00095537"/>
    <w:rsid w:val="0009560F"/>
    <w:rsid w:val="0009568D"/>
    <w:rsid w:val="000956BC"/>
    <w:rsid w:val="000958DF"/>
    <w:rsid w:val="00095926"/>
    <w:rsid w:val="0009599F"/>
    <w:rsid w:val="000959E1"/>
    <w:rsid w:val="00095A0D"/>
    <w:rsid w:val="00095A79"/>
    <w:rsid w:val="00095AB0"/>
    <w:rsid w:val="00095C66"/>
    <w:rsid w:val="000961D6"/>
    <w:rsid w:val="000961D8"/>
    <w:rsid w:val="00096203"/>
    <w:rsid w:val="0009622D"/>
    <w:rsid w:val="00096276"/>
    <w:rsid w:val="000966A8"/>
    <w:rsid w:val="000966B7"/>
    <w:rsid w:val="000966F8"/>
    <w:rsid w:val="00096825"/>
    <w:rsid w:val="0009682C"/>
    <w:rsid w:val="0009690C"/>
    <w:rsid w:val="00096956"/>
    <w:rsid w:val="000969AA"/>
    <w:rsid w:val="00096AA5"/>
    <w:rsid w:val="00096C8A"/>
    <w:rsid w:val="00096C9D"/>
    <w:rsid w:val="00096D87"/>
    <w:rsid w:val="00096DC3"/>
    <w:rsid w:val="00096E65"/>
    <w:rsid w:val="00096F2D"/>
    <w:rsid w:val="00097070"/>
    <w:rsid w:val="000970BF"/>
    <w:rsid w:val="000971FE"/>
    <w:rsid w:val="000972A3"/>
    <w:rsid w:val="000972BC"/>
    <w:rsid w:val="000972C5"/>
    <w:rsid w:val="0009731B"/>
    <w:rsid w:val="0009738B"/>
    <w:rsid w:val="000974E4"/>
    <w:rsid w:val="0009769E"/>
    <w:rsid w:val="000976C8"/>
    <w:rsid w:val="000979DF"/>
    <w:rsid w:val="00097A59"/>
    <w:rsid w:val="00097AAA"/>
    <w:rsid w:val="00097B68"/>
    <w:rsid w:val="00097C3C"/>
    <w:rsid w:val="00097C99"/>
    <w:rsid w:val="00097CD4"/>
    <w:rsid w:val="00097CD8"/>
    <w:rsid w:val="00097D32"/>
    <w:rsid w:val="00097D56"/>
    <w:rsid w:val="00097E75"/>
    <w:rsid w:val="00097EEA"/>
    <w:rsid w:val="00097F6C"/>
    <w:rsid w:val="000A0103"/>
    <w:rsid w:val="000A015C"/>
    <w:rsid w:val="000A0297"/>
    <w:rsid w:val="000A0317"/>
    <w:rsid w:val="000A039D"/>
    <w:rsid w:val="000A0821"/>
    <w:rsid w:val="000A08CC"/>
    <w:rsid w:val="000A09D3"/>
    <w:rsid w:val="000A0BC7"/>
    <w:rsid w:val="000A0BD0"/>
    <w:rsid w:val="000A0E73"/>
    <w:rsid w:val="000A0F24"/>
    <w:rsid w:val="000A0F93"/>
    <w:rsid w:val="000A0FA3"/>
    <w:rsid w:val="000A0FC5"/>
    <w:rsid w:val="000A0FC6"/>
    <w:rsid w:val="000A102F"/>
    <w:rsid w:val="000A1032"/>
    <w:rsid w:val="000A1074"/>
    <w:rsid w:val="000A107E"/>
    <w:rsid w:val="000A10DC"/>
    <w:rsid w:val="000A12B8"/>
    <w:rsid w:val="000A13F5"/>
    <w:rsid w:val="000A150A"/>
    <w:rsid w:val="000A1571"/>
    <w:rsid w:val="000A1675"/>
    <w:rsid w:val="000A1676"/>
    <w:rsid w:val="000A16E1"/>
    <w:rsid w:val="000A17A2"/>
    <w:rsid w:val="000A1820"/>
    <w:rsid w:val="000A186F"/>
    <w:rsid w:val="000A188A"/>
    <w:rsid w:val="000A18F5"/>
    <w:rsid w:val="000A1AF6"/>
    <w:rsid w:val="000A1B9D"/>
    <w:rsid w:val="000A1BF6"/>
    <w:rsid w:val="000A1D44"/>
    <w:rsid w:val="000A1D81"/>
    <w:rsid w:val="000A1FFF"/>
    <w:rsid w:val="000A20FC"/>
    <w:rsid w:val="000A2155"/>
    <w:rsid w:val="000A2212"/>
    <w:rsid w:val="000A232B"/>
    <w:rsid w:val="000A249A"/>
    <w:rsid w:val="000A250F"/>
    <w:rsid w:val="000A2524"/>
    <w:rsid w:val="000A25DA"/>
    <w:rsid w:val="000A265D"/>
    <w:rsid w:val="000A26B8"/>
    <w:rsid w:val="000A276F"/>
    <w:rsid w:val="000A28A9"/>
    <w:rsid w:val="000A2A56"/>
    <w:rsid w:val="000A2ACA"/>
    <w:rsid w:val="000A2AE6"/>
    <w:rsid w:val="000A2B13"/>
    <w:rsid w:val="000A2E57"/>
    <w:rsid w:val="000A2F65"/>
    <w:rsid w:val="000A2F68"/>
    <w:rsid w:val="000A3079"/>
    <w:rsid w:val="000A30C7"/>
    <w:rsid w:val="000A3105"/>
    <w:rsid w:val="000A31C6"/>
    <w:rsid w:val="000A3221"/>
    <w:rsid w:val="000A32A8"/>
    <w:rsid w:val="000A32FE"/>
    <w:rsid w:val="000A33C2"/>
    <w:rsid w:val="000A3412"/>
    <w:rsid w:val="000A352F"/>
    <w:rsid w:val="000A361A"/>
    <w:rsid w:val="000A364D"/>
    <w:rsid w:val="000A3655"/>
    <w:rsid w:val="000A396C"/>
    <w:rsid w:val="000A3A07"/>
    <w:rsid w:val="000A3AAB"/>
    <w:rsid w:val="000A3B8A"/>
    <w:rsid w:val="000A3B9D"/>
    <w:rsid w:val="000A3BE9"/>
    <w:rsid w:val="000A3C19"/>
    <w:rsid w:val="000A3C6A"/>
    <w:rsid w:val="000A3DDC"/>
    <w:rsid w:val="000A3E36"/>
    <w:rsid w:val="000A3E66"/>
    <w:rsid w:val="000A3F5B"/>
    <w:rsid w:val="000A40D5"/>
    <w:rsid w:val="000A4121"/>
    <w:rsid w:val="000A418A"/>
    <w:rsid w:val="000A4213"/>
    <w:rsid w:val="000A4432"/>
    <w:rsid w:val="000A4445"/>
    <w:rsid w:val="000A451B"/>
    <w:rsid w:val="000A4558"/>
    <w:rsid w:val="000A45C4"/>
    <w:rsid w:val="000A45DB"/>
    <w:rsid w:val="000A45EF"/>
    <w:rsid w:val="000A46A6"/>
    <w:rsid w:val="000A4762"/>
    <w:rsid w:val="000A48A2"/>
    <w:rsid w:val="000A499F"/>
    <w:rsid w:val="000A4B75"/>
    <w:rsid w:val="000A4BEC"/>
    <w:rsid w:val="000A4BF7"/>
    <w:rsid w:val="000A4C93"/>
    <w:rsid w:val="000A4C99"/>
    <w:rsid w:val="000A4E8F"/>
    <w:rsid w:val="000A4EBB"/>
    <w:rsid w:val="000A5102"/>
    <w:rsid w:val="000A51B8"/>
    <w:rsid w:val="000A5295"/>
    <w:rsid w:val="000A5297"/>
    <w:rsid w:val="000A5468"/>
    <w:rsid w:val="000A54FF"/>
    <w:rsid w:val="000A560E"/>
    <w:rsid w:val="000A56B8"/>
    <w:rsid w:val="000A5933"/>
    <w:rsid w:val="000A5A38"/>
    <w:rsid w:val="000A5A72"/>
    <w:rsid w:val="000A5B16"/>
    <w:rsid w:val="000A5B53"/>
    <w:rsid w:val="000A5CEC"/>
    <w:rsid w:val="000A5E17"/>
    <w:rsid w:val="000A5E93"/>
    <w:rsid w:val="000A5E9E"/>
    <w:rsid w:val="000A5F2D"/>
    <w:rsid w:val="000A5F48"/>
    <w:rsid w:val="000A5F86"/>
    <w:rsid w:val="000A5F9A"/>
    <w:rsid w:val="000A6050"/>
    <w:rsid w:val="000A6200"/>
    <w:rsid w:val="000A6494"/>
    <w:rsid w:val="000A652E"/>
    <w:rsid w:val="000A6610"/>
    <w:rsid w:val="000A6690"/>
    <w:rsid w:val="000A66FF"/>
    <w:rsid w:val="000A6719"/>
    <w:rsid w:val="000A67B0"/>
    <w:rsid w:val="000A67E9"/>
    <w:rsid w:val="000A6963"/>
    <w:rsid w:val="000A6A5F"/>
    <w:rsid w:val="000A6A80"/>
    <w:rsid w:val="000A6A9A"/>
    <w:rsid w:val="000A6B20"/>
    <w:rsid w:val="000A6E4E"/>
    <w:rsid w:val="000A6F8B"/>
    <w:rsid w:val="000A701B"/>
    <w:rsid w:val="000A7286"/>
    <w:rsid w:val="000A72E9"/>
    <w:rsid w:val="000A7397"/>
    <w:rsid w:val="000A73AF"/>
    <w:rsid w:val="000A7447"/>
    <w:rsid w:val="000A7474"/>
    <w:rsid w:val="000A7548"/>
    <w:rsid w:val="000A76FF"/>
    <w:rsid w:val="000A77C7"/>
    <w:rsid w:val="000A782B"/>
    <w:rsid w:val="000A7954"/>
    <w:rsid w:val="000A798D"/>
    <w:rsid w:val="000A79D0"/>
    <w:rsid w:val="000A7A32"/>
    <w:rsid w:val="000A7A97"/>
    <w:rsid w:val="000A7AFE"/>
    <w:rsid w:val="000A7B0C"/>
    <w:rsid w:val="000A7C2A"/>
    <w:rsid w:val="000A7C32"/>
    <w:rsid w:val="000A7C6D"/>
    <w:rsid w:val="000A7D2D"/>
    <w:rsid w:val="000A7DA7"/>
    <w:rsid w:val="000A7F05"/>
    <w:rsid w:val="000B0168"/>
    <w:rsid w:val="000B02B6"/>
    <w:rsid w:val="000B02E5"/>
    <w:rsid w:val="000B034F"/>
    <w:rsid w:val="000B04D1"/>
    <w:rsid w:val="000B0527"/>
    <w:rsid w:val="000B0528"/>
    <w:rsid w:val="000B0583"/>
    <w:rsid w:val="000B06E5"/>
    <w:rsid w:val="000B0B60"/>
    <w:rsid w:val="000B0C80"/>
    <w:rsid w:val="000B0D7D"/>
    <w:rsid w:val="000B0DB3"/>
    <w:rsid w:val="000B101C"/>
    <w:rsid w:val="000B1038"/>
    <w:rsid w:val="000B10CE"/>
    <w:rsid w:val="000B12C3"/>
    <w:rsid w:val="000B12CD"/>
    <w:rsid w:val="000B136C"/>
    <w:rsid w:val="000B13B3"/>
    <w:rsid w:val="000B161B"/>
    <w:rsid w:val="000B162D"/>
    <w:rsid w:val="000B1743"/>
    <w:rsid w:val="000B17E0"/>
    <w:rsid w:val="000B1941"/>
    <w:rsid w:val="000B19FA"/>
    <w:rsid w:val="000B1A2D"/>
    <w:rsid w:val="000B1A37"/>
    <w:rsid w:val="000B1A5D"/>
    <w:rsid w:val="000B1B7D"/>
    <w:rsid w:val="000B1BFB"/>
    <w:rsid w:val="000B1F66"/>
    <w:rsid w:val="000B1FA4"/>
    <w:rsid w:val="000B209D"/>
    <w:rsid w:val="000B244F"/>
    <w:rsid w:val="000B2468"/>
    <w:rsid w:val="000B249A"/>
    <w:rsid w:val="000B26A6"/>
    <w:rsid w:val="000B273F"/>
    <w:rsid w:val="000B2754"/>
    <w:rsid w:val="000B27B1"/>
    <w:rsid w:val="000B2835"/>
    <w:rsid w:val="000B284B"/>
    <w:rsid w:val="000B28F4"/>
    <w:rsid w:val="000B2920"/>
    <w:rsid w:val="000B299A"/>
    <w:rsid w:val="000B29B5"/>
    <w:rsid w:val="000B29C8"/>
    <w:rsid w:val="000B2D68"/>
    <w:rsid w:val="000B2E3C"/>
    <w:rsid w:val="000B2EB5"/>
    <w:rsid w:val="000B2EF7"/>
    <w:rsid w:val="000B2F69"/>
    <w:rsid w:val="000B2F89"/>
    <w:rsid w:val="000B2FC2"/>
    <w:rsid w:val="000B3291"/>
    <w:rsid w:val="000B3316"/>
    <w:rsid w:val="000B3392"/>
    <w:rsid w:val="000B33BB"/>
    <w:rsid w:val="000B34D2"/>
    <w:rsid w:val="000B352B"/>
    <w:rsid w:val="000B3588"/>
    <w:rsid w:val="000B36EE"/>
    <w:rsid w:val="000B36F1"/>
    <w:rsid w:val="000B36F6"/>
    <w:rsid w:val="000B3717"/>
    <w:rsid w:val="000B376A"/>
    <w:rsid w:val="000B37A2"/>
    <w:rsid w:val="000B3856"/>
    <w:rsid w:val="000B39E5"/>
    <w:rsid w:val="000B3B52"/>
    <w:rsid w:val="000B3C2A"/>
    <w:rsid w:val="000B3C61"/>
    <w:rsid w:val="000B3DCD"/>
    <w:rsid w:val="000B3E79"/>
    <w:rsid w:val="000B4059"/>
    <w:rsid w:val="000B4064"/>
    <w:rsid w:val="000B40EE"/>
    <w:rsid w:val="000B41CE"/>
    <w:rsid w:val="000B426C"/>
    <w:rsid w:val="000B4378"/>
    <w:rsid w:val="000B43BF"/>
    <w:rsid w:val="000B45FE"/>
    <w:rsid w:val="000B46AE"/>
    <w:rsid w:val="000B4735"/>
    <w:rsid w:val="000B49C4"/>
    <w:rsid w:val="000B49E6"/>
    <w:rsid w:val="000B49FD"/>
    <w:rsid w:val="000B4B01"/>
    <w:rsid w:val="000B4B2D"/>
    <w:rsid w:val="000B4C1B"/>
    <w:rsid w:val="000B4CB0"/>
    <w:rsid w:val="000B4CCC"/>
    <w:rsid w:val="000B4D5A"/>
    <w:rsid w:val="000B4E54"/>
    <w:rsid w:val="000B4E58"/>
    <w:rsid w:val="000B4E63"/>
    <w:rsid w:val="000B4EF9"/>
    <w:rsid w:val="000B4F0F"/>
    <w:rsid w:val="000B4FBF"/>
    <w:rsid w:val="000B4FD7"/>
    <w:rsid w:val="000B4FF8"/>
    <w:rsid w:val="000B51E1"/>
    <w:rsid w:val="000B5236"/>
    <w:rsid w:val="000B5287"/>
    <w:rsid w:val="000B532E"/>
    <w:rsid w:val="000B53A5"/>
    <w:rsid w:val="000B53EA"/>
    <w:rsid w:val="000B5606"/>
    <w:rsid w:val="000B56FA"/>
    <w:rsid w:val="000B573D"/>
    <w:rsid w:val="000B57E0"/>
    <w:rsid w:val="000B5928"/>
    <w:rsid w:val="000B596B"/>
    <w:rsid w:val="000B59DF"/>
    <w:rsid w:val="000B5A41"/>
    <w:rsid w:val="000B5A59"/>
    <w:rsid w:val="000B5AFD"/>
    <w:rsid w:val="000B5B97"/>
    <w:rsid w:val="000B5D51"/>
    <w:rsid w:val="000B5EAF"/>
    <w:rsid w:val="000B5F81"/>
    <w:rsid w:val="000B5FB6"/>
    <w:rsid w:val="000B609B"/>
    <w:rsid w:val="000B60CB"/>
    <w:rsid w:val="000B622E"/>
    <w:rsid w:val="000B6298"/>
    <w:rsid w:val="000B642A"/>
    <w:rsid w:val="000B653A"/>
    <w:rsid w:val="000B65D1"/>
    <w:rsid w:val="000B6643"/>
    <w:rsid w:val="000B6644"/>
    <w:rsid w:val="000B6663"/>
    <w:rsid w:val="000B667A"/>
    <w:rsid w:val="000B6757"/>
    <w:rsid w:val="000B6839"/>
    <w:rsid w:val="000B692B"/>
    <w:rsid w:val="000B699F"/>
    <w:rsid w:val="000B6A99"/>
    <w:rsid w:val="000B6B61"/>
    <w:rsid w:val="000B6B6B"/>
    <w:rsid w:val="000B6BA1"/>
    <w:rsid w:val="000B6BB5"/>
    <w:rsid w:val="000B6C05"/>
    <w:rsid w:val="000B6C98"/>
    <w:rsid w:val="000B6CE6"/>
    <w:rsid w:val="000B6DFE"/>
    <w:rsid w:val="000B6EF8"/>
    <w:rsid w:val="000B700F"/>
    <w:rsid w:val="000B7188"/>
    <w:rsid w:val="000B7213"/>
    <w:rsid w:val="000B7447"/>
    <w:rsid w:val="000B746B"/>
    <w:rsid w:val="000B74D8"/>
    <w:rsid w:val="000B7560"/>
    <w:rsid w:val="000B7666"/>
    <w:rsid w:val="000B76B8"/>
    <w:rsid w:val="000B76E8"/>
    <w:rsid w:val="000B7744"/>
    <w:rsid w:val="000B77BA"/>
    <w:rsid w:val="000B77EF"/>
    <w:rsid w:val="000B7938"/>
    <w:rsid w:val="000B7A20"/>
    <w:rsid w:val="000B7B39"/>
    <w:rsid w:val="000B7B70"/>
    <w:rsid w:val="000B7BBE"/>
    <w:rsid w:val="000B7C0A"/>
    <w:rsid w:val="000B7C29"/>
    <w:rsid w:val="000B7CA3"/>
    <w:rsid w:val="000B7CA8"/>
    <w:rsid w:val="000B7CAE"/>
    <w:rsid w:val="000B7DA5"/>
    <w:rsid w:val="000B7DBA"/>
    <w:rsid w:val="000B7F2E"/>
    <w:rsid w:val="000C0045"/>
    <w:rsid w:val="000C009D"/>
    <w:rsid w:val="000C00B9"/>
    <w:rsid w:val="000C02FA"/>
    <w:rsid w:val="000C0309"/>
    <w:rsid w:val="000C0327"/>
    <w:rsid w:val="000C0480"/>
    <w:rsid w:val="000C060A"/>
    <w:rsid w:val="000C0668"/>
    <w:rsid w:val="000C06A2"/>
    <w:rsid w:val="000C071E"/>
    <w:rsid w:val="000C075F"/>
    <w:rsid w:val="000C08F9"/>
    <w:rsid w:val="000C097E"/>
    <w:rsid w:val="000C0B04"/>
    <w:rsid w:val="000C0B0E"/>
    <w:rsid w:val="000C0BED"/>
    <w:rsid w:val="000C10B0"/>
    <w:rsid w:val="000C1161"/>
    <w:rsid w:val="000C140E"/>
    <w:rsid w:val="000C1414"/>
    <w:rsid w:val="000C14DF"/>
    <w:rsid w:val="000C1663"/>
    <w:rsid w:val="000C1754"/>
    <w:rsid w:val="000C17FB"/>
    <w:rsid w:val="000C1989"/>
    <w:rsid w:val="000C1AB1"/>
    <w:rsid w:val="000C1B1C"/>
    <w:rsid w:val="000C1B66"/>
    <w:rsid w:val="000C1CE8"/>
    <w:rsid w:val="000C1D3D"/>
    <w:rsid w:val="000C1EAD"/>
    <w:rsid w:val="000C1F88"/>
    <w:rsid w:val="000C1FC9"/>
    <w:rsid w:val="000C2011"/>
    <w:rsid w:val="000C20BD"/>
    <w:rsid w:val="000C2106"/>
    <w:rsid w:val="000C2186"/>
    <w:rsid w:val="000C21E4"/>
    <w:rsid w:val="000C22A1"/>
    <w:rsid w:val="000C22DF"/>
    <w:rsid w:val="000C2392"/>
    <w:rsid w:val="000C2445"/>
    <w:rsid w:val="000C2448"/>
    <w:rsid w:val="000C247B"/>
    <w:rsid w:val="000C2577"/>
    <w:rsid w:val="000C2589"/>
    <w:rsid w:val="000C2626"/>
    <w:rsid w:val="000C26B7"/>
    <w:rsid w:val="000C27A8"/>
    <w:rsid w:val="000C290C"/>
    <w:rsid w:val="000C2AC4"/>
    <w:rsid w:val="000C2B24"/>
    <w:rsid w:val="000C2CA2"/>
    <w:rsid w:val="000C2D79"/>
    <w:rsid w:val="000C2DCF"/>
    <w:rsid w:val="000C2E72"/>
    <w:rsid w:val="000C2EDF"/>
    <w:rsid w:val="000C2F21"/>
    <w:rsid w:val="000C2F8D"/>
    <w:rsid w:val="000C3012"/>
    <w:rsid w:val="000C31A9"/>
    <w:rsid w:val="000C3246"/>
    <w:rsid w:val="000C33F6"/>
    <w:rsid w:val="000C3414"/>
    <w:rsid w:val="000C3488"/>
    <w:rsid w:val="000C35EC"/>
    <w:rsid w:val="000C363F"/>
    <w:rsid w:val="000C36B4"/>
    <w:rsid w:val="000C375A"/>
    <w:rsid w:val="000C375E"/>
    <w:rsid w:val="000C387C"/>
    <w:rsid w:val="000C3882"/>
    <w:rsid w:val="000C38A9"/>
    <w:rsid w:val="000C38C6"/>
    <w:rsid w:val="000C3960"/>
    <w:rsid w:val="000C396B"/>
    <w:rsid w:val="000C3A95"/>
    <w:rsid w:val="000C3B30"/>
    <w:rsid w:val="000C3B37"/>
    <w:rsid w:val="000C3C48"/>
    <w:rsid w:val="000C3CA6"/>
    <w:rsid w:val="000C3CC8"/>
    <w:rsid w:val="000C3CD1"/>
    <w:rsid w:val="000C3E2E"/>
    <w:rsid w:val="000C4101"/>
    <w:rsid w:val="000C4165"/>
    <w:rsid w:val="000C41D6"/>
    <w:rsid w:val="000C4299"/>
    <w:rsid w:val="000C435C"/>
    <w:rsid w:val="000C43C7"/>
    <w:rsid w:val="000C4410"/>
    <w:rsid w:val="000C46AE"/>
    <w:rsid w:val="000C46C7"/>
    <w:rsid w:val="000C4805"/>
    <w:rsid w:val="000C4951"/>
    <w:rsid w:val="000C49E0"/>
    <w:rsid w:val="000C4A24"/>
    <w:rsid w:val="000C4AE6"/>
    <w:rsid w:val="000C4B05"/>
    <w:rsid w:val="000C4D44"/>
    <w:rsid w:val="000C4DCA"/>
    <w:rsid w:val="000C4E72"/>
    <w:rsid w:val="000C5037"/>
    <w:rsid w:val="000C520D"/>
    <w:rsid w:val="000C5324"/>
    <w:rsid w:val="000C5394"/>
    <w:rsid w:val="000C541F"/>
    <w:rsid w:val="000C54D3"/>
    <w:rsid w:val="000C558B"/>
    <w:rsid w:val="000C5629"/>
    <w:rsid w:val="000C5754"/>
    <w:rsid w:val="000C5AA4"/>
    <w:rsid w:val="000C5BB1"/>
    <w:rsid w:val="000C5BBC"/>
    <w:rsid w:val="000C5C17"/>
    <w:rsid w:val="000C5C41"/>
    <w:rsid w:val="000C5CD1"/>
    <w:rsid w:val="000C5D36"/>
    <w:rsid w:val="000C5D66"/>
    <w:rsid w:val="000C5E21"/>
    <w:rsid w:val="000C5E62"/>
    <w:rsid w:val="000C5EA5"/>
    <w:rsid w:val="000C5F7F"/>
    <w:rsid w:val="000C5FAE"/>
    <w:rsid w:val="000C6207"/>
    <w:rsid w:val="000C6313"/>
    <w:rsid w:val="000C636A"/>
    <w:rsid w:val="000C647C"/>
    <w:rsid w:val="000C64D2"/>
    <w:rsid w:val="000C6508"/>
    <w:rsid w:val="000C66C5"/>
    <w:rsid w:val="000C6957"/>
    <w:rsid w:val="000C6971"/>
    <w:rsid w:val="000C6AAB"/>
    <w:rsid w:val="000C6CBE"/>
    <w:rsid w:val="000C6E93"/>
    <w:rsid w:val="000C6ED1"/>
    <w:rsid w:val="000C6F64"/>
    <w:rsid w:val="000C6FBA"/>
    <w:rsid w:val="000C7021"/>
    <w:rsid w:val="000C710B"/>
    <w:rsid w:val="000C7145"/>
    <w:rsid w:val="000C723A"/>
    <w:rsid w:val="000C7261"/>
    <w:rsid w:val="000C72EC"/>
    <w:rsid w:val="000C730E"/>
    <w:rsid w:val="000C7311"/>
    <w:rsid w:val="000C73CE"/>
    <w:rsid w:val="000C767C"/>
    <w:rsid w:val="000C7770"/>
    <w:rsid w:val="000C77FF"/>
    <w:rsid w:val="000C785F"/>
    <w:rsid w:val="000C7B9E"/>
    <w:rsid w:val="000C7BF2"/>
    <w:rsid w:val="000C7C59"/>
    <w:rsid w:val="000C7D16"/>
    <w:rsid w:val="000C7D87"/>
    <w:rsid w:val="000C7E68"/>
    <w:rsid w:val="000C7E8F"/>
    <w:rsid w:val="000C7FB4"/>
    <w:rsid w:val="000D0013"/>
    <w:rsid w:val="000D001B"/>
    <w:rsid w:val="000D00C8"/>
    <w:rsid w:val="000D00CC"/>
    <w:rsid w:val="000D0111"/>
    <w:rsid w:val="000D0150"/>
    <w:rsid w:val="000D03D0"/>
    <w:rsid w:val="000D054C"/>
    <w:rsid w:val="000D0550"/>
    <w:rsid w:val="000D0563"/>
    <w:rsid w:val="000D0738"/>
    <w:rsid w:val="000D073F"/>
    <w:rsid w:val="000D082D"/>
    <w:rsid w:val="000D0876"/>
    <w:rsid w:val="000D097D"/>
    <w:rsid w:val="000D0A5D"/>
    <w:rsid w:val="000D0AF0"/>
    <w:rsid w:val="000D0DEC"/>
    <w:rsid w:val="000D0E60"/>
    <w:rsid w:val="000D0E97"/>
    <w:rsid w:val="000D0F69"/>
    <w:rsid w:val="000D110A"/>
    <w:rsid w:val="000D11C9"/>
    <w:rsid w:val="000D1293"/>
    <w:rsid w:val="000D1347"/>
    <w:rsid w:val="000D13E6"/>
    <w:rsid w:val="000D16D7"/>
    <w:rsid w:val="000D1745"/>
    <w:rsid w:val="000D1C03"/>
    <w:rsid w:val="000D1CBA"/>
    <w:rsid w:val="000D1CF8"/>
    <w:rsid w:val="000D1EC8"/>
    <w:rsid w:val="000D1FF2"/>
    <w:rsid w:val="000D2017"/>
    <w:rsid w:val="000D204C"/>
    <w:rsid w:val="000D20B0"/>
    <w:rsid w:val="000D2220"/>
    <w:rsid w:val="000D223C"/>
    <w:rsid w:val="000D22F5"/>
    <w:rsid w:val="000D24D0"/>
    <w:rsid w:val="000D2555"/>
    <w:rsid w:val="000D2695"/>
    <w:rsid w:val="000D274B"/>
    <w:rsid w:val="000D27A5"/>
    <w:rsid w:val="000D27FC"/>
    <w:rsid w:val="000D2820"/>
    <w:rsid w:val="000D288C"/>
    <w:rsid w:val="000D28BF"/>
    <w:rsid w:val="000D28F1"/>
    <w:rsid w:val="000D2923"/>
    <w:rsid w:val="000D2925"/>
    <w:rsid w:val="000D2AA7"/>
    <w:rsid w:val="000D2B49"/>
    <w:rsid w:val="000D2B8E"/>
    <w:rsid w:val="000D2DE0"/>
    <w:rsid w:val="000D2DEF"/>
    <w:rsid w:val="000D2E08"/>
    <w:rsid w:val="000D2E5F"/>
    <w:rsid w:val="000D2E74"/>
    <w:rsid w:val="000D2E76"/>
    <w:rsid w:val="000D2F76"/>
    <w:rsid w:val="000D2F78"/>
    <w:rsid w:val="000D2FB5"/>
    <w:rsid w:val="000D301E"/>
    <w:rsid w:val="000D32A8"/>
    <w:rsid w:val="000D3308"/>
    <w:rsid w:val="000D33F5"/>
    <w:rsid w:val="000D35DC"/>
    <w:rsid w:val="000D3792"/>
    <w:rsid w:val="000D37D1"/>
    <w:rsid w:val="000D3AE7"/>
    <w:rsid w:val="000D3B1D"/>
    <w:rsid w:val="000D3BB4"/>
    <w:rsid w:val="000D3D58"/>
    <w:rsid w:val="000D3DB1"/>
    <w:rsid w:val="000D3EBA"/>
    <w:rsid w:val="000D3F3E"/>
    <w:rsid w:val="000D3F71"/>
    <w:rsid w:val="000D408A"/>
    <w:rsid w:val="000D414F"/>
    <w:rsid w:val="000D459B"/>
    <w:rsid w:val="000D46C6"/>
    <w:rsid w:val="000D4843"/>
    <w:rsid w:val="000D4872"/>
    <w:rsid w:val="000D487F"/>
    <w:rsid w:val="000D493F"/>
    <w:rsid w:val="000D4A31"/>
    <w:rsid w:val="000D4B27"/>
    <w:rsid w:val="000D4CCD"/>
    <w:rsid w:val="000D4CE8"/>
    <w:rsid w:val="000D4DA3"/>
    <w:rsid w:val="000D4E0F"/>
    <w:rsid w:val="000D4E74"/>
    <w:rsid w:val="000D4F02"/>
    <w:rsid w:val="000D4F11"/>
    <w:rsid w:val="000D4F69"/>
    <w:rsid w:val="000D4F9D"/>
    <w:rsid w:val="000D500F"/>
    <w:rsid w:val="000D5369"/>
    <w:rsid w:val="000D5496"/>
    <w:rsid w:val="000D56BF"/>
    <w:rsid w:val="000D5734"/>
    <w:rsid w:val="000D57D0"/>
    <w:rsid w:val="000D5831"/>
    <w:rsid w:val="000D5859"/>
    <w:rsid w:val="000D5865"/>
    <w:rsid w:val="000D5893"/>
    <w:rsid w:val="000D58DB"/>
    <w:rsid w:val="000D5929"/>
    <w:rsid w:val="000D59CD"/>
    <w:rsid w:val="000D5C1B"/>
    <w:rsid w:val="000D5C98"/>
    <w:rsid w:val="000D5CDD"/>
    <w:rsid w:val="000D5DF7"/>
    <w:rsid w:val="000D5F03"/>
    <w:rsid w:val="000D6090"/>
    <w:rsid w:val="000D61A5"/>
    <w:rsid w:val="000D623A"/>
    <w:rsid w:val="000D636D"/>
    <w:rsid w:val="000D63B9"/>
    <w:rsid w:val="000D6471"/>
    <w:rsid w:val="000D6556"/>
    <w:rsid w:val="000D668C"/>
    <w:rsid w:val="000D66B3"/>
    <w:rsid w:val="000D6714"/>
    <w:rsid w:val="000D67A6"/>
    <w:rsid w:val="000D6896"/>
    <w:rsid w:val="000D6A2E"/>
    <w:rsid w:val="000D6A41"/>
    <w:rsid w:val="000D6B3B"/>
    <w:rsid w:val="000D6D88"/>
    <w:rsid w:val="000D6E5F"/>
    <w:rsid w:val="000D6E8F"/>
    <w:rsid w:val="000D6E99"/>
    <w:rsid w:val="000D6FD1"/>
    <w:rsid w:val="000D707D"/>
    <w:rsid w:val="000D70CD"/>
    <w:rsid w:val="000D70FE"/>
    <w:rsid w:val="000D72B0"/>
    <w:rsid w:val="000D7388"/>
    <w:rsid w:val="000D7391"/>
    <w:rsid w:val="000D73FA"/>
    <w:rsid w:val="000D74A2"/>
    <w:rsid w:val="000D74BA"/>
    <w:rsid w:val="000D7540"/>
    <w:rsid w:val="000D7561"/>
    <w:rsid w:val="000D75E1"/>
    <w:rsid w:val="000D7635"/>
    <w:rsid w:val="000D77B1"/>
    <w:rsid w:val="000D7883"/>
    <w:rsid w:val="000D78EC"/>
    <w:rsid w:val="000D79DF"/>
    <w:rsid w:val="000D7A2D"/>
    <w:rsid w:val="000D7A5B"/>
    <w:rsid w:val="000D7ACB"/>
    <w:rsid w:val="000D7B5D"/>
    <w:rsid w:val="000D7C12"/>
    <w:rsid w:val="000D7D28"/>
    <w:rsid w:val="000D7E38"/>
    <w:rsid w:val="000D7E64"/>
    <w:rsid w:val="000D7EBD"/>
    <w:rsid w:val="000D7F65"/>
    <w:rsid w:val="000E00B6"/>
    <w:rsid w:val="000E01F0"/>
    <w:rsid w:val="000E0209"/>
    <w:rsid w:val="000E02EC"/>
    <w:rsid w:val="000E03D3"/>
    <w:rsid w:val="000E04CB"/>
    <w:rsid w:val="000E05CA"/>
    <w:rsid w:val="000E06B7"/>
    <w:rsid w:val="000E071A"/>
    <w:rsid w:val="000E0820"/>
    <w:rsid w:val="000E0829"/>
    <w:rsid w:val="000E0938"/>
    <w:rsid w:val="000E0A48"/>
    <w:rsid w:val="000E0A9A"/>
    <w:rsid w:val="000E0B0F"/>
    <w:rsid w:val="000E0B9F"/>
    <w:rsid w:val="000E0BD9"/>
    <w:rsid w:val="000E0D74"/>
    <w:rsid w:val="000E0DC3"/>
    <w:rsid w:val="000E0DF4"/>
    <w:rsid w:val="000E0E3B"/>
    <w:rsid w:val="000E1047"/>
    <w:rsid w:val="000E10B6"/>
    <w:rsid w:val="000E10F0"/>
    <w:rsid w:val="000E10F3"/>
    <w:rsid w:val="000E112B"/>
    <w:rsid w:val="000E112D"/>
    <w:rsid w:val="000E1149"/>
    <w:rsid w:val="000E11CF"/>
    <w:rsid w:val="000E14D1"/>
    <w:rsid w:val="000E160E"/>
    <w:rsid w:val="000E164D"/>
    <w:rsid w:val="000E16A4"/>
    <w:rsid w:val="000E16B5"/>
    <w:rsid w:val="000E17CD"/>
    <w:rsid w:val="000E182E"/>
    <w:rsid w:val="000E1903"/>
    <w:rsid w:val="000E194D"/>
    <w:rsid w:val="000E1B4D"/>
    <w:rsid w:val="000E1B9E"/>
    <w:rsid w:val="000E1BEE"/>
    <w:rsid w:val="000E1E05"/>
    <w:rsid w:val="000E201B"/>
    <w:rsid w:val="000E2030"/>
    <w:rsid w:val="000E2085"/>
    <w:rsid w:val="000E20AD"/>
    <w:rsid w:val="000E20DC"/>
    <w:rsid w:val="000E2143"/>
    <w:rsid w:val="000E2161"/>
    <w:rsid w:val="000E21AD"/>
    <w:rsid w:val="000E223E"/>
    <w:rsid w:val="000E2298"/>
    <w:rsid w:val="000E22C5"/>
    <w:rsid w:val="000E2339"/>
    <w:rsid w:val="000E2377"/>
    <w:rsid w:val="000E2399"/>
    <w:rsid w:val="000E24CA"/>
    <w:rsid w:val="000E25B6"/>
    <w:rsid w:val="000E25C7"/>
    <w:rsid w:val="000E264F"/>
    <w:rsid w:val="000E2741"/>
    <w:rsid w:val="000E2878"/>
    <w:rsid w:val="000E28DF"/>
    <w:rsid w:val="000E29A5"/>
    <w:rsid w:val="000E2B5E"/>
    <w:rsid w:val="000E2C94"/>
    <w:rsid w:val="000E2DAF"/>
    <w:rsid w:val="000E2E22"/>
    <w:rsid w:val="000E3000"/>
    <w:rsid w:val="000E3217"/>
    <w:rsid w:val="000E3284"/>
    <w:rsid w:val="000E3306"/>
    <w:rsid w:val="000E3341"/>
    <w:rsid w:val="000E3361"/>
    <w:rsid w:val="000E3377"/>
    <w:rsid w:val="000E3467"/>
    <w:rsid w:val="000E34D8"/>
    <w:rsid w:val="000E36B2"/>
    <w:rsid w:val="000E3758"/>
    <w:rsid w:val="000E37C2"/>
    <w:rsid w:val="000E37F5"/>
    <w:rsid w:val="000E3947"/>
    <w:rsid w:val="000E3BA4"/>
    <w:rsid w:val="000E3DE4"/>
    <w:rsid w:val="000E3DE6"/>
    <w:rsid w:val="000E3E58"/>
    <w:rsid w:val="000E3E5E"/>
    <w:rsid w:val="000E3E76"/>
    <w:rsid w:val="000E3F2D"/>
    <w:rsid w:val="000E3F69"/>
    <w:rsid w:val="000E3F89"/>
    <w:rsid w:val="000E3FEA"/>
    <w:rsid w:val="000E4052"/>
    <w:rsid w:val="000E417E"/>
    <w:rsid w:val="000E4188"/>
    <w:rsid w:val="000E4190"/>
    <w:rsid w:val="000E4204"/>
    <w:rsid w:val="000E4225"/>
    <w:rsid w:val="000E4228"/>
    <w:rsid w:val="000E42C9"/>
    <w:rsid w:val="000E4361"/>
    <w:rsid w:val="000E4468"/>
    <w:rsid w:val="000E4583"/>
    <w:rsid w:val="000E45E9"/>
    <w:rsid w:val="000E460C"/>
    <w:rsid w:val="000E4623"/>
    <w:rsid w:val="000E4636"/>
    <w:rsid w:val="000E46B5"/>
    <w:rsid w:val="000E47EF"/>
    <w:rsid w:val="000E4820"/>
    <w:rsid w:val="000E49EB"/>
    <w:rsid w:val="000E49F8"/>
    <w:rsid w:val="000E4AA4"/>
    <w:rsid w:val="000E4AA9"/>
    <w:rsid w:val="000E4AD7"/>
    <w:rsid w:val="000E4B59"/>
    <w:rsid w:val="000E4CB2"/>
    <w:rsid w:val="000E4CB9"/>
    <w:rsid w:val="000E4D61"/>
    <w:rsid w:val="000E4D92"/>
    <w:rsid w:val="000E4E1D"/>
    <w:rsid w:val="000E4F3A"/>
    <w:rsid w:val="000E4F6A"/>
    <w:rsid w:val="000E4F7E"/>
    <w:rsid w:val="000E4FC2"/>
    <w:rsid w:val="000E5063"/>
    <w:rsid w:val="000E5264"/>
    <w:rsid w:val="000E5342"/>
    <w:rsid w:val="000E534A"/>
    <w:rsid w:val="000E535A"/>
    <w:rsid w:val="000E5390"/>
    <w:rsid w:val="000E54EC"/>
    <w:rsid w:val="000E55CE"/>
    <w:rsid w:val="000E55D0"/>
    <w:rsid w:val="000E570C"/>
    <w:rsid w:val="000E576A"/>
    <w:rsid w:val="000E5824"/>
    <w:rsid w:val="000E59E9"/>
    <w:rsid w:val="000E5A3A"/>
    <w:rsid w:val="000E5AD6"/>
    <w:rsid w:val="000E5AE9"/>
    <w:rsid w:val="000E5C4C"/>
    <w:rsid w:val="000E5D00"/>
    <w:rsid w:val="000E5D4D"/>
    <w:rsid w:val="000E5D8F"/>
    <w:rsid w:val="000E5E7B"/>
    <w:rsid w:val="000E5EC0"/>
    <w:rsid w:val="000E6004"/>
    <w:rsid w:val="000E6093"/>
    <w:rsid w:val="000E60B7"/>
    <w:rsid w:val="000E6129"/>
    <w:rsid w:val="000E617D"/>
    <w:rsid w:val="000E6197"/>
    <w:rsid w:val="000E622B"/>
    <w:rsid w:val="000E6248"/>
    <w:rsid w:val="000E6300"/>
    <w:rsid w:val="000E6301"/>
    <w:rsid w:val="000E636A"/>
    <w:rsid w:val="000E63F0"/>
    <w:rsid w:val="000E63F8"/>
    <w:rsid w:val="000E651B"/>
    <w:rsid w:val="000E6523"/>
    <w:rsid w:val="000E6599"/>
    <w:rsid w:val="000E6734"/>
    <w:rsid w:val="000E679D"/>
    <w:rsid w:val="000E67A3"/>
    <w:rsid w:val="000E6934"/>
    <w:rsid w:val="000E698D"/>
    <w:rsid w:val="000E69A1"/>
    <w:rsid w:val="000E6A5F"/>
    <w:rsid w:val="000E6ACA"/>
    <w:rsid w:val="000E6BB9"/>
    <w:rsid w:val="000E6C2F"/>
    <w:rsid w:val="000E6D48"/>
    <w:rsid w:val="000E6E79"/>
    <w:rsid w:val="000E6EC2"/>
    <w:rsid w:val="000E6F33"/>
    <w:rsid w:val="000E6F63"/>
    <w:rsid w:val="000E70E7"/>
    <w:rsid w:val="000E72EB"/>
    <w:rsid w:val="000E7718"/>
    <w:rsid w:val="000E7851"/>
    <w:rsid w:val="000E78F6"/>
    <w:rsid w:val="000E7929"/>
    <w:rsid w:val="000E7983"/>
    <w:rsid w:val="000E7A05"/>
    <w:rsid w:val="000E7D04"/>
    <w:rsid w:val="000E7E64"/>
    <w:rsid w:val="000E7E6A"/>
    <w:rsid w:val="000E7FCC"/>
    <w:rsid w:val="000F0021"/>
    <w:rsid w:val="000F0030"/>
    <w:rsid w:val="000F01D5"/>
    <w:rsid w:val="000F03B8"/>
    <w:rsid w:val="000F049A"/>
    <w:rsid w:val="000F05E4"/>
    <w:rsid w:val="000F065B"/>
    <w:rsid w:val="000F072C"/>
    <w:rsid w:val="000F07EC"/>
    <w:rsid w:val="000F08A9"/>
    <w:rsid w:val="000F08B0"/>
    <w:rsid w:val="000F08EC"/>
    <w:rsid w:val="000F099B"/>
    <w:rsid w:val="000F0B06"/>
    <w:rsid w:val="000F0CD8"/>
    <w:rsid w:val="000F0D8F"/>
    <w:rsid w:val="000F0DE6"/>
    <w:rsid w:val="000F0E36"/>
    <w:rsid w:val="000F0E3F"/>
    <w:rsid w:val="000F1020"/>
    <w:rsid w:val="000F1061"/>
    <w:rsid w:val="000F12B4"/>
    <w:rsid w:val="000F1309"/>
    <w:rsid w:val="000F139B"/>
    <w:rsid w:val="000F13C4"/>
    <w:rsid w:val="000F14EB"/>
    <w:rsid w:val="000F1508"/>
    <w:rsid w:val="000F1606"/>
    <w:rsid w:val="000F1660"/>
    <w:rsid w:val="000F16B8"/>
    <w:rsid w:val="000F1888"/>
    <w:rsid w:val="000F1A15"/>
    <w:rsid w:val="000F1A3D"/>
    <w:rsid w:val="000F1A47"/>
    <w:rsid w:val="000F1B78"/>
    <w:rsid w:val="000F1C28"/>
    <w:rsid w:val="000F1C3B"/>
    <w:rsid w:val="000F1E3B"/>
    <w:rsid w:val="000F1EE0"/>
    <w:rsid w:val="000F1EF4"/>
    <w:rsid w:val="000F1EFA"/>
    <w:rsid w:val="000F1F02"/>
    <w:rsid w:val="000F20F3"/>
    <w:rsid w:val="000F221D"/>
    <w:rsid w:val="000F22A6"/>
    <w:rsid w:val="000F22B9"/>
    <w:rsid w:val="000F2452"/>
    <w:rsid w:val="000F2467"/>
    <w:rsid w:val="000F250B"/>
    <w:rsid w:val="000F263F"/>
    <w:rsid w:val="000F26B4"/>
    <w:rsid w:val="000F28B5"/>
    <w:rsid w:val="000F29D0"/>
    <w:rsid w:val="000F2B84"/>
    <w:rsid w:val="000F2C1A"/>
    <w:rsid w:val="000F2D15"/>
    <w:rsid w:val="000F2D33"/>
    <w:rsid w:val="000F2D64"/>
    <w:rsid w:val="000F2D75"/>
    <w:rsid w:val="000F2DAB"/>
    <w:rsid w:val="000F2DE7"/>
    <w:rsid w:val="000F2F75"/>
    <w:rsid w:val="000F3142"/>
    <w:rsid w:val="000F3159"/>
    <w:rsid w:val="000F31D3"/>
    <w:rsid w:val="000F3259"/>
    <w:rsid w:val="000F34FD"/>
    <w:rsid w:val="000F360C"/>
    <w:rsid w:val="000F3811"/>
    <w:rsid w:val="000F39C7"/>
    <w:rsid w:val="000F3A1D"/>
    <w:rsid w:val="000F3B31"/>
    <w:rsid w:val="000F3B33"/>
    <w:rsid w:val="000F3B73"/>
    <w:rsid w:val="000F3C34"/>
    <w:rsid w:val="000F3D91"/>
    <w:rsid w:val="000F3DFA"/>
    <w:rsid w:val="000F3E54"/>
    <w:rsid w:val="000F3F0A"/>
    <w:rsid w:val="000F405C"/>
    <w:rsid w:val="000F4151"/>
    <w:rsid w:val="000F417B"/>
    <w:rsid w:val="000F426F"/>
    <w:rsid w:val="000F42C2"/>
    <w:rsid w:val="000F4317"/>
    <w:rsid w:val="000F44EF"/>
    <w:rsid w:val="000F4730"/>
    <w:rsid w:val="000F4739"/>
    <w:rsid w:val="000F4759"/>
    <w:rsid w:val="000F4874"/>
    <w:rsid w:val="000F490F"/>
    <w:rsid w:val="000F4A25"/>
    <w:rsid w:val="000F4BA0"/>
    <w:rsid w:val="000F4BAB"/>
    <w:rsid w:val="000F4BC5"/>
    <w:rsid w:val="000F4C6E"/>
    <w:rsid w:val="000F4EEE"/>
    <w:rsid w:val="000F4F74"/>
    <w:rsid w:val="000F509B"/>
    <w:rsid w:val="000F535B"/>
    <w:rsid w:val="000F5398"/>
    <w:rsid w:val="000F539C"/>
    <w:rsid w:val="000F53B0"/>
    <w:rsid w:val="000F53FB"/>
    <w:rsid w:val="000F5428"/>
    <w:rsid w:val="000F54AA"/>
    <w:rsid w:val="000F5540"/>
    <w:rsid w:val="000F5773"/>
    <w:rsid w:val="000F5833"/>
    <w:rsid w:val="000F5871"/>
    <w:rsid w:val="000F5B13"/>
    <w:rsid w:val="000F5BC4"/>
    <w:rsid w:val="000F5BF5"/>
    <w:rsid w:val="000F5C22"/>
    <w:rsid w:val="000F5C81"/>
    <w:rsid w:val="000F5D32"/>
    <w:rsid w:val="000F5D5A"/>
    <w:rsid w:val="000F5E5A"/>
    <w:rsid w:val="000F5E6B"/>
    <w:rsid w:val="000F5EDD"/>
    <w:rsid w:val="000F60A7"/>
    <w:rsid w:val="000F61FA"/>
    <w:rsid w:val="000F62A3"/>
    <w:rsid w:val="000F62B6"/>
    <w:rsid w:val="000F65E1"/>
    <w:rsid w:val="000F66D7"/>
    <w:rsid w:val="000F687B"/>
    <w:rsid w:val="000F69B4"/>
    <w:rsid w:val="000F69CA"/>
    <w:rsid w:val="000F6B0C"/>
    <w:rsid w:val="000F6C25"/>
    <w:rsid w:val="000F6DEB"/>
    <w:rsid w:val="000F6E01"/>
    <w:rsid w:val="000F6E34"/>
    <w:rsid w:val="000F6FE3"/>
    <w:rsid w:val="000F7071"/>
    <w:rsid w:val="000F715D"/>
    <w:rsid w:val="000F722A"/>
    <w:rsid w:val="000F723A"/>
    <w:rsid w:val="000F7245"/>
    <w:rsid w:val="000F727D"/>
    <w:rsid w:val="000F73B3"/>
    <w:rsid w:val="000F74CF"/>
    <w:rsid w:val="000F74F3"/>
    <w:rsid w:val="000F75EE"/>
    <w:rsid w:val="000F7627"/>
    <w:rsid w:val="000F76A3"/>
    <w:rsid w:val="000F76DC"/>
    <w:rsid w:val="000F7719"/>
    <w:rsid w:val="000F7771"/>
    <w:rsid w:val="000F77E8"/>
    <w:rsid w:val="000F780A"/>
    <w:rsid w:val="000F786C"/>
    <w:rsid w:val="000F78C0"/>
    <w:rsid w:val="000F7923"/>
    <w:rsid w:val="000F7938"/>
    <w:rsid w:val="000F793A"/>
    <w:rsid w:val="000F794C"/>
    <w:rsid w:val="000F7A5C"/>
    <w:rsid w:val="000F7AD3"/>
    <w:rsid w:val="000F7B9B"/>
    <w:rsid w:val="000F7BC1"/>
    <w:rsid w:val="000F7C9E"/>
    <w:rsid w:val="000F7DB5"/>
    <w:rsid w:val="000F7E84"/>
    <w:rsid w:val="000F7F49"/>
    <w:rsid w:val="00100154"/>
    <w:rsid w:val="00100196"/>
    <w:rsid w:val="001001B0"/>
    <w:rsid w:val="0010026E"/>
    <w:rsid w:val="001002B0"/>
    <w:rsid w:val="00100323"/>
    <w:rsid w:val="00100392"/>
    <w:rsid w:val="00100471"/>
    <w:rsid w:val="001005EE"/>
    <w:rsid w:val="0010078A"/>
    <w:rsid w:val="001008AE"/>
    <w:rsid w:val="001008EC"/>
    <w:rsid w:val="001009B6"/>
    <w:rsid w:val="00100A54"/>
    <w:rsid w:val="00100B6F"/>
    <w:rsid w:val="00100C57"/>
    <w:rsid w:val="00100CCD"/>
    <w:rsid w:val="00100D4F"/>
    <w:rsid w:val="00100E16"/>
    <w:rsid w:val="00100E89"/>
    <w:rsid w:val="00100ECD"/>
    <w:rsid w:val="00100F43"/>
    <w:rsid w:val="00101088"/>
    <w:rsid w:val="0010113D"/>
    <w:rsid w:val="00101147"/>
    <w:rsid w:val="00101178"/>
    <w:rsid w:val="00101182"/>
    <w:rsid w:val="00101216"/>
    <w:rsid w:val="001012F2"/>
    <w:rsid w:val="001013B4"/>
    <w:rsid w:val="0010149D"/>
    <w:rsid w:val="0010157E"/>
    <w:rsid w:val="0010166C"/>
    <w:rsid w:val="0010174A"/>
    <w:rsid w:val="00101788"/>
    <w:rsid w:val="001017A8"/>
    <w:rsid w:val="001017F7"/>
    <w:rsid w:val="001018AB"/>
    <w:rsid w:val="00101A00"/>
    <w:rsid w:val="00101A1E"/>
    <w:rsid w:val="00101A9B"/>
    <w:rsid w:val="00101AD1"/>
    <w:rsid w:val="00101AEC"/>
    <w:rsid w:val="00101BBC"/>
    <w:rsid w:val="00101C03"/>
    <w:rsid w:val="00101C95"/>
    <w:rsid w:val="00101CF8"/>
    <w:rsid w:val="00101D8C"/>
    <w:rsid w:val="00101E55"/>
    <w:rsid w:val="00101F13"/>
    <w:rsid w:val="00101F4C"/>
    <w:rsid w:val="00101F4E"/>
    <w:rsid w:val="00101FFF"/>
    <w:rsid w:val="0010200F"/>
    <w:rsid w:val="0010221A"/>
    <w:rsid w:val="00102235"/>
    <w:rsid w:val="001022FB"/>
    <w:rsid w:val="0010236C"/>
    <w:rsid w:val="001023F0"/>
    <w:rsid w:val="00102413"/>
    <w:rsid w:val="0010243F"/>
    <w:rsid w:val="00102493"/>
    <w:rsid w:val="00102597"/>
    <w:rsid w:val="001025B7"/>
    <w:rsid w:val="001026F4"/>
    <w:rsid w:val="001027B6"/>
    <w:rsid w:val="001027DF"/>
    <w:rsid w:val="001027F7"/>
    <w:rsid w:val="00102993"/>
    <w:rsid w:val="00102A2B"/>
    <w:rsid w:val="00102A81"/>
    <w:rsid w:val="00102B3C"/>
    <w:rsid w:val="00102B61"/>
    <w:rsid w:val="00102BEF"/>
    <w:rsid w:val="00102C41"/>
    <w:rsid w:val="00102C77"/>
    <w:rsid w:val="00102CF5"/>
    <w:rsid w:val="00102DB6"/>
    <w:rsid w:val="00102DFD"/>
    <w:rsid w:val="00102F60"/>
    <w:rsid w:val="001031F3"/>
    <w:rsid w:val="001031FB"/>
    <w:rsid w:val="00103202"/>
    <w:rsid w:val="0010320C"/>
    <w:rsid w:val="0010336B"/>
    <w:rsid w:val="00103374"/>
    <w:rsid w:val="00103407"/>
    <w:rsid w:val="001035B8"/>
    <w:rsid w:val="0010369A"/>
    <w:rsid w:val="001036B4"/>
    <w:rsid w:val="001036F7"/>
    <w:rsid w:val="00103756"/>
    <w:rsid w:val="0010386D"/>
    <w:rsid w:val="00103882"/>
    <w:rsid w:val="001038BC"/>
    <w:rsid w:val="001038D3"/>
    <w:rsid w:val="001038DB"/>
    <w:rsid w:val="00103987"/>
    <w:rsid w:val="001039E9"/>
    <w:rsid w:val="00103C89"/>
    <w:rsid w:val="00103D03"/>
    <w:rsid w:val="00103FA5"/>
    <w:rsid w:val="00104047"/>
    <w:rsid w:val="0010406E"/>
    <w:rsid w:val="001040F2"/>
    <w:rsid w:val="00104260"/>
    <w:rsid w:val="0010433A"/>
    <w:rsid w:val="001044CC"/>
    <w:rsid w:val="001045C0"/>
    <w:rsid w:val="0010462B"/>
    <w:rsid w:val="00104666"/>
    <w:rsid w:val="0010466F"/>
    <w:rsid w:val="00104726"/>
    <w:rsid w:val="00104758"/>
    <w:rsid w:val="0010484D"/>
    <w:rsid w:val="001048C3"/>
    <w:rsid w:val="00104AA6"/>
    <w:rsid w:val="00104C40"/>
    <w:rsid w:val="00104D01"/>
    <w:rsid w:val="00104D60"/>
    <w:rsid w:val="00104E29"/>
    <w:rsid w:val="00104EE3"/>
    <w:rsid w:val="0010507C"/>
    <w:rsid w:val="001050C9"/>
    <w:rsid w:val="00105163"/>
    <w:rsid w:val="00105177"/>
    <w:rsid w:val="001051A0"/>
    <w:rsid w:val="001051CC"/>
    <w:rsid w:val="001052A9"/>
    <w:rsid w:val="001052CC"/>
    <w:rsid w:val="0010537D"/>
    <w:rsid w:val="001053A5"/>
    <w:rsid w:val="001053AB"/>
    <w:rsid w:val="001053DD"/>
    <w:rsid w:val="001053F1"/>
    <w:rsid w:val="001054EA"/>
    <w:rsid w:val="001056D9"/>
    <w:rsid w:val="00105700"/>
    <w:rsid w:val="00105710"/>
    <w:rsid w:val="001057D2"/>
    <w:rsid w:val="001058A8"/>
    <w:rsid w:val="00105912"/>
    <w:rsid w:val="00105BAC"/>
    <w:rsid w:val="00105BEC"/>
    <w:rsid w:val="00105CD2"/>
    <w:rsid w:val="00105D53"/>
    <w:rsid w:val="00105D94"/>
    <w:rsid w:val="00105DD5"/>
    <w:rsid w:val="00105F0D"/>
    <w:rsid w:val="00105F23"/>
    <w:rsid w:val="00105FD0"/>
    <w:rsid w:val="001060CB"/>
    <w:rsid w:val="00106108"/>
    <w:rsid w:val="00106125"/>
    <w:rsid w:val="0010634E"/>
    <w:rsid w:val="001063E0"/>
    <w:rsid w:val="0010657A"/>
    <w:rsid w:val="00106677"/>
    <w:rsid w:val="0010667A"/>
    <w:rsid w:val="001066B6"/>
    <w:rsid w:val="00106849"/>
    <w:rsid w:val="00106928"/>
    <w:rsid w:val="001069AC"/>
    <w:rsid w:val="00106A7C"/>
    <w:rsid w:val="00106DEF"/>
    <w:rsid w:val="00106F62"/>
    <w:rsid w:val="0010701C"/>
    <w:rsid w:val="0010716E"/>
    <w:rsid w:val="00107211"/>
    <w:rsid w:val="00107271"/>
    <w:rsid w:val="001074DD"/>
    <w:rsid w:val="00107518"/>
    <w:rsid w:val="00107526"/>
    <w:rsid w:val="00107565"/>
    <w:rsid w:val="0010760A"/>
    <w:rsid w:val="00107616"/>
    <w:rsid w:val="001076BE"/>
    <w:rsid w:val="001077EB"/>
    <w:rsid w:val="0010786B"/>
    <w:rsid w:val="001078A6"/>
    <w:rsid w:val="0010792B"/>
    <w:rsid w:val="00107ADB"/>
    <w:rsid w:val="00107BA5"/>
    <w:rsid w:val="00107BB0"/>
    <w:rsid w:val="00107BDD"/>
    <w:rsid w:val="00107C00"/>
    <w:rsid w:val="00107C56"/>
    <w:rsid w:val="00107C7D"/>
    <w:rsid w:val="00107C83"/>
    <w:rsid w:val="00107CDF"/>
    <w:rsid w:val="00107D46"/>
    <w:rsid w:val="00107DE7"/>
    <w:rsid w:val="00107E4A"/>
    <w:rsid w:val="00107F31"/>
    <w:rsid w:val="00107F54"/>
    <w:rsid w:val="0011002D"/>
    <w:rsid w:val="00110070"/>
    <w:rsid w:val="001100D9"/>
    <w:rsid w:val="00110113"/>
    <w:rsid w:val="00110117"/>
    <w:rsid w:val="0011015C"/>
    <w:rsid w:val="00110459"/>
    <w:rsid w:val="001104F0"/>
    <w:rsid w:val="0011056B"/>
    <w:rsid w:val="00110921"/>
    <w:rsid w:val="00110A20"/>
    <w:rsid w:val="00110A3D"/>
    <w:rsid w:val="00110AB0"/>
    <w:rsid w:val="00110AB2"/>
    <w:rsid w:val="00110ABF"/>
    <w:rsid w:val="00110C92"/>
    <w:rsid w:val="00110F5E"/>
    <w:rsid w:val="00110F63"/>
    <w:rsid w:val="00110F68"/>
    <w:rsid w:val="00110FB7"/>
    <w:rsid w:val="00110FC6"/>
    <w:rsid w:val="00110FFA"/>
    <w:rsid w:val="001111EB"/>
    <w:rsid w:val="00111208"/>
    <w:rsid w:val="00111235"/>
    <w:rsid w:val="001112D8"/>
    <w:rsid w:val="001112E8"/>
    <w:rsid w:val="001112F4"/>
    <w:rsid w:val="001114EC"/>
    <w:rsid w:val="0011150A"/>
    <w:rsid w:val="001115FB"/>
    <w:rsid w:val="0011161E"/>
    <w:rsid w:val="00111698"/>
    <w:rsid w:val="001116A9"/>
    <w:rsid w:val="001117C2"/>
    <w:rsid w:val="001117E1"/>
    <w:rsid w:val="0011182C"/>
    <w:rsid w:val="00111865"/>
    <w:rsid w:val="00111877"/>
    <w:rsid w:val="00111E3C"/>
    <w:rsid w:val="00111E4E"/>
    <w:rsid w:val="00111EA7"/>
    <w:rsid w:val="00111F5B"/>
    <w:rsid w:val="00111FCC"/>
    <w:rsid w:val="00112071"/>
    <w:rsid w:val="001120A5"/>
    <w:rsid w:val="0011210E"/>
    <w:rsid w:val="001121C3"/>
    <w:rsid w:val="00112218"/>
    <w:rsid w:val="00112284"/>
    <w:rsid w:val="001125B7"/>
    <w:rsid w:val="00112690"/>
    <w:rsid w:val="00112751"/>
    <w:rsid w:val="0011282F"/>
    <w:rsid w:val="00112893"/>
    <w:rsid w:val="00112897"/>
    <w:rsid w:val="001129DE"/>
    <w:rsid w:val="00112A31"/>
    <w:rsid w:val="00112AA2"/>
    <w:rsid w:val="00112BB6"/>
    <w:rsid w:val="00112E01"/>
    <w:rsid w:val="00112E61"/>
    <w:rsid w:val="00112EEA"/>
    <w:rsid w:val="00112F0E"/>
    <w:rsid w:val="00112FE9"/>
    <w:rsid w:val="001130CC"/>
    <w:rsid w:val="001130DD"/>
    <w:rsid w:val="001130F4"/>
    <w:rsid w:val="00113125"/>
    <w:rsid w:val="00113142"/>
    <w:rsid w:val="00113151"/>
    <w:rsid w:val="001132B2"/>
    <w:rsid w:val="001133E8"/>
    <w:rsid w:val="0011359E"/>
    <w:rsid w:val="00113609"/>
    <w:rsid w:val="001136C2"/>
    <w:rsid w:val="001137B4"/>
    <w:rsid w:val="0011380F"/>
    <w:rsid w:val="0011397E"/>
    <w:rsid w:val="001139AA"/>
    <w:rsid w:val="00113A28"/>
    <w:rsid w:val="00113A61"/>
    <w:rsid w:val="00113ACC"/>
    <w:rsid w:val="00113AD8"/>
    <w:rsid w:val="00113B50"/>
    <w:rsid w:val="0011401A"/>
    <w:rsid w:val="0011405D"/>
    <w:rsid w:val="0011412F"/>
    <w:rsid w:val="0011416F"/>
    <w:rsid w:val="0011417A"/>
    <w:rsid w:val="00114197"/>
    <w:rsid w:val="00114221"/>
    <w:rsid w:val="00114222"/>
    <w:rsid w:val="0011428B"/>
    <w:rsid w:val="001142D1"/>
    <w:rsid w:val="0011439F"/>
    <w:rsid w:val="00114542"/>
    <w:rsid w:val="00114544"/>
    <w:rsid w:val="00114656"/>
    <w:rsid w:val="00114878"/>
    <w:rsid w:val="001148EC"/>
    <w:rsid w:val="00114976"/>
    <w:rsid w:val="001149A8"/>
    <w:rsid w:val="001149A9"/>
    <w:rsid w:val="00114B35"/>
    <w:rsid w:val="00114C38"/>
    <w:rsid w:val="00114C91"/>
    <w:rsid w:val="00114D1D"/>
    <w:rsid w:val="00114E30"/>
    <w:rsid w:val="00114ED1"/>
    <w:rsid w:val="00114F42"/>
    <w:rsid w:val="00114F49"/>
    <w:rsid w:val="00114FED"/>
    <w:rsid w:val="00115052"/>
    <w:rsid w:val="001151CD"/>
    <w:rsid w:val="0011530F"/>
    <w:rsid w:val="0011549F"/>
    <w:rsid w:val="00115663"/>
    <w:rsid w:val="00115740"/>
    <w:rsid w:val="0011578A"/>
    <w:rsid w:val="001157CB"/>
    <w:rsid w:val="001158C0"/>
    <w:rsid w:val="00115A44"/>
    <w:rsid w:val="00115A95"/>
    <w:rsid w:val="00115AA4"/>
    <w:rsid w:val="00115BAD"/>
    <w:rsid w:val="00115BD3"/>
    <w:rsid w:val="00115E21"/>
    <w:rsid w:val="00115E81"/>
    <w:rsid w:val="00115EED"/>
    <w:rsid w:val="001161F9"/>
    <w:rsid w:val="00116229"/>
    <w:rsid w:val="001162C5"/>
    <w:rsid w:val="0011641E"/>
    <w:rsid w:val="00116435"/>
    <w:rsid w:val="001164E4"/>
    <w:rsid w:val="0011650F"/>
    <w:rsid w:val="00116538"/>
    <w:rsid w:val="00116865"/>
    <w:rsid w:val="00116871"/>
    <w:rsid w:val="00116A25"/>
    <w:rsid w:val="00116B99"/>
    <w:rsid w:val="00116D2D"/>
    <w:rsid w:val="00116E35"/>
    <w:rsid w:val="001170C4"/>
    <w:rsid w:val="001171F7"/>
    <w:rsid w:val="00117236"/>
    <w:rsid w:val="0011738D"/>
    <w:rsid w:val="001175A4"/>
    <w:rsid w:val="00117809"/>
    <w:rsid w:val="001178D0"/>
    <w:rsid w:val="001178E7"/>
    <w:rsid w:val="00117984"/>
    <w:rsid w:val="00117E41"/>
    <w:rsid w:val="00117EDF"/>
    <w:rsid w:val="00120036"/>
    <w:rsid w:val="001200F4"/>
    <w:rsid w:val="00120123"/>
    <w:rsid w:val="00120270"/>
    <w:rsid w:val="001204D3"/>
    <w:rsid w:val="00120568"/>
    <w:rsid w:val="001205C0"/>
    <w:rsid w:val="00120731"/>
    <w:rsid w:val="0012079F"/>
    <w:rsid w:val="00120800"/>
    <w:rsid w:val="00120885"/>
    <w:rsid w:val="0012098B"/>
    <w:rsid w:val="00120C40"/>
    <w:rsid w:val="00120C76"/>
    <w:rsid w:val="00120C77"/>
    <w:rsid w:val="00120D23"/>
    <w:rsid w:val="00120D6A"/>
    <w:rsid w:val="00120DA2"/>
    <w:rsid w:val="00120E0C"/>
    <w:rsid w:val="00120F38"/>
    <w:rsid w:val="00120FF7"/>
    <w:rsid w:val="001210B5"/>
    <w:rsid w:val="00121107"/>
    <w:rsid w:val="0012110B"/>
    <w:rsid w:val="001211E0"/>
    <w:rsid w:val="001212B3"/>
    <w:rsid w:val="0012131E"/>
    <w:rsid w:val="00121363"/>
    <w:rsid w:val="001214A8"/>
    <w:rsid w:val="0012151E"/>
    <w:rsid w:val="001215D6"/>
    <w:rsid w:val="00121653"/>
    <w:rsid w:val="001217B5"/>
    <w:rsid w:val="001217CF"/>
    <w:rsid w:val="00121845"/>
    <w:rsid w:val="00121D00"/>
    <w:rsid w:val="00121E10"/>
    <w:rsid w:val="00121E73"/>
    <w:rsid w:val="00121FCC"/>
    <w:rsid w:val="00122083"/>
    <w:rsid w:val="00122092"/>
    <w:rsid w:val="001222E3"/>
    <w:rsid w:val="00122491"/>
    <w:rsid w:val="001224C9"/>
    <w:rsid w:val="0012263F"/>
    <w:rsid w:val="00122654"/>
    <w:rsid w:val="00122679"/>
    <w:rsid w:val="001227E2"/>
    <w:rsid w:val="0012289B"/>
    <w:rsid w:val="0012293E"/>
    <w:rsid w:val="001229B9"/>
    <w:rsid w:val="00122BE7"/>
    <w:rsid w:val="00122D74"/>
    <w:rsid w:val="00122D80"/>
    <w:rsid w:val="00122DA4"/>
    <w:rsid w:val="00122E31"/>
    <w:rsid w:val="00122F24"/>
    <w:rsid w:val="00122F64"/>
    <w:rsid w:val="00122FC3"/>
    <w:rsid w:val="00122FCB"/>
    <w:rsid w:val="00123189"/>
    <w:rsid w:val="001231F6"/>
    <w:rsid w:val="00123226"/>
    <w:rsid w:val="001233A8"/>
    <w:rsid w:val="001236C5"/>
    <w:rsid w:val="00123706"/>
    <w:rsid w:val="00123711"/>
    <w:rsid w:val="0012392C"/>
    <w:rsid w:val="001239B0"/>
    <w:rsid w:val="00123AD3"/>
    <w:rsid w:val="00123AFD"/>
    <w:rsid w:val="00123B42"/>
    <w:rsid w:val="00123E01"/>
    <w:rsid w:val="00123ED9"/>
    <w:rsid w:val="00123EDA"/>
    <w:rsid w:val="00123EFD"/>
    <w:rsid w:val="00123F08"/>
    <w:rsid w:val="00123F51"/>
    <w:rsid w:val="00123FB5"/>
    <w:rsid w:val="001242A1"/>
    <w:rsid w:val="001242F7"/>
    <w:rsid w:val="00124305"/>
    <w:rsid w:val="0012452B"/>
    <w:rsid w:val="00124573"/>
    <w:rsid w:val="00124575"/>
    <w:rsid w:val="001245BF"/>
    <w:rsid w:val="001245D7"/>
    <w:rsid w:val="0012481B"/>
    <w:rsid w:val="001249B8"/>
    <w:rsid w:val="00124A9F"/>
    <w:rsid w:val="00124B34"/>
    <w:rsid w:val="00124BC0"/>
    <w:rsid w:val="00124C00"/>
    <w:rsid w:val="00124C8E"/>
    <w:rsid w:val="00124C9D"/>
    <w:rsid w:val="00124DFF"/>
    <w:rsid w:val="00124E10"/>
    <w:rsid w:val="00124E5C"/>
    <w:rsid w:val="00124EE9"/>
    <w:rsid w:val="00124F3F"/>
    <w:rsid w:val="00124F6E"/>
    <w:rsid w:val="00125022"/>
    <w:rsid w:val="00125115"/>
    <w:rsid w:val="00125175"/>
    <w:rsid w:val="001252B1"/>
    <w:rsid w:val="0012547F"/>
    <w:rsid w:val="0012556B"/>
    <w:rsid w:val="00125664"/>
    <w:rsid w:val="0012575D"/>
    <w:rsid w:val="0012576C"/>
    <w:rsid w:val="001257FC"/>
    <w:rsid w:val="0012583B"/>
    <w:rsid w:val="00125871"/>
    <w:rsid w:val="00125917"/>
    <w:rsid w:val="0012592C"/>
    <w:rsid w:val="001259A2"/>
    <w:rsid w:val="001259B8"/>
    <w:rsid w:val="00125B1C"/>
    <w:rsid w:val="00125C69"/>
    <w:rsid w:val="00125C84"/>
    <w:rsid w:val="00125D05"/>
    <w:rsid w:val="00125F00"/>
    <w:rsid w:val="00125F11"/>
    <w:rsid w:val="001261EB"/>
    <w:rsid w:val="0012626F"/>
    <w:rsid w:val="0012632A"/>
    <w:rsid w:val="0012633B"/>
    <w:rsid w:val="0012646A"/>
    <w:rsid w:val="001265CF"/>
    <w:rsid w:val="00126672"/>
    <w:rsid w:val="001267E3"/>
    <w:rsid w:val="0012682F"/>
    <w:rsid w:val="0012683F"/>
    <w:rsid w:val="001269F8"/>
    <w:rsid w:val="00126A76"/>
    <w:rsid w:val="00126B09"/>
    <w:rsid w:val="00126CBD"/>
    <w:rsid w:val="00126CD6"/>
    <w:rsid w:val="00126D16"/>
    <w:rsid w:val="00126DD7"/>
    <w:rsid w:val="00126DF7"/>
    <w:rsid w:val="00126EA5"/>
    <w:rsid w:val="00126EF5"/>
    <w:rsid w:val="00126F65"/>
    <w:rsid w:val="00126FE7"/>
    <w:rsid w:val="001271B7"/>
    <w:rsid w:val="00127276"/>
    <w:rsid w:val="00127279"/>
    <w:rsid w:val="0012740D"/>
    <w:rsid w:val="0012743D"/>
    <w:rsid w:val="001274C6"/>
    <w:rsid w:val="0012774D"/>
    <w:rsid w:val="00127837"/>
    <w:rsid w:val="001278E0"/>
    <w:rsid w:val="001278E3"/>
    <w:rsid w:val="00127DAF"/>
    <w:rsid w:val="00127E19"/>
    <w:rsid w:val="00127E80"/>
    <w:rsid w:val="00127F0A"/>
    <w:rsid w:val="00130043"/>
    <w:rsid w:val="001300AE"/>
    <w:rsid w:val="0013016B"/>
    <w:rsid w:val="00130191"/>
    <w:rsid w:val="001301C9"/>
    <w:rsid w:val="001302BA"/>
    <w:rsid w:val="001302DA"/>
    <w:rsid w:val="00130314"/>
    <w:rsid w:val="00130584"/>
    <w:rsid w:val="0013063C"/>
    <w:rsid w:val="00130741"/>
    <w:rsid w:val="0013079A"/>
    <w:rsid w:val="00130A55"/>
    <w:rsid w:val="00130AED"/>
    <w:rsid w:val="00130BE6"/>
    <w:rsid w:val="00130C1B"/>
    <w:rsid w:val="00130D37"/>
    <w:rsid w:val="00130DA7"/>
    <w:rsid w:val="00130DF6"/>
    <w:rsid w:val="00130FBC"/>
    <w:rsid w:val="001310DD"/>
    <w:rsid w:val="00131137"/>
    <w:rsid w:val="00131156"/>
    <w:rsid w:val="0013129A"/>
    <w:rsid w:val="001312DF"/>
    <w:rsid w:val="0013132C"/>
    <w:rsid w:val="00131362"/>
    <w:rsid w:val="001313A6"/>
    <w:rsid w:val="0013158F"/>
    <w:rsid w:val="00131617"/>
    <w:rsid w:val="00131668"/>
    <w:rsid w:val="00131673"/>
    <w:rsid w:val="001318AD"/>
    <w:rsid w:val="001319DB"/>
    <w:rsid w:val="00131A14"/>
    <w:rsid w:val="00131AD6"/>
    <w:rsid w:val="00131B2D"/>
    <w:rsid w:val="00131BE6"/>
    <w:rsid w:val="00131C45"/>
    <w:rsid w:val="00131CEC"/>
    <w:rsid w:val="00131D26"/>
    <w:rsid w:val="00131D46"/>
    <w:rsid w:val="00131DF1"/>
    <w:rsid w:val="00131EEC"/>
    <w:rsid w:val="00131F44"/>
    <w:rsid w:val="00131F5E"/>
    <w:rsid w:val="00132143"/>
    <w:rsid w:val="0013217E"/>
    <w:rsid w:val="0013230B"/>
    <w:rsid w:val="00132488"/>
    <w:rsid w:val="0013251B"/>
    <w:rsid w:val="00132521"/>
    <w:rsid w:val="00132736"/>
    <w:rsid w:val="001327D3"/>
    <w:rsid w:val="001327DB"/>
    <w:rsid w:val="001328E9"/>
    <w:rsid w:val="00132A2C"/>
    <w:rsid w:val="00132A3A"/>
    <w:rsid w:val="00132A4F"/>
    <w:rsid w:val="00132A88"/>
    <w:rsid w:val="00132A8E"/>
    <w:rsid w:val="00132BCD"/>
    <w:rsid w:val="00132C21"/>
    <w:rsid w:val="00132CCA"/>
    <w:rsid w:val="00132F86"/>
    <w:rsid w:val="00132FA4"/>
    <w:rsid w:val="00132FC2"/>
    <w:rsid w:val="00133047"/>
    <w:rsid w:val="0013306A"/>
    <w:rsid w:val="001330F6"/>
    <w:rsid w:val="0013329C"/>
    <w:rsid w:val="001334A4"/>
    <w:rsid w:val="001334DC"/>
    <w:rsid w:val="00133503"/>
    <w:rsid w:val="00133594"/>
    <w:rsid w:val="00133635"/>
    <w:rsid w:val="00133693"/>
    <w:rsid w:val="00133795"/>
    <w:rsid w:val="001337C0"/>
    <w:rsid w:val="001337F6"/>
    <w:rsid w:val="00133A1A"/>
    <w:rsid w:val="00133B22"/>
    <w:rsid w:val="00133B72"/>
    <w:rsid w:val="00133B7F"/>
    <w:rsid w:val="00133C7F"/>
    <w:rsid w:val="00133CF7"/>
    <w:rsid w:val="00133D45"/>
    <w:rsid w:val="00133E4B"/>
    <w:rsid w:val="00133E73"/>
    <w:rsid w:val="00133F8D"/>
    <w:rsid w:val="001340E2"/>
    <w:rsid w:val="00134102"/>
    <w:rsid w:val="0013411D"/>
    <w:rsid w:val="0013418D"/>
    <w:rsid w:val="001341A6"/>
    <w:rsid w:val="001341EF"/>
    <w:rsid w:val="001342C8"/>
    <w:rsid w:val="001343AD"/>
    <w:rsid w:val="001343B6"/>
    <w:rsid w:val="0013451E"/>
    <w:rsid w:val="001345E6"/>
    <w:rsid w:val="00134677"/>
    <w:rsid w:val="00134681"/>
    <w:rsid w:val="00134845"/>
    <w:rsid w:val="00134899"/>
    <w:rsid w:val="0013493E"/>
    <w:rsid w:val="0013494C"/>
    <w:rsid w:val="00134A4D"/>
    <w:rsid w:val="00134B3B"/>
    <w:rsid w:val="00134B68"/>
    <w:rsid w:val="00134BF0"/>
    <w:rsid w:val="00134C3F"/>
    <w:rsid w:val="00134D6D"/>
    <w:rsid w:val="00134FC0"/>
    <w:rsid w:val="00134FE5"/>
    <w:rsid w:val="0013501F"/>
    <w:rsid w:val="0013507E"/>
    <w:rsid w:val="001351B6"/>
    <w:rsid w:val="001351CF"/>
    <w:rsid w:val="00135287"/>
    <w:rsid w:val="001353AC"/>
    <w:rsid w:val="00135440"/>
    <w:rsid w:val="00135481"/>
    <w:rsid w:val="00135507"/>
    <w:rsid w:val="00135565"/>
    <w:rsid w:val="001355A7"/>
    <w:rsid w:val="001355B4"/>
    <w:rsid w:val="001355EA"/>
    <w:rsid w:val="001356EA"/>
    <w:rsid w:val="0013581E"/>
    <w:rsid w:val="00135877"/>
    <w:rsid w:val="001358EC"/>
    <w:rsid w:val="00135972"/>
    <w:rsid w:val="00135A03"/>
    <w:rsid w:val="00135B96"/>
    <w:rsid w:val="00135BAB"/>
    <w:rsid w:val="00135C18"/>
    <w:rsid w:val="00135C89"/>
    <w:rsid w:val="00135CD3"/>
    <w:rsid w:val="00135D96"/>
    <w:rsid w:val="00135DF6"/>
    <w:rsid w:val="00135E00"/>
    <w:rsid w:val="00135E76"/>
    <w:rsid w:val="00136014"/>
    <w:rsid w:val="0013608C"/>
    <w:rsid w:val="00136123"/>
    <w:rsid w:val="001361FB"/>
    <w:rsid w:val="0013627C"/>
    <w:rsid w:val="00136287"/>
    <w:rsid w:val="00136294"/>
    <w:rsid w:val="001362A8"/>
    <w:rsid w:val="001363D7"/>
    <w:rsid w:val="00136547"/>
    <w:rsid w:val="00136707"/>
    <w:rsid w:val="00136761"/>
    <w:rsid w:val="0013686B"/>
    <w:rsid w:val="00136949"/>
    <w:rsid w:val="00136A4C"/>
    <w:rsid w:val="00136BB1"/>
    <w:rsid w:val="00136C04"/>
    <w:rsid w:val="00136C7E"/>
    <w:rsid w:val="00136D1C"/>
    <w:rsid w:val="00136ED4"/>
    <w:rsid w:val="001370E4"/>
    <w:rsid w:val="0013718A"/>
    <w:rsid w:val="00137248"/>
    <w:rsid w:val="00137401"/>
    <w:rsid w:val="001374C1"/>
    <w:rsid w:val="0013761D"/>
    <w:rsid w:val="00137741"/>
    <w:rsid w:val="00137844"/>
    <w:rsid w:val="0013786C"/>
    <w:rsid w:val="001378D4"/>
    <w:rsid w:val="00137944"/>
    <w:rsid w:val="00137A14"/>
    <w:rsid w:val="00137A1B"/>
    <w:rsid w:val="00137B21"/>
    <w:rsid w:val="00137B36"/>
    <w:rsid w:val="00137C8B"/>
    <w:rsid w:val="00137D37"/>
    <w:rsid w:val="00137D40"/>
    <w:rsid w:val="00137E18"/>
    <w:rsid w:val="00137E87"/>
    <w:rsid w:val="00137EC1"/>
    <w:rsid w:val="00137F38"/>
    <w:rsid w:val="00137F51"/>
    <w:rsid w:val="0014005A"/>
    <w:rsid w:val="0014005C"/>
    <w:rsid w:val="001401E9"/>
    <w:rsid w:val="0014036C"/>
    <w:rsid w:val="0014039F"/>
    <w:rsid w:val="001404F9"/>
    <w:rsid w:val="00140644"/>
    <w:rsid w:val="00140694"/>
    <w:rsid w:val="001406F9"/>
    <w:rsid w:val="001407A3"/>
    <w:rsid w:val="001408A0"/>
    <w:rsid w:val="001408DD"/>
    <w:rsid w:val="00140991"/>
    <w:rsid w:val="00140A1C"/>
    <w:rsid w:val="00140A51"/>
    <w:rsid w:val="00140AE0"/>
    <w:rsid w:val="00140B94"/>
    <w:rsid w:val="00140C58"/>
    <w:rsid w:val="00140D81"/>
    <w:rsid w:val="00140ED7"/>
    <w:rsid w:val="001410F0"/>
    <w:rsid w:val="0014110A"/>
    <w:rsid w:val="00141201"/>
    <w:rsid w:val="0014126E"/>
    <w:rsid w:val="001412DB"/>
    <w:rsid w:val="001412E7"/>
    <w:rsid w:val="00141306"/>
    <w:rsid w:val="001413B2"/>
    <w:rsid w:val="0014140E"/>
    <w:rsid w:val="0014141B"/>
    <w:rsid w:val="00141541"/>
    <w:rsid w:val="001417EE"/>
    <w:rsid w:val="00141B70"/>
    <w:rsid w:val="00141D53"/>
    <w:rsid w:val="00141D8C"/>
    <w:rsid w:val="00141E68"/>
    <w:rsid w:val="00141ED6"/>
    <w:rsid w:val="00141F07"/>
    <w:rsid w:val="00141FD4"/>
    <w:rsid w:val="00141FDD"/>
    <w:rsid w:val="001420F3"/>
    <w:rsid w:val="0014213C"/>
    <w:rsid w:val="001421BC"/>
    <w:rsid w:val="001421C4"/>
    <w:rsid w:val="0014221D"/>
    <w:rsid w:val="00142376"/>
    <w:rsid w:val="0014248F"/>
    <w:rsid w:val="001425DD"/>
    <w:rsid w:val="001425F6"/>
    <w:rsid w:val="001426CB"/>
    <w:rsid w:val="00142762"/>
    <w:rsid w:val="001429BC"/>
    <w:rsid w:val="00142ABA"/>
    <w:rsid w:val="00142AC5"/>
    <w:rsid w:val="00142BBA"/>
    <w:rsid w:val="00142BF8"/>
    <w:rsid w:val="00142D06"/>
    <w:rsid w:val="00142E18"/>
    <w:rsid w:val="00142EFC"/>
    <w:rsid w:val="00142F1B"/>
    <w:rsid w:val="00142FB0"/>
    <w:rsid w:val="00142FF1"/>
    <w:rsid w:val="0014308E"/>
    <w:rsid w:val="001430A9"/>
    <w:rsid w:val="001430DE"/>
    <w:rsid w:val="001430EF"/>
    <w:rsid w:val="0014312D"/>
    <w:rsid w:val="00143132"/>
    <w:rsid w:val="00143362"/>
    <w:rsid w:val="00143449"/>
    <w:rsid w:val="001434E2"/>
    <w:rsid w:val="001435D2"/>
    <w:rsid w:val="0014367E"/>
    <w:rsid w:val="00143689"/>
    <w:rsid w:val="00143738"/>
    <w:rsid w:val="00143744"/>
    <w:rsid w:val="001438D0"/>
    <w:rsid w:val="001439CB"/>
    <w:rsid w:val="00143A30"/>
    <w:rsid w:val="00143A70"/>
    <w:rsid w:val="00143AB4"/>
    <w:rsid w:val="00143C7A"/>
    <w:rsid w:val="00143D45"/>
    <w:rsid w:val="00143DB7"/>
    <w:rsid w:val="00143F12"/>
    <w:rsid w:val="001440B9"/>
    <w:rsid w:val="00144101"/>
    <w:rsid w:val="0014412B"/>
    <w:rsid w:val="00144159"/>
    <w:rsid w:val="00144190"/>
    <w:rsid w:val="00144191"/>
    <w:rsid w:val="001442A2"/>
    <w:rsid w:val="00144358"/>
    <w:rsid w:val="00144391"/>
    <w:rsid w:val="00144466"/>
    <w:rsid w:val="001444C6"/>
    <w:rsid w:val="00144503"/>
    <w:rsid w:val="00144821"/>
    <w:rsid w:val="00144A4F"/>
    <w:rsid w:val="00144AEC"/>
    <w:rsid w:val="00144B6A"/>
    <w:rsid w:val="00144C24"/>
    <w:rsid w:val="00144CE8"/>
    <w:rsid w:val="00144D41"/>
    <w:rsid w:val="00144D4F"/>
    <w:rsid w:val="00144DBC"/>
    <w:rsid w:val="00144E83"/>
    <w:rsid w:val="00144F06"/>
    <w:rsid w:val="00144F57"/>
    <w:rsid w:val="00144FE4"/>
    <w:rsid w:val="00145103"/>
    <w:rsid w:val="00145136"/>
    <w:rsid w:val="00145152"/>
    <w:rsid w:val="001451AA"/>
    <w:rsid w:val="00145495"/>
    <w:rsid w:val="00145518"/>
    <w:rsid w:val="00145562"/>
    <w:rsid w:val="0014556A"/>
    <w:rsid w:val="001457BC"/>
    <w:rsid w:val="00145834"/>
    <w:rsid w:val="00145920"/>
    <w:rsid w:val="00145931"/>
    <w:rsid w:val="001459B1"/>
    <w:rsid w:val="00145A58"/>
    <w:rsid w:val="00145B11"/>
    <w:rsid w:val="00145C7D"/>
    <w:rsid w:val="00145CAE"/>
    <w:rsid w:val="00145DEB"/>
    <w:rsid w:val="00145F0E"/>
    <w:rsid w:val="00145F16"/>
    <w:rsid w:val="00145FC2"/>
    <w:rsid w:val="001462F4"/>
    <w:rsid w:val="0014659E"/>
    <w:rsid w:val="00146626"/>
    <w:rsid w:val="00146724"/>
    <w:rsid w:val="001467B6"/>
    <w:rsid w:val="0014688A"/>
    <w:rsid w:val="001468A7"/>
    <w:rsid w:val="00146917"/>
    <w:rsid w:val="00146C41"/>
    <w:rsid w:val="00146C65"/>
    <w:rsid w:val="00146CEE"/>
    <w:rsid w:val="00146DFA"/>
    <w:rsid w:val="00146EB9"/>
    <w:rsid w:val="00146F1A"/>
    <w:rsid w:val="00146F64"/>
    <w:rsid w:val="00146F8C"/>
    <w:rsid w:val="00147146"/>
    <w:rsid w:val="0014718D"/>
    <w:rsid w:val="001471B1"/>
    <w:rsid w:val="00147462"/>
    <w:rsid w:val="0014752A"/>
    <w:rsid w:val="0014773A"/>
    <w:rsid w:val="00147745"/>
    <w:rsid w:val="001477DE"/>
    <w:rsid w:val="0014788F"/>
    <w:rsid w:val="00147918"/>
    <w:rsid w:val="0014798B"/>
    <w:rsid w:val="001479F2"/>
    <w:rsid w:val="001479F5"/>
    <w:rsid w:val="00147A75"/>
    <w:rsid w:val="00147B03"/>
    <w:rsid w:val="00147B47"/>
    <w:rsid w:val="00147B6B"/>
    <w:rsid w:val="00147DAD"/>
    <w:rsid w:val="00147EAF"/>
    <w:rsid w:val="00147EE1"/>
    <w:rsid w:val="00147FE5"/>
    <w:rsid w:val="00150011"/>
    <w:rsid w:val="00150014"/>
    <w:rsid w:val="00150040"/>
    <w:rsid w:val="00150188"/>
    <w:rsid w:val="00150225"/>
    <w:rsid w:val="00150281"/>
    <w:rsid w:val="00150435"/>
    <w:rsid w:val="0015051D"/>
    <w:rsid w:val="00150A52"/>
    <w:rsid w:val="00150A93"/>
    <w:rsid w:val="00150C46"/>
    <w:rsid w:val="00150C82"/>
    <w:rsid w:val="00150CA4"/>
    <w:rsid w:val="00150CCF"/>
    <w:rsid w:val="00150D72"/>
    <w:rsid w:val="00150E36"/>
    <w:rsid w:val="00150ED9"/>
    <w:rsid w:val="0015100C"/>
    <w:rsid w:val="00151153"/>
    <w:rsid w:val="00151162"/>
    <w:rsid w:val="0015118A"/>
    <w:rsid w:val="001511B7"/>
    <w:rsid w:val="00151322"/>
    <w:rsid w:val="001515DF"/>
    <w:rsid w:val="0015166C"/>
    <w:rsid w:val="00151728"/>
    <w:rsid w:val="00151744"/>
    <w:rsid w:val="0015179C"/>
    <w:rsid w:val="001517AA"/>
    <w:rsid w:val="00151826"/>
    <w:rsid w:val="00151884"/>
    <w:rsid w:val="001519CC"/>
    <w:rsid w:val="00151A75"/>
    <w:rsid w:val="00151B7A"/>
    <w:rsid w:val="00151C89"/>
    <w:rsid w:val="00151F61"/>
    <w:rsid w:val="001521D8"/>
    <w:rsid w:val="00152487"/>
    <w:rsid w:val="00152490"/>
    <w:rsid w:val="00152550"/>
    <w:rsid w:val="0015267F"/>
    <w:rsid w:val="001526F0"/>
    <w:rsid w:val="0015283F"/>
    <w:rsid w:val="001529F1"/>
    <w:rsid w:val="00152A05"/>
    <w:rsid w:val="00152A45"/>
    <w:rsid w:val="00152B36"/>
    <w:rsid w:val="00152B8F"/>
    <w:rsid w:val="00152C7E"/>
    <w:rsid w:val="00152D05"/>
    <w:rsid w:val="001530FA"/>
    <w:rsid w:val="00153136"/>
    <w:rsid w:val="001532A9"/>
    <w:rsid w:val="00153359"/>
    <w:rsid w:val="001533AE"/>
    <w:rsid w:val="001533E3"/>
    <w:rsid w:val="001535BF"/>
    <w:rsid w:val="00153638"/>
    <w:rsid w:val="00153774"/>
    <w:rsid w:val="00153807"/>
    <w:rsid w:val="001538BC"/>
    <w:rsid w:val="001538E8"/>
    <w:rsid w:val="001538EF"/>
    <w:rsid w:val="00153964"/>
    <w:rsid w:val="00153A1D"/>
    <w:rsid w:val="00153B3A"/>
    <w:rsid w:val="00153BC0"/>
    <w:rsid w:val="00153C13"/>
    <w:rsid w:val="00153C6F"/>
    <w:rsid w:val="00153CD9"/>
    <w:rsid w:val="00153E3C"/>
    <w:rsid w:val="00153E60"/>
    <w:rsid w:val="00153ECD"/>
    <w:rsid w:val="00153F82"/>
    <w:rsid w:val="00153FC0"/>
    <w:rsid w:val="00154163"/>
    <w:rsid w:val="0015433F"/>
    <w:rsid w:val="001543CC"/>
    <w:rsid w:val="0015443B"/>
    <w:rsid w:val="0015444B"/>
    <w:rsid w:val="0015448E"/>
    <w:rsid w:val="0015467E"/>
    <w:rsid w:val="001546CE"/>
    <w:rsid w:val="0015475D"/>
    <w:rsid w:val="00154783"/>
    <w:rsid w:val="00154915"/>
    <w:rsid w:val="00154AB6"/>
    <w:rsid w:val="00154AC9"/>
    <w:rsid w:val="00154C45"/>
    <w:rsid w:val="00154C6E"/>
    <w:rsid w:val="00154D66"/>
    <w:rsid w:val="00154DDC"/>
    <w:rsid w:val="00154DE0"/>
    <w:rsid w:val="00154DF0"/>
    <w:rsid w:val="00154E1D"/>
    <w:rsid w:val="00154E6F"/>
    <w:rsid w:val="00154ED5"/>
    <w:rsid w:val="00154FCA"/>
    <w:rsid w:val="00155266"/>
    <w:rsid w:val="001553AE"/>
    <w:rsid w:val="00155585"/>
    <w:rsid w:val="001555A2"/>
    <w:rsid w:val="001555B2"/>
    <w:rsid w:val="0015561F"/>
    <w:rsid w:val="001557BB"/>
    <w:rsid w:val="00155807"/>
    <w:rsid w:val="0015590A"/>
    <w:rsid w:val="0015595A"/>
    <w:rsid w:val="001559B0"/>
    <w:rsid w:val="00155A96"/>
    <w:rsid w:val="00155AB8"/>
    <w:rsid w:val="00155AEE"/>
    <w:rsid w:val="00155C08"/>
    <w:rsid w:val="00155C5B"/>
    <w:rsid w:val="00155CE8"/>
    <w:rsid w:val="00155FBB"/>
    <w:rsid w:val="00155FFB"/>
    <w:rsid w:val="00156011"/>
    <w:rsid w:val="00156019"/>
    <w:rsid w:val="0015604F"/>
    <w:rsid w:val="0015606F"/>
    <w:rsid w:val="0015615D"/>
    <w:rsid w:val="001561EF"/>
    <w:rsid w:val="001561FD"/>
    <w:rsid w:val="00156391"/>
    <w:rsid w:val="0015653C"/>
    <w:rsid w:val="001567CE"/>
    <w:rsid w:val="00156844"/>
    <w:rsid w:val="001569C6"/>
    <w:rsid w:val="00156B42"/>
    <w:rsid w:val="00156BC0"/>
    <w:rsid w:val="00156C64"/>
    <w:rsid w:val="00156D74"/>
    <w:rsid w:val="00156D7B"/>
    <w:rsid w:val="00156E0E"/>
    <w:rsid w:val="00156E23"/>
    <w:rsid w:val="00156EFB"/>
    <w:rsid w:val="00156F9B"/>
    <w:rsid w:val="0015700B"/>
    <w:rsid w:val="00157138"/>
    <w:rsid w:val="001571DD"/>
    <w:rsid w:val="001572D1"/>
    <w:rsid w:val="001572FE"/>
    <w:rsid w:val="00157420"/>
    <w:rsid w:val="0015757E"/>
    <w:rsid w:val="001576BD"/>
    <w:rsid w:val="00157724"/>
    <w:rsid w:val="00157834"/>
    <w:rsid w:val="00157846"/>
    <w:rsid w:val="00157907"/>
    <w:rsid w:val="00157A3D"/>
    <w:rsid w:val="00157A50"/>
    <w:rsid w:val="00157BD7"/>
    <w:rsid w:val="00157E32"/>
    <w:rsid w:val="00157F5B"/>
    <w:rsid w:val="00160058"/>
    <w:rsid w:val="001600FD"/>
    <w:rsid w:val="001600FF"/>
    <w:rsid w:val="001601AB"/>
    <w:rsid w:val="0016030E"/>
    <w:rsid w:val="00160348"/>
    <w:rsid w:val="00160366"/>
    <w:rsid w:val="001603BF"/>
    <w:rsid w:val="001603C2"/>
    <w:rsid w:val="00160413"/>
    <w:rsid w:val="00160533"/>
    <w:rsid w:val="001605EB"/>
    <w:rsid w:val="001606A2"/>
    <w:rsid w:val="00160727"/>
    <w:rsid w:val="00160729"/>
    <w:rsid w:val="0016081B"/>
    <w:rsid w:val="00160820"/>
    <w:rsid w:val="0016083F"/>
    <w:rsid w:val="001609C4"/>
    <w:rsid w:val="00160A2A"/>
    <w:rsid w:val="00160A9B"/>
    <w:rsid w:val="00160AF2"/>
    <w:rsid w:val="00160C2D"/>
    <w:rsid w:val="00160D07"/>
    <w:rsid w:val="00160F05"/>
    <w:rsid w:val="00160F99"/>
    <w:rsid w:val="001610F0"/>
    <w:rsid w:val="0016120A"/>
    <w:rsid w:val="00161217"/>
    <w:rsid w:val="001613A6"/>
    <w:rsid w:val="0016148C"/>
    <w:rsid w:val="001614C9"/>
    <w:rsid w:val="00161597"/>
    <w:rsid w:val="001615C0"/>
    <w:rsid w:val="001615D9"/>
    <w:rsid w:val="00161799"/>
    <w:rsid w:val="001617BB"/>
    <w:rsid w:val="00161814"/>
    <w:rsid w:val="0016183A"/>
    <w:rsid w:val="00161A41"/>
    <w:rsid w:val="00161B81"/>
    <w:rsid w:val="00161B83"/>
    <w:rsid w:val="00161C6E"/>
    <w:rsid w:val="00161CAD"/>
    <w:rsid w:val="00161DBF"/>
    <w:rsid w:val="00161DF9"/>
    <w:rsid w:val="00161E6A"/>
    <w:rsid w:val="00161E72"/>
    <w:rsid w:val="00161EAA"/>
    <w:rsid w:val="00161F8B"/>
    <w:rsid w:val="00162167"/>
    <w:rsid w:val="001621EF"/>
    <w:rsid w:val="001621F2"/>
    <w:rsid w:val="001622AA"/>
    <w:rsid w:val="00162356"/>
    <w:rsid w:val="001623B5"/>
    <w:rsid w:val="00162406"/>
    <w:rsid w:val="0016251A"/>
    <w:rsid w:val="00162598"/>
    <w:rsid w:val="001626C3"/>
    <w:rsid w:val="0016271E"/>
    <w:rsid w:val="00162753"/>
    <w:rsid w:val="00162870"/>
    <w:rsid w:val="00162A53"/>
    <w:rsid w:val="00162BCC"/>
    <w:rsid w:val="00162CAF"/>
    <w:rsid w:val="00162D04"/>
    <w:rsid w:val="00162ED3"/>
    <w:rsid w:val="00162F1A"/>
    <w:rsid w:val="00162FF7"/>
    <w:rsid w:val="0016325B"/>
    <w:rsid w:val="00163362"/>
    <w:rsid w:val="00163461"/>
    <w:rsid w:val="00163515"/>
    <w:rsid w:val="001635E4"/>
    <w:rsid w:val="0016368D"/>
    <w:rsid w:val="001636E6"/>
    <w:rsid w:val="0016374A"/>
    <w:rsid w:val="00163818"/>
    <w:rsid w:val="00163833"/>
    <w:rsid w:val="0016384F"/>
    <w:rsid w:val="00163881"/>
    <w:rsid w:val="0016389A"/>
    <w:rsid w:val="00163B3A"/>
    <w:rsid w:val="00163BF7"/>
    <w:rsid w:val="00163DCE"/>
    <w:rsid w:val="00163ED5"/>
    <w:rsid w:val="00163EF5"/>
    <w:rsid w:val="00163F8F"/>
    <w:rsid w:val="00164095"/>
    <w:rsid w:val="00164098"/>
    <w:rsid w:val="001640F8"/>
    <w:rsid w:val="001641A0"/>
    <w:rsid w:val="00164488"/>
    <w:rsid w:val="001644A6"/>
    <w:rsid w:val="0016451D"/>
    <w:rsid w:val="0016462B"/>
    <w:rsid w:val="00164634"/>
    <w:rsid w:val="00164693"/>
    <w:rsid w:val="00164856"/>
    <w:rsid w:val="00164952"/>
    <w:rsid w:val="00164982"/>
    <w:rsid w:val="00164996"/>
    <w:rsid w:val="00164ACA"/>
    <w:rsid w:val="00164B44"/>
    <w:rsid w:val="00164CB2"/>
    <w:rsid w:val="00164CE2"/>
    <w:rsid w:val="00164CF7"/>
    <w:rsid w:val="00164D1E"/>
    <w:rsid w:val="00164D4A"/>
    <w:rsid w:val="00164E90"/>
    <w:rsid w:val="00164EAF"/>
    <w:rsid w:val="00164F0A"/>
    <w:rsid w:val="00164FC2"/>
    <w:rsid w:val="00165027"/>
    <w:rsid w:val="0016503D"/>
    <w:rsid w:val="0016505F"/>
    <w:rsid w:val="001651E0"/>
    <w:rsid w:val="0016540E"/>
    <w:rsid w:val="0016540F"/>
    <w:rsid w:val="001654BB"/>
    <w:rsid w:val="001654D6"/>
    <w:rsid w:val="001654EF"/>
    <w:rsid w:val="0016554A"/>
    <w:rsid w:val="001655F6"/>
    <w:rsid w:val="00165645"/>
    <w:rsid w:val="00165710"/>
    <w:rsid w:val="00165734"/>
    <w:rsid w:val="0016577D"/>
    <w:rsid w:val="001657D8"/>
    <w:rsid w:val="00165985"/>
    <w:rsid w:val="001659E4"/>
    <w:rsid w:val="00165B65"/>
    <w:rsid w:val="00165DA3"/>
    <w:rsid w:val="00165E6E"/>
    <w:rsid w:val="00165F10"/>
    <w:rsid w:val="00166140"/>
    <w:rsid w:val="001662FE"/>
    <w:rsid w:val="00166323"/>
    <w:rsid w:val="001663E2"/>
    <w:rsid w:val="00166416"/>
    <w:rsid w:val="00166494"/>
    <w:rsid w:val="00166549"/>
    <w:rsid w:val="00166701"/>
    <w:rsid w:val="00166A86"/>
    <w:rsid w:val="00166B82"/>
    <w:rsid w:val="00166BFE"/>
    <w:rsid w:val="00166C31"/>
    <w:rsid w:val="00166C79"/>
    <w:rsid w:val="00166C80"/>
    <w:rsid w:val="00166CE2"/>
    <w:rsid w:val="00166D0B"/>
    <w:rsid w:val="00166DA7"/>
    <w:rsid w:val="00167036"/>
    <w:rsid w:val="001670C2"/>
    <w:rsid w:val="001670E8"/>
    <w:rsid w:val="0016713B"/>
    <w:rsid w:val="00167184"/>
    <w:rsid w:val="001671AC"/>
    <w:rsid w:val="001671CB"/>
    <w:rsid w:val="00167268"/>
    <w:rsid w:val="00167290"/>
    <w:rsid w:val="001672CB"/>
    <w:rsid w:val="00167386"/>
    <w:rsid w:val="00167498"/>
    <w:rsid w:val="00167532"/>
    <w:rsid w:val="00167596"/>
    <w:rsid w:val="0016759B"/>
    <w:rsid w:val="00167671"/>
    <w:rsid w:val="001676BB"/>
    <w:rsid w:val="00167799"/>
    <w:rsid w:val="00167894"/>
    <w:rsid w:val="001678F3"/>
    <w:rsid w:val="00167948"/>
    <w:rsid w:val="00167A83"/>
    <w:rsid w:val="00167AC8"/>
    <w:rsid w:val="00167AFA"/>
    <w:rsid w:val="00167B27"/>
    <w:rsid w:val="00167EFC"/>
    <w:rsid w:val="00167FF1"/>
    <w:rsid w:val="00170005"/>
    <w:rsid w:val="0017011A"/>
    <w:rsid w:val="0017012B"/>
    <w:rsid w:val="0017013D"/>
    <w:rsid w:val="00170250"/>
    <w:rsid w:val="00170330"/>
    <w:rsid w:val="0017038F"/>
    <w:rsid w:val="001703AF"/>
    <w:rsid w:val="001703C9"/>
    <w:rsid w:val="001704FB"/>
    <w:rsid w:val="001705A4"/>
    <w:rsid w:val="00170646"/>
    <w:rsid w:val="00170775"/>
    <w:rsid w:val="001708B9"/>
    <w:rsid w:val="00170974"/>
    <w:rsid w:val="00170987"/>
    <w:rsid w:val="00170992"/>
    <w:rsid w:val="001709E7"/>
    <w:rsid w:val="00170A2D"/>
    <w:rsid w:val="00170A9C"/>
    <w:rsid w:val="00170BBB"/>
    <w:rsid w:val="00170CF5"/>
    <w:rsid w:val="00170D13"/>
    <w:rsid w:val="00170F1E"/>
    <w:rsid w:val="00170FD1"/>
    <w:rsid w:val="00171016"/>
    <w:rsid w:val="00171061"/>
    <w:rsid w:val="0017106B"/>
    <w:rsid w:val="00171302"/>
    <w:rsid w:val="00171402"/>
    <w:rsid w:val="0017144F"/>
    <w:rsid w:val="0017145B"/>
    <w:rsid w:val="00171540"/>
    <w:rsid w:val="00171541"/>
    <w:rsid w:val="0017159B"/>
    <w:rsid w:val="001716C7"/>
    <w:rsid w:val="00171816"/>
    <w:rsid w:val="001718CE"/>
    <w:rsid w:val="00171C1C"/>
    <w:rsid w:val="00171E80"/>
    <w:rsid w:val="00171EC3"/>
    <w:rsid w:val="00171F74"/>
    <w:rsid w:val="00171FD1"/>
    <w:rsid w:val="00172044"/>
    <w:rsid w:val="00172275"/>
    <w:rsid w:val="00172279"/>
    <w:rsid w:val="001722FF"/>
    <w:rsid w:val="001723DA"/>
    <w:rsid w:val="0017253B"/>
    <w:rsid w:val="00172606"/>
    <w:rsid w:val="00172712"/>
    <w:rsid w:val="00172797"/>
    <w:rsid w:val="001727EC"/>
    <w:rsid w:val="0017280D"/>
    <w:rsid w:val="0017285D"/>
    <w:rsid w:val="0017288E"/>
    <w:rsid w:val="001728A9"/>
    <w:rsid w:val="00172956"/>
    <w:rsid w:val="00172C89"/>
    <w:rsid w:val="00172D42"/>
    <w:rsid w:val="00172F57"/>
    <w:rsid w:val="00172F9F"/>
    <w:rsid w:val="00172FFD"/>
    <w:rsid w:val="001730D1"/>
    <w:rsid w:val="001730DF"/>
    <w:rsid w:val="001730E1"/>
    <w:rsid w:val="001730F9"/>
    <w:rsid w:val="0017321C"/>
    <w:rsid w:val="0017330C"/>
    <w:rsid w:val="00173496"/>
    <w:rsid w:val="001735DF"/>
    <w:rsid w:val="001736A4"/>
    <w:rsid w:val="00173800"/>
    <w:rsid w:val="0017385E"/>
    <w:rsid w:val="00173863"/>
    <w:rsid w:val="0017392B"/>
    <w:rsid w:val="0017394A"/>
    <w:rsid w:val="001739A1"/>
    <w:rsid w:val="001739C1"/>
    <w:rsid w:val="00173A03"/>
    <w:rsid w:val="00173A39"/>
    <w:rsid w:val="00173B08"/>
    <w:rsid w:val="00173D00"/>
    <w:rsid w:val="00173D27"/>
    <w:rsid w:val="00173E3F"/>
    <w:rsid w:val="00173ECD"/>
    <w:rsid w:val="00173F14"/>
    <w:rsid w:val="00173F47"/>
    <w:rsid w:val="00173FDA"/>
    <w:rsid w:val="0017408D"/>
    <w:rsid w:val="001740A8"/>
    <w:rsid w:val="001740C9"/>
    <w:rsid w:val="001740D3"/>
    <w:rsid w:val="001741B5"/>
    <w:rsid w:val="00174286"/>
    <w:rsid w:val="001742E1"/>
    <w:rsid w:val="001743F3"/>
    <w:rsid w:val="001744F1"/>
    <w:rsid w:val="001745C8"/>
    <w:rsid w:val="00174766"/>
    <w:rsid w:val="001747E0"/>
    <w:rsid w:val="001747FF"/>
    <w:rsid w:val="00174876"/>
    <w:rsid w:val="001749CA"/>
    <w:rsid w:val="00174BEC"/>
    <w:rsid w:val="00174CF1"/>
    <w:rsid w:val="00174D62"/>
    <w:rsid w:val="00174DBA"/>
    <w:rsid w:val="00174DE6"/>
    <w:rsid w:val="00174E3B"/>
    <w:rsid w:val="001750BE"/>
    <w:rsid w:val="00175123"/>
    <w:rsid w:val="00175133"/>
    <w:rsid w:val="00175206"/>
    <w:rsid w:val="0017521A"/>
    <w:rsid w:val="001752B0"/>
    <w:rsid w:val="001753E5"/>
    <w:rsid w:val="0017559B"/>
    <w:rsid w:val="001755D5"/>
    <w:rsid w:val="001756EE"/>
    <w:rsid w:val="00175743"/>
    <w:rsid w:val="001757CE"/>
    <w:rsid w:val="001757DB"/>
    <w:rsid w:val="00175829"/>
    <w:rsid w:val="0017586A"/>
    <w:rsid w:val="00175878"/>
    <w:rsid w:val="0017599F"/>
    <w:rsid w:val="00175BC7"/>
    <w:rsid w:val="00176070"/>
    <w:rsid w:val="00176173"/>
    <w:rsid w:val="00176184"/>
    <w:rsid w:val="00176195"/>
    <w:rsid w:val="001764A2"/>
    <w:rsid w:val="001764C1"/>
    <w:rsid w:val="001765CE"/>
    <w:rsid w:val="00176898"/>
    <w:rsid w:val="001768B4"/>
    <w:rsid w:val="00176920"/>
    <w:rsid w:val="00176AE3"/>
    <w:rsid w:val="00176BBC"/>
    <w:rsid w:val="00176BC9"/>
    <w:rsid w:val="00176BF5"/>
    <w:rsid w:val="00176C26"/>
    <w:rsid w:val="00176DC9"/>
    <w:rsid w:val="00176DCF"/>
    <w:rsid w:val="00176E38"/>
    <w:rsid w:val="00176FEE"/>
    <w:rsid w:val="00177024"/>
    <w:rsid w:val="001772DF"/>
    <w:rsid w:val="001773AD"/>
    <w:rsid w:val="001775BE"/>
    <w:rsid w:val="00177646"/>
    <w:rsid w:val="001776ED"/>
    <w:rsid w:val="0017783E"/>
    <w:rsid w:val="00177870"/>
    <w:rsid w:val="00177895"/>
    <w:rsid w:val="00177A17"/>
    <w:rsid w:val="00177AD1"/>
    <w:rsid w:val="00177B33"/>
    <w:rsid w:val="00177B98"/>
    <w:rsid w:val="00177BAB"/>
    <w:rsid w:val="00177C6D"/>
    <w:rsid w:val="00177CC8"/>
    <w:rsid w:val="00177D2A"/>
    <w:rsid w:val="00177DCA"/>
    <w:rsid w:val="00177ED3"/>
    <w:rsid w:val="00177EF5"/>
    <w:rsid w:val="00177FF1"/>
    <w:rsid w:val="0018005E"/>
    <w:rsid w:val="001801BE"/>
    <w:rsid w:val="0018027B"/>
    <w:rsid w:val="0018032F"/>
    <w:rsid w:val="00180554"/>
    <w:rsid w:val="00180568"/>
    <w:rsid w:val="001805F8"/>
    <w:rsid w:val="001806E4"/>
    <w:rsid w:val="00180716"/>
    <w:rsid w:val="001809A4"/>
    <w:rsid w:val="00180A9B"/>
    <w:rsid w:val="00180BB4"/>
    <w:rsid w:val="00180BDA"/>
    <w:rsid w:val="00180D26"/>
    <w:rsid w:val="00180DAA"/>
    <w:rsid w:val="00180DAE"/>
    <w:rsid w:val="00181057"/>
    <w:rsid w:val="0018108F"/>
    <w:rsid w:val="0018109B"/>
    <w:rsid w:val="001810C7"/>
    <w:rsid w:val="0018138A"/>
    <w:rsid w:val="00181408"/>
    <w:rsid w:val="0018157E"/>
    <w:rsid w:val="001815EA"/>
    <w:rsid w:val="00181623"/>
    <w:rsid w:val="00181715"/>
    <w:rsid w:val="0018179A"/>
    <w:rsid w:val="00181972"/>
    <w:rsid w:val="0018199A"/>
    <w:rsid w:val="00181A2E"/>
    <w:rsid w:val="00181B53"/>
    <w:rsid w:val="00181BDE"/>
    <w:rsid w:val="00181C11"/>
    <w:rsid w:val="00181C7B"/>
    <w:rsid w:val="00181D82"/>
    <w:rsid w:val="00181DCA"/>
    <w:rsid w:val="00181EC8"/>
    <w:rsid w:val="00181F09"/>
    <w:rsid w:val="00181FC5"/>
    <w:rsid w:val="00181FD5"/>
    <w:rsid w:val="001820FF"/>
    <w:rsid w:val="001821D2"/>
    <w:rsid w:val="00182331"/>
    <w:rsid w:val="00182553"/>
    <w:rsid w:val="00182734"/>
    <w:rsid w:val="00182779"/>
    <w:rsid w:val="001827B3"/>
    <w:rsid w:val="00182AA1"/>
    <w:rsid w:val="00182B03"/>
    <w:rsid w:val="00182B2E"/>
    <w:rsid w:val="00182B6D"/>
    <w:rsid w:val="00182B78"/>
    <w:rsid w:val="00182C25"/>
    <w:rsid w:val="00182CF7"/>
    <w:rsid w:val="00182D60"/>
    <w:rsid w:val="00182D6D"/>
    <w:rsid w:val="00182E6C"/>
    <w:rsid w:val="00182F07"/>
    <w:rsid w:val="00183130"/>
    <w:rsid w:val="00183142"/>
    <w:rsid w:val="00183162"/>
    <w:rsid w:val="0018331F"/>
    <w:rsid w:val="001833A6"/>
    <w:rsid w:val="001834FB"/>
    <w:rsid w:val="00183545"/>
    <w:rsid w:val="00183633"/>
    <w:rsid w:val="001836B2"/>
    <w:rsid w:val="001836BE"/>
    <w:rsid w:val="001838C5"/>
    <w:rsid w:val="00183A1F"/>
    <w:rsid w:val="00183A38"/>
    <w:rsid w:val="00183A71"/>
    <w:rsid w:val="00183B34"/>
    <w:rsid w:val="00183DEC"/>
    <w:rsid w:val="00183E2C"/>
    <w:rsid w:val="00183EF5"/>
    <w:rsid w:val="00183F62"/>
    <w:rsid w:val="00183FD2"/>
    <w:rsid w:val="00184072"/>
    <w:rsid w:val="001840D5"/>
    <w:rsid w:val="001844A9"/>
    <w:rsid w:val="001844AD"/>
    <w:rsid w:val="00184518"/>
    <w:rsid w:val="00184663"/>
    <w:rsid w:val="00184670"/>
    <w:rsid w:val="0018484A"/>
    <w:rsid w:val="001849BE"/>
    <w:rsid w:val="001849C3"/>
    <w:rsid w:val="00184AC2"/>
    <w:rsid w:val="00184B62"/>
    <w:rsid w:val="00184B71"/>
    <w:rsid w:val="00184B9F"/>
    <w:rsid w:val="00184C89"/>
    <w:rsid w:val="00184E5B"/>
    <w:rsid w:val="00184EB9"/>
    <w:rsid w:val="00184EE3"/>
    <w:rsid w:val="001850ED"/>
    <w:rsid w:val="0018519F"/>
    <w:rsid w:val="001853EE"/>
    <w:rsid w:val="001854AF"/>
    <w:rsid w:val="001856AE"/>
    <w:rsid w:val="00185764"/>
    <w:rsid w:val="001857B2"/>
    <w:rsid w:val="001858BB"/>
    <w:rsid w:val="001858C2"/>
    <w:rsid w:val="001859A8"/>
    <w:rsid w:val="00185BDF"/>
    <w:rsid w:val="00185BFD"/>
    <w:rsid w:val="00185D01"/>
    <w:rsid w:val="00185DB1"/>
    <w:rsid w:val="00185DDE"/>
    <w:rsid w:val="00185E0D"/>
    <w:rsid w:val="00185E1D"/>
    <w:rsid w:val="00185E57"/>
    <w:rsid w:val="00185EFA"/>
    <w:rsid w:val="00185F8B"/>
    <w:rsid w:val="00185FD9"/>
    <w:rsid w:val="00185FED"/>
    <w:rsid w:val="001860D8"/>
    <w:rsid w:val="001860FC"/>
    <w:rsid w:val="0018615B"/>
    <w:rsid w:val="001861D2"/>
    <w:rsid w:val="001864F8"/>
    <w:rsid w:val="0018654F"/>
    <w:rsid w:val="0018658C"/>
    <w:rsid w:val="00186599"/>
    <w:rsid w:val="001865DD"/>
    <w:rsid w:val="0018662A"/>
    <w:rsid w:val="001866E9"/>
    <w:rsid w:val="00186945"/>
    <w:rsid w:val="001869DD"/>
    <w:rsid w:val="00186ACB"/>
    <w:rsid w:val="00186BF0"/>
    <w:rsid w:val="00186DD7"/>
    <w:rsid w:val="00186E7A"/>
    <w:rsid w:val="00186EAB"/>
    <w:rsid w:val="00186FC8"/>
    <w:rsid w:val="00187032"/>
    <w:rsid w:val="0018719B"/>
    <w:rsid w:val="001871A1"/>
    <w:rsid w:val="001871C2"/>
    <w:rsid w:val="001871E9"/>
    <w:rsid w:val="0018722A"/>
    <w:rsid w:val="00187404"/>
    <w:rsid w:val="00187430"/>
    <w:rsid w:val="0018749A"/>
    <w:rsid w:val="001874A3"/>
    <w:rsid w:val="001874DE"/>
    <w:rsid w:val="00187523"/>
    <w:rsid w:val="001875A7"/>
    <w:rsid w:val="00187651"/>
    <w:rsid w:val="00187723"/>
    <w:rsid w:val="00187827"/>
    <w:rsid w:val="00187861"/>
    <w:rsid w:val="00187956"/>
    <w:rsid w:val="00187A7D"/>
    <w:rsid w:val="00187C09"/>
    <w:rsid w:val="00187C3F"/>
    <w:rsid w:val="00187CDA"/>
    <w:rsid w:val="00187E20"/>
    <w:rsid w:val="00187E9A"/>
    <w:rsid w:val="00187EF0"/>
    <w:rsid w:val="0019004C"/>
    <w:rsid w:val="001900C5"/>
    <w:rsid w:val="00190133"/>
    <w:rsid w:val="00190137"/>
    <w:rsid w:val="0019024B"/>
    <w:rsid w:val="0019026B"/>
    <w:rsid w:val="00190296"/>
    <w:rsid w:val="0019046D"/>
    <w:rsid w:val="00190519"/>
    <w:rsid w:val="001906B2"/>
    <w:rsid w:val="001906B9"/>
    <w:rsid w:val="00190895"/>
    <w:rsid w:val="001908E1"/>
    <w:rsid w:val="00190A84"/>
    <w:rsid w:val="00190AED"/>
    <w:rsid w:val="00190AF1"/>
    <w:rsid w:val="00190AFA"/>
    <w:rsid w:val="00190C2F"/>
    <w:rsid w:val="00190CA5"/>
    <w:rsid w:val="00190D37"/>
    <w:rsid w:val="00190DC4"/>
    <w:rsid w:val="00190DEA"/>
    <w:rsid w:val="00190E8E"/>
    <w:rsid w:val="00190FE5"/>
    <w:rsid w:val="001910E6"/>
    <w:rsid w:val="001911FE"/>
    <w:rsid w:val="0019129B"/>
    <w:rsid w:val="00191318"/>
    <w:rsid w:val="0019136F"/>
    <w:rsid w:val="001914BD"/>
    <w:rsid w:val="001914DB"/>
    <w:rsid w:val="001914FE"/>
    <w:rsid w:val="0019160C"/>
    <w:rsid w:val="0019167C"/>
    <w:rsid w:val="00191724"/>
    <w:rsid w:val="00191835"/>
    <w:rsid w:val="001919B0"/>
    <w:rsid w:val="00191C35"/>
    <w:rsid w:val="00191D63"/>
    <w:rsid w:val="00191E64"/>
    <w:rsid w:val="00191F50"/>
    <w:rsid w:val="00192073"/>
    <w:rsid w:val="00192076"/>
    <w:rsid w:val="001925AA"/>
    <w:rsid w:val="00192662"/>
    <w:rsid w:val="001926D6"/>
    <w:rsid w:val="00192720"/>
    <w:rsid w:val="0019279C"/>
    <w:rsid w:val="00192806"/>
    <w:rsid w:val="00192849"/>
    <w:rsid w:val="001928A3"/>
    <w:rsid w:val="001929E4"/>
    <w:rsid w:val="00192A07"/>
    <w:rsid w:val="00192A12"/>
    <w:rsid w:val="00192A13"/>
    <w:rsid w:val="00192AE0"/>
    <w:rsid w:val="00192CBD"/>
    <w:rsid w:val="00192D8C"/>
    <w:rsid w:val="00192E77"/>
    <w:rsid w:val="00192F94"/>
    <w:rsid w:val="0019301A"/>
    <w:rsid w:val="0019305D"/>
    <w:rsid w:val="0019316C"/>
    <w:rsid w:val="0019319C"/>
    <w:rsid w:val="00193287"/>
    <w:rsid w:val="0019328B"/>
    <w:rsid w:val="001932FC"/>
    <w:rsid w:val="001933B1"/>
    <w:rsid w:val="001933ED"/>
    <w:rsid w:val="0019341A"/>
    <w:rsid w:val="00193446"/>
    <w:rsid w:val="001934D4"/>
    <w:rsid w:val="00193678"/>
    <w:rsid w:val="00193828"/>
    <w:rsid w:val="0019388A"/>
    <w:rsid w:val="00193903"/>
    <w:rsid w:val="0019396E"/>
    <w:rsid w:val="001939FA"/>
    <w:rsid w:val="00193ADD"/>
    <w:rsid w:val="00193C7D"/>
    <w:rsid w:val="00193D4A"/>
    <w:rsid w:val="00193ED4"/>
    <w:rsid w:val="00193FE7"/>
    <w:rsid w:val="00194057"/>
    <w:rsid w:val="00194090"/>
    <w:rsid w:val="0019409E"/>
    <w:rsid w:val="001940D1"/>
    <w:rsid w:val="00194222"/>
    <w:rsid w:val="0019424F"/>
    <w:rsid w:val="0019443E"/>
    <w:rsid w:val="001948F4"/>
    <w:rsid w:val="00194996"/>
    <w:rsid w:val="00194B4E"/>
    <w:rsid w:val="00194C81"/>
    <w:rsid w:val="00194D22"/>
    <w:rsid w:val="00194D23"/>
    <w:rsid w:val="00194D65"/>
    <w:rsid w:val="00194DB7"/>
    <w:rsid w:val="00194E44"/>
    <w:rsid w:val="00194E64"/>
    <w:rsid w:val="00194FFE"/>
    <w:rsid w:val="0019507D"/>
    <w:rsid w:val="001952BE"/>
    <w:rsid w:val="00195336"/>
    <w:rsid w:val="00195345"/>
    <w:rsid w:val="001954AE"/>
    <w:rsid w:val="001954CD"/>
    <w:rsid w:val="00195535"/>
    <w:rsid w:val="0019555F"/>
    <w:rsid w:val="00195667"/>
    <w:rsid w:val="0019579A"/>
    <w:rsid w:val="0019591C"/>
    <w:rsid w:val="00195A14"/>
    <w:rsid w:val="00195AE1"/>
    <w:rsid w:val="00195B0E"/>
    <w:rsid w:val="00195C3B"/>
    <w:rsid w:val="00195C75"/>
    <w:rsid w:val="00195D97"/>
    <w:rsid w:val="00195DA0"/>
    <w:rsid w:val="00195DA4"/>
    <w:rsid w:val="00195DE0"/>
    <w:rsid w:val="00195E21"/>
    <w:rsid w:val="00195E49"/>
    <w:rsid w:val="00195E63"/>
    <w:rsid w:val="00195F72"/>
    <w:rsid w:val="00195F87"/>
    <w:rsid w:val="00195FC5"/>
    <w:rsid w:val="00195FE1"/>
    <w:rsid w:val="00196003"/>
    <w:rsid w:val="00196040"/>
    <w:rsid w:val="001962D6"/>
    <w:rsid w:val="00196336"/>
    <w:rsid w:val="001963EF"/>
    <w:rsid w:val="00196426"/>
    <w:rsid w:val="00196454"/>
    <w:rsid w:val="00196559"/>
    <w:rsid w:val="00196685"/>
    <w:rsid w:val="0019677B"/>
    <w:rsid w:val="00196802"/>
    <w:rsid w:val="00196815"/>
    <w:rsid w:val="00196858"/>
    <w:rsid w:val="0019692A"/>
    <w:rsid w:val="00196952"/>
    <w:rsid w:val="00196B0D"/>
    <w:rsid w:val="00196B16"/>
    <w:rsid w:val="00196B4D"/>
    <w:rsid w:val="00196B61"/>
    <w:rsid w:val="00196C0D"/>
    <w:rsid w:val="00196D8A"/>
    <w:rsid w:val="00196DB3"/>
    <w:rsid w:val="00196EB2"/>
    <w:rsid w:val="00196EF7"/>
    <w:rsid w:val="00197089"/>
    <w:rsid w:val="001970C2"/>
    <w:rsid w:val="0019717B"/>
    <w:rsid w:val="00197285"/>
    <w:rsid w:val="0019729C"/>
    <w:rsid w:val="001972EB"/>
    <w:rsid w:val="0019731C"/>
    <w:rsid w:val="001974A2"/>
    <w:rsid w:val="0019753C"/>
    <w:rsid w:val="00197560"/>
    <w:rsid w:val="001975BA"/>
    <w:rsid w:val="001975EF"/>
    <w:rsid w:val="0019765A"/>
    <w:rsid w:val="001976CF"/>
    <w:rsid w:val="0019778C"/>
    <w:rsid w:val="00197814"/>
    <w:rsid w:val="0019781C"/>
    <w:rsid w:val="001978AB"/>
    <w:rsid w:val="00197911"/>
    <w:rsid w:val="00197993"/>
    <w:rsid w:val="001979A9"/>
    <w:rsid w:val="001979AF"/>
    <w:rsid w:val="00197AE5"/>
    <w:rsid w:val="00197B43"/>
    <w:rsid w:val="00197B47"/>
    <w:rsid w:val="00197B5E"/>
    <w:rsid w:val="00197CB8"/>
    <w:rsid w:val="001A0002"/>
    <w:rsid w:val="001A0034"/>
    <w:rsid w:val="001A004D"/>
    <w:rsid w:val="001A0151"/>
    <w:rsid w:val="001A0218"/>
    <w:rsid w:val="001A023B"/>
    <w:rsid w:val="001A0399"/>
    <w:rsid w:val="001A03E9"/>
    <w:rsid w:val="001A0453"/>
    <w:rsid w:val="001A0482"/>
    <w:rsid w:val="001A051D"/>
    <w:rsid w:val="001A053D"/>
    <w:rsid w:val="001A05E1"/>
    <w:rsid w:val="001A061A"/>
    <w:rsid w:val="001A0658"/>
    <w:rsid w:val="001A069E"/>
    <w:rsid w:val="001A06F9"/>
    <w:rsid w:val="001A091D"/>
    <w:rsid w:val="001A0994"/>
    <w:rsid w:val="001A09FC"/>
    <w:rsid w:val="001A0A5D"/>
    <w:rsid w:val="001A0AC3"/>
    <w:rsid w:val="001A0B51"/>
    <w:rsid w:val="001A0B95"/>
    <w:rsid w:val="001A0BCE"/>
    <w:rsid w:val="001A0D41"/>
    <w:rsid w:val="001A0D59"/>
    <w:rsid w:val="001A0F3B"/>
    <w:rsid w:val="001A1086"/>
    <w:rsid w:val="001A1111"/>
    <w:rsid w:val="001A1126"/>
    <w:rsid w:val="001A127E"/>
    <w:rsid w:val="001A12EC"/>
    <w:rsid w:val="001A138A"/>
    <w:rsid w:val="001A1439"/>
    <w:rsid w:val="001A14E3"/>
    <w:rsid w:val="001A14EB"/>
    <w:rsid w:val="001A15AA"/>
    <w:rsid w:val="001A1686"/>
    <w:rsid w:val="001A17B2"/>
    <w:rsid w:val="001A1877"/>
    <w:rsid w:val="001A1984"/>
    <w:rsid w:val="001A1A1C"/>
    <w:rsid w:val="001A1AE4"/>
    <w:rsid w:val="001A1C5B"/>
    <w:rsid w:val="001A1CA9"/>
    <w:rsid w:val="001A1D60"/>
    <w:rsid w:val="001A1D86"/>
    <w:rsid w:val="001A206B"/>
    <w:rsid w:val="001A20B8"/>
    <w:rsid w:val="001A21AF"/>
    <w:rsid w:val="001A2213"/>
    <w:rsid w:val="001A233E"/>
    <w:rsid w:val="001A2394"/>
    <w:rsid w:val="001A23C8"/>
    <w:rsid w:val="001A24E6"/>
    <w:rsid w:val="001A2533"/>
    <w:rsid w:val="001A2534"/>
    <w:rsid w:val="001A2582"/>
    <w:rsid w:val="001A2797"/>
    <w:rsid w:val="001A27E1"/>
    <w:rsid w:val="001A2917"/>
    <w:rsid w:val="001A292F"/>
    <w:rsid w:val="001A298B"/>
    <w:rsid w:val="001A2B9C"/>
    <w:rsid w:val="001A2C6A"/>
    <w:rsid w:val="001A2C92"/>
    <w:rsid w:val="001A2D4A"/>
    <w:rsid w:val="001A2E86"/>
    <w:rsid w:val="001A2EF0"/>
    <w:rsid w:val="001A2FB5"/>
    <w:rsid w:val="001A30DD"/>
    <w:rsid w:val="001A32AD"/>
    <w:rsid w:val="001A332E"/>
    <w:rsid w:val="001A33FD"/>
    <w:rsid w:val="001A359D"/>
    <w:rsid w:val="001A3761"/>
    <w:rsid w:val="001A387C"/>
    <w:rsid w:val="001A3891"/>
    <w:rsid w:val="001A3966"/>
    <w:rsid w:val="001A397F"/>
    <w:rsid w:val="001A3AFF"/>
    <w:rsid w:val="001A3B1F"/>
    <w:rsid w:val="001A3B43"/>
    <w:rsid w:val="001A3B81"/>
    <w:rsid w:val="001A3F7E"/>
    <w:rsid w:val="001A4079"/>
    <w:rsid w:val="001A40EF"/>
    <w:rsid w:val="001A415F"/>
    <w:rsid w:val="001A418A"/>
    <w:rsid w:val="001A4352"/>
    <w:rsid w:val="001A4456"/>
    <w:rsid w:val="001A458B"/>
    <w:rsid w:val="001A45BE"/>
    <w:rsid w:val="001A45CF"/>
    <w:rsid w:val="001A4656"/>
    <w:rsid w:val="001A46B6"/>
    <w:rsid w:val="001A479B"/>
    <w:rsid w:val="001A47C4"/>
    <w:rsid w:val="001A4817"/>
    <w:rsid w:val="001A4922"/>
    <w:rsid w:val="001A4948"/>
    <w:rsid w:val="001A49B7"/>
    <w:rsid w:val="001A49E6"/>
    <w:rsid w:val="001A4ACA"/>
    <w:rsid w:val="001A4C7E"/>
    <w:rsid w:val="001A4D26"/>
    <w:rsid w:val="001A4E7E"/>
    <w:rsid w:val="001A4EE3"/>
    <w:rsid w:val="001A5069"/>
    <w:rsid w:val="001A5156"/>
    <w:rsid w:val="001A5284"/>
    <w:rsid w:val="001A52B1"/>
    <w:rsid w:val="001A5399"/>
    <w:rsid w:val="001A5403"/>
    <w:rsid w:val="001A5478"/>
    <w:rsid w:val="001A56B5"/>
    <w:rsid w:val="001A574B"/>
    <w:rsid w:val="001A579D"/>
    <w:rsid w:val="001A5827"/>
    <w:rsid w:val="001A5907"/>
    <w:rsid w:val="001A590A"/>
    <w:rsid w:val="001A590C"/>
    <w:rsid w:val="001A5953"/>
    <w:rsid w:val="001A59F9"/>
    <w:rsid w:val="001A5A25"/>
    <w:rsid w:val="001A5A45"/>
    <w:rsid w:val="001A5AC6"/>
    <w:rsid w:val="001A5C35"/>
    <w:rsid w:val="001A5D44"/>
    <w:rsid w:val="001A5D6A"/>
    <w:rsid w:val="001A5D9D"/>
    <w:rsid w:val="001A5D9F"/>
    <w:rsid w:val="001A5DF2"/>
    <w:rsid w:val="001A5E07"/>
    <w:rsid w:val="001A5E21"/>
    <w:rsid w:val="001A5E2E"/>
    <w:rsid w:val="001A5EEC"/>
    <w:rsid w:val="001A5F72"/>
    <w:rsid w:val="001A6093"/>
    <w:rsid w:val="001A614E"/>
    <w:rsid w:val="001A616B"/>
    <w:rsid w:val="001A61DB"/>
    <w:rsid w:val="001A6279"/>
    <w:rsid w:val="001A63B8"/>
    <w:rsid w:val="001A63DD"/>
    <w:rsid w:val="001A6414"/>
    <w:rsid w:val="001A6461"/>
    <w:rsid w:val="001A6491"/>
    <w:rsid w:val="001A64DA"/>
    <w:rsid w:val="001A6556"/>
    <w:rsid w:val="001A658A"/>
    <w:rsid w:val="001A65C8"/>
    <w:rsid w:val="001A65CD"/>
    <w:rsid w:val="001A6692"/>
    <w:rsid w:val="001A6711"/>
    <w:rsid w:val="001A67FD"/>
    <w:rsid w:val="001A6802"/>
    <w:rsid w:val="001A69B9"/>
    <w:rsid w:val="001A6A81"/>
    <w:rsid w:val="001A6B48"/>
    <w:rsid w:val="001A6CCE"/>
    <w:rsid w:val="001A6D9F"/>
    <w:rsid w:val="001A6F2E"/>
    <w:rsid w:val="001A6F63"/>
    <w:rsid w:val="001A6F6B"/>
    <w:rsid w:val="001A6FB9"/>
    <w:rsid w:val="001A708E"/>
    <w:rsid w:val="001A71B3"/>
    <w:rsid w:val="001A7240"/>
    <w:rsid w:val="001A7287"/>
    <w:rsid w:val="001A72CD"/>
    <w:rsid w:val="001A742D"/>
    <w:rsid w:val="001A74CC"/>
    <w:rsid w:val="001A74E2"/>
    <w:rsid w:val="001A7586"/>
    <w:rsid w:val="001A7770"/>
    <w:rsid w:val="001A794F"/>
    <w:rsid w:val="001A7B70"/>
    <w:rsid w:val="001A7BBF"/>
    <w:rsid w:val="001A7BC7"/>
    <w:rsid w:val="001A7E37"/>
    <w:rsid w:val="001A7FA0"/>
    <w:rsid w:val="001B013C"/>
    <w:rsid w:val="001B0168"/>
    <w:rsid w:val="001B033A"/>
    <w:rsid w:val="001B038A"/>
    <w:rsid w:val="001B056D"/>
    <w:rsid w:val="001B0591"/>
    <w:rsid w:val="001B0642"/>
    <w:rsid w:val="001B0724"/>
    <w:rsid w:val="001B074F"/>
    <w:rsid w:val="001B07A0"/>
    <w:rsid w:val="001B07C6"/>
    <w:rsid w:val="001B07F4"/>
    <w:rsid w:val="001B0A28"/>
    <w:rsid w:val="001B0AEB"/>
    <w:rsid w:val="001B0B87"/>
    <w:rsid w:val="001B0C82"/>
    <w:rsid w:val="001B0CCD"/>
    <w:rsid w:val="001B0DEA"/>
    <w:rsid w:val="001B0F84"/>
    <w:rsid w:val="001B0F94"/>
    <w:rsid w:val="001B0F9F"/>
    <w:rsid w:val="001B11C1"/>
    <w:rsid w:val="001B11FD"/>
    <w:rsid w:val="001B1304"/>
    <w:rsid w:val="001B1560"/>
    <w:rsid w:val="001B1638"/>
    <w:rsid w:val="001B1772"/>
    <w:rsid w:val="001B18C0"/>
    <w:rsid w:val="001B18D1"/>
    <w:rsid w:val="001B1974"/>
    <w:rsid w:val="001B19CA"/>
    <w:rsid w:val="001B1A92"/>
    <w:rsid w:val="001B1A9C"/>
    <w:rsid w:val="001B1ACE"/>
    <w:rsid w:val="001B1AD7"/>
    <w:rsid w:val="001B1C1B"/>
    <w:rsid w:val="001B1DD1"/>
    <w:rsid w:val="001B1E27"/>
    <w:rsid w:val="001B1EFC"/>
    <w:rsid w:val="001B1F2E"/>
    <w:rsid w:val="001B1F74"/>
    <w:rsid w:val="001B1FB4"/>
    <w:rsid w:val="001B2016"/>
    <w:rsid w:val="001B2177"/>
    <w:rsid w:val="001B21DA"/>
    <w:rsid w:val="001B2287"/>
    <w:rsid w:val="001B22A8"/>
    <w:rsid w:val="001B238A"/>
    <w:rsid w:val="001B23E5"/>
    <w:rsid w:val="001B241D"/>
    <w:rsid w:val="001B241F"/>
    <w:rsid w:val="001B2526"/>
    <w:rsid w:val="001B2876"/>
    <w:rsid w:val="001B299F"/>
    <w:rsid w:val="001B2ADA"/>
    <w:rsid w:val="001B2AEB"/>
    <w:rsid w:val="001B2B5E"/>
    <w:rsid w:val="001B2D28"/>
    <w:rsid w:val="001B311E"/>
    <w:rsid w:val="001B329A"/>
    <w:rsid w:val="001B33D2"/>
    <w:rsid w:val="001B3427"/>
    <w:rsid w:val="001B3467"/>
    <w:rsid w:val="001B34CE"/>
    <w:rsid w:val="001B34F1"/>
    <w:rsid w:val="001B355B"/>
    <w:rsid w:val="001B3571"/>
    <w:rsid w:val="001B367C"/>
    <w:rsid w:val="001B36BF"/>
    <w:rsid w:val="001B371A"/>
    <w:rsid w:val="001B371E"/>
    <w:rsid w:val="001B379D"/>
    <w:rsid w:val="001B3851"/>
    <w:rsid w:val="001B38D1"/>
    <w:rsid w:val="001B398F"/>
    <w:rsid w:val="001B3A68"/>
    <w:rsid w:val="001B3B01"/>
    <w:rsid w:val="001B3BA8"/>
    <w:rsid w:val="001B3C30"/>
    <w:rsid w:val="001B3D02"/>
    <w:rsid w:val="001B3D2E"/>
    <w:rsid w:val="001B3D31"/>
    <w:rsid w:val="001B3D4F"/>
    <w:rsid w:val="001B3D64"/>
    <w:rsid w:val="001B3E84"/>
    <w:rsid w:val="001B40B7"/>
    <w:rsid w:val="001B4193"/>
    <w:rsid w:val="001B41CE"/>
    <w:rsid w:val="001B426B"/>
    <w:rsid w:val="001B4338"/>
    <w:rsid w:val="001B43A1"/>
    <w:rsid w:val="001B43D7"/>
    <w:rsid w:val="001B44CB"/>
    <w:rsid w:val="001B4576"/>
    <w:rsid w:val="001B4781"/>
    <w:rsid w:val="001B4982"/>
    <w:rsid w:val="001B4B1C"/>
    <w:rsid w:val="001B4B37"/>
    <w:rsid w:val="001B4BA5"/>
    <w:rsid w:val="001B4CA0"/>
    <w:rsid w:val="001B4D8C"/>
    <w:rsid w:val="001B4E11"/>
    <w:rsid w:val="001B4F3E"/>
    <w:rsid w:val="001B4FA3"/>
    <w:rsid w:val="001B5170"/>
    <w:rsid w:val="001B529C"/>
    <w:rsid w:val="001B5405"/>
    <w:rsid w:val="001B54B8"/>
    <w:rsid w:val="001B55E3"/>
    <w:rsid w:val="001B5721"/>
    <w:rsid w:val="001B5803"/>
    <w:rsid w:val="001B5898"/>
    <w:rsid w:val="001B596A"/>
    <w:rsid w:val="001B5A7D"/>
    <w:rsid w:val="001B5B92"/>
    <w:rsid w:val="001B5C19"/>
    <w:rsid w:val="001B5D78"/>
    <w:rsid w:val="001B5DAD"/>
    <w:rsid w:val="001B5E74"/>
    <w:rsid w:val="001B5F1A"/>
    <w:rsid w:val="001B5F6F"/>
    <w:rsid w:val="001B5FE8"/>
    <w:rsid w:val="001B6023"/>
    <w:rsid w:val="001B6084"/>
    <w:rsid w:val="001B6132"/>
    <w:rsid w:val="001B62B6"/>
    <w:rsid w:val="001B62BD"/>
    <w:rsid w:val="001B63A7"/>
    <w:rsid w:val="001B657B"/>
    <w:rsid w:val="001B65C0"/>
    <w:rsid w:val="001B65F3"/>
    <w:rsid w:val="001B6706"/>
    <w:rsid w:val="001B6713"/>
    <w:rsid w:val="001B67D8"/>
    <w:rsid w:val="001B67EA"/>
    <w:rsid w:val="001B6A82"/>
    <w:rsid w:val="001B6B18"/>
    <w:rsid w:val="001B6D0C"/>
    <w:rsid w:val="001B6D23"/>
    <w:rsid w:val="001B6EE1"/>
    <w:rsid w:val="001B6EF4"/>
    <w:rsid w:val="001B6F1D"/>
    <w:rsid w:val="001B6F9B"/>
    <w:rsid w:val="001B6FA4"/>
    <w:rsid w:val="001B712F"/>
    <w:rsid w:val="001B746B"/>
    <w:rsid w:val="001B74C5"/>
    <w:rsid w:val="001B74E8"/>
    <w:rsid w:val="001B74EC"/>
    <w:rsid w:val="001B74F5"/>
    <w:rsid w:val="001B7507"/>
    <w:rsid w:val="001B7606"/>
    <w:rsid w:val="001B7637"/>
    <w:rsid w:val="001B769C"/>
    <w:rsid w:val="001B773B"/>
    <w:rsid w:val="001B77F3"/>
    <w:rsid w:val="001B794B"/>
    <w:rsid w:val="001B79A5"/>
    <w:rsid w:val="001B7AC2"/>
    <w:rsid w:val="001B7AE0"/>
    <w:rsid w:val="001B7B08"/>
    <w:rsid w:val="001B7B5A"/>
    <w:rsid w:val="001B7B6A"/>
    <w:rsid w:val="001B7BAF"/>
    <w:rsid w:val="001B7BCB"/>
    <w:rsid w:val="001B7C9B"/>
    <w:rsid w:val="001B7E54"/>
    <w:rsid w:val="001B7E58"/>
    <w:rsid w:val="001B7E66"/>
    <w:rsid w:val="001B7EF4"/>
    <w:rsid w:val="001B7FEB"/>
    <w:rsid w:val="001C0023"/>
    <w:rsid w:val="001C002F"/>
    <w:rsid w:val="001C00CF"/>
    <w:rsid w:val="001C0186"/>
    <w:rsid w:val="001C01C3"/>
    <w:rsid w:val="001C0230"/>
    <w:rsid w:val="001C030A"/>
    <w:rsid w:val="001C034F"/>
    <w:rsid w:val="001C037E"/>
    <w:rsid w:val="001C03D0"/>
    <w:rsid w:val="001C03FF"/>
    <w:rsid w:val="001C04D9"/>
    <w:rsid w:val="001C0518"/>
    <w:rsid w:val="001C05CA"/>
    <w:rsid w:val="001C062F"/>
    <w:rsid w:val="001C0718"/>
    <w:rsid w:val="001C0766"/>
    <w:rsid w:val="001C07DD"/>
    <w:rsid w:val="001C0958"/>
    <w:rsid w:val="001C0A09"/>
    <w:rsid w:val="001C0AA7"/>
    <w:rsid w:val="001C0C0E"/>
    <w:rsid w:val="001C0C93"/>
    <w:rsid w:val="001C0CF6"/>
    <w:rsid w:val="001C1098"/>
    <w:rsid w:val="001C10CF"/>
    <w:rsid w:val="001C115F"/>
    <w:rsid w:val="001C12EE"/>
    <w:rsid w:val="001C14CD"/>
    <w:rsid w:val="001C1562"/>
    <w:rsid w:val="001C15CB"/>
    <w:rsid w:val="001C1612"/>
    <w:rsid w:val="001C16B5"/>
    <w:rsid w:val="001C17E2"/>
    <w:rsid w:val="001C17FA"/>
    <w:rsid w:val="001C181F"/>
    <w:rsid w:val="001C1881"/>
    <w:rsid w:val="001C191B"/>
    <w:rsid w:val="001C1959"/>
    <w:rsid w:val="001C1A11"/>
    <w:rsid w:val="001C1A1F"/>
    <w:rsid w:val="001C1A4E"/>
    <w:rsid w:val="001C1A6D"/>
    <w:rsid w:val="001C1ACE"/>
    <w:rsid w:val="001C1B36"/>
    <w:rsid w:val="001C1CCE"/>
    <w:rsid w:val="001C1D1B"/>
    <w:rsid w:val="001C1DE2"/>
    <w:rsid w:val="001C1E5F"/>
    <w:rsid w:val="001C1EEA"/>
    <w:rsid w:val="001C1FA2"/>
    <w:rsid w:val="001C202F"/>
    <w:rsid w:val="001C20BA"/>
    <w:rsid w:val="001C2188"/>
    <w:rsid w:val="001C218E"/>
    <w:rsid w:val="001C2197"/>
    <w:rsid w:val="001C2214"/>
    <w:rsid w:val="001C2281"/>
    <w:rsid w:val="001C2359"/>
    <w:rsid w:val="001C246B"/>
    <w:rsid w:val="001C2588"/>
    <w:rsid w:val="001C25DD"/>
    <w:rsid w:val="001C2724"/>
    <w:rsid w:val="001C276B"/>
    <w:rsid w:val="001C2BA6"/>
    <w:rsid w:val="001C2BEA"/>
    <w:rsid w:val="001C2C53"/>
    <w:rsid w:val="001C2C6F"/>
    <w:rsid w:val="001C2D88"/>
    <w:rsid w:val="001C2E1B"/>
    <w:rsid w:val="001C2EEB"/>
    <w:rsid w:val="001C2FD6"/>
    <w:rsid w:val="001C30E2"/>
    <w:rsid w:val="001C3162"/>
    <w:rsid w:val="001C3183"/>
    <w:rsid w:val="001C3184"/>
    <w:rsid w:val="001C31E8"/>
    <w:rsid w:val="001C32B5"/>
    <w:rsid w:val="001C32C1"/>
    <w:rsid w:val="001C3371"/>
    <w:rsid w:val="001C3474"/>
    <w:rsid w:val="001C3586"/>
    <w:rsid w:val="001C366C"/>
    <w:rsid w:val="001C3693"/>
    <w:rsid w:val="001C369C"/>
    <w:rsid w:val="001C3737"/>
    <w:rsid w:val="001C3881"/>
    <w:rsid w:val="001C3892"/>
    <w:rsid w:val="001C38B7"/>
    <w:rsid w:val="001C391C"/>
    <w:rsid w:val="001C394C"/>
    <w:rsid w:val="001C395D"/>
    <w:rsid w:val="001C3A16"/>
    <w:rsid w:val="001C3A98"/>
    <w:rsid w:val="001C3C4C"/>
    <w:rsid w:val="001C405B"/>
    <w:rsid w:val="001C405C"/>
    <w:rsid w:val="001C40F7"/>
    <w:rsid w:val="001C422A"/>
    <w:rsid w:val="001C4290"/>
    <w:rsid w:val="001C42E2"/>
    <w:rsid w:val="001C43C2"/>
    <w:rsid w:val="001C4513"/>
    <w:rsid w:val="001C4582"/>
    <w:rsid w:val="001C4684"/>
    <w:rsid w:val="001C47BC"/>
    <w:rsid w:val="001C4800"/>
    <w:rsid w:val="001C4884"/>
    <w:rsid w:val="001C48BA"/>
    <w:rsid w:val="001C4967"/>
    <w:rsid w:val="001C4990"/>
    <w:rsid w:val="001C4ADD"/>
    <w:rsid w:val="001C4B7A"/>
    <w:rsid w:val="001C4BD8"/>
    <w:rsid w:val="001C4BEF"/>
    <w:rsid w:val="001C4BF8"/>
    <w:rsid w:val="001C4CA4"/>
    <w:rsid w:val="001C4F26"/>
    <w:rsid w:val="001C4F37"/>
    <w:rsid w:val="001C4F9E"/>
    <w:rsid w:val="001C4FA5"/>
    <w:rsid w:val="001C507C"/>
    <w:rsid w:val="001C51B0"/>
    <w:rsid w:val="001C54DF"/>
    <w:rsid w:val="001C54FE"/>
    <w:rsid w:val="001C5556"/>
    <w:rsid w:val="001C558C"/>
    <w:rsid w:val="001C567E"/>
    <w:rsid w:val="001C58FE"/>
    <w:rsid w:val="001C59C9"/>
    <w:rsid w:val="001C5A23"/>
    <w:rsid w:val="001C5D1F"/>
    <w:rsid w:val="001C5E05"/>
    <w:rsid w:val="001C5FC6"/>
    <w:rsid w:val="001C5FD3"/>
    <w:rsid w:val="001C5FE1"/>
    <w:rsid w:val="001C6127"/>
    <w:rsid w:val="001C6180"/>
    <w:rsid w:val="001C61D3"/>
    <w:rsid w:val="001C624C"/>
    <w:rsid w:val="001C65C0"/>
    <w:rsid w:val="001C66E5"/>
    <w:rsid w:val="001C6727"/>
    <w:rsid w:val="001C6866"/>
    <w:rsid w:val="001C696D"/>
    <w:rsid w:val="001C699D"/>
    <w:rsid w:val="001C69E1"/>
    <w:rsid w:val="001C6C1B"/>
    <w:rsid w:val="001C6C37"/>
    <w:rsid w:val="001C6C43"/>
    <w:rsid w:val="001C6C9F"/>
    <w:rsid w:val="001C6E93"/>
    <w:rsid w:val="001C6F6F"/>
    <w:rsid w:val="001C6FFB"/>
    <w:rsid w:val="001C7062"/>
    <w:rsid w:val="001C70FB"/>
    <w:rsid w:val="001C716F"/>
    <w:rsid w:val="001C7301"/>
    <w:rsid w:val="001C7403"/>
    <w:rsid w:val="001C74C6"/>
    <w:rsid w:val="001C74DF"/>
    <w:rsid w:val="001C7559"/>
    <w:rsid w:val="001C75F1"/>
    <w:rsid w:val="001C764A"/>
    <w:rsid w:val="001C770D"/>
    <w:rsid w:val="001C7A13"/>
    <w:rsid w:val="001C7AB1"/>
    <w:rsid w:val="001C7B67"/>
    <w:rsid w:val="001C7C60"/>
    <w:rsid w:val="001C7D51"/>
    <w:rsid w:val="001C7D82"/>
    <w:rsid w:val="001C7E2D"/>
    <w:rsid w:val="001C7EF0"/>
    <w:rsid w:val="001C7F0C"/>
    <w:rsid w:val="001C7F62"/>
    <w:rsid w:val="001C7F69"/>
    <w:rsid w:val="001D0020"/>
    <w:rsid w:val="001D0072"/>
    <w:rsid w:val="001D0089"/>
    <w:rsid w:val="001D00F3"/>
    <w:rsid w:val="001D010C"/>
    <w:rsid w:val="001D011A"/>
    <w:rsid w:val="001D02E5"/>
    <w:rsid w:val="001D0381"/>
    <w:rsid w:val="001D0385"/>
    <w:rsid w:val="001D03A7"/>
    <w:rsid w:val="001D05B2"/>
    <w:rsid w:val="001D05C2"/>
    <w:rsid w:val="001D0641"/>
    <w:rsid w:val="001D0822"/>
    <w:rsid w:val="001D086C"/>
    <w:rsid w:val="001D08E2"/>
    <w:rsid w:val="001D09D9"/>
    <w:rsid w:val="001D09DF"/>
    <w:rsid w:val="001D0A01"/>
    <w:rsid w:val="001D0B1E"/>
    <w:rsid w:val="001D0C24"/>
    <w:rsid w:val="001D0C82"/>
    <w:rsid w:val="001D0C9F"/>
    <w:rsid w:val="001D0CC9"/>
    <w:rsid w:val="001D0D70"/>
    <w:rsid w:val="001D0D94"/>
    <w:rsid w:val="001D0DB6"/>
    <w:rsid w:val="001D0DD5"/>
    <w:rsid w:val="001D0E04"/>
    <w:rsid w:val="001D0E58"/>
    <w:rsid w:val="001D0EA3"/>
    <w:rsid w:val="001D105A"/>
    <w:rsid w:val="001D10DB"/>
    <w:rsid w:val="001D11B1"/>
    <w:rsid w:val="001D11D5"/>
    <w:rsid w:val="001D124F"/>
    <w:rsid w:val="001D1280"/>
    <w:rsid w:val="001D1376"/>
    <w:rsid w:val="001D138B"/>
    <w:rsid w:val="001D1496"/>
    <w:rsid w:val="001D1520"/>
    <w:rsid w:val="001D153F"/>
    <w:rsid w:val="001D1626"/>
    <w:rsid w:val="001D1770"/>
    <w:rsid w:val="001D1799"/>
    <w:rsid w:val="001D1A7A"/>
    <w:rsid w:val="001D1AFA"/>
    <w:rsid w:val="001D1B42"/>
    <w:rsid w:val="001D1C16"/>
    <w:rsid w:val="001D1C42"/>
    <w:rsid w:val="001D1DCF"/>
    <w:rsid w:val="001D206E"/>
    <w:rsid w:val="001D206F"/>
    <w:rsid w:val="001D20CC"/>
    <w:rsid w:val="001D2170"/>
    <w:rsid w:val="001D2197"/>
    <w:rsid w:val="001D2332"/>
    <w:rsid w:val="001D2378"/>
    <w:rsid w:val="001D240C"/>
    <w:rsid w:val="001D2492"/>
    <w:rsid w:val="001D2583"/>
    <w:rsid w:val="001D2601"/>
    <w:rsid w:val="001D2614"/>
    <w:rsid w:val="001D26B7"/>
    <w:rsid w:val="001D279F"/>
    <w:rsid w:val="001D2846"/>
    <w:rsid w:val="001D285C"/>
    <w:rsid w:val="001D28D4"/>
    <w:rsid w:val="001D2922"/>
    <w:rsid w:val="001D2B77"/>
    <w:rsid w:val="001D2B84"/>
    <w:rsid w:val="001D2C9A"/>
    <w:rsid w:val="001D2CC9"/>
    <w:rsid w:val="001D2CF7"/>
    <w:rsid w:val="001D2E5C"/>
    <w:rsid w:val="001D2F13"/>
    <w:rsid w:val="001D3182"/>
    <w:rsid w:val="001D3222"/>
    <w:rsid w:val="001D32F3"/>
    <w:rsid w:val="001D33E6"/>
    <w:rsid w:val="001D34B5"/>
    <w:rsid w:val="001D355C"/>
    <w:rsid w:val="001D357A"/>
    <w:rsid w:val="001D3640"/>
    <w:rsid w:val="001D36B9"/>
    <w:rsid w:val="001D376C"/>
    <w:rsid w:val="001D377B"/>
    <w:rsid w:val="001D37AD"/>
    <w:rsid w:val="001D38CF"/>
    <w:rsid w:val="001D38DA"/>
    <w:rsid w:val="001D38EC"/>
    <w:rsid w:val="001D392D"/>
    <w:rsid w:val="001D3984"/>
    <w:rsid w:val="001D3A14"/>
    <w:rsid w:val="001D3A3F"/>
    <w:rsid w:val="001D3B25"/>
    <w:rsid w:val="001D3B36"/>
    <w:rsid w:val="001D3BA3"/>
    <w:rsid w:val="001D3D5C"/>
    <w:rsid w:val="001D3D9D"/>
    <w:rsid w:val="001D3DD8"/>
    <w:rsid w:val="001D3EE6"/>
    <w:rsid w:val="001D3EF3"/>
    <w:rsid w:val="001D3F15"/>
    <w:rsid w:val="001D3FD6"/>
    <w:rsid w:val="001D402E"/>
    <w:rsid w:val="001D4043"/>
    <w:rsid w:val="001D409D"/>
    <w:rsid w:val="001D4173"/>
    <w:rsid w:val="001D4190"/>
    <w:rsid w:val="001D41EA"/>
    <w:rsid w:val="001D4352"/>
    <w:rsid w:val="001D439F"/>
    <w:rsid w:val="001D43C1"/>
    <w:rsid w:val="001D44C0"/>
    <w:rsid w:val="001D450B"/>
    <w:rsid w:val="001D470D"/>
    <w:rsid w:val="001D4912"/>
    <w:rsid w:val="001D4C0C"/>
    <w:rsid w:val="001D4D9C"/>
    <w:rsid w:val="001D4F29"/>
    <w:rsid w:val="001D4F46"/>
    <w:rsid w:val="001D4FFA"/>
    <w:rsid w:val="001D5000"/>
    <w:rsid w:val="001D50DD"/>
    <w:rsid w:val="001D511A"/>
    <w:rsid w:val="001D5128"/>
    <w:rsid w:val="001D515C"/>
    <w:rsid w:val="001D51F4"/>
    <w:rsid w:val="001D52B4"/>
    <w:rsid w:val="001D52F4"/>
    <w:rsid w:val="001D5311"/>
    <w:rsid w:val="001D55B8"/>
    <w:rsid w:val="001D5640"/>
    <w:rsid w:val="001D56B6"/>
    <w:rsid w:val="001D578B"/>
    <w:rsid w:val="001D5799"/>
    <w:rsid w:val="001D57CB"/>
    <w:rsid w:val="001D587F"/>
    <w:rsid w:val="001D5951"/>
    <w:rsid w:val="001D5A64"/>
    <w:rsid w:val="001D5B0D"/>
    <w:rsid w:val="001D5B4A"/>
    <w:rsid w:val="001D5C8F"/>
    <w:rsid w:val="001D5DE0"/>
    <w:rsid w:val="001D5E14"/>
    <w:rsid w:val="001D5ECD"/>
    <w:rsid w:val="001D5F66"/>
    <w:rsid w:val="001D61F5"/>
    <w:rsid w:val="001D626B"/>
    <w:rsid w:val="001D6318"/>
    <w:rsid w:val="001D6469"/>
    <w:rsid w:val="001D64B1"/>
    <w:rsid w:val="001D6581"/>
    <w:rsid w:val="001D664E"/>
    <w:rsid w:val="001D6681"/>
    <w:rsid w:val="001D6785"/>
    <w:rsid w:val="001D67B7"/>
    <w:rsid w:val="001D6820"/>
    <w:rsid w:val="001D683D"/>
    <w:rsid w:val="001D6AA3"/>
    <w:rsid w:val="001D6AE9"/>
    <w:rsid w:val="001D6B98"/>
    <w:rsid w:val="001D6BCA"/>
    <w:rsid w:val="001D6D0A"/>
    <w:rsid w:val="001D6DBD"/>
    <w:rsid w:val="001D6DCB"/>
    <w:rsid w:val="001D6DF5"/>
    <w:rsid w:val="001D6E85"/>
    <w:rsid w:val="001D6EE5"/>
    <w:rsid w:val="001D6F19"/>
    <w:rsid w:val="001D7131"/>
    <w:rsid w:val="001D7151"/>
    <w:rsid w:val="001D71F0"/>
    <w:rsid w:val="001D73A3"/>
    <w:rsid w:val="001D7407"/>
    <w:rsid w:val="001D7471"/>
    <w:rsid w:val="001D74ED"/>
    <w:rsid w:val="001D75D4"/>
    <w:rsid w:val="001D7669"/>
    <w:rsid w:val="001D7754"/>
    <w:rsid w:val="001D77E5"/>
    <w:rsid w:val="001D7861"/>
    <w:rsid w:val="001D7875"/>
    <w:rsid w:val="001D7937"/>
    <w:rsid w:val="001D795E"/>
    <w:rsid w:val="001D79CC"/>
    <w:rsid w:val="001D7B5C"/>
    <w:rsid w:val="001D7BB8"/>
    <w:rsid w:val="001D7BEC"/>
    <w:rsid w:val="001D7C49"/>
    <w:rsid w:val="001D7C62"/>
    <w:rsid w:val="001D7CB8"/>
    <w:rsid w:val="001D7D35"/>
    <w:rsid w:val="001D7DD8"/>
    <w:rsid w:val="001D7E25"/>
    <w:rsid w:val="001D7E69"/>
    <w:rsid w:val="001D7E6E"/>
    <w:rsid w:val="001D7FCF"/>
    <w:rsid w:val="001E0045"/>
    <w:rsid w:val="001E004F"/>
    <w:rsid w:val="001E016B"/>
    <w:rsid w:val="001E0276"/>
    <w:rsid w:val="001E0299"/>
    <w:rsid w:val="001E03BA"/>
    <w:rsid w:val="001E04BC"/>
    <w:rsid w:val="001E058B"/>
    <w:rsid w:val="001E060E"/>
    <w:rsid w:val="001E0621"/>
    <w:rsid w:val="001E070C"/>
    <w:rsid w:val="001E0775"/>
    <w:rsid w:val="001E0798"/>
    <w:rsid w:val="001E07FF"/>
    <w:rsid w:val="001E098E"/>
    <w:rsid w:val="001E09DA"/>
    <w:rsid w:val="001E0A43"/>
    <w:rsid w:val="001E0CC7"/>
    <w:rsid w:val="001E0CDC"/>
    <w:rsid w:val="001E0D79"/>
    <w:rsid w:val="001E0DE9"/>
    <w:rsid w:val="001E0E63"/>
    <w:rsid w:val="001E1145"/>
    <w:rsid w:val="001E1166"/>
    <w:rsid w:val="001E118A"/>
    <w:rsid w:val="001E118E"/>
    <w:rsid w:val="001E11AD"/>
    <w:rsid w:val="001E1201"/>
    <w:rsid w:val="001E1212"/>
    <w:rsid w:val="001E1365"/>
    <w:rsid w:val="001E1503"/>
    <w:rsid w:val="001E15DE"/>
    <w:rsid w:val="001E166D"/>
    <w:rsid w:val="001E1748"/>
    <w:rsid w:val="001E1778"/>
    <w:rsid w:val="001E17AF"/>
    <w:rsid w:val="001E184F"/>
    <w:rsid w:val="001E18D7"/>
    <w:rsid w:val="001E1967"/>
    <w:rsid w:val="001E1ABE"/>
    <w:rsid w:val="001E1AD2"/>
    <w:rsid w:val="001E1B2A"/>
    <w:rsid w:val="001E1BEE"/>
    <w:rsid w:val="001E1C94"/>
    <w:rsid w:val="001E1C9D"/>
    <w:rsid w:val="001E1D50"/>
    <w:rsid w:val="001E1D77"/>
    <w:rsid w:val="001E1D9D"/>
    <w:rsid w:val="001E1DB8"/>
    <w:rsid w:val="001E1DFE"/>
    <w:rsid w:val="001E1F27"/>
    <w:rsid w:val="001E1F58"/>
    <w:rsid w:val="001E216A"/>
    <w:rsid w:val="001E21D0"/>
    <w:rsid w:val="001E225D"/>
    <w:rsid w:val="001E2324"/>
    <w:rsid w:val="001E235D"/>
    <w:rsid w:val="001E2364"/>
    <w:rsid w:val="001E2381"/>
    <w:rsid w:val="001E23BC"/>
    <w:rsid w:val="001E266C"/>
    <w:rsid w:val="001E26F3"/>
    <w:rsid w:val="001E27F8"/>
    <w:rsid w:val="001E2870"/>
    <w:rsid w:val="001E289C"/>
    <w:rsid w:val="001E2947"/>
    <w:rsid w:val="001E2B51"/>
    <w:rsid w:val="001E2BA9"/>
    <w:rsid w:val="001E2BEC"/>
    <w:rsid w:val="001E2C7F"/>
    <w:rsid w:val="001E2CE9"/>
    <w:rsid w:val="001E2D6B"/>
    <w:rsid w:val="001E2D99"/>
    <w:rsid w:val="001E2DA4"/>
    <w:rsid w:val="001E2E56"/>
    <w:rsid w:val="001E2EB2"/>
    <w:rsid w:val="001E2F26"/>
    <w:rsid w:val="001E2FEB"/>
    <w:rsid w:val="001E3100"/>
    <w:rsid w:val="001E3197"/>
    <w:rsid w:val="001E3208"/>
    <w:rsid w:val="001E33AE"/>
    <w:rsid w:val="001E33D7"/>
    <w:rsid w:val="001E341A"/>
    <w:rsid w:val="001E349B"/>
    <w:rsid w:val="001E350F"/>
    <w:rsid w:val="001E3922"/>
    <w:rsid w:val="001E39B7"/>
    <w:rsid w:val="001E39BC"/>
    <w:rsid w:val="001E3B12"/>
    <w:rsid w:val="001E3BB3"/>
    <w:rsid w:val="001E3C57"/>
    <w:rsid w:val="001E3CF1"/>
    <w:rsid w:val="001E3DA0"/>
    <w:rsid w:val="001E3DE9"/>
    <w:rsid w:val="001E3F74"/>
    <w:rsid w:val="001E3FB6"/>
    <w:rsid w:val="001E3FCE"/>
    <w:rsid w:val="001E4050"/>
    <w:rsid w:val="001E4056"/>
    <w:rsid w:val="001E4084"/>
    <w:rsid w:val="001E41AB"/>
    <w:rsid w:val="001E4212"/>
    <w:rsid w:val="001E43F8"/>
    <w:rsid w:val="001E44F4"/>
    <w:rsid w:val="001E4577"/>
    <w:rsid w:val="001E46CB"/>
    <w:rsid w:val="001E47B1"/>
    <w:rsid w:val="001E4823"/>
    <w:rsid w:val="001E48B4"/>
    <w:rsid w:val="001E48B9"/>
    <w:rsid w:val="001E49D8"/>
    <w:rsid w:val="001E4B68"/>
    <w:rsid w:val="001E4BCF"/>
    <w:rsid w:val="001E4CA8"/>
    <w:rsid w:val="001E4DA2"/>
    <w:rsid w:val="001E4DCD"/>
    <w:rsid w:val="001E4DD3"/>
    <w:rsid w:val="001E4E7C"/>
    <w:rsid w:val="001E4E87"/>
    <w:rsid w:val="001E4F04"/>
    <w:rsid w:val="001E4FAA"/>
    <w:rsid w:val="001E4FAB"/>
    <w:rsid w:val="001E501B"/>
    <w:rsid w:val="001E521B"/>
    <w:rsid w:val="001E5365"/>
    <w:rsid w:val="001E5396"/>
    <w:rsid w:val="001E555F"/>
    <w:rsid w:val="001E5583"/>
    <w:rsid w:val="001E57B3"/>
    <w:rsid w:val="001E586A"/>
    <w:rsid w:val="001E58D7"/>
    <w:rsid w:val="001E5BB6"/>
    <w:rsid w:val="001E5D48"/>
    <w:rsid w:val="001E5E4E"/>
    <w:rsid w:val="001E5EED"/>
    <w:rsid w:val="001E5FC2"/>
    <w:rsid w:val="001E5FD6"/>
    <w:rsid w:val="001E60B4"/>
    <w:rsid w:val="001E613E"/>
    <w:rsid w:val="001E6202"/>
    <w:rsid w:val="001E620C"/>
    <w:rsid w:val="001E6224"/>
    <w:rsid w:val="001E623B"/>
    <w:rsid w:val="001E62A4"/>
    <w:rsid w:val="001E656F"/>
    <w:rsid w:val="001E6570"/>
    <w:rsid w:val="001E6620"/>
    <w:rsid w:val="001E66F5"/>
    <w:rsid w:val="001E66F8"/>
    <w:rsid w:val="001E6778"/>
    <w:rsid w:val="001E6794"/>
    <w:rsid w:val="001E67EA"/>
    <w:rsid w:val="001E68BE"/>
    <w:rsid w:val="001E69D2"/>
    <w:rsid w:val="001E6A58"/>
    <w:rsid w:val="001E6BA9"/>
    <w:rsid w:val="001E6BBF"/>
    <w:rsid w:val="001E6BFE"/>
    <w:rsid w:val="001E6C2A"/>
    <w:rsid w:val="001E6C68"/>
    <w:rsid w:val="001E6D72"/>
    <w:rsid w:val="001E6DB4"/>
    <w:rsid w:val="001E6E0F"/>
    <w:rsid w:val="001E6E3B"/>
    <w:rsid w:val="001E6EEE"/>
    <w:rsid w:val="001E6FD4"/>
    <w:rsid w:val="001E701A"/>
    <w:rsid w:val="001E70BA"/>
    <w:rsid w:val="001E70C7"/>
    <w:rsid w:val="001E7103"/>
    <w:rsid w:val="001E7417"/>
    <w:rsid w:val="001E7477"/>
    <w:rsid w:val="001E74F3"/>
    <w:rsid w:val="001E765E"/>
    <w:rsid w:val="001E76A6"/>
    <w:rsid w:val="001E7864"/>
    <w:rsid w:val="001E78B8"/>
    <w:rsid w:val="001E79E5"/>
    <w:rsid w:val="001E7AAD"/>
    <w:rsid w:val="001E7B0A"/>
    <w:rsid w:val="001E7C08"/>
    <w:rsid w:val="001E7C28"/>
    <w:rsid w:val="001E7D26"/>
    <w:rsid w:val="001E7D3E"/>
    <w:rsid w:val="001E7D67"/>
    <w:rsid w:val="001E7D7B"/>
    <w:rsid w:val="001E7E50"/>
    <w:rsid w:val="001E7EF3"/>
    <w:rsid w:val="001E7F25"/>
    <w:rsid w:val="001E7FF6"/>
    <w:rsid w:val="001F004A"/>
    <w:rsid w:val="001F00C3"/>
    <w:rsid w:val="001F01BB"/>
    <w:rsid w:val="001F027F"/>
    <w:rsid w:val="001F03E2"/>
    <w:rsid w:val="001F0494"/>
    <w:rsid w:val="001F056B"/>
    <w:rsid w:val="001F0583"/>
    <w:rsid w:val="001F0632"/>
    <w:rsid w:val="001F0793"/>
    <w:rsid w:val="001F0828"/>
    <w:rsid w:val="001F0883"/>
    <w:rsid w:val="001F09DA"/>
    <w:rsid w:val="001F0A4E"/>
    <w:rsid w:val="001F0ACE"/>
    <w:rsid w:val="001F0AFC"/>
    <w:rsid w:val="001F0B16"/>
    <w:rsid w:val="001F0B23"/>
    <w:rsid w:val="001F0B2D"/>
    <w:rsid w:val="001F0C24"/>
    <w:rsid w:val="001F0D97"/>
    <w:rsid w:val="001F0F91"/>
    <w:rsid w:val="001F113C"/>
    <w:rsid w:val="001F1192"/>
    <w:rsid w:val="001F11C8"/>
    <w:rsid w:val="001F122D"/>
    <w:rsid w:val="001F12CB"/>
    <w:rsid w:val="001F1482"/>
    <w:rsid w:val="001F156F"/>
    <w:rsid w:val="001F178C"/>
    <w:rsid w:val="001F183F"/>
    <w:rsid w:val="001F1906"/>
    <w:rsid w:val="001F1A0C"/>
    <w:rsid w:val="001F1A33"/>
    <w:rsid w:val="001F1B19"/>
    <w:rsid w:val="001F1B4A"/>
    <w:rsid w:val="001F1B7B"/>
    <w:rsid w:val="001F1C32"/>
    <w:rsid w:val="001F1C83"/>
    <w:rsid w:val="001F1E5B"/>
    <w:rsid w:val="001F1E90"/>
    <w:rsid w:val="001F1EEC"/>
    <w:rsid w:val="001F2084"/>
    <w:rsid w:val="001F210F"/>
    <w:rsid w:val="001F22B7"/>
    <w:rsid w:val="001F246C"/>
    <w:rsid w:val="001F24E2"/>
    <w:rsid w:val="001F258D"/>
    <w:rsid w:val="001F2679"/>
    <w:rsid w:val="001F26D1"/>
    <w:rsid w:val="001F2771"/>
    <w:rsid w:val="001F2791"/>
    <w:rsid w:val="001F27AA"/>
    <w:rsid w:val="001F2844"/>
    <w:rsid w:val="001F29D4"/>
    <w:rsid w:val="001F2A06"/>
    <w:rsid w:val="001F2AAF"/>
    <w:rsid w:val="001F2B13"/>
    <w:rsid w:val="001F2BA9"/>
    <w:rsid w:val="001F2D00"/>
    <w:rsid w:val="001F2EBF"/>
    <w:rsid w:val="001F2EF3"/>
    <w:rsid w:val="001F304F"/>
    <w:rsid w:val="001F3098"/>
    <w:rsid w:val="001F31AF"/>
    <w:rsid w:val="001F3235"/>
    <w:rsid w:val="001F3352"/>
    <w:rsid w:val="001F33AD"/>
    <w:rsid w:val="001F3483"/>
    <w:rsid w:val="001F35A5"/>
    <w:rsid w:val="001F35D7"/>
    <w:rsid w:val="001F362F"/>
    <w:rsid w:val="001F364E"/>
    <w:rsid w:val="001F3764"/>
    <w:rsid w:val="001F3874"/>
    <w:rsid w:val="001F38BE"/>
    <w:rsid w:val="001F3B03"/>
    <w:rsid w:val="001F3B16"/>
    <w:rsid w:val="001F3BE5"/>
    <w:rsid w:val="001F3C56"/>
    <w:rsid w:val="001F3CD0"/>
    <w:rsid w:val="001F3CEA"/>
    <w:rsid w:val="001F3CF1"/>
    <w:rsid w:val="001F3D31"/>
    <w:rsid w:val="001F3D8D"/>
    <w:rsid w:val="001F3FC4"/>
    <w:rsid w:val="001F4036"/>
    <w:rsid w:val="001F4194"/>
    <w:rsid w:val="001F41D7"/>
    <w:rsid w:val="001F4253"/>
    <w:rsid w:val="001F4267"/>
    <w:rsid w:val="001F42C8"/>
    <w:rsid w:val="001F445B"/>
    <w:rsid w:val="001F4463"/>
    <w:rsid w:val="001F449B"/>
    <w:rsid w:val="001F44F2"/>
    <w:rsid w:val="001F44F3"/>
    <w:rsid w:val="001F4588"/>
    <w:rsid w:val="001F4610"/>
    <w:rsid w:val="001F4633"/>
    <w:rsid w:val="001F463A"/>
    <w:rsid w:val="001F4720"/>
    <w:rsid w:val="001F48FB"/>
    <w:rsid w:val="001F4936"/>
    <w:rsid w:val="001F4B1D"/>
    <w:rsid w:val="001F4B59"/>
    <w:rsid w:val="001F4B5B"/>
    <w:rsid w:val="001F4B70"/>
    <w:rsid w:val="001F4ECE"/>
    <w:rsid w:val="001F4F59"/>
    <w:rsid w:val="001F5110"/>
    <w:rsid w:val="001F5117"/>
    <w:rsid w:val="001F512A"/>
    <w:rsid w:val="001F518F"/>
    <w:rsid w:val="001F519B"/>
    <w:rsid w:val="001F51D3"/>
    <w:rsid w:val="001F529B"/>
    <w:rsid w:val="001F52EC"/>
    <w:rsid w:val="001F5335"/>
    <w:rsid w:val="001F53F9"/>
    <w:rsid w:val="001F5402"/>
    <w:rsid w:val="001F5420"/>
    <w:rsid w:val="001F54B3"/>
    <w:rsid w:val="001F55B7"/>
    <w:rsid w:val="001F5735"/>
    <w:rsid w:val="001F58E3"/>
    <w:rsid w:val="001F58F2"/>
    <w:rsid w:val="001F5A85"/>
    <w:rsid w:val="001F5AAA"/>
    <w:rsid w:val="001F5B8A"/>
    <w:rsid w:val="001F5C64"/>
    <w:rsid w:val="001F5C85"/>
    <w:rsid w:val="001F5D0C"/>
    <w:rsid w:val="001F5D82"/>
    <w:rsid w:val="001F5DE8"/>
    <w:rsid w:val="001F5E63"/>
    <w:rsid w:val="001F5E8A"/>
    <w:rsid w:val="001F5EAA"/>
    <w:rsid w:val="001F605F"/>
    <w:rsid w:val="001F60A7"/>
    <w:rsid w:val="001F617D"/>
    <w:rsid w:val="001F61B8"/>
    <w:rsid w:val="001F61E0"/>
    <w:rsid w:val="001F6226"/>
    <w:rsid w:val="001F6271"/>
    <w:rsid w:val="001F62C7"/>
    <w:rsid w:val="001F62D0"/>
    <w:rsid w:val="001F6344"/>
    <w:rsid w:val="001F63E5"/>
    <w:rsid w:val="001F64B6"/>
    <w:rsid w:val="001F6819"/>
    <w:rsid w:val="001F6839"/>
    <w:rsid w:val="001F68A0"/>
    <w:rsid w:val="001F6912"/>
    <w:rsid w:val="001F69AC"/>
    <w:rsid w:val="001F69FD"/>
    <w:rsid w:val="001F69FF"/>
    <w:rsid w:val="001F6B4A"/>
    <w:rsid w:val="001F6D10"/>
    <w:rsid w:val="001F6F63"/>
    <w:rsid w:val="001F7017"/>
    <w:rsid w:val="001F7099"/>
    <w:rsid w:val="001F712E"/>
    <w:rsid w:val="001F7168"/>
    <w:rsid w:val="001F7224"/>
    <w:rsid w:val="001F7279"/>
    <w:rsid w:val="001F7344"/>
    <w:rsid w:val="001F7353"/>
    <w:rsid w:val="001F7371"/>
    <w:rsid w:val="001F752B"/>
    <w:rsid w:val="001F7645"/>
    <w:rsid w:val="001F7655"/>
    <w:rsid w:val="001F769E"/>
    <w:rsid w:val="001F76AB"/>
    <w:rsid w:val="001F7720"/>
    <w:rsid w:val="001F7918"/>
    <w:rsid w:val="001F79A9"/>
    <w:rsid w:val="001F7A66"/>
    <w:rsid w:val="001F7AE0"/>
    <w:rsid w:val="001F7C2B"/>
    <w:rsid w:val="001F7C38"/>
    <w:rsid w:val="001F7CAE"/>
    <w:rsid w:val="001F7D39"/>
    <w:rsid w:val="001F7E02"/>
    <w:rsid w:val="001F7E31"/>
    <w:rsid w:val="001F7E43"/>
    <w:rsid w:val="001F7F26"/>
    <w:rsid w:val="001F7FC7"/>
    <w:rsid w:val="00200016"/>
    <w:rsid w:val="0020002D"/>
    <w:rsid w:val="0020006F"/>
    <w:rsid w:val="0020016E"/>
    <w:rsid w:val="002003F0"/>
    <w:rsid w:val="002004B4"/>
    <w:rsid w:val="002004C0"/>
    <w:rsid w:val="002004EA"/>
    <w:rsid w:val="0020052D"/>
    <w:rsid w:val="002005B5"/>
    <w:rsid w:val="002006A7"/>
    <w:rsid w:val="002006B7"/>
    <w:rsid w:val="002006C9"/>
    <w:rsid w:val="0020071E"/>
    <w:rsid w:val="00200849"/>
    <w:rsid w:val="0020084E"/>
    <w:rsid w:val="0020088D"/>
    <w:rsid w:val="00200912"/>
    <w:rsid w:val="00200A13"/>
    <w:rsid w:val="00200A61"/>
    <w:rsid w:val="00200B57"/>
    <w:rsid w:val="00200CBF"/>
    <w:rsid w:val="00200D02"/>
    <w:rsid w:val="00200D6B"/>
    <w:rsid w:val="00200F0E"/>
    <w:rsid w:val="00200F65"/>
    <w:rsid w:val="00200FC1"/>
    <w:rsid w:val="00200FE3"/>
    <w:rsid w:val="0020113B"/>
    <w:rsid w:val="0020119F"/>
    <w:rsid w:val="002012C4"/>
    <w:rsid w:val="002012DA"/>
    <w:rsid w:val="002012FC"/>
    <w:rsid w:val="002012FD"/>
    <w:rsid w:val="00201365"/>
    <w:rsid w:val="002014F0"/>
    <w:rsid w:val="00201508"/>
    <w:rsid w:val="00201516"/>
    <w:rsid w:val="00201537"/>
    <w:rsid w:val="00201633"/>
    <w:rsid w:val="002016B2"/>
    <w:rsid w:val="002016E3"/>
    <w:rsid w:val="00201879"/>
    <w:rsid w:val="00201881"/>
    <w:rsid w:val="002018A2"/>
    <w:rsid w:val="002018AA"/>
    <w:rsid w:val="002018E9"/>
    <w:rsid w:val="002019A3"/>
    <w:rsid w:val="002019C4"/>
    <w:rsid w:val="00201A32"/>
    <w:rsid w:val="00201AA1"/>
    <w:rsid w:val="00201AC2"/>
    <w:rsid w:val="00201B38"/>
    <w:rsid w:val="00201BD2"/>
    <w:rsid w:val="00201D8E"/>
    <w:rsid w:val="00202017"/>
    <w:rsid w:val="002020D2"/>
    <w:rsid w:val="002020FC"/>
    <w:rsid w:val="0020210D"/>
    <w:rsid w:val="0020219B"/>
    <w:rsid w:val="0020236A"/>
    <w:rsid w:val="00202451"/>
    <w:rsid w:val="00202517"/>
    <w:rsid w:val="00202584"/>
    <w:rsid w:val="00202603"/>
    <w:rsid w:val="0020261C"/>
    <w:rsid w:val="00202769"/>
    <w:rsid w:val="00202B30"/>
    <w:rsid w:val="00202C25"/>
    <w:rsid w:val="00202C32"/>
    <w:rsid w:val="00202C60"/>
    <w:rsid w:val="00202DA9"/>
    <w:rsid w:val="00202EE2"/>
    <w:rsid w:val="00202F4F"/>
    <w:rsid w:val="00203015"/>
    <w:rsid w:val="00203260"/>
    <w:rsid w:val="00203285"/>
    <w:rsid w:val="0020333E"/>
    <w:rsid w:val="00203350"/>
    <w:rsid w:val="00203494"/>
    <w:rsid w:val="00203512"/>
    <w:rsid w:val="00203590"/>
    <w:rsid w:val="002035D9"/>
    <w:rsid w:val="0020361A"/>
    <w:rsid w:val="00203759"/>
    <w:rsid w:val="00203770"/>
    <w:rsid w:val="002037F8"/>
    <w:rsid w:val="00203951"/>
    <w:rsid w:val="00203958"/>
    <w:rsid w:val="002039C4"/>
    <w:rsid w:val="002039FB"/>
    <w:rsid w:val="00203A24"/>
    <w:rsid w:val="00203A3A"/>
    <w:rsid w:val="00203AD9"/>
    <w:rsid w:val="00203C02"/>
    <w:rsid w:val="00203C67"/>
    <w:rsid w:val="00203C6B"/>
    <w:rsid w:val="00203DD7"/>
    <w:rsid w:val="00203DF3"/>
    <w:rsid w:val="00203E92"/>
    <w:rsid w:val="00203EFD"/>
    <w:rsid w:val="00203F12"/>
    <w:rsid w:val="00203F2F"/>
    <w:rsid w:val="00204002"/>
    <w:rsid w:val="0020401E"/>
    <w:rsid w:val="00204250"/>
    <w:rsid w:val="00204374"/>
    <w:rsid w:val="0020438F"/>
    <w:rsid w:val="002043EB"/>
    <w:rsid w:val="00204566"/>
    <w:rsid w:val="002046AE"/>
    <w:rsid w:val="00204771"/>
    <w:rsid w:val="002047CC"/>
    <w:rsid w:val="0020480D"/>
    <w:rsid w:val="0020490C"/>
    <w:rsid w:val="0020496B"/>
    <w:rsid w:val="00204995"/>
    <w:rsid w:val="0020499F"/>
    <w:rsid w:val="00204B43"/>
    <w:rsid w:val="00204BAE"/>
    <w:rsid w:val="00204C2C"/>
    <w:rsid w:val="00204C8F"/>
    <w:rsid w:val="00204CBA"/>
    <w:rsid w:val="00204D84"/>
    <w:rsid w:val="00204F55"/>
    <w:rsid w:val="00205044"/>
    <w:rsid w:val="002050C7"/>
    <w:rsid w:val="0020519B"/>
    <w:rsid w:val="002051E1"/>
    <w:rsid w:val="00205216"/>
    <w:rsid w:val="0020523C"/>
    <w:rsid w:val="00205280"/>
    <w:rsid w:val="002052B6"/>
    <w:rsid w:val="00205556"/>
    <w:rsid w:val="00205567"/>
    <w:rsid w:val="00205582"/>
    <w:rsid w:val="0020564D"/>
    <w:rsid w:val="00205650"/>
    <w:rsid w:val="00205659"/>
    <w:rsid w:val="00205664"/>
    <w:rsid w:val="00205786"/>
    <w:rsid w:val="0020581E"/>
    <w:rsid w:val="00205873"/>
    <w:rsid w:val="00205930"/>
    <w:rsid w:val="002059D6"/>
    <w:rsid w:val="00205A33"/>
    <w:rsid w:val="00205AB8"/>
    <w:rsid w:val="00205C99"/>
    <w:rsid w:val="00205D8D"/>
    <w:rsid w:val="00205E68"/>
    <w:rsid w:val="00205F37"/>
    <w:rsid w:val="00205F96"/>
    <w:rsid w:val="00205F99"/>
    <w:rsid w:val="002060E3"/>
    <w:rsid w:val="00206316"/>
    <w:rsid w:val="0020638F"/>
    <w:rsid w:val="00206410"/>
    <w:rsid w:val="00206483"/>
    <w:rsid w:val="002064FB"/>
    <w:rsid w:val="0020656D"/>
    <w:rsid w:val="002065BE"/>
    <w:rsid w:val="00206832"/>
    <w:rsid w:val="00206A3B"/>
    <w:rsid w:val="00206AC2"/>
    <w:rsid w:val="00206BB8"/>
    <w:rsid w:val="00206BD5"/>
    <w:rsid w:val="00206BE2"/>
    <w:rsid w:val="00206C45"/>
    <w:rsid w:val="00206C6C"/>
    <w:rsid w:val="00206F1F"/>
    <w:rsid w:val="00207052"/>
    <w:rsid w:val="0020711E"/>
    <w:rsid w:val="002072EE"/>
    <w:rsid w:val="0020737A"/>
    <w:rsid w:val="002073A5"/>
    <w:rsid w:val="002073FF"/>
    <w:rsid w:val="00207430"/>
    <w:rsid w:val="0020757D"/>
    <w:rsid w:val="00207625"/>
    <w:rsid w:val="00207648"/>
    <w:rsid w:val="002077E6"/>
    <w:rsid w:val="00207872"/>
    <w:rsid w:val="0020789C"/>
    <w:rsid w:val="002078F1"/>
    <w:rsid w:val="0020799C"/>
    <w:rsid w:val="00207AA1"/>
    <w:rsid w:val="00207AD2"/>
    <w:rsid w:val="00207AF5"/>
    <w:rsid w:val="00207AF8"/>
    <w:rsid w:val="00207BF2"/>
    <w:rsid w:val="00207C70"/>
    <w:rsid w:val="00207DF8"/>
    <w:rsid w:val="00207F1C"/>
    <w:rsid w:val="00207F22"/>
    <w:rsid w:val="00207F43"/>
    <w:rsid w:val="002101BE"/>
    <w:rsid w:val="0021024A"/>
    <w:rsid w:val="002102A6"/>
    <w:rsid w:val="00210334"/>
    <w:rsid w:val="00210368"/>
    <w:rsid w:val="00210422"/>
    <w:rsid w:val="00210436"/>
    <w:rsid w:val="00210452"/>
    <w:rsid w:val="002104B4"/>
    <w:rsid w:val="0021054F"/>
    <w:rsid w:val="00210580"/>
    <w:rsid w:val="002105A9"/>
    <w:rsid w:val="002105C7"/>
    <w:rsid w:val="002107C6"/>
    <w:rsid w:val="0021083E"/>
    <w:rsid w:val="00210995"/>
    <w:rsid w:val="002109FD"/>
    <w:rsid w:val="00210AF3"/>
    <w:rsid w:val="00210B78"/>
    <w:rsid w:val="00210CA5"/>
    <w:rsid w:val="00210DC0"/>
    <w:rsid w:val="00210DED"/>
    <w:rsid w:val="00210E84"/>
    <w:rsid w:val="002110B4"/>
    <w:rsid w:val="002110CD"/>
    <w:rsid w:val="002110D6"/>
    <w:rsid w:val="0021115B"/>
    <w:rsid w:val="002111A2"/>
    <w:rsid w:val="002111E1"/>
    <w:rsid w:val="0021127D"/>
    <w:rsid w:val="00211351"/>
    <w:rsid w:val="0021142A"/>
    <w:rsid w:val="002114FE"/>
    <w:rsid w:val="0021153C"/>
    <w:rsid w:val="002115A2"/>
    <w:rsid w:val="0021160E"/>
    <w:rsid w:val="0021165D"/>
    <w:rsid w:val="00211667"/>
    <w:rsid w:val="0021169B"/>
    <w:rsid w:val="002116A3"/>
    <w:rsid w:val="002117F7"/>
    <w:rsid w:val="002118B1"/>
    <w:rsid w:val="00211916"/>
    <w:rsid w:val="00211A2B"/>
    <w:rsid w:val="00211AC1"/>
    <w:rsid w:val="00211D0A"/>
    <w:rsid w:val="00211E3F"/>
    <w:rsid w:val="00211F49"/>
    <w:rsid w:val="00211F94"/>
    <w:rsid w:val="002120A7"/>
    <w:rsid w:val="002120B3"/>
    <w:rsid w:val="002120E8"/>
    <w:rsid w:val="0021224D"/>
    <w:rsid w:val="002122C9"/>
    <w:rsid w:val="0021237E"/>
    <w:rsid w:val="0021239E"/>
    <w:rsid w:val="002123C5"/>
    <w:rsid w:val="00212522"/>
    <w:rsid w:val="00212533"/>
    <w:rsid w:val="002125EB"/>
    <w:rsid w:val="002125F1"/>
    <w:rsid w:val="0021260E"/>
    <w:rsid w:val="0021275D"/>
    <w:rsid w:val="00212852"/>
    <w:rsid w:val="00212868"/>
    <w:rsid w:val="00212927"/>
    <w:rsid w:val="0021296B"/>
    <w:rsid w:val="0021299D"/>
    <w:rsid w:val="00212A0D"/>
    <w:rsid w:val="00212AC8"/>
    <w:rsid w:val="00212B9A"/>
    <w:rsid w:val="00212BCA"/>
    <w:rsid w:val="00212BD1"/>
    <w:rsid w:val="00212C59"/>
    <w:rsid w:val="00212D25"/>
    <w:rsid w:val="00212E25"/>
    <w:rsid w:val="00212E73"/>
    <w:rsid w:val="002130BC"/>
    <w:rsid w:val="00213135"/>
    <w:rsid w:val="002131C1"/>
    <w:rsid w:val="00213338"/>
    <w:rsid w:val="00213360"/>
    <w:rsid w:val="002133A1"/>
    <w:rsid w:val="002133C0"/>
    <w:rsid w:val="0021347E"/>
    <w:rsid w:val="0021351A"/>
    <w:rsid w:val="0021356D"/>
    <w:rsid w:val="0021357C"/>
    <w:rsid w:val="00213585"/>
    <w:rsid w:val="002135A1"/>
    <w:rsid w:val="00213628"/>
    <w:rsid w:val="00213919"/>
    <w:rsid w:val="00213A61"/>
    <w:rsid w:val="00213CC2"/>
    <w:rsid w:val="00213D88"/>
    <w:rsid w:val="00213DEC"/>
    <w:rsid w:val="00213E4A"/>
    <w:rsid w:val="00213E7A"/>
    <w:rsid w:val="002140E5"/>
    <w:rsid w:val="002141CF"/>
    <w:rsid w:val="0021426D"/>
    <w:rsid w:val="002142E9"/>
    <w:rsid w:val="00214321"/>
    <w:rsid w:val="0021436F"/>
    <w:rsid w:val="0021438F"/>
    <w:rsid w:val="00214492"/>
    <w:rsid w:val="0021449F"/>
    <w:rsid w:val="002144BF"/>
    <w:rsid w:val="0021483D"/>
    <w:rsid w:val="0021483F"/>
    <w:rsid w:val="002148B1"/>
    <w:rsid w:val="00214961"/>
    <w:rsid w:val="002149C7"/>
    <w:rsid w:val="00214A05"/>
    <w:rsid w:val="00214BBC"/>
    <w:rsid w:val="00214BC3"/>
    <w:rsid w:val="00214C14"/>
    <w:rsid w:val="00214C15"/>
    <w:rsid w:val="00214CEE"/>
    <w:rsid w:val="00214D66"/>
    <w:rsid w:val="00214E03"/>
    <w:rsid w:val="00214E1C"/>
    <w:rsid w:val="0021507E"/>
    <w:rsid w:val="0021510C"/>
    <w:rsid w:val="00215154"/>
    <w:rsid w:val="00215294"/>
    <w:rsid w:val="0021540F"/>
    <w:rsid w:val="0021543C"/>
    <w:rsid w:val="00215539"/>
    <w:rsid w:val="00215605"/>
    <w:rsid w:val="00215693"/>
    <w:rsid w:val="002157BC"/>
    <w:rsid w:val="00215815"/>
    <w:rsid w:val="0021583E"/>
    <w:rsid w:val="00215A69"/>
    <w:rsid w:val="00215AA6"/>
    <w:rsid w:val="00215BF7"/>
    <w:rsid w:val="00215C20"/>
    <w:rsid w:val="00215CAD"/>
    <w:rsid w:val="00215CF9"/>
    <w:rsid w:val="00215D49"/>
    <w:rsid w:val="00215EBB"/>
    <w:rsid w:val="00215FD1"/>
    <w:rsid w:val="00216118"/>
    <w:rsid w:val="0021630D"/>
    <w:rsid w:val="002163A9"/>
    <w:rsid w:val="0021649B"/>
    <w:rsid w:val="00216510"/>
    <w:rsid w:val="00216619"/>
    <w:rsid w:val="0021671C"/>
    <w:rsid w:val="0021675B"/>
    <w:rsid w:val="002167B7"/>
    <w:rsid w:val="002167BA"/>
    <w:rsid w:val="00216904"/>
    <w:rsid w:val="0021692C"/>
    <w:rsid w:val="00216A00"/>
    <w:rsid w:val="00216AD5"/>
    <w:rsid w:val="00216C0C"/>
    <w:rsid w:val="00216C3C"/>
    <w:rsid w:val="00216CC5"/>
    <w:rsid w:val="00216CF6"/>
    <w:rsid w:val="00216D96"/>
    <w:rsid w:val="00216E20"/>
    <w:rsid w:val="00216F20"/>
    <w:rsid w:val="0021701B"/>
    <w:rsid w:val="002170BE"/>
    <w:rsid w:val="002170F1"/>
    <w:rsid w:val="002171FB"/>
    <w:rsid w:val="002172AB"/>
    <w:rsid w:val="002173CE"/>
    <w:rsid w:val="002173F2"/>
    <w:rsid w:val="00217474"/>
    <w:rsid w:val="0021770B"/>
    <w:rsid w:val="0021779F"/>
    <w:rsid w:val="002177A7"/>
    <w:rsid w:val="0021780E"/>
    <w:rsid w:val="00217829"/>
    <w:rsid w:val="00217857"/>
    <w:rsid w:val="002178E7"/>
    <w:rsid w:val="0021797F"/>
    <w:rsid w:val="00217A7D"/>
    <w:rsid w:val="00217B2E"/>
    <w:rsid w:val="00217BCB"/>
    <w:rsid w:val="00217BEB"/>
    <w:rsid w:val="00217CF4"/>
    <w:rsid w:val="00217D84"/>
    <w:rsid w:val="00217F06"/>
    <w:rsid w:val="00217FB0"/>
    <w:rsid w:val="00220015"/>
    <w:rsid w:val="0022004D"/>
    <w:rsid w:val="0022004E"/>
    <w:rsid w:val="0022011B"/>
    <w:rsid w:val="00220123"/>
    <w:rsid w:val="00220151"/>
    <w:rsid w:val="002203BD"/>
    <w:rsid w:val="002203E7"/>
    <w:rsid w:val="002203FD"/>
    <w:rsid w:val="0022041D"/>
    <w:rsid w:val="0022056A"/>
    <w:rsid w:val="002206F8"/>
    <w:rsid w:val="0022074B"/>
    <w:rsid w:val="00220762"/>
    <w:rsid w:val="00220867"/>
    <w:rsid w:val="0022087A"/>
    <w:rsid w:val="00220894"/>
    <w:rsid w:val="002208B9"/>
    <w:rsid w:val="0022092F"/>
    <w:rsid w:val="002209C7"/>
    <w:rsid w:val="002209F7"/>
    <w:rsid w:val="00220A37"/>
    <w:rsid w:val="00220CCF"/>
    <w:rsid w:val="00220D1B"/>
    <w:rsid w:val="00220DC7"/>
    <w:rsid w:val="00220DE5"/>
    <w:rsid w:val="00220E04"/>
    <w:rsid w:val="00220E94"/>
    <w:rsid w:val="00220F7B"/>
    <w:rsid w:val="00220FA8"/>
    <w:rsid w:val="00220FFA"/>
    <w:rsid w:val="00221088"/>
    <w:rsid w:val="002210F3"/>
    <w:rsid w:val="00221100"/>
    <w:rsid w:val="0022118B"/>
    <w:rsid w:val="0022121C"/>
    <w:rsid w:val="0022133F"/>
    <w:rsid w:val="00221471"/>
    <w:rsid w:val="00221472"/>
    <w:rsid w:val="002214D1"/>
    <w:rsid w:val="002214DD"/>
    <w:rsid w:val="002216BC"/>
    <w:rsid w:val="002216C5"/>
    <w:rsid w:val="002216D6"/>
    <w:rsid w:val="00221726"/>
    <w:rsid w:val="0022175C"/>
    <w:rsid w:val="00221994"/>
    <w:rsid w:val="002219FF"/>
    <w:rsid w:val="00221A69"/>
    <w:rsid w:val="00221C2B"/>
    <w:rsid w:val="00221D2F"/>
    <w:rsid w:val="00221D3E"/>
    <w:rsid w:val="00221DAD"/>
    <w:rsid w:val="00221EA7"/>
    <w:rsid w:val="00221F0D"/>
    <w:rsid w:val="00221FE8"/>
    <w:rsid w:val="002220EE"/>
    <w:rsid w:val="0022217D"/>
    <w:rsid w:val="002221BD"/>
    <w:rsid w:val="002221FC"/>
    <w:rsid w:val="00222278"/>
    <w:rsid w:val="002222C9"/>
    <w:rsid w:val="002222FA"/>
    <w:rsid w:val="0022237E"/>
    <w:rsid w:val="002223AA"/>
    <w:rsid w:val="002223B0"/>
    <w:rsid w:val="00222416"/>
    <w:rsid w:val="00222436"/>
    <w:rsid w:val="00222663"/>
    <w:rsid w:val="002228F2"/>
    <w:rsid w:val="00222940"/>
    <w:rsid w:val="0022294B"/>
    <w:rsid w:val="00222B64"/>
    <w:rsid w:val="00222B74"/>
    <w:rsid w:val="00222C7E"/>
    <w:rsid w:val="00222D89"/>
    <w:rsid w:val="00222E0A"/>
    <w:rsid w:val="00222F29"/>
    <w:rsid w:val="0022304E"/>
    <w:rsid w:val="00223086"/>
    <w:rsid w:val="002230B9"/>
    <w:rsid w:val="002231C7"/>
    <w:rsid w:val="00223202"/>
    <w:rsid w:val="002232AD"/>
    <w:rsid w:val="002232B1"/>
    <w:rsid w:val="002232E4"/>
    <w:rsid w:val="0022345D"/>
    <w:rsid w:val="002234CC"/>
    <w:rsid w:val="002235E7"/>
    <w:rsid w:val="002236A9"/>
    <w:rsid w:val="00223773"/>
    <w:rsid w:val="00223780"/>
    <w:rsid w:val="00223844"/>
    <w:rsid w:val="0022386B"/>
    <w:rsid w:val="002239D7"/>
    <w:rsid w:val="002239F7"/>
    <w:rsid w:val="00223A7D"/>
    <w:rsid w:val="00223AFF"/>
    <w:rsid w:val="00223B70"/>
    <w:rsid w:val="00223CCD"/>
    <w:rsid w:val="00223D77"/>
    <w:rsid w:val="00223E0F"/>
    <w:rsid w:val="00223E3C"/>
    <w:rsid w:val="00223E7A"/>
    <w:rsid w:val="00223ED6"/>
    <w:rsid w:val="00224050"/>
    <w:rsid w:val="00224087"/>
    <w:rsid w:val="002240E6"/>
    <w:rsid w:val="00224106"/>
    <w:rsid w:val="0022418F"/>
    <w:rsid w:val="002241FA"/>
    <w:rsid w:val="00224240"/>
    <w:rsid w:val="00224276"/>
    <w:rsid w:val="00224308"/>
    <w:rsid w:val="0022430D"/>
    <w:rsid w:val="0022431E"/>
    <w:rsid w:val="00224433"/>
    <w:rsid w:val="002244ED"/>
    <w:rsid w:val="0022464B"/>
    <w:rsid w:val="002246AF"/>
    <w:rsid w:val="002246DE"/>
    <w:rsid w:val="002247AF"/>
    <w:rsid w:val="00224817"/>
    <w:rsid w:val="0022488B"/>
    <w:rsid w:val="002248F5"/>
    <w:rsid w:val="0022496F"/>
    <w:rsid w:val="002249C4"/>
    <w:rsid w:val="002249DD"/>
    <w:rsid w:val="00224C34"/>
    <w:rsid w:val="00224CB9"/>
    <w:rsid w:val="00224CBD"/>
    <w:rsid w:val="00224D62"/>
    <w:rsid w:val="00224E78"/>
    <w:rsid w:val="00224F1D"/>
    <w:rsid w:val="00224F8F"/>
    <w:rsid w:val="00224FD5"/>
    <w:rsid w:val="002252B1"/>
    <w:rsid w:val="002253CD"/>
    <w:rsid w:val="002254B5"/>
    <w:rsid w:val="002257DF"/>
    <w:rsid w:val="00225AD0"/>
    <w:rsid w:val="00225BBB"/>
    <w:rsid w:val="00225CB5"/>
    <w:rsid w:val="00225E70"/>
    <w:rsid w:val="00225EA7"/>
    <w:rsid w:val="00225EFE"/>
    <w:rsid w:val="002260CE"/>
    <w:rsid w:val="00226180"/>
    <w:rsid w:val="0022619D"/>
    <w:rsid w:val="0022631A"/>
    <w:rsid w:val="00226589"/>
    <w:rsid w:val="002265D1"/>
    <w:rsid w:val="0022666F"/>
    <w:rsid w:val="002266CB"/>
    <w:rsid w:val="00226752"/>
    <w:rsid w:val="002267AA"/>
    <w:rsid w:val="002268CC"/>
    <w:rsid w:val="002269E3"/>
    <w:rsid w:val="00226B23"/>
    <w:rsid w:val="00226B65"/>
    <w:rsid w:val="00226B96"/>
    <w:rsid w:val="00226CAA"/>
    <w:rsid w:val="00226D83"/>
    <w:rsid w:val="00226DC7"/>
    <w:rsid w:val="00226E0F"/>
    <w:rsid w:val="00226F1E"/>
    <w:rsid w:val="00226F75"/>
    <w:rsid w:val="002270F0"/>
    <w:rsid w:val="0022724B"/>
    <w:rsid w:val="00227275"/>
    <w:rsid w:val="0022728D"/>
    <w:rsid w:val="002272BD"/>
    <w:rsid w:val="00227333"/>
    <w:rsid w:val="0022737D"/>
    <w:rsid w:val="002273EC"/>
    <w:rsid w:val="002273FB"/>
    <w:rsid w:val="002275FE"/>
    <w:rsid w:val="0022774F"/>
    <w:rsid w:val="002277F0"/>
    <w:rsid w:val="00227856"/>
    <w:rsid w:val="002279FE"/>
    <w:rsid w:val="00227A2D"/>
    <w:rsid w:val="00227B95"/>
    <w:rsid w:val="00227C63"/>
    <w:rsid w:val="00227D33"/>
    <w:rsid w:val="00227D5F"/>
    <w:rsid w:val="00227F1F"/>
    <w:rsid w:val="00227F67"/>
    <w:rsid w:val="00227FA4"/>
    <w:rsid w:val="00227FB4"/>
    <w:rsid w:val="0023001E"/>
    <w:rsid w:val="00230080"/>
    <w:rsid w:val="00230172"/>
    <w:rsid w:val="002301B0"/>
    <w:rsid w:val="002303AD"/>
    <w:rsid w:val="0023043C"/>
    <w:rsid w:val="00230451"/>
    <w:rsid w:val="002304A3"/>
    <w:rsid w:val="002305AA"/>
    <w:rsid w:val="002306A7"/>
    <w:rsid w:val="00230782"/>
    <w:rsid w:val="002307E4"/>
    <w:rsid w:val="0023082F"/>
    <w:rsid w:val="0023083A"/>
    <w:rsid w:val="0023098C"/>
    <w:rsid w:val="002309E9"/>
    <w:rsid w:val="00230A86"/>
    <w:rsid w:val="00230D46"/>
    <w:rsid w:val="00230E7F"/>
    <w:rsid w:val="00230EEA"/>
    <w:rsid w:val="00230EF1"/>
    <w:rsid w:val="00230F1C"/>
    <w:rsid w:val="00230F51"/>
    <w:rsid w:val="00231167"/>
    <w:rsid w:val="002311A2"/>
    <w:rsid w:val="00231354"/>
    <w:rsid w:val="0023139B"/>
    <w:rsid w:val="002313C6"/>
    <w:rsid w:val="002313FA"/>
    <w:rsid w:val="0023143A"/>
    <w:rsid w:val="00231441"/>
    <w:rsid w:val="0023144E"/>
    <w:rsid w:val="002317C3"/>
    <w:rsid w:val="00231801"/>
    <w:rsid w:val="002318A8"/>
    <w:rsid w:val="002318B1"/>
    <w:rsid w:val="00231AE5"/>
    <w:rsid w:val="00231B44"/>
    <w:rsid w:val="00231B80"/>
    <w:rsid w:val="00231D0A"/>
    <w:rsid w:val="00231D28"/>
    <w:rsid w:val="00231DF5"/>
    <w:rsid w:val="00231EFE"/>
    <w:rsid w:val="00231FE2"/>
    <w:rsid w:val="002320F1"/>
    <w:rsid w:val="00232164"/>
    <w:rsid w:val="002323D7"/>
    <w:rsid w:val="00232458"/>
    <w:rsid w:val="0023251F"/>
    <w:rsid w:val="00232560"/>
    <w:rsid w:val="002325E6"/>
    <w:rsid w:val="00232832"/>
    <w:rsid w:val="00232866"/>
    <w:rsid w:val="0023291E"/>
    <w:rsid w:val="00232B50"/>
    <w:rsid w:val="00232BB5"/>
    <w:rsid w:val="00232D08"/>
    <w:rsid w:val="00232E32"/>
    <w:rsid w:val="00232E58"/>
    <w:rsid w:val="00232E6B"/>
    <w:rsid w:val="00232EE8"/>
    <w:rsid w:val="00232F3A"/>
    <w:rsid w:val="00232F7A"/>
    <w:rsid w:val="00233050"/>
    <w:rsid w:val="00233082"/>
    <w:rsid w:val="002330D1"/>
    <w:rsid w:val="002330E6"/>
    <w:rsid w:val="00233192"/>
    <w:rsid w:val="0023328F"/>
    <w:rsid w:val="002333C7"/>
    <w:rsid w:val="002333ED"/>
    <w:rsid w:val="00233522"/>
    <w:rsid w:val="00233523"/>
    <w:rsid w:val="00233636"/>
    <w:rsid w:val="0023379D"/>
    <w:rsid w:val="00233903"/>
    <w:rsid w:val="002339E6"/>
    <w:rsid w:val="00233AA3"/>
    <w:rsid w:val="00233B36"/>
    <w:rsid w:val="00233C5F"/>
    <w:rsid w:val="00233CC5"/>
    <w:rsid w:val="00233CE5"/>
    <w:rsid w:val="00233ED7"/>
    <w:rsid w:val="00233F8C"/>
    <w:rsid w:val="00234019"/>
    <w:rsid w:val="0023403A"/>
    <w:rsid w:val="002340B6"/>
    <w:rsid w:val="00234151"/>
    <w:rsid w:val="0023415F"/>
    <w:rsid w:val="00234298"/>
    <w:rsid w:val="002342C0"/>
    <w:rsid w:val="002342E4"/>
    <w:rsid w:val="002343FC"/>
    <w:rsid w:val="0023442F"/>
    <w:rsid w:val="0023451C"/>
    <w:rsid w:val="00234623"/>
    <w:rsid w:val="00234786"/>
    <w:rsid w:val="00234816"/>
    <w:rsid w:val="0023486B"/>
    <w:rsid w:val="00234957"/>
    <w:rsid w:val="0023497E"/>
    <w:rsid w:val="00234A5E"/>
    <w:rsid w:val="00234A72"/>
    <w:rsid w:val="00234BA2"/>
    <w:rsid w:val="00234BD5"/>
    <w:rsid w:val="00234BDD"/>
    <w:rsid w:val="00234C3B"/>
    <w:rsid w:val="00234C5E"/>
    <w:rsid w:val="00234C69"/>
    <w:rsid w:val="00234DEB"/>
    <w:rsid w:val="00234F1C"/>
    <w:rsid w:val="0023503E"/>
    <w:rsid w:val="00235053"/>
    <w:rsid w:val="00235113"/>
    <w:rsid w:val="00235121"/>
    <w:rsid w:val="00235123"/>
    <w:rsid w:val="00235154"/>
    <w:rsid w:val="0023522C"/>
    <w:rsid w:val="00235346"/>
    <w:rsid w:val="0023543C"/>
    <w:rsid w:val="00235448"/>
    <w:rsid w:val="00235504"/>
    <w:rsid w:val="0023552A"/>
    <w:rsid w:val="0023553F"/>
    <w:rsid w:val="00235582"/>
    <w:rsid w:val="00235657"/>
    <w:rsid w:val="002356B3"/>
    <w:rsid w:val="0023572E"/>
    <w:rsid w:val="002358FF"/>
    <w:rsid w:val="0023591F"/>
    <w:rsid w:val="0023592E"/>
    <w:rsid w:val="00235A3F"/>
    <w:rsid w:val="00235D37"/>
    <w:rsid w:val="00235D98"/>
    <w:rsid w:val="00235D9F"/>
    <w:rsid w:val="00235E53"/>
    <w:rsid w:val="00235EB8"/>
    <w:rsid w:val="002360AD"/>
    <w:rsid w:val="002360C4"/>
    <w:rsid w:val="00236134"/>
    <w:rsid w:val="002361F0"/>
    <w:rsid w:val="00236353"/>
    <w:rsid w:val="002364C6"/>
    <w:rsid w:val="00236561"/>
    <w:rsid w:val="002366DA"/>
    <w:rsid w:val="00236795"/>
    <w:rsid w:val="0023691D"/>
    <w:rsid w:val="00236A94"/>
    <w:rsid w:val="00236C07"/>
    <w:rsid w:val="00236C85"/>
    <w:rsid w:val="0023704B"/>
    <w:rsid w:val="002370AB"/>
    <w:rsid w:val="002370EB"/>
    <w:rsid w:val="00237145"/>
    <w:rsid w:val="002371CA"/>
    <w:rsid w:val="00237454"/>
    <w:rsid w:val="0023756C"/>
    <w:rsid w:val="002375A6"/>
    <w:rsid w:val="002375A8"/>
    <w:rsid w:val="002375DE"/>
    <w:rsid w:val="002376DC"/>
    <w:rsid w:val="002376F0"/>
    <w:rsid w:val="0023773D"/>
    <w:rsid w:val="00237872"/>
    <w:rsid w:val="00237A81"/>
    <w:rsid w:val="00237ACF"/>
    <w:rsid w:val="00237B36"/>
    <w:rsid w:val="00237B68"/>
    <w:rsid w:val="00237CF4"/>
    <w:rsid w:val="00237E1E"/>
    <w:rsid w:val="00237EA2"/>
    <w:rsid w:val="00237F6A"/>
    <w:rsid w:val="0024002C"/>
    <w:rsid w:val="0024003A"/>
    <w:rsid w:val="002401F7"/>
    <w:rsid w:val="002402E0"/>
    <w:rsid w:val="00240338"/>
    <w:rsid w:val="0024046D"/>
    <w:rsid w:val="00240550"/>
    <w:rsid w:val="002405AC"/>
    <w:rsid w:val="002405CD"/>
    <w:rsid w:val="0024061A"/>
    <w:rsid w:val="002406AB"/>
    <w:rsid w:val="002406B6"/>
    <w:rsid w:val="00240827"/>
    <w:rsid w:val="0024084B"/>
    <w:rsid w:val="002408C3"/>
    <w:rsid w:val="00240A21"/>
    <w:rsid w:val="00240C37"/>
    <w:rsid w:val="00240D09"/>
    <w:rsid w:val="00240D31"/>
    <w:rsid w:val="00240E74"/>
    <w:rsid w:val="00240EA1"/>
    <w:rsid w:val="00240EC2"/>
    <w:rsid w:val="00240F4D"/>
    <w:rsid w:val="00240F50"/>
    <w:rsid w:val="00240FB8"/>
    <w:rsid w:val="00241062"/>
    <w:rsid w:val="002410A4"/>
    <w:rsid w:val="0024120C"/>
    <w:rsid w:val="002412BD"/>
    <w:rsid w:val="002412F2"/>
    <w:rsid w:val="00241303"/>
    <w:rsid w:val="0024140D"/>
    <w:rsid w:val="00241489"/>
    <w:rsid w:val="002414DD"/>
    <w:rsid w:val="00241535"/>
    <w:rsid w:val="0024157B"/>
    <w:rsid w:val="002415A8"/>
    <w:rsid w:val="00241608"/>
    <w:rsid w:val="00241648"/>
    <w:rsid w:val="00241696"/>
    <w:rsid w:val="0024169F"/>
    <w:rsid w:val="0024181D"/>
    <w:rsid w:val="0024197E"/>
    <w:rsid w:val="002419C6"/>
    <w:rsid w:val="00241A4B"/>
    <w:rsid w:val="00241A4C"/>
    <w:rsid w:val="00241A9F"/>
    <w:rsid w:val="00241BC9"/>
    <w:rsid w:val="00241D5B"/>
    <w:rsid w:val="00241DBE"/>
    <w:rsid w:val="00241EBD"/>
    <w:rsid w:val="00241F74"/>
    <w:rsid w:val="0024204F"/>
    <w:rsid w:val="002422EA"/>
    <w:rsid w:val="0024241F"/>
    <w:rsid w:val="0024245D"/>
    <w:rsid w:val="0024269C"/>
    <w:rsid w:val="002426B7"/>
    <w:rsid w:val="002427EC"/>
    <w:rsid w:val="00242845"/>
    <w:rsid w:val="0024284E"/>
    <w:rsid w:val="002428B4"/>
    <w:rsid w:val="00242919"/>
    <w:rsid w:val="00242966"/>
    <w:rsid w:val="002429FA"/>
    <w:rsid w:val="00242A1A"/>
    <w:rsid w:val="00242A50"/>
    <w:rsid w:val="00242A7D"/>
    <w:rsid w:val="00242AD4"/>
    <w:rsid w:val="00242B4D"/>
    <w:rsid w:val="00242D5E"/>
    <w:rsid w:val="00242D90"/>
    <w:rsid w:val="00242DAC"/>
    <w:rsid w:val="002430AA"/>
    <w:rsid w:val="00243142"/>
    <w:rsid w:val="00243213"/>
    <w:rsid w:val="002432AE"/>
    <w:rsid w:val="00243358"/>
    <w:rsid w:val="002433DC"/>
    <w:rsid w:val="00243521"/>
    <w:rsid w:val="00243526"/>
    <w:rsid w:val="0024353C"/>
    <w:rsid w:val="00243688"/>
    <w:rsid w:val="00243769"/>
    <w:rsid w:val="00243A05"/>
    <w:rsid w:val="00243A72"/>
    <w:rsid w:val="00243AB3"/>
    <w:rsid w:val="00243B0A"/>
    <w:rsid w:val="00243BA6"/>
    <w:rsid w:val="00243C9D"/>
    <w:rsid w:val="00243D19"/>
    <w:rsid w:val="00243DC3"/>
    <w:rsid w:val="00243E7B"/>
    <w:rsid w:val="00244010"/>
    <w:rsid w:val="0024402F"/>
    <w:rsid w:val="00244094"/>
    <w:rsid w:val="00244141"/>
    <w:rsid w:val="0024414F"/>
    <w:rsid w:val="00244201"/>
    <w:rsid w:val="00244293"/>
    <w:rsid w:val="002445BF"/>
    <w:rsid w:val="00244732"/>
    <w:rsid w:val="0024473A"/>
    <w:rsid w:val="00244786"/>
    <w:rsid w:val="0024479A"/>
    <w:rsid w:val="0024482A"/>
    <w:rsid w:val="00244856"/>
    <w:rsid w:val="0024489D"/>
    <w:rsid w:val="002448E6"/>
    <w:rsid w:val="0024494E"/>
    <w:rsid w:val="00244ABE"/>
    <w:rsid w:val="00244BEF"/>
    <w:rsid w:val="00244C63"/>
    <w:rsid w:val="00244CD3"/>
    <w:rsid w:val="00244D14"/>
    <w:rsid w:val="00244DA9"/>
    <w:rsid w:val="00244DF9"/>
    <w:rsid w:val="00244E3C"/>
    <w:rsid w:val="00244E88"/>
    <w:rsid w:val="00244EC5"/>
    <w:rsid w:val="00244F85"/>
    <w:rsid w:val="00244FFB"/>
    <w:rsid w:val="00245079"/>
    <w:rsid w:val="002451CA"/>
    <w:rsid w:val="0024528A"/>
    <w:rsid w:val="002452A6"/>
    <w:rsid w:val="0024536E"/>
    <w:rsid w:val="00245478"/>
    <w:rsid w:val="0024551B"/>
    <w:rsid w:val="0024555A"/>
    <w:rsid w:val="00245612"/>
    <w:rsid w:val="0024578B"/>
    <w:rsid w:val="002458D5"/>
    <w:rsid w:val="00245929"/>
    <w:rsid w:val="0024594E"/>
    <w:rsid w:val="00245956"/>
    <w:rsid w:val="00245A34"/>
    <w:rsid w:val="00245B73"/>
    <w:rsid w:val="00245C11"/>
    <w:rsid w:val="00245EDE"/>
    <w:rsid w:val="0024601A"/>
    <w:rsid w:val="002460D1"/>
    <w:rsid w:val="00246123"/>
    <w:rsid w:val="002461AC"/>
    <w:rsid w:val="0024623F"/>
    <w:rsid w:val="00246242"/>
    <w:rsid w:val="002463CD"/>
    <w:rsid w:val="002464E0"/>
    <w:rsid w:val="002464E7"/>
    <w:rsid w:val="00246658"/>
    <w:rsid w:val="002466B9"/>
    <w:rsid w:val="002466BC"/>
    <w:rsid w:val="002466D9"/>
    <w:rsid w:val="00246828"/>
    <w:rsid w:val="00246886"/>
    <w:rsid w:val="002468A4"/>
    <w:rsid w:val="002469E3"/>
    <w:rsid w:val="00246A0B"/>
    <w:rsid w:val="00246A7E"/>
    <w:rsid w:val="00246B75"/>
    <w:rsid w:val="00246BF5"/>
    <w:rsid w:val="00246E54"/>
    <w:rsid w:val="00246ED6"/>
    <w:rsid w:val="00246F0C"/>
    <w:rsid w:val="00247122"/>
    <w:rsid w:val="00247123"/>
    <w:rsid w:val="002472BB"/>
    <w:rsid w:val="00247359"/>
    <w:rsid w:val="0024741D"/>
    <w:rsid w:val="0024742D"/>
    <w:rsid w:val="0024743C"/>
    <w:rsid w:val="00247453"/>
    <w:rsid w:val="0024745B"/>
    <w:rsid w:val="002474BC"/>
    <w:rsid w:val="002474D3"/>
    <w:rsid w:val="00247673"/>
    <w:rsid w:val="0024768D"/>
    <w:rsid w:val="002476AC"/>
    <w:rsid w:val="002476D0"/>
    <w:rsid w:val="0024770C"/>
    <w:rsid w:val="00247755"/>
    <w:rsid w:val="00247793"/>
    <w:rsid w:val="00247884"/>
    <w:rsid w:val="002479A4"/>
    <w:rsid w:val="00247A09"/>
    <w:rsid w:val="00247B52"/>
    <w:rsid w:val="00247BEF"/>
    <w:rsid w:val="00247D0B"/>
    <w:rsid w:val="00247D0E"/>
    <w:rsid w:val="00247D76"/>
    <w:rsid w:val="00247F1C"/>
    <w:rsid w:val="0025013D"/>
    <w:rsid w:val="002501C9"/>
    <w:rsid w:val="00250329"/>
    <w:rsid w:val="002503D2"/>
    <w:rsid w:val="00250418"/>
    <w:rsid w:val="0025059C"/>
    <w:rsid w:val="00250658"/>
    <w:rsid w:val="00250762"/>
    <w:rsid w:val="00250795"/>
    <w:rsid w:val="00250A50"/>
    <w:rsid w:val="00250BCD"/>
    <w:rsid w:val="00250BD0"/>
    <w:rsid w:val="00250BE4"/>
    <w:rsid w:val="00250CC8"/>
    <w:rsid w:val="00250D6D"/>
    <w:rsid w:val="00250D9A"/>
    <w:rsid w:val="0025107E"/>
    <w:rsid w:val="002510AD"/>
    <w:rsid w:val="002510B9"/>
    <w:rsid w:val="00251150"/>
    <w:rsid w:val="00251261"/>
    <w:rsid w:val="002512DA"/>
    <w:rsid w:val="002512FE"/>
    <w:rsid w:val="002513BB"/>
    <w:rsid w:val="002514AF"/>
    <w:rsid w:val="002515C6"/>
    <w:rsid w:val="00251705"/>
    <w:rsid w:val="002518B2"/>
    <w:rsid w:val="002518E4"/>
    <w:rsid w:val="00251960"/>
    <w:rsid w:val="002519B0"/>
    <w:rsid w:val="00251BD7"/>
    <w:rsid w:val="00251C2E"/>
    <w:rsid w:val="00251C9D"/>
    <w:rsid w:val="00251D00"/>
    <w:rsid w:val="00251D7A"/>
    <w:rsid w:val="00251E67"/>
    <w:rsid w:val="00252019"/>
    <w:rsid w:val="00252077"/>
    <w:rsid w:val="002520CE"/>
    <w:rsid w:val="002520DE"/>
    <w:rsid w:val="00252127"/>
    <w:rsid w:val="002521B7"/>
    <w:rsid w:val="0025225C"/>
    <w:rsid w:val="0025229A"/>
    <w:rsid w:val="002523DA"/>
    <w:rsid w:val="00252550"/>
    <w:rsid w:val="00252699"/>
    <w:rsid w:val="002527FB"/>
    <w:rsid w:val="002528D7"/>
    <w:rsid w:val="002529CC"/>
    <w:rsid w:val="002529FB"/>
    <w:rsid w:val="00252A4E"/>
    <w:rsid w:val="00252B77"/>
    <w:rsid w:val="00252ED3"/>
    <w:rsid w:val="00252FF9"/>
    <w:rsid w:val="002530B0"/>
    <w:rsid w:val="002531BD"/>
    <w:rsid w:val="002531C6"/>
    <w:rsid w:val="00253348"/>
    <w:rsid w:val="00253358"/>
    <w:rsid w:val="00253504"/>
    <w:rsid w:val="002535EC"/>
    <w:rsid w:val="002535FD"/>
    <w:rsid w:val="0025362F"/>
    <w:rsid w:val="002536FA"/>
    <w:rsid w:val="0025379E"/>
    <w:rsid w:val="00253806"/>
    <w:rsid w:val="0025392A"/>
    <w:rsid w:val="0025392F"/>
    <w:rsid w:val="002539E4"/>
    <w:rsid w:val="00253A55"/>
    <w:rsid w:val="00253AFF"/>
    <w:rsid w:val="00253C4C"/>
    <w:rsid w:val="00253C83"/>
    <w:rsid w:val="00253C99"/>
    <w:rsid w:val="00253D2A"/>
    <w:rsid w:val="00253D31"/>
    <w:rsid w:val="00253DB1"/>
    <w:rsid w:val="00253DEE"/>
    <w:rsid w:val="00253FB0"/>
    <w:rsid w:val="00253FB6"/>
    <w:rsid w:val="00253FF7"/>
    <w:rsid w:val="002540D3"/>
    <w:rsid w:val="002541EB"/>
    <w:rsid w:val="0025424C"/>
    <w:rsid w:val="0025430F"/>
    <w:rsid w:val="0025437E"/>
    <w:rsid w:val="002543E4"/>
    <w:rsid w:val="002543E7"/>
    <w:rsid w:val="00254401"/>
    <w:rsid w:val="00254497"/>
    <w:rsid w:val="00254570"/>
    <w:rsid w:val="002546B7"/>
    <w:rsid w:val="002546D3"/>
    <w:rsid w:val="00254933"/>
    <w:rsid w:val="0025499D"/>
    <w:rsid w:val="00254AB7"/>
    <w:rsid w:val="00254B3D"/>
    <w:rsid w:val="00254BF2"/>
    <w:rsid w:val="00254CAB"/>
    <w:rsid w:val="00254E7D"/>
    <w:rsid w:val="00255210"/>
    <w:rsid w:val="002552D9"/>
    <w:rsid w:val="002553A6"/>
    <w:rsid w:val="00255600"/>
    <w:rsid w:val="00255653"/>
    <w:rsid w:val="002556D6"/>
    <w:rsid w:val="00255755"/>
    <w:rsid w:val="00255791"/>
    <w:rsid w:val="002557DA"/>
    <w:rsid w:val="00255801"/>
    <w:rsid w:val="002558E0"/>
    <w:rsid w:val="002559E2"/>
    <w:rsid w:val="00255A7A"/>
    <w:rsid w:val="00255ACD"/>
    <w:rsid w:val="00255AD5"/>
    <w:rsid w:val="00255D53"/>
    <w:rsid w:val="00255E3E"/>
    <w:rsid w:val="00255E60"/>
    <w:rsid w:val="00255EFB"/>
    <w:rsid w:val="00255F87"/>
    <w:rsid w:val="002560AE"/>
    <w:rsid w:val="002560E1"/>
    <w:rsid w:val="002560F4"/>
    <w:rsid w:val="00256129"/>
    <w:rsid w:val="00256144"/>
    <w:rsid w:val="0025615A"/>
    <w:rsid w:val="00256180"/>
    <w:rsid w:val="002561C7"/>
    <w:rsid w:val="002561CC"/>
    <w:rsid w:val="002561EA"/>
    <w:rsid w:val="00256580"/>
    <w:rsid w:val="002565B4"/>
    <w:rsid w:val="0025669B"/>
    <w:rsid w:val="0025690B"/>
    <w:rsid w:val="00256912"/>
    <w:rsid w:val="00256915"/>
    <w:rsid w:val="00256A96"/>
    <w:rsid w:val="00256C38"/>
    <w:rsid w:val="00256C6F"/>
    <w:rsid w:val="00256CD0"/>
    <w:rsid w:val="00256DD7"/>
    <w:rsid w:val="00256E17"/>
    <w:rsid w:val="00256FDF"/>
    <w:rsid w:val="002570B7"/>
    <w:rsid w:val="00257128"/>
    <w:rsid w:val="00257239"/>
    <w:rsid w:val="0025725C"/>
    <w:rsid w:val="002572E1"/>
    <w:rsid w:val="00257610"/>
    <w:rsid w:val="00257861"/>
    <w:rsid w:val="0025789F"/>
    <w:rsid w:val="00257920"/>
    <w:rsid w:val="002579CC"/>
    <w:rsid w:val="00257B8C"/>
    <w:rsid w:val="00257C1A"/>
    <w:rsid w:val="00257CBB"/>
    <w:rsid w:val="00257D51"/>
    <w:rsid w:val="00257D75"/>
    <w:rsid w:val="00257DB8"/>
    <w:rsid w:val="00257E0F"/>
    <w:rsid w:val="00260007"/>
    <w:rsid w:val="0026003A"/>
    <w:rsid w:val="0026006D"/>
    <w:rsid w:val="00260187"/>
    <w:rsid w:val="0026027F"/>
    <w:rsid w:val="00260412"/>
    <w:rsid w:val="002604B9"/>
    <w:rsid w:val="002604EC"/>
    <w:rsid w:val="00260527"/>
    <w:rsid w:val="0026054C"/>
    <w:rsid w:val="002605C5"/>
    <w:rsid w:val="0026073C"/>
    <w:rsid w:val="002607B9"/>
    <w:rsid w:val="00260831"/>
    <w:rsid w:val="0026087F"/>
    <w:rsid w:val="002609EC"/>
    <w:rsid w:val="00260A37"/>
    <w:rsid w:val="00260A42"/>
    <w:rsid w:val="00260C53"/>
    <w:rsid w:val="00260CDE"/>
    <w:rsid w:val="00260F5D"/>
    <w:rsid w:val="00261075"/>
    <w:rsid w:val="00261080"/>
    <w:rsid w:val="002611D8"/>
    <w:rsid w:val="00261201"/>
    <w:rsid w:val="00261204"/>
    <w:rsid w:val="002612A5"/>
    <w:rsid w:val="0026136E"/>
    <w:rsid w:val="00261409"/>
    <w:rsid w:val="002614A3"/>
    <w:rsid w:val="00261571"/>
    <w:rsid w:val="00261701"/>
    <w:rsid w:val="002617D7"/>
    <w:rsid w:val="002619EA"/>
    <w:rsid w:val="00261A29"/>
    <w:rsid w:val="00261B83"/>
    <w:rsid w:val="00261CA2"/>
    <w:rsid w:val="00261DDC"/>
    <w:rsid w:val="00261EAE"/>
    <w:rsid w:val="00261EC9"/>
    <w:rsid w:val="00261EE2"/>
    <w:rsid w:val="00262115"/>
    <w:rsid w:val="00262164"/>
    <w:rsid w:val="002622D9"/>
    <w:rsid w:val="002622DA"/>
    <w:rsid w:val="00262396"/>
    <w:rsid w:val="002623E6"/>
    <w:rsid w:val="002624B2"/>
    <w:rsid w:val="002625A1"/>
    <w:rsid w:val="00262620"/>
    <w:rsid w:val="002626E4"/>
    <w:rsid w:val="002628E4"/>
    <w:rsid w:val="0026290C"/>
    <w:rsid w:val="00262975"/>
    <w:rsid w:val="00262C8F"/>
    <w:rsid w:val="00262CD1"/>
    <w:rsid w:val="00262D19"/>
    <w:rsid w:val="00262DB6"/>
    <w:rsid w:val="00262DB7"/>
    <w:rsid w:val="00262DB8"/>
    <w:rsid w:val="00262DF2"/>
    <w:rsid w:val="00262E2F"/>
    <w:rsid w:val="00262F9C"/>
    <w:rsid w:val="00263248"/>
    <w:rsid w:val="002632A1"/>
    <w:rsid w:val="00263306"/>
    <w:rsid w:val="00263511"/>
    <w:rsid w:val="00263681"/>
    <w:rsid w:val="00263696"/>
    <w:rsid w:val="00263825"/>
    <w:rsid w:val="002638BF"/>
    <w:rsid w:val="002639BA"/>
    <w:rsid w:val="002639C8"/>
    <w:rsid w:val="002639D6"/>
    <w:rsid w:val="00263A8C"/>
    <w:rsid w:val="00263AFC"/>
    <w:rsid w:val="00263C26"/>
    <w:rsid w:val="00263C7D"/>
    <w:rsid w:val="00263CE9"/>
    <w:rsid w:val="00263E1C"/>
    <w:rsid w:val="00263EA3"/>
    <w:rsid w:val="00263EB6"/>
    <w:rsid w:val="00263EC9"/>
    <w:rsid w:val="00264021"/>
    <w:rsid w:val="00264038"/>
    <w:rsid w:val="00264110"/>
    <w:rsid w:val="002641D8"/>
    <w:rsid w:val="00264231"/>
    <w:rsid w:val="00264328"/>
    <w:rsid w:val="00264356"/>
    <w:rsid w:val="00264384"/>
    <w:rsid w:val="00264413"/>
    <w:rsid w:val="0026457B"/>
    <w:rsid w:val="00264600"/>
    <w:rsid w:val="0026478B"/>
    <w:rsid w:val="0026487D"/>
    <w:rsid w:val="00264A09"/>
    <w:rsid w:val="00264AFC"/>
    <w:rsid w:val="00264BD0"/>
    <w:rsid w:val="00264D1E"/>
    <w:rsid w:val="00264E85"/>
    <w:rsid w:val="002650E5"/>
    <w:rsid w:val="002650F1"/>
    <w:rsid w:val="00265162"/>
    <w:rsid w:val="002652AF"/>
    <w:rsid w:val="00265392"/>
    <w:rsid w:val="002653E2"/>
    <w:rsid w:val="00265436"/>
    <w:rsid w:val="0026549C"/>
    <w:rsid w:val="00265540"/>
    <w:rsid w:val="00265598"/>
    <w:rsid w:val="0026569B"/>
    <w:rsid w:val="0026576A"/>
    <w:rsid w:val="00265805"/>
    <w:rsid w:val="002658F1"/>
    <w:rsid w:val="0026590A"/>
    <w:rsid w:val="0026595B"/>
    <w:rsid w:val="002659E8"/>
    <w:rsid w:val="00265A3B"/>
    <w:rsid w:val="00265A4C"/>
    <w:rsid w:val="00265AC0"/>
    <w:rsid w:val="00265AC4"/>
    <w:rsid w:val="00265B20"/>
    <w:rsid w:val="00265B5C"/>
    <w:rsid w:val="00265BB6"/>
    <w:rsid w:val="00265C2D"/>
    <w:rsid w:val="00265D7F"/>
    <w:rsid w:val="00265DDF"/>
    <w:rsid w:val="00265EE0"/>
    <w:rsid w:val="00265F77"/>
    <w:rsid w:val="002660C7"/>
    <w:rsid w:val="002661A6"/>
    <w:rsid w:val="002661C0"/>
    <w:rsid w:val="002662E9"/>
    <w:rsid w:val="002664CA"/>
    <w:rsid w:val="0026655C"/>
    <w:rsid w:val="00266571"/>
    <w:rsid w:val="0026665E"/>
    <w:rsid w:val="002666AB"/>
    <w:rsid w:val="0026671F"/>
    <w:rsid w:val="002667CF"/>
    <w:rsid w:val="002667F7"/>
    <w:rsid w:val="00266AC6"/>
    <w:rsid w:val="00266AC9"/>
    <w:rsid w:val="00266CE3"/>
    <w:rsid w:val="00266F6D"/>
    <w:rsid w:val="00266F77"/>
    <w:rsid w:val="00267068"/>
    <w:rsid w:val="002670B0"/>
    <w:rsid w:val="0026726C"/>
    <w:rsid w:val="0026739A"/>
    <w:rsid w:val="002674B4"/>
    <w:rsid w:val="002675E0"/>
    <w:rsid w:val="00267668"/>
    <w:rsid w:val="00267738"/>
    <w:rsid w:val="00267769"/>
    <w:rsid w:val="00267773"/>
    <w:rsid w:val="00267853"/>
    <w:rsid w:val="00267965"/>
    <w:rsid w:val="00267A61"/>
    <w:rsid w:val="00267B1D"/>
    <w:rsid w:val="00267D20"/>
    <w:rsid w:val="00267D4F"/>
    <w:rsid w:val="00267E1B"/>
    <w:rsid w:val="00267FF5"/>
    <w:rsid w:val="0027013F"/>
    <w:rsid w:val="00270249"/>
    <w:rsid w:val="002702CD"/>
    <w:rsid w:val="00270301"/>
    <w:rsid w:val="002703F7"/>
    <w:rsid w:val="002704B3"/>
    <w:rsid w:val="002705D9"/>
    <w:rsid w:val="0027061B"/>
    <w:rsid w:val="00270822"/>
    <w:rsid w:val="0027087F"/>
    <w:rsid w:val="00270A83"/>
    <w:rsid w:val="00270AB0"/>
    <w:rsid w:val="00270AB6"/>
    <w:rsid w:val="00270ADC"/>
    <w:rsid w:val="00270B37"/>
    <w:rsid w:val="00270BC2"/>
    <w:rsid w:val="00270BEA"/>
    <w:rsid w:val="00270DAB"/>
    <w:rsid w:val="00270E0B"/>
    <w:rsid w:val="00270EED"/>
    <w:rsid w:val="00270F7F"/>
    <w:rsid w:val="00271065"/>
    <w:rsid w:val="0027116F"/>
    <w:rsid w:val="002712FF"/>
    <w:rsid w:val="0027144B"/>
    <w:rsid w:val="002714C9"/>
    <w:rsid w:val="002714FA"/>
    <w:rsid w:val="0027159B"/>
    <w:rsid w:val="00271648"/>
    <w:rsid w:val="002716A8"/>
    <w:rsid w:val="002718C2"/>
    <w:rsid w:val="002718C5"/>
    <w:rsid w:val="002719B8"/>
    <w:rsid w:val="00271A43"/>
    <w:rsid w:val="00271AB6"/>
    <w:rsid w:val="00271AC8"/>
    <w:rsid w:val="00271C16"/>
    <w:rsid w:val="00271C38"/>
    <w:rsid w:val="00271CF3"/>
    <w:rsid w:val="00271D0B"/>
    <w:rsid w:val="00271D10"/>
    <w:rsid w:val="00271D6F"/>
    <w:rsid w:val="00271DA5"/>
    <w:rsid w:val="00271FEE"/>
    <w:rsid w:val="0027207A"/>
    <w:rsid w:val="0027215F"/>
    <w:rsid w:val="0027237B"/>
    <w:rsid w:val="002726CF"/>
    <w:rsid w:val="00272728"/>
    <w:rsid w:val="00272A9A"/>
    <w:rsid w:val="00272ADB"/>
    <w:rsid w:val="00272B44"/>
    <w:rsid w:val="00272BCE"/>
    <w:rsid w:val="00272BDC"/>
    <w:rsid w:val="00272D32"/>
    <w:rsid w:val="00272E5E"/>
    <w:rsid w:val="00272EB6"/>
    <w:rsid w:val="00272F51"/>
    <w:rsid w:val="002730EF"/>
    <w:rsid w:val="002731C1"/>
    <w:rsid w:val="002731CF"/>
    <w:rsid w:val="002731D2"/>
    <w:rsid w:val="002734B0"/>
    <w:rsid w:val="002734BD"/>
    <w:rsid w:val="002734EB"/>
    <w:rsid w:val="0027350D"/>
    <w:rsid w:val="00273555"/>
    <w:rsid w:val="00273826"/>
    <w:rsid w:val="00273828"/>
    <w:rsid w:val="002738F0"/>
    <w:rsid w:val="0027391B"/>
    <w:rsid w:val="0027395F"/>
    <w:rsid w:val="002739E6"/>
    <w:rsid w:val="00273B5C"/>
    <w:rsid w:val="00273C81"/>
    <w:rsid w:val="00273C84"/>
    <w:rsid w:val="00273D1E"/>
    <w:rsid w:val="00273D43"/>
    <w:rsid w:val="00273EBC"/>
    <w:rsid w:val="00273EC7"/>
    <w:rsid w:val="00273F24"/>
    <w:rsid w:val="0027421E"/>
    <w:rsid w:val="0027428F"/>
    <w:rsid w:val="002742A4"/>
    <w:rsid w:val="002742B1"/>
    <w:rsid w:val="002742B9"/>
    <w:rsid w:val="002742C6"/>
    <w:rsid w:val="002742EA"/>
    <w:rsid w:val="00274381"/>
    <w:rsid w:val="002743B7"/>
    <w:rsid w:val="0027443C"/>
    <w:rsid w:val="002744EB"/>
    <w:rsid w:val="00274519"/>
    <w:rsid w:val="0027452B"/>
    <w:rsid w:val="002745E3"/>
    <w:rsid w:val="0027466F"/>
    <w:rsid w:val="002746C9"/>
    <w:rsid w:val="0027470A"/>
    <w:rsid w:val="00274722"/>
    <w:rsid w:val="0027492D"/>
    <w:rsid w:val="00274A3D"/>
    <w:rsid w:val="00274A69"/>
    <w:rsid w:val="00274B7D"/>
    <w:rsid w:val="00274C0D"/>
    <w:rsid w:val="00274CA1"/>
    <w:rsid w:val="00274D76"/>
    <w:rsid w:val="00274DD9"/>
    <w:rsid w:val="00274ECE"/>
    <w:rsid w:val="00274F6F"/>
    <w:rsid w:val="00275075"/>
    <w:rsid w:val="00275134"/>
    <w:rsid w:val="00275248"/>
    <w:rsid w:val="00275582"/>
    <w:rsid w:val="002755FE"/>
    <w:rsid w:val="002756D2"/>
    <w:rsid w:val="0027572D"/>
    <w:rsid w:val="00275794"/>
    <w:rsid w:val="002758B7"/>
    <w:rsid w:val="002759BB"/>
    <w:rsid w:val="002759F9"/>
    <w:rsid w:val="00275A32"/>
    <w:rsid w:val="00275AA8"/>
    <w:rsid w:val="00275C52"/>
    <w:rsid w:val="00275CD8"/>
    <w:rsid w:val="00275D3E"/>
    <w:rsid w:val="00275FCD"/>
    <w:rsid w:val="00276005"/>
    <w:rsid w:val="0027606F"/>
    <w:rsid w:val="0027607E"/>
    <w:rsid w:val="002760BA"/>
    <w:rsid w:val="002760BF"/>
    <w:rsid w:val="00276117"/>
    <w:rsid w:val="0027615D"/>
    <w:rsid w:val="002761F3"/>
    <w:rsid w:val="00276314"/>
    <w:rsid w:val="00276321"/>
    <w:rsid w:val="0027637F"/>
    <w:rsid w:val="002766C1"/>
    <w:rsid w:val="0027675D"/>
    <w:rsid w:val="00276892"/>
    <w:rsid w:val="002768E8"/>
    <w:rsid w:val="00276A82"/>
    <w:rsid w:val="00276BDD"/>
    <w:rsid w:val="00276BE8"/>
    <w:rsid w:val="00276C2E"/>
    <w:rsid w:val="00276E01"/>
    <w:rsid w:val="00276EEB"/>
    <w:rsid w:val="00276F22"/>
    <w:rsid w:val="0027706A"/>
    <w:rsid w:val="0027719C"/>
    <w:rsid w:val="0027725A"/>
    <w:rsid w:val="0027735B"/>
    <w:rsid w:val="00277395"/>
    <w:rsid w:val="002773A0"/>
    <w:rsid w:val="0027741B"/>
    <w:rsid w:val="00277446"/>
    <w:rsid w:val="00277544"/>
    <w:rsid w:val="00277576"/>
    <w:rsid w:val="00277590"/>
    <w:rsid w:val="002776AE"/>
    <w:rsid w:val="002776EF"/>
    <w:rsid w:val="0027770B"/>
    <w:rsid w:val="00277A5D"/>
    <w:rsid w:val="00277BF6"/>
    <w:rsid w:val="00277CB5"/>
    <w:rsid w:val="00277D30"/>
    <w:rsid w:val="00277D84"/>
    <w:rsid w:val="00277E95"/>
    <w:rsid w:val="00277F3B"/>
    <w:rsid w:val="00277F88"/>
    <w:rsid w:val="0028002A"/>
    <w:rsid w:val="00280104"/>
    <w:rsid w:val="00280127"/>
    <w:rsid w:val="002801C1"/>
    <w:rsid w:val="00280219"/>
    <w:rsid w:val="0028024C"/>
    <w:rsid w:val="00280258"/>
    <w:rsid w:val="0028028F"/>
    <w:rsid w:val="00280291"/>
    <w:rsid w:val="00280397"/>
    <w:rsid w:val="0028058C"/>
    <w:rsid w:val="002805E1"/>
    <w:rsid w:val="00280617"/>
    <w:rsid w:val="002806CC"/>
    <w:rsid w:val="0028084D"/>
    <w:rsid w:val="002808E2"/>
    <w:rsid w:val="00280902"/>
    <w:rsid w:val="0028095C"/>
    <w:rsid w:val="00280B43"/>
    <w:rsid w:val="00280B6F"/>
    <w:rsid w:val="00280C1A"/>
    <w:rsid w:val="00280C77"/>
    <w:rsid w:val="00280F0D"/>
    <w:rsid w:val="00280F38"/>
    <w:rsid w:val="002811AB"/>
    <w:rsid w:val="00281210"/>
    <w:rsid w:val="00281308"/>
    <w:rsid w:val="0028130B"/>
    <w:rsid w:val="00281339"/>
    <w:rsid w:val="002813AD"/>
    <w:rsid w:val="002814DF"/>
    <w:rsid w:val="002814F1"/>
    <w:rsid w:val="002815BC"/>
    <w:rsid w:val="0028162E"/>
    <w:rsid w:val="0028163D"/>
    <w:rsid w:val="002816C2"/>
    <w:rsid w:val="0028175F"/>
    <w:rsid w:val="002817FC"/>
    <w:rsid w:val="00281803"/>
    <w:rsid w:val="002818D9"/>
    <w:rsid w:val="00281969"/>
    <w:rsid w:val="00281A97"/>
    <w:rsid w:val="00281B41"/>
    <w:rsid w:val="00281B98"/>
    <w:rsid w:val="00281BB0"/>
    <w:rsid w:val="00281CB2"/>
    <w:rsid w:val="00281D8D"/>
    <w:rsid w:val="00281DDA"/>
    <w:rsid w:val="00281E0C"/>
    <w:rsid w:val="00281E67"/>
    <w:rsid w:val="00281F6F"/>
    <w:rsid w:val="00282081"/>
    <w:rsid w:val="002820C0"/>
    <w:rsid w:val="0028216E"/>
    <w:rsid w:val="002821AA"/>
    <w:rsid w:val="002821C3"/>
    <w:rsid w:val="00282263"/>
    <w:rsid w:val="00282292"/>
    <w:rsid w:val="0028242C"/>
    <w:rsid w:val="00282452"/>
    <w:rsid w:val="00282591"/>
    <w:rsid w:val="002825B6"/>
    <w:rsid w:val="0028271D"/>
    <w:rsid w:val="00282752"/>
    <w:rsid w:val="0028299A"/>
    <w:rsid w:val="002829BA"/>
    <w:rsid w:val="00282A5D"/>
    <w:rsid w:val="00282BBA"/>
    <w:rsid w:val="00282DBE"/>
    <w:rsid w:val="00283024"/>
    <w:rsid w:val="0028307B"/>
    <w:rsid w:val="00283094"/>
    <w:rsid w:val="002830C5"/>
    <w:rsid w:val="002830D0"/>
    <w:rsid w:val="0028312D"/>
    <w:rsid w:val="0028327D"/>
    <w:rsid w:val="00283332"/>
    <w:rsid w:val="002833B3"/>
    <w:rsid w:val="0028340C"/>
    <w:rsid w:val="0028347E"/>
    <w:rsid w:val="00283496"/>
    <w:rsid w:val="002835F1"/>
    <w:rsid w:val="0028365E"/>
    <w:rsid w:val="0028366E"/>
    <w:rsid w:val="00283702"/>
    <w:rsid w:val="00283723"/>
    <w:rsid w:val="0028381B"/>
    <w:rsid w:val="00283858"/>
    <w:rsid w:val="002838E8"/>
    <w:rsid w:val="002838EC"/>
    <w:rsid w:val="00283908"/>
    <w:rsid w:val="00283AD4"/>
    <w:rsid w:val="00283B04"/>
    <w:rsid w:val="00283B90"/>
    <w:rsid w:val="00283E0F"/>
    <w:rsid w:val="00283EAE"/>
    <w:rsid w:val="00283FF4"/>
    <w:rsid w:val="002842D5"/>
    <w:rsid w:val="00284340"/>
    <w:rsid w:val="00284342"/>
    <w:rsid w:val="002843E9"/>
    <w:rsid w:val="00284464"/>
    <w:rsid w:val="00284782"/>
    <w:rsid w:val="002847C9"/>
    <w:rsid w:val="002848A5"/>
    <w:rsid w:val="002849CB"/>
    <w:rsid w:val="00284A18"/>
    <w:rsid w:val="00284A92"/>
    <w:rsid w:val="00284AAA"/>
    <w:rsid w:val="00284B21"/>
    <w:rsid w:val="00284B71"/>
    <w:rsid w:val="00284D58"/>
    <w:rsid w:val="00284DB2"/>
    <w:rsid w:val="00284E02"/>
    <w:rsid w:val="00284F68"/>
    <w:rsid w:val="00285158"/>
    <w:rsid w:val="0028516A"/>
    <w:rsid w:val="00285285"/>
    <w:rsid w:val="0028528E"/>
    <w:rsid w:val="00285443"/>
    <w:rsid w:val="00285451"/>
    <w:rsid w:val="002854C5"/>
    <w:rsid w:val="00285551"/>
    <w:rsid w:val="0028556B"/>
    <w:rsid w:val="00285619"/>
    <w:rsid w:val="00285646"/>
    <w:rsid w:val="002858C3"/>
    <w:rsid w:val="002858F4"/>
    <w:rsid w:val="002859C0"/>
    <w:rsid w:val="002859D4"/>
    <w:rsid w:val="00285AD1"/>
    <w:rsid w:val="00285C5A"/>
    <w:rsid w:val="00285CFB"/>
    <w:rsid w:val="00285DA9"/>
    <w:rsid w:val="00285E75"/>
    <w:rsid w:val="00285F1F"/>
    <w:rsid w:val="00286011"/>
    <w:rsid w:val="0028607A"/>
    <w:rsid w:val="002860FF"/>
    <w:rsid w:val="0028610E"/>
    <w:rsid w:val="00286176"/>
    <w:rsid w:val="00286215"/>
    <w:rsid w:val="002862A6"/>
    <w:rsid w:val="002862F9"/>
    <w:rsid w:val="00286392"/>
    <w:rsid w:val="002863EF"/>
    <w:rsid w:val="00286407"/>
    <w:rsid w:val="00286605"/>
    <w:rsid w:val="002866AC"/>
    <w:rsid w:val="0028678B"/>
    <w:rsid w:val="002867C1"/>
    <w:rsid w:val="00286884"/>
    <w:rsid w:val="00286940"/>
    <w:rsid w:val="00286989"/>
    <w:rsid w:val="00286A0A"/>
    <w:rsid w:val="00286A9F"/>
    <w:rsid w:val="00286B0D"/>
    <w:rsid w:val="00286CC9"/>
    <w:rsid w:val="00286F1C"/>
    <w:rsid w:val="00286F73"/>
    <w:rsid w:val="0028713E"/>
    <w:rsid w:val="0028714D"/>
    <w:rsid w:val="002871A6"/>
    <w:rsid w:val="00287342"/>
    <w:rsid w:val="002873DB"/>
    <w:rsid w:val="00287408"/>
    <w:rsid w:val="00287419"/>
    <w:rsid w:val="0028745F"/>
    <w:rsid w:val="002874CF"/>
    <w:rsid w:val="00287648"/>
    <w:rsid w:val="0028768C"/>
    <w:rsid w:val="002876F2"/>
    <w:rsid w:val="00287908"/>
    <w:rsid w:val="00287922"/>
    <w:rsid w:val="00287B9A"/>
    <w:rsid w:val="00287C28"/>
    <w:rsid w:val="00287D3E"/>
    <w:rsid w:val="00287D75"/>
    <w:rsid w:val="00287E9D"/>
    <w:rsid w:val="00287EE3"/>
    <w:rsid w:val="002900EB"/>
    <w:rsid w:val="002902B5"/>
    <w:rsid w:val="002903CA"/>
    <w:rsid w:val="0029046D"/>
    <w:rsid w:val="0029054B"/>
    <w:rsid w:val="00290554"/>
    <w:rsid w:val="00290614"/>
    <w:rsid w:val="00290619"/>
    <w:rsid w:val="0029063C"/>
    <w:rsid w:val="00290945"/>
    <w:rsid w:val="00290AB4"/>
    <w:rsid w:val="00290AC8"/>
    <w:rsid w:val="00290DB8"/>
    <w:rsid w:val="00290E28"/>
    <w:rsid w:val="00290EF0"/>
    <w:rsid w:val="0029108A"/>
    <w:rsid w:val="00291097"/>
    <w:rsid w:val="0029119A"/>
    <w:rsid w:val="002912CD"/>
    <w:rsid w:val="002913A8"/>
    <w:rsid w:val="002913F0"/>
    <w:rsid w:val="002915DA"/>
    <w:rsid w:val="002915F6"/>
    <w:rsid w:val="002916A3"/>
    <w:rsid w:val="00291765"/>
    <w:rsid w:val="00291907"/>
    <w:rsid w:val="002919F6"/>
    <w:rsid w:val="00291A14"/>
    <w:rsid w:val="00291A89"/>
    <w:rsid w:val="00291C83"/>
    <w:rsid w:val="00291E24"/>
    <w:rsid w:val="00291EB8"/>
    <w:rsid w:val="00291FF3"/>
    <w:rsid w:val="00292071"/>
    <w:rsid w:val="00292149"/>
    <w:rsid w:val="00292301"/>
    <w:rsid w:val="0029235A"/>
    <w:rsid w:val="00292377"/>
    <w:rsid w:val="002923ED"/>
    <w:rsid w:val="00292407"/>
    <w:rsid w:val="0029246F"/>
    <w:rsid w:val="0029250F"/>
    <w:rsid w:val="002926E8"/>
    <w:rsid w:val="002926EF"/>
    <w:rsid w:val="00292823"/>
    <w:rsid w:val="00292835"/>
    <w:rsid w:val="0029287A"/>
    <w:rsid w:val="00292B06"/>
    <w:rsid w:val="00292B3E"/>
    <w:rsid w:val="00292BEB"/>
    <w:rsid w:val="00292BF9"/>
    <w:rsid w:val="00292C37"/>
    <w:rsid w:val="00292D38"/>
    <w:rsid w:val="00292D3A"/>
    <w:rsid w:val="00292EC9"/>
    <w:rsid w:val="00292ED0"/>
    <w:rsid w:val="00292F98"/>
    <w:rsid w:val="002930B2"/>
    <w:rsid w:val="002930BE"/>
    <w:rsid w:val="00293203"/>
    <w:rsid w:val="00293230"/>
    <w:rsid w:val="002934C9"/>
    <w:rsid w:val="002934EC"/>
    <w:rsid w:val="0029359C"/>
    <w:rsid w:val="00293619"/>
    <w:rsid w:val="002936C0"/>
    <w:rsid w:val="002936CB"/>
    <w:rsid w:val="00293710"/>
    <w:rsid w:val="0029379B"/>
    <w:rsid w:val="002939E7"/>
    <w:rsid w:val="00293AE0"/>
    <w:rsid w:val="00293AF7"/>
    <w:rsid w:val="00293B47"/>
    <w:rsid w:val="00293B6C"/>
    <w:rsid w:val="00293B87"/>
    <w:rsid w:val="00293BA6"/>
    <w:rsid w:val="00293BA8"/>
    <w:rsid w:val="00293C17"/>
    <w:rsid w:val="00293DB0"/>
    <w:rsid w:val="00293E08"/>
    <w:rsid w:val="00293F21"/>
    <w:rsid w:val="00293FD6"/>
    <w:rsid w:val="00294067"/>
    <w:rsid w:val="00294198"/>
    <w:rsid w:val="002942AA"/>
    <w:rsid w:val="002942C9"/>
    <w:rsid w:val="00294317"/>
    <w:rsid w:val="002944D3"/>
    <w:rsid w:val="00294633"/>
    <w:rsid w:val="0029465C"/>
    <w:rsid w:val="00294686"/>
    <w:rsid w:val="0029468A"/>
    <w:rsid w:val="002946A9"/>
    <w:rsid w:val="002946B5"/>
    <w:rsid w:val="002946BF"/>
    <w:rsid w:val="002946DD"/>
    <w:rsid w:val="002946DF"/>
    <w:rsid w:val="00294720"/>
    <w:rsid w:val="002948D0"/>
    <w:rsid w:val="002949AF"/>
    <w:rsid w:val="00294AC8"/>
    <w:rsid w:val="00294B86"/>
    <w:rsid w:val="00294B96"/>
    <w:rsid w:val="00294BBA"/>
    <w:rsid w:val="00294BBD"/>
    <w:rsid w:val="00294C99"/>
    <w:rsid w:val="00294F52"/>
    <w:rsid w:val="00294F9A"/>
    <w:rsid w:val="00295118"/>
    <w:rsid w:val="00295119"/>
    <w:rsid w:val="00295120"/>
    <w:rsid w:val="0029516D"/>
    <w:rsid w:val="002951D3"/>
    <w:rsid w:val="002952AD"/>
    <w:rsid w:val="0029539F"/>
    <w:rsid w:val="002954A9"/>
    <w:rsid w:val="00295511"/>
    <w:rsid w:val="00295570"/>
    <w:rsid w:val="0029559A"/>
    <w:rsid w:val="002955C0"/>
    <w:rsid w:val="00295698"/>
    <w:rsid w:val="00295702"/>
    <w:rsid w:val="0029574B"/>
    <w:rsid w:val="00295756"/>
    <w:rsid w:val="00295780"/>
    <w:rsid w:val="0029590C"/>
    <w:rsid w:val="0029594F"/>
    <w:rsid w:val="00295952"/>
    <w:rsid w:val="0029596E"/>
    <w:rsid w:val="002959E8"/>
    <w:rsid w:val="00295A09"/>
    <w:rsid w:val="00295A1D"/>
    <w:rsid w:val="00295A7C"/>
    <w:rsid w:val="00295B11"/>
    <w:rsid w:val="00295B5A"/>
    <w:rsid w:val="00295B5F"/>
    <w:rsid w:val="00295B6B"/>
    <w:rsid w:val="00295D46"/>
    <w:rsid w:val="00295D75"/>
    <w:rsid w:val="00295EC3"/>
    <w:rsid w:val="00295F8A"/>
    <w:rsid w:val="002960DD"/>
    <w:rsid w:val="0029618C"/>
    <w:rsid w:val="00296260"/>
    <w:rsid w:val="00296494"/>
    <w:rsid w:val="00296547"/>
    <w:rsid w:val="0029660B"/>
    <w:rsid w:val="0029660C"/>
    <w:rsid w:val="00296730"/>
    <w:rsid w:val="00296810"/>
    <w:rsid w:val="0029681E"/>
    <w:rsid w:val="00296943"/>
    <w:rsid w:val="00296A38"/>
    <w:rsid w:val="00296A4E"/>
    <w:rsid w:val="00296A76"/>
    <w:rsid w:val="00296B72"/>
    <w:rsid w:val="00296C9E"/>
    <w:rsid w:val="00296F29"/>
    <w:rsid w:val="00296F2F"/>
    <w:rsid w:val="002970AD"/>
    <w:rsid w:val="002970DC"/>
    <w:rsid w:val="002970E9"/>
    <w:rsid w:val="002970EF"/>
    <w:rsid w:val="00297175"/>
    <w:rsid w:val="00297205"/>
    <w:rsid w:val="00297214"/>
    <w:rsid w:val="002973D1"/>
    <w:rsid w:val="00297442"/>
    <w:rsid w:val="0029758C"/>
    <w:rsid w:val="002975D8"/>
    <w:rsid w:val="002975E6"/>
    <w:rsid w:val="0029780A"/>
    <w:rsid w:val="002979C7"/>
    <w:rsid w:val="00297A57"/>
    <w:rsid w:val="00297A67"/>
    <w:rsid w:val="00297A84"/>
    <w:rsid w:val="00297A96"/>
    <w:rsid w:val="00297B2E"/>
    <w:rsid w:val="00297CF2"/>
    <w:rsid w:val="00297DFD"/>
    <w:rsid w:val="00297EF3"/>
    <w:rsid w:val="00297EFC"/>
    <w:rsid w:val="00297F31"/>
    <w:rsid w:val="002A0002"/>
    <w:rsid w:val="002A007C"/>
    <w:rsid w:val="002A017F"/>
    <w:rsid w:val="002A0213"/>
    <w:rsid w:val="002A023B"/>
    <w:rsid w:val="002A02BE"/>
    <w:rsid w:val="002A0341"/>
    <w:rsid w:val="002A03F6"/>
    <w:rsid w:val="002A047F"/>
    <w:rsid w:val="002A04C2"/>
    <w:rsid w:val="002A055F"/>
    <w:rsid w:val="002A058C"/>
    <w:rsid w:val="002A079C"/>
    <w:rsid w:val="002A087D"/>
    <w:rsid w:val="002A0AD8"/>
    <w:rsid w:val="002A0B47"/>
    <w:rsid w:val="002A0E2F"/>
    <w:rsid w:val="002A0E3D"/>
    <w:rsid w:val="002A0F9B"/>
    <w:rsid w:val="002A0FE5"/>
    <w:rsid w:val="002A1048"/>
    <w:rsid w:val="002A104F"/>
    <w:rsid w:val="002A1081"/>
    <w:rsid w:val="002A1401"/>
    <w:rsid w:val="002A1428"/>
    <w:rsid w:val="002A1437"/>
    <w:rsid w:val="002A157F"/>
    <w:rsid w:val="002A1606"/>
    <w:rsid w:val="002A16A8"/>
    <w:rsid w:val="002A18BC"/>
    <w:rsid w:val="002A1961"/>
    <w:rsid w:val="002A196B"/>
    <w:rsid w:val="002A1A9B"/>
    <w:rsid w:val="002A1F61"/>
    <w:rsid w:val="002A2113"/>
    <w:rsid w:val="002A2230"/>
    <w:rsid w:val="002A22A1"/>
    <w:rsid w:val="002A2363"/>
    <w:rsid w:val="002A236F"/>
    <w:rsid w:val="002A239C"/>
    <w:rsid w:val="002A2442"/>
    <w:rsid w:val="002A2547"/>
    <w:rsid w:val="002A25DA"/>
    <w:rsid w:val="002A266A"/>
    <w:rsid w:val="002A26B0"/>
    <w:rsid w:val="002A2718"/>
    <w:rsid w:val="002A27D5"/>
    <w:rsid w:val="002A28D6"/>
    <w:rsid w:val="002A2927"/>
    <w:rsid w:val="002A2944"/>
    <w:rsid w:val="002A2989"/>
    <w:rsid w:val="002A2A0B"/>
    <w:rsid w:val="002A2A28"/>
    <w:rsid w:val="002A2A30"/>
    <w:rsid w:val="002A2B76"/>
    <w:rsid w:val="002A2BC8"/>
    <w:rsid w:val="002A2C02"/>
    <w:rsid w:val="002A2C0B"/>
    <w:rsid w:val="002A2C2D"/>
    <w:rsid w:val="002A2D7A"/>
    <w:rsid w:val="002A2E44"/>
    <w:rsid w:val="002A2E5E"/>
    <w:rsid w:val="002A2EB6"/>
    <w:rsid w:val="002A2F6E"/>
    <w:rsid w:val="002A2F84"/>
    <w:rsid w:val="002A307E"/>
    <w:rsid w:val="002A32B3"/>
    <w:rsid w:val="002A332C"/>
    <w:rsid w:val="002A3590"/>
    <w:rsid w:val="002A35E1"/>
    <w:rsid w:val="002A35FD"/>
    <w:rsid w:val="002A3632"/>
    <w:rsid w:val="002A3656"/>
    <w:rsid w:val="002A3731"/>
    <w:rsid w:val="002A374C"/>
    <w:rsid w:val="002A3753"/>
    <w:rsid w:val="002A3779"/>
    <w:rsid w:val="002A3786"/>
    <w:rsid w:val="002A38B5"/>
    <w:rsid w:val="002A3A82"/>
    <w:rsid w:val="002A3AC0"/>
    <w:rsid w:val="002A3AC2"/>
    <w:rsid w:val="002A3BD0"/>
    <w:rsid w:val="002A3C30"/>
    <w:rsid w:val="002A3C92"/>
    <w:rsid w:val="002A3EEF"/>
    <w:rsid w:val="002A3FCD"/>
    <w:rsid w:val="002A40D2"/>
    <w:rsid w:val="002A413B"/>
    <w:rsid w:val="002A418C"/>
    <w:rsid w:val="002A420B"/>
    <w:rsid w:val="002A4326"/>
    <w:rsid w:val="002A44D1"/>
    <w:rsid w:val="002A44D4"/>
    <w:rsid w:val="002A4512"/>
    <w:rsid w:val="002A4520"/>
    <w:rsid w:val="002A45A8"/>
    <w:rsid w:val="002A46AE"/>
    <w:rsid w:val="002A47F2"/>
    <w:rsid w:val="002A482F"/>
    <w:rsid w:val="002A4AD8"/>
    <w:rsid w:val="002A4B27"/>
    <w:rsid w:val="002A4C54"/>
    <w:rsid w:val="002A4CB1"/>
    <w:rsid w:val="002A4CB2"/>
    <w:rsid w:val="002A4ED4"/>
    <w:rsid w:val="002A4F32"/>
    <w:rsid w:val="002A4FCB"/>
    <w:rsid w:val="002A4FCC"/>
    <w:rsid w:val="002A4FEB"/>
    <w:rsid w:val="002A50D7"/>
    <w:rsid w:val="002A529B"/>
    <w:rsid w:val="002A52B5"/>
    <w:rsid w:val="002A5500"/>
    <w:rsid w:val="002A5551"/>
    <w:rsid w:val="002A558E"/>
    <w:rsid w:val="002A55AC"/>
    <w:rsid w:val="002A5684"/>
    <w:rsid w:val="002A575F"/>
    <w:rsid w:val="002A5800"/>
    <w:rsid w:val="002A5840"/>
    <w:rsid w:val="002A58A4"/>
    <w:rsid w:val="002A5D34"/>
    <w:rsid w:val="002A5DC4"/>
    <w:rsid w:val="002A5DF6"/>
    <w:rsid w:val="002A5E89"/>
    <w:rsid w:val="002A5EBF"/>
    <w:rsid w:val="002A5F32"/>
    <w:rsid w:val="002A5F96"/>
    <w:rsid w:val="002A622E"/>
    <w:rsid w:val="002A62C0"/>
    <w:rsid w:val="002A6376"/>
    <w:rsid w:val="002A637B"/>
    <w:rsid w:val="002A6558"/>
    <w:rsid w:val="002A655B"/>
    <w:rsid w:val="002A6A66"/>
    <w:rsid w:val="002A6B3E"/>
    <w:rsid w:val="002A6BA1"/>
    <w:rsid w:val="002A6CA6"/>
    <w:rsid w:val="002A6CCF"/>
    <w:rsid w:val="002A6D89"/>
    <w:rsid w:val="002A6EAE"/>
    <w:rsid w:val="002A6EBE"/>
    <w:rsid w:val="002A6EE2"/>
    <w:rsid w:val="002A6F71"/>
    <w:rsid w:val="002A6FCD"/>
    <w:rsid w:val="002A7104"/>
    <w:rsid w:val="002A7193"/>
    <w:rsid w:val="002A735C"/>
    <w:rsid w:val="002A7544"/>
    <w:rsid w:val="002A765D"/>
    <w:rsid w:val="002A76F9"/>
    <w:rsid w:val="002A7738"/>
    <w:rsid w:val="002A7793"/>
    <w:rsid w:val="002A7797"/>
    <w:rsid w:val="002A7A22"/>
    <w:rsid w:val="002A7A43"/>
    <w:rsid w:val="002A7A76"/>
    <w:rsid w:val="002A7A78"/>
    <w:rsid w:val="002A7BC8"/>
    <w:rsid w:val="002A7D40"/>
    <w:rsid w:val="002A7E44"/>
    <w:rsid w:val="002A7E69"/>
    <w:rsid w:val="002A7F70"/>
    <w:rsid w:val="002A7FB1"/>
    <w:rsid w:val="002A7FBF"/>
    <w:rsid w:val="002A7FC1"/>
    <w:rsid w:val="002A7FCF"/>
    <w:rsid w:val="002B00CF"/>
    <w:rsid w:val="002B016C"/>
    <w:rsid w:val="002B01E1"/>
    <w:rsid w:val="002B01F8"/>
    <w:rsid w:val="002B025C"/>
    <w:rsid w:val="002B0293"/>
    <w:rsid w:val="002B02CE"/>
    <w:rsid w:val="002B0419"/>
    <w:rsid w:val="002B0432"/>
    <w:rsid w:val="002B0442"/>
    <w:rsid w:val="002B0477"/>
    <w:rsid w:val="002B04FD"/>
    <w:rsid w:val="002B0527"/>
    <w:rsid w:val="002B0550"/>
    <w:rsid w:val="002B0639"/>
    <w:rsid w:val="002B067F"/>
    <w:rsid w:val="002B06BE"/>
    <w:rsid w:val="002B0700"/>
    <w:rsid w:val="002B071B"/>
    <w:rsid w:val="002B0838"/>
    <w:rsid w:val="002B0896"/>
    <w:rsid w:val="002B08A9"/>
    <w:rsid w:val="002B091C"/>
    <w:rsid w:val="002B0A7B"/>
    <w:rsid w:val="002B0B65"/>
    <w:rsid w:val="002B0BA8"/>
    <w:rsid w:val="002B0CA7"/>
    <w:rsid w:val="002B0CB4"/>
    <w:rsid w:val="002B0D2E"/>
    <w:rsid w:val="002B0D86"/>
    <w:rsid w:val="002B0DAD"/>
    <w:rsid w:val="002B0E9A"/>
    <w:rsid w:val="002B0F3C"/>
    <w:rsid w:val="002B0F89"/>
    <w:rsid w:val="002B12F9"/>
    <w:rsid w:val="002B1324"/>
    <w:rsid w:val="002B13A4"/>
    <w:rsid w:val="002B1421"/>
    <w:rsid w:val="002B151E"/>
    <w:rsid w:val="002B1561"/>
    <w:rsid w:val="002B15E5"/>
    <w:rsid w:val="002B16C8"/>
    <w:rsid w:val="002B179D"/>
    <w:rsid w:val="002B1822"/>
    <w:rsid w:val="002B1913"/>
    <w:rsid w:val="002B1918"/>
    <w:rsid w:val="002B1955"/>
    <w:rsid w:val="002B1B06"/>
    <w:rsid w:val="002B1C6B"/>
    <w:rsid w:val="002B1CF0"/>
    <w:rsid w:val="002B1D32"/>
    <w:rsid w:val="002B1D3E"/>
    <w:rsid w:val="002B1D58"/>
    <w:rsid w:val="002B1D93"/>
    <w:rsid w:val="002B1DE0"/>
    <w:rsid w:val="002B1F53"/>
    <w:rsid w:val="002B1FAC"/>
    <w:rsid w:val="002B2108"/>
    <w:rsid w:val="002B2154"/>
    <w:rsid w:val="002B21CE"/>
    <w:rsid w:val="002B2219"/>
    <w:rsid w:val="002B22ED"/>
    <w:rsid w:val="002B230C"/>
    <w:rsid w:val="002B2376"/>
    <w:rsid w:val="002B23E3"/>
    <w:rsid w:val="002B254A"/>
    <w:rsid w:val="002B25AA"/>
    <w:rsid w:val="002B262A"/>
    <w:rsid w:val="002B2724"/>
    <w:rsid w:val="002B27A4"/>
    <w:rsid w:val="002B27BC"/>
    <w:rsid w:val="002B27DC"/>
    <w:rsid w:val="002B2835"/>
    <w:rsid w:val="002B2890"/>
    <w:rsid w:val="002B2987"/>
    <w:rsid w:val="002B2B1B"/>
    <w:rsid w:val="002B2B75"/>
    <w:rsid w:val="002B2BC7"/>
    <w:rsid w:val="002B2C5E"/>
    <w:rsid w:val="002B2C90"/>
    <w:rsid w:val="002B2E65"/>
    <w:rsid w:val="002B2F90"/>
    <w:rsid w:val="002B3089"/>
    <w:rsid w:val="002B3213"/>
    <w:rsid w:val="002B3256"/>
    <w:rsid w:val="002B3258"/>
    <w:rsid w:val="002B32C8"/>
    <w:rsid w:val="002B3463"/>
    <w:rsid w:val="002B3656"/>
    <w:rsid w:val="002B37E9"/>
    <w:rsid w:val="002B382C"/>
    <w:rsid w:val="002B382E"/>
    <w:rsid w:val="002B386C"/>
    <w:rsid w:val="002B3884"/>
    <w:rsid w:val="002B3985"/>
    <w:rsid w:val="002B3B25"/>
    <w:rsid w:val="002B3B96"/>
    <w:rsid w:val="002B3D6C"/>
    <w:rsid w:val="002B3DAB"/>
    <w:rsid w:val="002B3FA3"/>
    <w:rsid w:val="002B4012"/>
    <w:rsid w:val="002B403B"/>
    <w:rsid w:val="002B4054"/>
    <w:rsid w:val="002B4164"/>
    <w:rsid w:val="002B41DF"/>
    <w:rsid w:val="002B4232"/>
    <w:rsid w:val="002B42D1"/>
    <w:rsid w:val="002B43C7"/>
    <w:rsid w:val="002B43F0"/>
    <w:rsid w:val="002B4587"/>
    <w:rsid w:val="002B45CF"/>
    <w:rsid w:val="002B4604"/>
    <w:rsid w:val="002B4670"/>
    <w:rsid w:val="002B46A1"/>
    <w:rsid w:val="002B46EA"/>
    <w:rsid w:val="002B46FE"/>
    <w:rsid w:val="002B4782"/>
    <w:rsid w:val="002B47A3"/>
    <w:rsid w:val="002B47D1"/>
    <w:rsid w:val="002B47D6"/>
    <w:rsid w:val="002B47FC"/>
    <w:rsid w:val="002B4872"/>
    <w:rsid w:val="002B48B1"/>
    <w:rsid w:val="002B490C"/>
    <w:rsid w:val="002B4B4F"/>
    <w:rsid w:val="002B4CBA"/>
    <w:rsid w:val="002B4D02"/>
    <w:rsid w:val="002B4D78"/>
    <w:rsid w:val="002B4E35"/>
    <w:rsid w:val="002B4FD2"/>
    <w:rsid w:val="002B4FD8"/>
    <w:rsid w:val="002B53E1"/>
    <w:rsid w:val="002B5507"/>
    <w:rsid w:val="002B5538"/>
    <w:rsid w:val="002B58F2"/>
    <w:rsid w:val="002B594B"/>
    <w:rsid w:val="002B5964"/>
    <w:rsid w:val="002B5984"/>
    <w:rsid w:val="002B5A42"/>
    <w:rsid w:val="002B5B29"/>
    <w:rsid w:val="002B5B54"/>
    <w:rsid w:val="002B5D8C"/>
    <w:rsid w:val="002B5EA2"/>
    <w:rsid w:val="002B5F0F"/>
    <w:rsid w:val="002B5F55"/>
    <w:rsid w:val="002B60E3"/>
    <w:rsid w:val="002B61F2"/>
    <w:rsid w:val="002B6252"/>
    <w:rsid w:val="002B62A2"/>
    <w:rsid w:val="002B639E"/>
    <w:rsid w:val="002B65DB"/>
    <w:rsid w:val="002B65E5"/>
    <w:rsid w:val="002B6612"/>
    <w:rsid w:val="002B6630"/>
    <w:rsid w:val="002B66C1"/>
    <w:rsid w:val="002B6785"/>
    <w:rsid w:val="002B67A2"/>
    <w:rsid w:val="002B6872"/>
    <w:rsid w:val="002B6879"/>
    <w:rsid w:val="002B6969"/>
    <w:rsid w:val="002B6993"/>
    <w:rsid w:val="002B6B08"/>
    <w:rsid w:val="002B6B66"/>
    <w:rsid w:val="002B6D2E"/>
    <w:rsid w:val="002B6E37"/>
    <w:rsid w:val="002B6E5D"/>
    <w:rsid w:val="002B6EC1"/>
    <w:rsid w:val="002B6F13"/>
    <w:rsid w:val="002B6FA3"/>
    <w:rsid w:val="002B71AD"/>
    <w:rsid w:val="002B71C1"/>
    <w:rsid w:val="002B7472"/>
    <w:rsid w:val="002B75F3"/>
    <w:rsid w:val="002B766D"/>
    <w:rsid w:val="002B775F"/>
    <w:rsid w:val="002B777B"/>
    <w:rsid w:val="002B77A1"/>
    <w:rsid w:val="002B77C0"/>
    <w:rsid w:val="002B798D"/>
    <w:rsid w:val="002B79F9"/>
    <w:rsid w:val="002B7A4C"/>
    <w:rsid w:val="002B7AAC"/>
    <w:rsid w:val="002B7C43"/>
    <w:rsid w:val="002B7D2A"/>
    <w:rsid w:val="002B7D9C"/>
    <w:rsid w:val="002B7DC0"/>
    <w:rsid w:val="002B7E28"/>
    <w:rsid w:val="002C0017"/>
    <w:rsid w:val="002C015A"/>
    <w:rsid w:val="002C019B"/>
    <w:rsid w:val="002C0365"/>
    <w:rsid w:val="002C049F"/>
    <w:rsid w:val="002C052E"/>
    <w:rsid w:val="002C0658"/>
    <w:rsid w:val="002C0685"/>
    <w:rsid w:val="002C0914"/>
    <w:rsid w:val="002C09FF"/>
    <w:rsid w:val="002C0A63"/>
    <w:rsid w:val="002C0A7A"/>
    <w:rsid w:val="002C0A88"/>
    <w:rsid w:val="002C0AD0"/>
    <w:rsid w:val="002C0B0B"/>
    <w:rsid w:val="002C0B52"/>
    <w:rsid w:val="002C0B5C"/>
    <w:rsid w:val="002C0BA2"/>
    <w:rsid w:val="002C0BD8"/>
    <w:rsid w:val="002C0C2B"/>
    <w:rsid w:val="002C0C37"/>
    <w:rsid w:val="002C0C5D"/>
    <w:rsid w:val="002C0DA6"/>
    <w:rsid w:val="002C0E54"/>
    <w:rsid w:val="002C0EF8"/>
    <w:rsid w:val="002C0F97"/>
    <w:rsid w:val="002C107A"/>
    <w:rsid w:val="002C109B"/>
    <w:rsid w:val="002C1140"/>
    <w:rsid w:val="002C116B"/>
    <w:rsid w:val="002C11B6"/>
    <w:rsid w:val="002C11D6"/>
    <w:rsid w:val="002C1209"/>
    <w:rsid w:val="002C1240"/>
    <w:rsid w:val="002C1454"/>
    <w:rsid w:val="002C149A"/>
    <w:rsid w:val="002C14FA"/>
    <w:rsid w:val="002C1560"/>
    <w:rsid w:val="002C173C"/>
    <w:rsid w:val="002C17DE"/>
    <w:rsid w:val="002C17FB"/>
    <w:rsid w:val="002C18ED"/>
    <w:rsid w:val="002C1906"/>
    <w:rsid w:val="002C1973"/>
    <w:rsid w:val="002C1986"/>
    <w:rsid w:val="002C19A7"/>
    <w:rsid w:val="002C1AE0"/>
    <w:rsid w:val="002C1B0D"/>
    <w:rsid w:val="002C1B2F"/>
    <w:rsid w:val="002C1BD5"/>
    <w:rsid w:val="002C1C16"/>
    <w:rsid w:val="002C1C2A"/>
    <w:rsid w:val="002C1C3C"/>
    <w:rsid w:val="002C1CA2"/>
    <w:rsid w:val="002C1CF2"/>
    <w:rsid w:val="002C1E05"/>
    <w:rsid w:val="002C1E4C"/>
    <w:rsid w:val="002C1EE9"/>
    <w:rsid w:val="002C20AA"/>
    <w:rsid w:val="002C20FC"/>
    <w:rsid w:val="002C21E7"/>
    <w:rsid w:val="002C2219"/>
    <w:rsid w:val="002C221A"/>
    <w:rsid w:val="002C223D"/>
    <w:rsid w:val="002C2286"/>
    <w:rsid w:val="002C2388"/>
    <w:rsid w:val="002C23D1"/>
    <w:rsid w:val="002C23F4"/>
    <w:rsid w:val="002C24B0"/>
    <w:rsid w:val="002C24C0"/>
    <w:rsid w:val="002C2666"/>
    <w:rsid w:val="002C26DA"/>
    <w:rsid w:val="002C27C4"/>
    <w:rsid w:val="002C2802"/>
    <w:rsid w:val="002C2805"/>
    <w:rsid w:val="002C287A"/>
    <w:rsid w:val="002C28D5"/>
    <w:rsid w:val="002C29DB"/>
    <w:rsid w:val="002C2B30"/>
    <w:rsid w:val="002C2C16"/>
    <w:rsid w:val="002C2C62"/>
    <w:rsid w:val="002C2C72"/>
    <w:rsid w:val="002C2CFC"/>
    <w:rsid w:val="002C2D51"/>
    <w:rsid w:val="002C2DAB"/>
    <w:rsid w:val="002C2DBA"/>
    <w:rsid w:val="002C2E51"/>
    <w:rsid w:val="002C2ECC"/>
    <w:rsid w:val="002C2F8E"/>
    <w:rsid w:val="002C2FDB"/>
    <w:rsid w:val="002C3011"/>
    <w:rsid w:val="002C3139"/>
    <w:rsid w:val="002C324A"/>
    <w:rsid w:val="002C36F4"/>
    <w:rsid w:val="002C3805"/>
    <w:rsid w:val="002C3845"/>
    <w:rsid w:val="002C391C"/>
    <w:rsid w:val="002C3B93"/>
    <w:rsid w:val="002C3BF9"/>
    <w:rsid w:val="002C3F6F"/>
    <w:rsid w:val="002C3F8E"/>
    <w:rsid w:val="002C407E"/>
    <w:rsid w:val="002C409C"/>
    <w:rsid w:val="002C40D5"/>
    <w:rsid w:val="002C415D"/>
    <w:rsid w:val="002C41B3"/>
    <w:rsid w:val="002C42ED"/>
    <w:rsid w:val="002C4466"/>
    <w:rsid w:val="002C467D"/>
    <w:rsid w:val="002C478B"/>
    <w:rsid w:val="002C48C8"/>
    <w:rsid w:val="002C48EA"/>
    <w:rsid w:val="002C4932"/>
    <w:rsid w:val="002C49FD"/>
    <w:rsid w:val="002C4A4E"/>
    <w:rsid w:val="002C4AE2"/>
    <w:rsid w:val="002C4B14"/>
    <w:rsid w:val="002C4ED3"/>
    <w:rsid w:val="002C4F14"/>
    <w:rsid w:val="002C4F72"/>
    <w:rsid w:val="002C4F90"/>
    <w:rsid w:val="002C5056"/>
    <w:rsid w:val="002C508D"/>
    <w:rsid w:val="002C50E7"/>
    <w:rsid w:val="002C5238"/>
    <w:rsid w:val="002C525B"/>
    <w:rsid w:val="002C5391"/>
    <w:rsid w:val="002C5454"/>
    <w:rsid w:val="002C5483"/>
    <w:rsid w:val="002C5535"/>
    <w:rsid w:val="002C559B"/>
    <w:rsid w:val="002C55CB"/>
    <w:rsid w:val="002C563C"/>
    <w:rsid w:val="002C5679"/>
    <w:rsid w:val="002C57CB"/>
    <w:rsid w:val="002C5861"/>
    <w:rsid w:val="002C5864"/>
    <w:rsid w:val="002C5870"/>
    <w:rsid w:val="002C5913"/>
    <w:rsid w:val="002C5AD2"/>
    <w:rsid w:val="002C5BB8"/>
    <w:rsid w:val="002C5C89"/>
    <w:rsid w:val="002C5D08"/>
    <w:rsid w:val="002C5D89"/>
    <w:rsid w:val="002C5DF2"/>
    <w:rsid w:val="002C5E78"/>
    <w:rsid w:val="002C5ED0"/>
    <w:rsid w:val="002C5EFD"/>
    <w:rsid w:val="002C5FE6"/>
    <w:rsid w:val="002C5FEA"/>
    <w:rsid w:val="002C60CC"/>
    <w:rsid w:val="002C61B7"/>
    <w:rsid w:val="002C622D"/>
    <w:rsid w:val="002C6294"/>
    <w:rsid w:val="002C638E"/>
    <w:rsid w:val="002C646C"/>
    <w:rsid w:val="002C6553"/>
    <w:rsid w:val="002C658D"/>
    <w:rsid w:val="002C65E4"/>
    <w:rsid w:val="002C684B"/>
    <w:rsid w:val="002C68BB"/>
    <w:rsid w:val="002C690A"/>
    <w:rsid w:val="002C69EF"/>
    <w:rsid w:val="002C6A8E"/>
    <w:rsid w:val="002C6B44"/>
    <w:rsid w:val="002C6C90"/>
    <w:rsid w:val="002C6CD0"/>
    <w:rsid w:val="002C6D07"/>
    <w:rsid w:val="002C6D1E"/>
    <w:rsid w:val="002C6D24"/>
    <w:rsid w:val="002C6D31"/>
    <w:rsid w:val="002C6DDF"/>
    <w:rsid w:val="002C6DEC"/>
    <w:rsid w:val="002C6DF4"/>
    <w:rsid w:val="002C6DFD"/>
    <w:rsid w:val="002C6E1F"/>
    <w:rsid w:val="002C6E5D"/>
    <w:rsid w:val="002C6F50"/>
    <w:rsid w:val="002C6F7F"/>
    <w:rsid w:val="002C6FBC"/>
    <w:rsid w:val="002C706F"/>
    <w:rsid w:val="002C7165"/>
    <w:rsid w:val="002C717F"/>
    <w:rsid w:val="002C756D"/>
    <w:rsid w:val="002C7619"/>
    <w:rsid w:val="002C7683"/>
    <w:rsid w:val="002C77EE"/>
    <w:rsid w:val="002C789D"/>
    <w:rsid w:val="002C7953"/>
    <w:rsid w:val="002C7970"/>
    <w:rsid w:val="002C79D2"/>
    <w:rsid w:val="002C7A0C"/>
    <w:rsid w:val="002C7A65"/>
    <w:rsid w:val="002C7A66"/>
    <w:rsid w:val="002C7E44"/>
    <w:rsid w:val="002C7E6E"/>
    <w:rsid w:val="002C7EA0"/>
    <w:rsid w:val="002D0028"/>
    <w:rsid w:val="002D0083"/>
    <w:rsid w:val="002D00D6"/>
    <w:rsid w:val="002D00F4"/>
    <w:rsid w:val="002D0164"/>
    <w:rsid w:val="002D016F"/>
    <w:rsid w:val="002D01B8"/>
    <w:rsid w:val="002D030C"/>
    <w:rsid w:val="002D03E2"/>
    <w:rsid w:val="002D0411"/>
    <w:rsid w:val="002D04C7"/>
    <w:rsid w:val="002D05F1"/>
    <w:rsid w:val="002D0616"/>
    <w:rsid w:val="002D061C"/>
    <w:rsid w:val="002D066A"/>
    <w:rsid w:val="002D0765"/>
    <w:rsid w:val="002D07CB"/>
    <w:rsid w:val="002D0873"/>
    <w:rsid w:val="002D08A6"/>
    <w:rsid w:val="002D0930"/>
    <w:rsid w:val="002D0C51"/>
    <w:rsid w:val="002D0D1C"/>
    <w:rsid w:val="002D0F5E"/>
    <w:rsid w:val="002D0F96"/>
    <w:rsid w:val="002D0FBE"/>
    <w:rsid w:val="002D10A8"/>
    <w:rsid w:val="002D1123"/>
    <w:rsid w:val="002D11CB"/>
    <w:rsid w:val="002D13D7"/>
    <w:rsid w:val="002D155F"/>
    <w:rsid w:val="002D1590"/>
    <w:rsid w:val="002D1689"/>
    <w:rsid w:val="002D187A"/>
    <w:rsid w:val="002D1A33"/>
    <w:rsid w:val="002D1A68"/>
    <w:rsid w:val="002D1A70"/>
    <w:rsid w:val="002D1B96"/>
    <w:rsid w:val="002D1C75"/>
    <w:rsid w:val="002D1EBB"/>
    <w:rsid w:val="002D1F57"/>
    <w:rsid w:val="002D1FD2"/>
    <w:rsid w:val="002D2011"/>
    <w:rsid w:val="002D2030"/>
    <w:rsid w:val="002D21E3"/>
    <w:rsid w:val="002D233C"/>
    <w:rsid w:val="002D236F"/>
    <w:rsid w:val="002D248D"/>
    <w:rsid w:val="002D25CD"/>
    <w:rsid w:val="002D2674"/>
    <w:rsid w:val="002D267D"/>
    <w:rsid w:val="002D26BD"/>
    <w:rsid w:val="002D27BB"/>
    <w:rsid w:val="002D297B"/>
    <w:rsid w:val="002D2AD7"/>
    <w:rsid w:val="002D2AF2"/>
    <w:rsid w:val="002D2B8E"/>
    <w:rsid w:val="002D2CB4"/>
    <w:rsid w:val="002D2E65"/>
    <w:rsid w:val="002D2EC5"/>
    <w:rsid w:val="002D32AD"/>
    <w:rsid w:val="002D3325"/>
    <w:rsid w:val="002D33E5"/>
    <w:rsid w:val="002D3442"/>
    <w:rsid w:val="002D34A8"/>
    <w:rsid w:val="002D34EC"/>
    <w:rsid w:val="002D35D7"/>
    <w:rsid w:val="002D37B8"/>
    <w:rsid w:val="002D38F7"/>
    <w:rsid w:val="002D3949"/>
    <w:rsid w:val="002D3A38"/>
    <w:rsid w:val="002D3A51"/>
    <w:rsid w:val="002D3B28"/>
    <w:rsid w:val="002D3D68"/>
    <w:rsid w:val="002D3D7D"/>
    <w:rsid w:val="002D3DED"/>
    <w:rsid w:val="002D3EFB"/>
    <w:rsid w:val="002D3FB2"/>
    <w:rsid w:val="002D40C2"/>
    <w:rsid w:val="002D40ED"/>
    <w:rsid w:val="002D414F"/>
    <w:rsid w:val="002D41F7"/>
    <w:rsid w:val="002D4200"/>
    <w:rsid w:val="002D43A2"/>
    <w:rsid w:val="002D448E"/>
    <w:rsid w:val="002D454B"/>
    <w:rsid w:val="002D46DC"/>
    <w:rsid w:val="002D4733"/>
    <w:rsid w:val="002D478C"/>
    <w:rsid w:val="002D4830"/>
    <w:rsid w:val="002D4927"/>
    <w:rsid w:val="002D49D2"/>
    <w:rsid w:val="002D4A54"/>
    <w:rsid w:val="002D4A6A"/>
    <w:rsid w:val="002D4B7A"/>
    <w:rsid w:val="002D4BDB"/>
    <w:rsid w:val="002D4C04"/>
    <w:rsid w:val="002D4C93"/>
    <w:rsid w:val="002D4DFF"/>
    <w:rsid w:val="002D4E31"/>
    <w:rsid w:val="002D4F9E"/>
    <w:rsid w:val="002D4FB9"/>
    <w:rsid w:val="002D5031"/>
    <w:rsid w:val="002D50CB"/>
    <w:rsid w:val="002D50FA"/>
    <w:rsid w:val="002D51BD"/>
    <w:rsid w:val="002D51CA"/>
    <w:rsid w:val="002D525C"/>
    <w:rsid w:val="002D5449"/>
    <w:rsid w:val="002D54C4"/>
    <w:rsid w:val="002D5577"/>
    <w:rsid w:val="002D55D2"/>
    <w:rsid w:val="002D584B"/>
    <w:rsid w:val="002D587C"/>
    <w:rsid w:val="002D58CD"/>
    <w:rsid w:val="002D59B7"/>
    <w:rsid w:val="002D59D5"/>
    <w:rsid w:val="002D5D3C"/>
    <w:rsid w:val="002D5F6C"/>
    <w:rsid w:val="002D6209"/>
    <w:rsid w:val="002D6230"/>
    <w:rsid w:val="002D6231"/>
    <w:rsid w:val="002D62B1"/>
    <w:rsid w:val="002D63A4"/>
    <w:rsid w:val="002D6442"/>
    <w:rsid w:val="002D65B8"/>
    <w:rsid w:val="002D65D1"/>
    <w:rsid w:val="002D6653"/>
    <w:rsid w:val="002D6698"/>
    <w:rsid w:val="002D66F5"/>
    <w:rsid w:val="002D6909"/>
    <w:rsid w:val="002D6A00"/>
    <w:rsid w:val="002D6A7F"/>
    <w:rsid w:val="002D6B3D"/>
    <w:rsid w:val="002D6B51"/>
    <w:rsid w:val="002D6BF1"/>
    <w:rsid w:val="002D6C43"/>
    <w:rsid w:val="002D6CF4"/>
    <w:rsid w:val="002D70A1"/>
    <w:rsid w:val="002D719A"/>
    <w:rsid w:val="002D71BE"/>
    <w:rsid w:val="002D724E"/>
    <w:rsid w:val="002D72DE"/>
    <w:rsid w:val="002D7319"/>
    <w:rsid w:val="002D748D"/>
    <w:rsid w:val="002D7543"/>
    <w:rsid w:val="002D756F"/>
    <w:rsid w:val="002D75D9"/>
    <w:rsid w:val="002D772B"/>
    <w:rsid w:val="002D7779"/>
    <w:rsid w:val="002D7898"/>
    <w:rsid w:val="002D78D2"/>
    <w:rsid w:val="002D7919"/>
    <w:rsid w:val="002D7947"/>
    <w:rsid w:val="002D7B84"/>
    <w:rsid w:val="002D7BBA"/>
    <w:rsid w:val="002D7C14"/>
    <w:rsid w:val="002D7D96"/>
    <w:rsid w:val="002D7ECA"/>
    <w:rsid w:val="002D7F28"/>
    <w:rsid w:val="002D7FDB"/>
    <w:rsid w:val="002E0025"/>
    <w:rsid w:val="002E0178"/>
    <w:rsid w:val="002E01AE"/>
    <w:rsid w:val="002E022C"/>
    <w:rsid w:val="002E036F"/>
    <w:rsid w:val="002E0394"/>
    <w:rsid w:val="002E03B0"/>
    <w:rsid w:val="002E0455"/>
    <w:rsid w:val="002E05FA"/>
    <w:rsid w:val="002E0615"/>
    <w:rsid w:val="002E06B6"/>
    <w:rsid w:val="002E07A3"/>
    <w:rsid w:val="002E0827"/>
    <w:rsid w:val="002E09D0"/>
    <w:rsid w:val="002E0AA7"/>
    <w:rsid w:val="002E0ABE"/>
    <w:rsid w:val="002E0AF7"/>
    <w:rsid w:val="002E0C7B"/>
    <w:rsid w:val="002E0DC2"/>
    <w:rsid w:val="002E0DD1"/>
    <w:rsid w:val="002E0EE2"/>
    <w:rsid w:val="002E0FA5"/>
    <w:rsid w:val="002E10D4"/>
    <w:rsid w:val="002E1147"/>
    <w:rsid w:val="002E11B3"/>
    <w:rsid w:val="002E11C6"/>
    <w:rsid w:val="002E1239"/>
    <w:rsid w:val="002E126B"/>
    <w:rsid w:val="002E130F"/>
    <w:rsid w:val="002E1314"/>
    <w:rsid w:val="002E1339"/>
    <w:rsid w:val="002E1381"/>
    <w:rsid w:val="002E13D6"/>
    <w:rsid w:val="002E14BB"/>
    <w:rsid w:val="002E15C2"/>
    <w:rsid w:val="002E1702"/>
    <w:rsid w:val="002E17E7"/>
    <w:rsid w:val="002E1B1D"/>
    <w:rsid w:val="002E1B49"/>
    <w:rsid w:val="002E1BE8"/>
    <w:rsid w:val="002E1BEC"/>
    <w:rsid w:val="002E1C00"/>
    <w:rsid w:val="002E1D0D"/>
    <w:rsid w:val="002E1F15"/>
    <w:rsid w:val="002E1F3B"/>
    <w:rsid w:val="002E1FA6"/>
    <w:rsid w:val="002E21F4"/>
    <w:rsid w:val="002E2333"/>
    <w:rsid w:val="002E23D9"/>
    <w:rsid w:val="002E2442"/>
    <w:rsid w:val="002E2649"/>
    <w:rsid w:val="002E26F9"/>
    <w:rsid w:val="002E27A7"/>
    <w:rsid w:val="002E27FF"/>
    <w:rsid w:val="002E282F"/>
    <w:rsid w:val="002E2845"/>
    <w:rsid w:val="002E2A1B"/>
    <w:rsid w:val="002E2B60"/>
    <w:rsid w:val="002E2BF3"/>
    <w:rsid w:val="002E2E29"/>
    <w:rsid w:val="002E2ED7"/>
    <w:rsid w:val="002E2F1E"/>
    <w:rsid w:val="002E2F25"/>
    <w:rsid w:val="002E2F3A"/>
    <w:rsid w:val="002E2F43"/>
    <w:rsid w:val="002E2F92"/>
    <w:rsid w:val="002E30E2"/>
    <w:rsid w:val="002E30E3"/>
    <w:rsid w:val="002E31E7"/>
    <w:rsid w:val="002E31EC"/>
    <w:rsid w:val="002E32C8"/>
    <w:rsid w:val="002E32F4"/>
    <w:rsid w:val="002E332D"/>
    <w:rsid w:val="002E33F2"/>
    <w:rsid w:val="002E3418"/>
    <w:rsid w:val="002E357C"/>
    <w:rsid w:val="002E364C"/>
    <w:rsid w:val="002E372A"/>
    <w:rsid w:val="002E383D"/>
    <w:rsid w:val="002E3849"/>
    <w:rsid w:val="002E39A5"/>
    <w:rsid w:val="002E3B5C"/>
    <w:rsid w:val="002E3BB7"/>
    <w:rsid w:val="002E3C4E"/>
    <w:rsid w:val="002E3CBA"/>
    <w:rsid w:val="002E3D0D"/>
    <w:rsid w:val="002E3E09"/>
    <w:rsid w:val="002E3FC0"/>
    <w:rsid w:val="002E402B"/>
    <w:rsid w:val="002E4134"/>
    <w:rsid w:val="002E4146"/>
    <w:rsid w:val="002E41AE"/>
    <w:rsid w:val="002E41B4"/>
    <w:rsid w:val="002E4202"/>
    <w:rsid w:val="002E4333"/>
    <w:rsid w:val="002E43E9"/>
    <w:rsid w:val="002E442C"/>
    <w:rsid w:val="002E4468"/>
    <w:rsid w:val="002E44E6"/>
    <w:rsid w:val="002E454C"/>
    <w:rsid w:val="002E4572"/>
    <w:rsid w:val="002E4576"/>
    <w:rsid w:val="002E47A5"/>
    <w:rsid w:val="002E47D6"/>
    <w:rsid w:val="002E49AF"/>
    <w:rsid w:val="002E4A5A"/>
    <w:rsid w:val="002E4B5E"/>
    <w:rsid w:val="002E4C76"/>
    <w:rsid w:val="002E4CB3"/>
    <w:rsid w:val="002E4E65"/>
    <w:rsid w:val="002E4EA6"/>
    <w:rsid w:val="002E4FB5"/>
    <w:rsid w:val="002E506B"/>
    <w:rsid w:val="002E5083"/>
    <w:rsid w:val="002E50DF"/>
    <w:rsid w:val="002E5284"/>
    <w:rsid w:val="002E545D"/>
    <w:rsid w:val="002E54A3"/>
    <w:rsid w:val="002E5534"/>
    <w:rsid w:val="002E5600"/>
    <w:rsid w:val="002E567E"/>
    <w:rsid w:val="002E56CA"/>
    <w:rsid w:val="002E5759"/>
    <w:rsid w:val="002E5AAB"/>
    <w:rsid w:val="002E5B9F"/>
    <w:rsid w:val="002E5CA8"/>
    <w:rsid w:val="002E5F44"/>
    <w:rsid w:val="002E5F66"/>
    <w:rsid w:val="002E5F6A"/>
    <w:rsid w:val="002E5FAB"/>
    <w:rsid w:val="002E6098"/>
    <w:rsid w:val="002E60A4"/>
    <w:rsid w:val="002E60D2"/>
    <w:rsid w:val="002E60E3"/>
    <w:rsid w:val="002E62A6"/>
    <w:rsid w:val="002E6313"/>
    <w:rsid w:val="002E649E"/>
    <w:rsid w:val="002E6540"/>
    <w:rsid w:val="002E6561"/>
    <w:rsid w:val="002E670B"/>
    <w:rsid w:val="002E672F"/>
    <w:rsid w:val="002E6749"/>
    <w:rsid w:val="002E67BC"/>
    <w:rsid w:val="002E68A5"/>
    <w:rsid w:val="002E69AB"/>
    <w:rsid w:val="002E6BE1"/>
    <w:rsid w:val="002E6C52"/>
    <w:rsid w:val="002E6CA2"/>
    <w:rsid w:val="002E6D0A"/>
    <w:rsid w:val="002E6E2D"/>
    <w:rsid w:val="002E6E62"/>
    <w:rsid w:val="002E6E81"/>
    <w:rsid w:val="002E6F28"/>
    <w:rsid w:val="002E6F2A"/>
    <w:rsid w:val="002E6F4E"/>
    <w:rsid w:val="002E6F71"/>
    <w:rsid w:val="002E6FAD"/>
    <w:rsid w:val="002E7072"/>
    <w:rsid w:val="002E7099"/>
    <w:rsid w:val="002E712E"/>
    <w:rsid w:val="002E7130"/>
    <w:rsid w:val="002E713B"/>
    <w:rsid w:val="002E7232"/>
    <w:rsid w:val="002E7236"/>
    <w:rsid w:val="002E72D0"/>
    <w:rsid w:val="002E73C5"/>
    <w:rsid w:val="002E73FB"/>
    <w:rsid w:val="002E7480"/>
    <w:rsid w:val="002E7763"/>
    <w:rsid w:val="002E7836"/>
    <w:rsid w:val="002E7A34"/>
    <w:rsid w:val="002E7C63"/>
    <w:rsid w:val="002E7D65"/>
    <w:rsid w:val="002E7EF6"/>
    <w:rsid w:val="002E7FD8"/>
    <w:rsid w:val="002F00B8"/>
    <w:rsid w:val="002F01FD"/>
    <w:rsid w:val="002F047F"/>
    <w:rsid w:val="002F0481"/>
    <w:rsid w:val="002F04C9"/>
    <w:rsid w:val="002F04ED"/>
    <w:rsid w:val="002F04F8"/>
    <w:rsid w:val="002F0500"/>
    <w:rsid w:val="002F05C0"/>
    <w:rsid w:val="002F094D"/>
    <w:rsid w:val="002F096D"/>
    <w:rsid w:val="002F0986"/>
    <w:rsid w:val="002F0B5F"/>
    <w:rsid w:val="002F0BD3"/>
    <w:rsid w:val="002F0D2C"/>
    <w:rsid w:val="002F0D8E"/>
    <w:rsid w:val="002F0EC1"/>
    <w:rsid w:val="002F0F49"/>
    <w:rsid w:val="002F0F54"/>
    <w:rsid w:val="002F0FD0"/>
    <w:rsid w:val="002F1079"/>
    <w:rsid w:val="002F1094"/>
    <w:rsid w:val="002F10AF"/>
    <w:rsid w:val="002F1111"/>
    <w:rsid w:val="002F119B"/>
    <w:rsid w:val="002F11EA"/>
    <w:rsid w:val="002F13B9"/>
    <w:rsid w:val="002F1584"/>
    <w:rsid w:val="002F16A2"/>
    <w:rsid w:val="002F182F"/>
    <w:rsid w:val="002F1867"/>
    <w:rsid w:val="002F194E"/>
    <w:rsid w:val="002F19D9"/>
    <w:rsid w:val="002F19F5"/>
    <w:rsid w:val="002F1AC9"/>
    <w:rsid w:val="002F1B71"/>
    <w:rsid w:val="002F1BA7"/>
    <w:rsid w:val="002F1C07"/>
    <w:rsid w:val="002F1C2B"/>
    <w:rsid w:val="002F1E40"/>
    <w:rsid w:val="002F1E9A"/>
    <w:rsid w:val="002F2011"/>
    <w:rsid w:val="002F2066"/>
    <w:rsid w:val="002F2106"/>
    <w:rsid w:val="002F21F5"/>
    <w:rsid w:val="002F23E0"/>
    <w:rsid w:val="002F2441"/>
    <w:rsid w:val="002F24BD"/>
    <w:rsid w:val="002F25C7"/>
    <w:rsid w:val="002F2663"/>
    <w:rsid w:val="002F2771"/>
    <w:rsid w:val="002F27A2"/>
    <w:rsid w:val="002F27B8"/>
    <w:rsid w:val="002F27E6"/>
    <w:rsid w:val="002F2861"/>
    <w:rsid w:val="002F2885"/>
    <w:rsid w:val="002F293F"/>
    <w:rsid w:val="002F2A39"/>
    <w:rsid w:val="002F2D17"/>
    <w:rsid w:val="002F2E7D"/>
    <w:rsid w:val="002F2ED3"/>
    <w:rsid w:val="002F2F18"/>
    <w:rsid w:val="002F2F3C"/>
    <w:rsid w:val="002F2FC1"/>
    <w:rsid w:val="002F2FEF"/>
    <w:rsid w:val="002F3029"/>
    <w:rsid w:val="002F30B2"/>
    <w:rsid w:val="002F3117"/>
    <w:rsid w:val="002F3121"/>
    <w:rsid w:val="002F3187"/>
    <w:rsid w:val="002F319F"/>
    <w:rsid w:val="002F31DB"/>
    <w:rsid w:val="002F3224"/>
    <w:rsid w:val="002F33B7"/>
    <w:rsid w:val="002F33E8"/>
    <w:rsid w:val="002F3501"/>
    <w:rsid w:val="002F3603"/>
    <w:rsid w:val="002F373C"/>
    <w:rsid w:val="002F37DA"/>
    <w:rsid w:val="002F3908"/>
    <w:rsid w:val="002F3962"/>
    <w:rsid w:val="002F3AD3"/>
    <w:rsid w:val="002F3B42"/>
    <w:rsid w:val="002F3B97"/>
    <w:rsid w:val="002F3C1B"/>
    <w:rsid w:val="002F3C1C"/>
    <w:rsid w:val="002F3C59"/>
    <w:rsid w:val="002F3CDD"/>
    <w:rsid w:val="002F3DFE"/>
    <w:rsid w:val="002F3E2B"/>
    <w:rsid w:val="002F3E69"/>
    <w:rsid w:val="002F3F55"/>
    <w:rsid w:val="002F404A"/>
    <w:rsid w:val="002F4088"/>
    <w:rsid w:val="002F40AB"/>
    <w:rsid w:val="002F41E8"/>
    <w:rsid w:val="002F4215"/>
    <w:rsid w:val="002F4424"/>
    <w:rsid w:val="002F45F1"/>
    <w:rsid w:val="002F46CE"/>
    <w:rsid w:val="002F480A"/>
    <w:rsid w:val="002F486D"/>
    <w:rsid w:val="002F4B8B"/>
    <w:rsid w:val="002F4BE0"/>
    <w:rsid w:val="002F4C1B"/>
    <w:rsid w:val="002F4D56"/>
    <w:rsid w:val="002F4DA9"/>
    <w:rsid w:val="002F4DBC"/>
    <w:rsid w:val="002F4E2E"/>
    <w:rsid w:val="002F4F15"/>
    <w:rsid w:val="002F4F89"/>
    <w:rsid w:val="002F5009"/>
    <w:rsid w:val="002F50F7"/>
    <w:rsid w:val="002F529C"/>
    <w:rsid w:val="002F52A2"/>
    <w:rsid w:val="002F52CC"/>
    <w:rsid w:val="002F5335"/>
    <w:rsid w:val="002F53B6"/>
    <w:rsid w:val="002F5462"/>
    <w:rsid w:val="002F54CB"/>
    <w:rsid w:val="002F5631"/>
    <w:rsid w:val="002F564C"/>
    <w:rsid w:val="002F5674"/>
    <w:rsid w:val="002F57FE"/>
    <w:rsid w:val="002F599B"/>
    <w:rsid w:val="002F5A2B"/>
    <w:rsid w:val="002F5AE0"/>
    <w:rsid w:val="002F5B3E"/>
    <w:rsid w:val="002F5C4E"/>
    <w:rsid w:val="002F5CA1"/>
    <w:rsid w:val="002F5D7E"/>
    <w:rsid w:val="002F5E5B"/>
    <w:rsid w:val="002F5E89"/>
    <w:rsid w:val="002F5ED1"/>
    <w:rsid w:val="002F5F51"/>
    <w:rsid w:val="002F60CD"/>
    <w:rsid w:val="002F613A"/>
    <w:rsid w:val="002F620E"/>
    <w:rsid w:val="002F6226"/>
    <w:rsid w:val="002F622E"/>
    <w:rsid w:val="002F6258"/>
    <w:rsid w:val="002F62FC"/>
    <w:rsid w:val="002F6357"/>
    <w:rsid w:val="002F6395"/>
    <w:rsid w:val="002F63EA"/>
    <w:rsid w:val="002F6416"/>
    <w:rsid w:val="002F6443"/>
    <w:rsid w:val="002F6453"/>
    <w:rsid w:val="002F6514"/>
    <w:rsid w:val="002F65A8"/>
    <w:rsid w:val="002F662B"/>
    <w:rsid w:val="002F664A"/>
    <w:rsid w:val="002F6992"/>
    <w:rsid w:val="002F6A16"/>
    <w:rsid w:val="002F6A44"/>
    <w:rsid w:val="002F6A79"/>
    <w:rsid w:val="002F6AA9"/>
    <w:rsid w:val="002F6B1A"/>
    <w:rsid w:val="002F6B65"/>
    <w:rsid w:val="002F6B79"/>
    <w:rsid w:val="002F6D10"/>
    <w:rsid w:val="002F6DD1"/>
    <w:rsid w:val="002F6DD2"/>
    <w:rsid w:val="002F6E3F"/>
    <w:rsid w:val="002F6E63"/>
    <w:rsid w:val="002F6EEB"/>
    <w:rsid w:val="002F6FF4"/>
    <w:rsid w:val="002F7018"/>
    <w:rsid w:val="002F71F5"/>
    <w:rsid w:val="002F71F8"/>
    <w:rsid w:val="002F7244"/>
    <w:rsid w:val="002F7265"/>
    <w:rsid w:val="002F73BE"/>
    <w:rsid w:val="002F7406"/>
    <w:rsid w:val="002F742C"/>
    <w:rsid w:val="002F7453"/>
    <w:rsid w:val="002F74B8"/>
    <w:rsid w:val="002F76D6"/>
    <w:rsid w:val="002F770A"/>
    <w:rsid w:val="002F785E"/>
    <w:rsid w:val="002F78CC"/>
    <w:rsid w:val="002F795F"/>
    <w:rsid w:val="002F7AAD"/>
    <w:rsid w:val="002F7AC8"/>
    <w:rsid w:val="002F7B18"/>
    <w:rsid w:val="002F7BB7"/>
    <w:rsid w:val="002F7C33"/>
    <w:rsid w:val="002F7D07"/>
    <w:rsid w:val="002F7E92"/>
    <w:rsid w:val="002F7EB5"/>
    <w:rsid w:val="00300097"/>
    <w:rsid w:val="0030015C"/>
    <w:rsid w:val="003003EC"/>
    <w:rsid w:val="00300401"/>
    <w:rsid w:val="0030046B"/>
    <w:rsid w:val="003004FF"/>
    <w:rsid w:val="0030050F"/>
    <w:rsid w:val="003007BE"/>
    <w:rsid w:val="003008AB"/>
    <w:rsid w:val="00300932"/>
    <w:rsid w:val="00300A9E"/>
    <w:rsid w:val="00300AC6"/>
    <w:rsid w:val="00300BEB"/>
    <w:rsid w:val="00300DB6"/>
    <w:rsid w:val="00300E0F"/>
    <w:rsid w:val="00300E3C"/>
    <w:rsid w:val="00300F1D"/>
    <w:rsid w:val="00300F31"/>
    <w:rsid w:val="00300FB3"/>
    <w:rsid w:val="00300FFF"/>
    <w:rsid w:val="003010E7"/>
    <w:rsid w:val="0030113B"/>
    <w:rsid w:val="0030119E"/>
    <w:rsid w:val="003011C5"/>
    <w:rsid w:val="003011D9"/>
    <w:rsid w:val="003012F8"/>
    <w:rsid w:val="003013A7"/>
    <w:rsid w:val="003013CF"/>
    <w:rsid w:val="00301444"/>
    <w:rsid w:val="003015C7"/>
    <w:rsid w:val="00301696"/>
    <w:rsid w:val="00301751"/>
    <w:rsid w:val="003018AF"/>
    <w:rsid w:val="00301940"/>
    <w:rsid w:val="003019F0"/>
    <w:rsid w:val="00301A09"/>
    <w:rsid w:val="00301A27"/>
    <w:rsid w:val="00301AA9"/>
    <w:rsid w:val="00301BFE"/>
    <w:rsid w:val="00301CFF"/>
    <w:rsid w:val="00301DC5"/>
    <w:rsid w:val="00301ED9"/>
    <w:rsid w:val="00301F27"/>
    <w:rsid w:val="00302259"/>
    <w:rsid w:val="003023BC"/>
    <w:rsid w:val="0030246D"/>
    <w:rsid w:val="003025AD"/>
    <w:rsid w:val="0030263B"/>
    <w:rsid w:val="00302691"/>
    <w:rsid w:val="0030269A"/>
    <w:rsid w:val="003027E4"/>
    <w:rsid w:val="0030282D"/>
    <w:rsid w:val="00302887"/>
    <w:rsid w:val="003028CA"/>
    <w:rsid w:val="003028EC"/>
    <w:rsid w:val="00302924"/>
    <w:rsid w:val="003029FA"/>
    <w:rsid w:val="00302BE0"/>
    <w:rsid w:val="00302E64"/>
    <w:rsid w:val="00302F41"/>
    <w:rsid w:val="00303079"/>
    <w:rsid w:val="003030B6"/>
    <w:rsid w:val="003030BF"/>
    <w:rsid w:val="0030314D"/>
    <w:rsid w:val="003031AA"/>
    <w:rsid w:val="003031C8"/>
    <w:rsid w:val="003032A6"/>
    <w:rsid w:val="003032A8"/>
    <w:rsid w:val="003032DC"/>
    <w:rsid w:val="003033FB"/>
    <w:rsid w:val="003034D7"/>
    <w:rsid w:val="00303558"/>
    <w:rsid w:val="003035D3"/>
    <w:rsid w:val="00303849"/>
    <w:rsid w:val="00303925"/>
    <w:rsid w:val="00303992"/>
    <w:rsid w:val="003039C3"/>
    <w:rsid w:val="00303A68"/>
    <w:rsid w:val="00303AC3"/>
    <w:rsid w:val="00303B15"/>
    <w:rsid w:val="00303BFD"/>
    <w:rsid w:val="00303C5F"/>
    <w:rsid w:val="00303DCF"/>
    <w:rsid w:val="00303E7C"/>
    <w:rsid w:val="00304107"/>
    <w:rsid w:val="0030413D"/>
    <w:rsid w:val="003041E7"/>
    <w:rsid w:val="003043AD"/>
    <w:rsid w:val="003043B5"/>
    <w:rsid w:val="003043F8"/>
    <w:rsid w:val="00304542"/>
    <w:rsid w:val="003045A2"/>
    <w:rsid w:val="003048C5"/>
    <w:rsid w:val="003048DB"/>
    <w:rsid w:val="003049AC"/>
    <w:rsid w:val="00304B19"/>
    <w:rsid w:val="00304F09"/>
    <w:rsid w:val="00304F33"/>
    <w:rsid w:val="00305041"/>
    <w:rsid w:val="0030529C"/>
    <w:rsid w:val="003052E7"/>
    <w:rsid w:val="00305304"/>
    <w:rsid w:val="0030534D"/>
    <w:rsid w:val="0030544F"/>
    <w:rsid w:val="003054B4"/>
    <w:rsid w:val="00305534"/>
    <w:rsid w:val="0030554A"/>
    <w:rsid w:val="003055A5"/>
    <w:rsid w:val="003055AC"/>
    <w:rsid w:val="0030561A"/>
    <w:rsid w:val="003056B7"/>
    <w:rsid w:val="00305731"/>
    <w:rsid w:val="003058E2"/>
    <w:rsid w:val="0030590F"/>
    <w:rsid w:val="00305970"/>
    <w:rsid w:val="003059C9"/>
    <w:rsid w:val="00305A35"/>
    <w:rsid w:val="00305A79"/>
    <w:rsid w:val="00305AC1"/>
    <w:rsid w:val="00305B00"/>
    <w:rsid w:val="00305B1A"/>
    <w:rsid w:val="00305B3D"/>
    <w:rsid w:val="00305BC2"/>
    <w:rsid w:val="00305C0C"/>
    <w:rsid w:val="00305CE0"/>
    <w:rsid w:val="00305D2C"/>
    <w:rsid w:val="00305DF5"/>
    <w:rsid w:val="00305F65"/>
    <w:rsid w:val="003060B2"/>
    <w:rsid w:val="003060B7"/>
    <w:rsid w:val="0030610B"/>
    <w:rsid w:val="0030615A"/>
    <w:rsid w:val="00306323"/>
    <w:rsid w:val="003063F3"/>
    <w:rsid w:val="00306415"/>
    <w:rsid w:val="00306435"/>
    <w:rsid w:val="00306485"/>
    <w:rsid w:val="00306531"/>
    <w:rsid w:val="00306555"/>
    <w:rsid w:val="003065AB"/>
    <w:rsid w:val="00306623"/>
    <w:rsid w:val="003067E1"/>
    <w:rsid w:val="0030680F"/>
    <w:rsid w:val="00306882"/>
    <w:rsid w:val="003068AE"/>
    <w:rsid w:val="0030699E"/>
    <w:rsid w:val="003069CF"/>
    <w:rsid w:val="00306AC1"/>
    <w:rsid w:val="00306AD0"/>
    <w:rsid w:val="00306AE7"/>
    <w:rsid w:val="00306B6A"/>
    <w:rsid w:val="00306B81"/>
    <w:rsid w:val="00306BC7"/>
    <w:rsid w:val="00306EA4"/>
    <w:rsid w:val="00306F63"/>
    <w:rsid w:val="00306FDB"/>
    <w:rsid w:val="00307100"/>
    <w:rsid w:val="0030724B"/>
    <w:rsid w:val="00307273"/>
    <w:rsid w:val="00307383"/>
    <w:rsid w:val="003073A5"/>
    <w:rsid w:val="00307482"/>
    <w:rsid w:val="0030749D"/>
    <w:rsid w:val="00307571"/>
    <w:rsid w:val="00307596"/>
    <w:rsid w:val="0030766B"/>
    <w:rsid w:val="003076CC"/>
    <w:rsid w:val="00307758"/>
    <w:rsid w:val="003077F8"/>
    <w:rsid w:val="00307836"/>
    <w:rsid w:val="00307961"/>
    <w:rsid w:val="00307970"/>
    <w:rsid w:val="003079F9"/>
    <w:rsid w:val="00307AB9"/>
    <w:rsid w:val="00307AE6"/>
    <w:rsid w:val="00307B83"/>
    <w:rsid w:val="00307C4C"/>
    <w:rsid w:val="00307EE1"/>
    <w:rsid w:val="00307F34"/>
    <w:rsid w:val="00307F73"/>
    <w:rsid w:val="0031004D"/>
    <w:rsid w:val="0031018E"/>
    <w:rsid w:val="0031032D"/>
    <w:rsid w:val="00310347"/>
    <w:rsid w:val="003103B3"/>
    <w:rsid w:val="003103D9"/>
    <w:rsid w:val="0031044A"/>
    <w:rsid w:val="0031049A"/>
    <w:rsid w:val="003104ED"/>
    <w:rsid w:val="00310542"/>
    <w:rsid w:val="0031059F"/>
    <w:rsid w:val="003105A7"/>
    <w:rsid w:val="0031076A"/>
    <w:rsid w:val="00310782"/>
    <w:rsid w:val="003107C3"/>
    <w:rsid w:val="0031084C"/>
    <w:rsid w:val="0031090F"/>
    <w:rsid w:val="00310936"/>
    <w:rsid w:val="00310962"/>
    <w:rsid w:val="00310ABF"/>
    <w:rsid w:val="00310B3D"/>
    <w:rsid w:val="00310BB8"/>
    <w:rsid w:val="00310BE4"/>
    <w:rsid w:val="00310D30"/>
    <w:rsid w:val="00310E19"/>
    <w:rsid w:val="00310EAE"/>
    <w:rsid w:val="00310EB9"/>
    <w:rsid w:val="00310EDF"/>
    <w:rsid w:val="00310F42"/>
    <w:rsid w:val="00310FDA"/>
    <w:rsid w:val="003111EA"/>
    <w:rsid w:val="00311262"/>
    <w:rsid w:val="00311329"/>
    <w:rsid w:val="00311383"/>
    <w:rsid w:val="00311453"/>
    <w:rsid w:val="00311456"/>
    <w:rsid w:val="00311462"/>
    <w:rsid w:val="00311517"/>
    <w:rsid w:val="003117DA"/>
    <w:rsid w:val="00311869"/>
    <w:rsid w:val="003118A2"/>
    <w:rsid w:val="003118A6"/>
    <w:rsid w:val="00311964"/>
    <w:rsid w:val="003119A1"/>
    <w:rsid w:val="00311A07"/>
    <w:rsid w:val="00311A58"/>
    <w:rsid w:val="00311A61"/>
    <w:rsid w:val="00311A96"/>
    <w:rsid w:val="00311DD4"/>
    <w:rsid w:val="00311E47"/>
    <w:rsid w:val="00311F5A"/>
    <w:rsid w:val="00312027"/>
    <w:rsid w:val="00312044"/>
    <w:rsid w:val="003120E1"/>
    <w:rsid w:val="00312118"/>
    <w:rsid w:val="0031211F"/>
    <w:rsid w:val="00312176"/>
    <w:rsid w:val="003121C1"/>
    <w:rsid w:val="003122F0"/>
    <w:rsid w:val="003122F3"/>
    <w:rsid w:val="0031242C"/>
    <w:rsid w:val="0031254C"/>
    <w:rsid w:val="00312659"/>
    <w:rsid w:val="00312684"/>
    <w:rsid w:val="003126C5"/>
    <w:rsid w:val="00312700"/>
    <w:rsid w:val="0031283C"/>
    <w:rsid w:val="00312B76"/>
    <w:rsid w:val="00312C8B"/>
    <w:rsid w:val="00312D70"/>
    <w:rsid w:val="00312E95"/>
    <w:rsid w:val="00312ED7"/>
    <w:rsid w:val="00312F71"/>
    <w:rsid w:val="00312FBD"/>
    <w:rsid w:val="003130C1"/>
    <w:rsid w:val="0031324F"/>
    <w:rsid w:val="00313359"/>
    <w:rsid w:val="0031343F"/>
    <w:rsid w:val="003134D9"/>
    <w:rsid w:val="00313622"/>
    <w:rsid w:val="00313623"/>
    <w:rsid w:val="00313631"/>
    <w:rsid w:val="00313741"/>
    <w:rsid w:val="003137EC"/>
    <w:rsid w:val="003138A6"/>
    <w:rsid w:val="00313926"/>
    <w:rsid w:val="003139C4"/>
    <w:rsid w:val="00313C45"/>
    <w:rsid w:val="00313D0B"/>
    <w:rsid w:val="00313DBD"/>
    <w:rsid w:val="00313E85"/>
    <w:rsid w:val="00313F5E"/>
    <w:rsid w:val="0031406D"/>
    <w:rsid w:val="00314288"/>
    <w:rsid w:val="0031453B"/>
    <w:rsid w:val="0031460B"/>
    <w:rsid w:val="00314683"/>
    <w:rsid w:val="00314770"/>
    <w:rsid w:val="003147A2"/>
    <w:rsid w:val="003147CF"/>
    <w:rsid w:val="003147E0"/>
    <w:rsid w:val="00314A56"/>
    <w:rsid w:val="00314A5F"/>
    <w:rsid w:val="00314AE9"/>
    <w:rsid w:val="00314B97"/>
    <w:rsid w:val="00314C99"/>
    <w:rsid w:val="00314DA6"/>
    <w:rsid w:val="00314EDE"/>
    <w:rsid w:val="00314F02"/>
    <w:rsid w:val="0031500A"/>
    <w:rsid w:val="0031534F"/>
    <w:rsid w:val="0031537E"/>
    <w:rsid w:val="00315489"/>
    <w:rsid w:val="003155A5"/>
    <w:rsid w:val="003155B3"/>
    <w:rsid w:val="0031579D"/>
    <w:rsid w:val="003157D1"/>
    <w:rsid w:val="00315800"/>
    <w:rsid w:val="0031585F"/>
    <w:rsid w:val="00315998"/>
    <w:rsid w:val="003159CE"/>
    <w:rsid w:val="003159E2"/>
    <w:rsid w:val="00315A90"/>
    <w:rsid w:val="00315BB5"/>
    <w:rsid w:val="00315C25"/>
    <w:rsid w:val="00315DAB"/>
    <w:rsid w:val="00315E5A"/>
    <w:rsid w:val="00315F7D"/>
    <w:rsid w:val="00316004"/>
    <w:rsid w:val="00316080"/>
    <w:rsid w:val="0031615D"/>
    <w:rsid w:val="00316458"/>
    <w:rsid w:val="00316502"/>
    <w:rsid w:val="00316663"/>
    <w:rsid w:val="00316806"/>
    <w:rsid w:val="0031685E"/>
    <w:rsid w:val="00316A47"/>
    <w:rsid w:val="00316A4B"/>
    <w:rsid w:val="00316A7E"/>
    <w:rsid w:val="00316AD0"/>
    <w:rsid w:val="00316CF3"/>
    <w:rsid w:val="00316D08"/>
    <w:rsid w:val="00316DDD"/>
    <w:rsid w:val="00316DDE"/>
    <w:rsid w:val="00316E26"/>
    <w:rsid w:val="00316E8F"/>
    <w:rsid w:val="003170E4"/>
    <w:rsid w:val="00317124"/>
    <w:rsid w:val="00317188"/>
    <w:rsid w:val="003172D3"/>
    <w:rsid w:val="003172DA"/>
    <w:rsid w:val="0031733D"/>
    <w:rsid w:val="0031735A"/>
    <w:rsid w:val="0031744B"/>
    <w:rsid w:val="00317475"/>
    <w:rsid w:val="0031747A"/>
    <w:rsid w:val="003174FF"/>
    <w:rsid w:val="0031761E"/>
    <w:rsid w:val="0031770A"/>
    <w:rsid w:val="00317795"/>
    <w:rsid w:val="003177BF"/>
    <w:rsid w:val="0031783F"/>
    <w:rsid w:val="003178BB"/>
    <w:rsid w:val="003178DC"/>
    <w:rsid w:val="00317919"/>
    <w:rsid w:val="00317929"/>
    <w:rsid w:val="003179D0"/>
    <w:rsid w:val="00317A76"/>
    <w:rsid w:val="00317C1C"/>
    <w:rsid w:val="00317F91"/>
    <w:rsid w:val="00320031"/>
    <w:rsid w:val="0032007A"/>
    <w:rsid w:val="00320103"/>
    <w:rsid w:val="00320134"/>
    <w:rsid w:val="003202BC"/>
    <w:rsid w:val="003203D9"/>
    <w:rsid w:val="00320413"/>
    <w:rsid w:val="0032051F"/>
    <w:rsid w:val="003205F9"/>
    <w:rsid w:val="00320915"/>
    <w:rsid w:val="00320946"/>
    <w:rsid w:val="00320952"/>
    <w:rsid w:val="00320B8E"/>
    <w:rsid w:val="00320BC4"/>
    <w:rsid w:val="00320CA0"/>
    <w:rsid w:val="00320EB5"/>
    <w:rsid w:val="00320EC7"/>
    <w:rsid w:val="00320FEC"/>
    <w:rsid w:val="00321169"/>
    <w:rsid w:val="0032120A"/>
    <w:rsid w:val="00321257"/>
    <w:rsid w:val="0032144B"/>
    <w:rsid w:val="003214B0"/>
    <w:rsid w:val="00321528"/>
    <w:rsid w:val="00321539"/>
    <w:rsid w:val="0032171E"/>
    <w:rsid w:val="00321743"/>
    <w:rsid w:val="0032174E"/>
    <w:rsid w:val="0032175F"/>
    <w:rsid w:val="00321957"/>
    <w:rsid w:val="00321A65"/>
    <w:rsid w:val="00321AB2"/>
    <w:rsid w:val="00321F4A"/>
    <w:rsid w:val="00321FF0"/>
    <w:rsid w:val="00322035"/>
    <w:rsid w:val="0032213F"/>
    <w:rsid w:val="00322396"/>
    <w:rsid w:val="003223E1"/>
    <w:rsid w:val="00322416"/>
    <w:rsid w:val="003224AC"/>
    <w:rsid w:val="00322644"/>
    <w:rsid w:val="0032266C"/>
    <w:rsid w:val="00322765"/>
    <w:rsid w:val="0032279F"/>
    <w:rsid w:val="003229D5"/>
    <w:rsid w:val="00322A14"/>
    <w:rsid w:val="00322A69"/>
    <w:rsid w:val="00322A80"/>
    <w:rsid w:val="00322B53"/>
    <w:rsid w:val="00322BF6"/>
    <w:rsid w:val="00322C40"/>
    <w:rsid w:val="00322C4F"/>
    <w:rsid w:val="00322C67"/>
    <w:rsid w:val="00322C7B"/>
    <w:rsid w:val="00322CC5"/>
    <w:rsid w:val="00322CCC"/>
    <w:rsid w:val="00322DAB"/>
    <w:rsid w:val="00322EE8"/>
    <w:rsid w:val="00322F20"/>
    <w:rsid w:val="00322F25"/>
    <w:rsid w:val="00322FB9"/>
    <w:rsid w:val="00323162"/>
    <w:rsid w:val="00323316"/>
    <w:rsid w:val="003234FC"/>
    <w:rsid w:val="0032373B"/>
    <w:rsid w:val="00323AE5"/>
    <w:rsid w:val="00323BF5"/>
    <w:rsid w:val="00323C22"/>
    <w:rsid w:val="00323CA1"/>
    <w:rsid w:val="00323D01"/>
    <w:rsid w:val="00324015"/>
    <w:rsid w:val="0032401D"/>
    <w:rsid w:val="0032408A"/>
    <w:rsid w:val="003240A9"/>
    <w:rsid w:val="00324110"/>
    <w:rsid w:val="0032412B"/>
    <w:rsid w:val="0032420C"/>
    <w:rsid w:val="0032485D"/>
    <w:rsid w:val="003248C9"/>
    <w:rsid w:val="00324910"/>
    <w:rsid w:val="00324972"/>
    <w:rsid w:val="003249D6"/>
    <w:rsid w:val="00324B2F"/>
    <w:rsid w:val="00324B52"/>
    <w:rsid w:val="00324BF8"/>
    <w:rsid w:val="00324C4C"/>
    <w:rsid w:val="00324C91"/>
    <w:rsid w:val="00324D4B"/>
    <w:rsid w:val="00324D74"/>
    <w:rsid w:val="00324EE2"/>
    <w:rsid w:val="00324F49"/>
    <w:rsid w:val="00325010"/>
    <w:rsid w:val="0032508B"/>
    <w:rsid w:val="00325139"/>
    <w:rsid w:val="003251AB"/>
    <w:rsid w:val="003251E5"/>
    <w:rsid w:val="0032564A"/>
    <w:rsid w:val="0032566F"/>
    <w:rsid w:val="003256E0"/>
    <w:rsid w:val="003257A5"/>
    <w:rsid w:val="0032583D"/>
    <w:rsid w:val="0032584F"/>
    <w:rsid w:val="003259C2"/>
    <w:rsid w:val="003259D1"/>
    <w:rsid w:val="00325D98"/>
    <w:rsid w:val="00325DEB"/>
    <w:rsid w:val="00325EC5"/>
    <w:rsid w:val="0032600B"/>
    <w:rsid w:val="003260AF"/>
    <w:rsid w:val="003261E6"/>
    <w:rsid w:val="003261F3"/>
    <w:rsid w:val="0032620C"/>
    <w:rsid w:val="00326221"/>
    <w:rsid w:val="003262CB"/>
    <w:rsid w:val="003263EA"/>
    <w:rsid w:val="003263F3"/>
    <w:rsid w:val="00326419"/>
    <w:rsid w:val="0032651B"/>
    <w:rsid w:val="00326533"/>
    <w:rsid w:val="003269BE"/>
    <w:rsid w:val="00326AB8"/>
    <w:rsid w:val="00326ADC"/>
    <w:rsid w:val="00326B0A"/>
    <w:rsid w:val="00326BE6"/>
    <w:rsid w:val="00326CC7"/>
    <w:rsid w:val="00326D9B"/>
    <w:rsid w:val="00326E78"/>
    <w:rsid w:val="00326F89"/>
    <w:rsid w:val="00327122"/>
    <w:rsid w:val="003271E8"/>
    <w:rsid w:val="0032721E"/>
    <w:rsid w:val="00327274"/>
    <w:rsid w:val="003272F9"/>
    <w:rsid w:val="00327373"/>
    <w:rsid w:val="0032738C"/>
    <w:rsid w:val="003273CB"/>
    <w:rsid w:val="003273F9"/>
    <w:rsid w:val="00327613"/>
    <w:rsid w:val="00327735"/>
    <w:rsid w:val="00327744"/>
    <w:rsid w:val="00327843"/>
    <w:rsid w:val="0032785D"/>
    <w:rsid w:val="00327861"/>
    <w:rsid w:val="003278EE"/>
    <w:rsid w:val="0032794D"/>
    <w:rsid w:val="0032795E"/>
    <w:rsid w:val="0032798C"/>
    <w:rsid w:val="00327AC9"/>
    <w:rsid w:val="00327AF5"/>
    <w:rsid w:val="00327CC3"/>
    <w:rsid w:val="00327CE1"/>
    <w:rsid w:val="00327E04"/>
    <w:rsid w:val="00327ED6"/>
    <w:rsid w:val="00327EF7"/>
    <w:rsid w:val="003300BC"/>
    <w:rsid w:val="00330161"/>
    <w:rsid w:val="003301F3"/>
    <w:rsid w:val="00330499"/>
    <w:rsid w:val="003304CB"/>
    <w:rsid w:val="003304E9"/>
    <w:rsid w:val="0033053B"/>
    <w:rsid w:val="00330588"/>
    <w:rsid w:val="003305D9"/>
    <w:rsid w:val="003306DD"/>
    <w:rsid w:val="0033076C"/>
    <w:rsid w:val="0033081C"/>
    <w:rsid w:val="0033086E"/>
    <w:rsid w:val="00330883"/>
    <w:rsid w:val="00330951"/>
    <w:rsid w:val="00330AFB"/>
    <w:rsid w:val="00330BB2"/>
    <w:rsid w:val="00331113"/>
    <w:rsid w:val="003312EB"/>
    <w:rsid w:val="0033130C"/>
    <w:rsid w:val="00331394"/>
    <w:rsid w:val="003313A9"/>
    <w:rsid w:val="00331400"/>
    <w:rsid w:val="003314DB"/>
    <w:rsid w:val="003314E0"/>
    <w:rsid w:val="003315B7"/>
    <w:rsid w:val="00331773"/>
    <w:rsid w:val="00331973"/>
    <w:rsid w:val="003319EF"/>
    <w:rsid w:val="00331AFA"/>
    <w:rsid w:val="00331B6C"/>
    <w:rsid w:val="00331B92"/>
    <w:rsid w:val="00331C95"/>
    <w:rsid w:val="00331CD2"/>
    <w:rsid w:val="00331D1F"/>
    <w:rsid w:val="00331D64"/>
    <w:rsid w:val="00331D8D"/>
    <w:rsid w:val="00331E00"/>
    <w:rsid w:val="00331E4D"/>
    <w:rsid w:val="00331F66"/>
    <w:rsid w:val="00331FF5"/>
    <w:rsid w:val="00332112"/>
    <w:rsid w:val="0033230D"/>
    <w:rsid w:val="003323C9"/>
    <w:rsid w:val="003323E4"/>
    <w:rsid w:val="0033248F"/>
    <w:rsid w:val="003325E4"/>
    <w:rsid w:val="00332AAB"/>
    <w:rsid w:val="00332AF4"/>
    <w:rsid w:val="00332CA9"/>
    <w:rsid w:val="00332D45"/>
    <w:rsid w:val="00332D4E"/>
    <w:rsid w:val="00332DAA"/>
    <w:rsid w:val="00332DC0"/>
    <w:rsid w:val="00332E3E"/>
    <w:rsid w:val="00332FCA"/>
    <w:rsid w:val="00333094"/>
    <w:rsid w:val="003331BD"/>
    <w:rsid w:val="00333246"/>
    <w:rsid w:val="003333F4"/>
    <w:rsid w:val="00333429"/>
    <w:rsid w:val="0033349A"/>
    <w:rsid w:val="0033357F"/>
    <w:rsid w:val="0033373E"/>
    <w:rsid w:val="003339B1"/>
    <w:rsid w:val="00333A4B"/>
    <w:rsid w:val="00333BE6"/>
    <w:rsid w:val="00333BF3"/>
    <w:rsid w:val="00333C3A"/>
    <w:rsid w:val="00333C7D"/>
    <w:rsid w:val="00333C8E"/>
    <w:rsid w:val="00333D99"/>
    <w:rsid w:val="00333DB9"/>
    <w:rsid w:val="00333E54"/>
    <w:rsid w:val="003341F7"/>
    <w:rsid w:val="00334355"/>
    <w:rsid w:val="00334480"/>
    <w:rsid w:val="003345E9"/>
    <w:rsid w:val="00334658"/>
    <w:rsid w:val="003347A3"/>
    <w:rsid w:val="003347BD"/>
    <w:rsid w:val="003349F4"/>
    <w:rsid w:val="00334A19"/>
    <w:rsid w:val="00334A7C"/>
    <w:rsid w:val="00334B6D"/>
    <w:rsid w:val="00334B81"/>
    <w:rsid w:val="00334C69"/>
    <w:rsid w:val="00334C9D"/>
    <w:rsid w:val="00334D25"/>
    <w:rsid w:val="00334D33"/>
    <w:rsid w:val="00334E64"/>
    <w:rsid w:val="00334F5F"/>
    <w:rsid w:val="00335038"/>
    <w:rsid w:val="00335060"/>
    <w:rsid w:val="0033508B"/>
    <w:rsid w:val="003350CA"/>
    <w:rsid w:val="003351DD"/>
    <w:rsid w:val="0033522B"/>
    <w:rsid w:val="00335334"/>
    <w:rsid w:val="00335336"/>
    <w:rsid w:val="00335378"/>
    <w:rsid w:val="003353E5"/>
    <w:rsid w:val="003354C1"/>
    <w:rsid w:val="00335503"/>
    <w:rsid w:val="00335540"/>
    <w:rsid w:val="003356DA"/>
    <w:rsid w:val="00335795"/>
    <w:rsid w:val="00335A61"/>
    <w:rsid w:val="00335AC3"/>
    <w:rsid w:val="00335BA8"/>
    <w:rsid w:val="00335EB4"/>
    <w:rsid w:val="00335F42"/>
    <w:rsid w:val="003360AE"/>
    <w:rsid w:val="0033625D"/>
    <w:rsid w:val="00336277"/>
    <w:rsid w:val="003363A4"/>
    <w:rsid w:val="00336416"/>
    <w:rsid w:val="00336441"/>
    <w:rsid w:val="00336481"/>
    <w:rsid w:val="00336485"/>
    <w:rsid w:val="003365E6"/>
    <w:rsid w:val="00336659"/>
    <w:rsid w:val="003366F2"/>
    <w:rsid w:val="003366FD"/>
    <w:rsid w:val="003367CB"/>
    <w:rsid w:val="00336826"/>
    <w:rsid w:val="003368EC"/>
    <w:rsid w:val="00336925"/>
    <w:rsid w:val="00336955"/>
    <w:rsid w:val="00336A23"/>
    <w:rsid w:val="00336A4D"/>
    <w:rsid w:val="00336A54"/>
    <w:rsid w:val="00336A90"/>
    <w:rsid w:val="00336B45"/>
    <w:rsid w:val="00336B6F"/>
    <w:rsid w:val="00336E5F"/>
    <w:rsid w:val="00336EC4"/>
    <w:rsid w:val="003370CF"/>
    <w:rsid w:val="0033714C"/>
    <w:rsid w:val="003371C2"/>
    <w:rsid w:val="00337399"/>
    <w:rsid w:val="003373AA"/>
    <w:rsid w:val="00337425"/>
    <w:rsid w:val="0033751E"/>
    <w:rsid w:val="003375B2"/>
    <w:rsid w:val="00337680"/>
    <w:rsid w:val="003376C8"/>
    <w:rsid w:val="00337703"/>
    <w:rsid w:val="00337707"/>
    <w:rsid w:val="003377A1"/>
    <w:rsid w:val="003377E3"/>
    <w:rsid w:val="00337962"/>
    <w:rsid w:val="0033798C"/>
    <w:rsid w:val="003379CE"/>
    <w:rsid w:val="003379E6"/>
    <w:rsid w:val="00337A00"/>
    <w:rsid w:val="00337D9C"/>
    <w:rsid w:val="00337DE0"/>
    <w:rsid w:val="00337DF6"/>
    <w:rsid w:val="00337E29"/>
    <w:rsid w:val="00337ECC"/>
    <w:rsid w:val="00337FF2"/>
    <w:rsid w:val="00340182"/>
    <w:rsid w:val="003402D5"/>
    <w:rsid w:val="003402E3"/>
    <w:rsid w:val="00340495"/>
    <w:rsid w:val="00340565"/>
    <w:rsid w:val="003405F2"/>
    <w:rsid w:val="00340609"/>
    <w:rsid w:val="00340632"/>
    <w:rsid w:val="00340634"/>
    <w:rsid w:val="00340666"/>
    <w:rsid w:val="0034068F"/>
    <w:rsid w:val="003406D7"/>
    <w:rsid w:val="00340708"/>
    <w:rsid w:val="003407EB"/>
    <w:rsid w:val="00340868"/>
    <w:rsid w:val="00340A22"/>
    <w:rsid w:val="00340A8F"/>
    <w:rsid w:val="00340ABE"/>
    <w:rsid w:val="00340B25"/>
    <w:rsid w:val="00340BE6"/>
    <w:rsid w:val="00340C53"/>
    <w:rsid w:val="00340D74"/>
    <w:rsid w:val="00340EB4"/>
    <w:rsid w:val="003411BC"/>
    <w:rsid w:val="003411EC"/>
    <w:rsid w:val="0034129A"/>
    <w:rsid w:val="003412C6"/>
    <w:rsid w:val="003413B7"/>
    <w:rsid w:val="0034148D"/>
    <w:rsid w:val="003414C4"/>
    <w:rsid w:val="003416C7"/>
    <w:rsid w:val="003418A4"/>
    <w:rsid w:val="003418AE"/>
    <w:rsid w:val="0034195C"/>
    <w:rsid w:val="00341A41"/>
    <w:rsid w:val="00341A92"/>
    <w:rsid w:val="00341B7E"/>
    <w:rsid w:val="00341E08"/>
    <w:rsid w:val="0034214F"/>
    <w:rsid w:val="00342180"/>
    <w:rsid w:val="003421D0"/>
    <w:rsid w:val="00342274"/>
    <w:rsid w:val="00342316"/>
    <w:rsid w:val="00342514"/>
    <w:rsid w:val="00342575"/>
    <w:rsid w:val="003425B7"/>
    <w:rsid w:val="0034264B"/>
    <w:rsid w:val="00342687"/>
    <w:rsid w:val="00342880"/>
    <w:rsid w:val="003428D2"/>
    <w:rsid w:val="003428FC"/>
    <w:rsid w:val="00342A64"/>
    <w:rsid w:val="00342AC5"/>
    <w:rsid w:val="00342B38"/>
    <w:rsid w:val="00342C57"/>
    <w:rsid w:val="00342D4E"/>
    <w:rsid w:val="00342EB7"/>
    <w:rsid w:val="00343160"/>
    <w:rsid w:val="00343195"/>
    <w:rsid w:val="00343301"/>
    <w:rsid w:val="00343357"/>
    <w:rsid w:val="00343377"/>
    <w:rsid w:val="00343426"/>
    <w:rsid w:val="00343454"/>
    <w:rsid w:val="0034348A"/>
    <w:rsid w:val="003434A9"/>
    <w:rsid w:val="0034386C"/>
    <w:rsid w:val="0034387A"/>
    <w:rsid w:val="0034388B"/>
    <w:rsid w:val="00343A08"/>
    <w:rsid w:val="00343AF4"/>
    <w:rsid w:val="00343B9D"/>
    <w:rsid w:val="00343D0F"/>
    <w:rsid w:val="00343D97"/>
    <w:rsid w:val="00343EE7"/>
    <w:rsid w:val="00343F35"/>
    <w:rsid w:val="00343FB7"/>
    <w:rsid w:val="00343FD9"/>
    <w:rsid w:val="0034414D"/>
    <w:rsid w:val="0034418C"/>
    <w:rsid w:val="003441AA"/>
    <w:rsid w:val="00344218"/>
    <w:rsid w:val="0034423F"/>
    <w:rsid w:val="00344265"/>
    <w:rsid w:val="00344319"/>
    <w:rsid w:val="003443A5"/>
    <w:rsid w:val="003443AF"/>
    <w:rsid w:val="00344436"/>
    <w:rsid w:val="00344461"/>
    <w:rsid w:val="00344469"/>
    <w:rsid w:val="003444D0"/>
    <w:rsid w:val="00344631"/>
    <w:rsid w:val="0034476B"/>
    <w:rsid w:val="0034483F"/>
    <w:rsid w:val="00344885"/>
    <w:rsid w:val="00344923"/>
    <w:rsid w:val="0034496A"/>
    <w:rsid w:val="00344C14"/>
    <w:rsid w:val="00344C40"/>
    <w:rsid w:val="00344D02"/>
    <w:rsid w:val="00344E7E"/>
    <w:rsid w:val="00344F2A"/>
    <w:rsid w:val="003450E7"/>
    <w:rsid w:val="003450F3"/>
    <w:rsid w:val="00345175"/>
    <w:rsid w:val="00345232"/>
    <w:rsid w:val="0034536F"/>
    <w:rsid w:val="0034568B"/>
    <w:rsid w:val="00345793"/>
    <w:rsid w:val="0034581D"/>
    <w:rsid w:val="00345999"/>
    <w:rsid w:val="003459DF"/>
    <w:rsid w:val="003459F4"/>
    <w:rsid w:val="00345A31"/>
    <w:rsid w:val="00345C1B"/>
    <w:rsid w:val="00345CD7"/>
    <w:rsid w:val="00345CF6"/>
    <w:rsid w:val="00345D16"/>
    <w:rsid w:val="00345D1B"/>
    <w:rsid w:val="00345D96"/>
    <w:rsid w:val="00346034"/>
    <w:rsid w:val="003460D1"/>
    <w:rsid w:val="003461B4"/>
    <w:rsid w:val="003461D6"/>
    <w:rsid w:val="003462A7"/>
    <w:rsid w:val="00346306"/>
    <w:rsid w:val="00346382"/>
    <w:rsid w:val="00346464"/>
    <w:rsid w:val="0034647E"/>
    <w:rsid w:val="0034648A"/>
    <w:rsid w:val="003464FF"/>
    <w:rsid w:val="00346556"/>
    <w:rsid w:val="00346832"/>
    <w:rsid w:val="0034684A"/>
    <w:rsid w:val="003469C6"/>
    <w:rsid w:val="00346AB2"/>
    <w:rsid w:val="00346B47"/>
    <w:rsid w:val="00346C07"/>
    <w:rsid w:val="00346C98"/>
    <w:rsid w:val="00346E60"/>
    <w:rsid w:val="00346E64"/>
    <w:rsid w:val="00346E90"/>
    <w:rsid w:val="00346EC5"/>
    <w:rsid w:val="00346F09"/>
    <w:rsid w:val="00346FF3"/>
    <w:rsid w:val="003470FE"/>
    <w:rsid w:val="00347184"/>
    <w:rsid w:val="00347189"/>
    <w:rsid w:val="003471C2"/>
    <w:rsid w:val="003472CD"/>
    <w:rsid w:val="00347341"/>
    <w:rsid w:val="00347512"/>
    <w:rsid w:val="00347530"/>
    <w:rsid w:val="00347597"/>
    <w:rsid w:val="003476E0"/>
    <w:rsid w:val="003476FD"/>
    <w:rsid w:val="0034775F"/>
    <w:rsid w:val="00347795"/>
    <w:rsid w:val="003478EB"/>
    <w:rsid w:val="003479C4"/>
    <w:rsid w:val="00347A27"/>
    <w:rsid w:val="00347B8B"/>
    <w:rsid w:val="00347BF4"/>
    <w:rsid w:val="00347CF4"/>
    <w:rsid w:val="00347D94"/>
    <w:rsid w:val="00347E4B"/>
    <w:rsid w:val="00347ECF"/>
    <w:rsid w:val="00350008"/>
    <w:rsid w:val="0035013C"/>
    <w:rsid w:val="003501FE"/>
    <w:rsid w:val="00350282"/>
    <w:rsid w:val="00350315"/>
    <w:rsid w:val="0035031B"/>
    <w:rsid w:val="0035035F"/>
    <w:rsid w:val="0035039E"/>
    <w:rsid w:val="0035059E"/>
    <w:rsid w:val="0035065D"/>
    <w:rsid w:val="00350734"/>
    <w:rsid w:val="003508A9"/>
    <w:rsid w:val="00350A23"/>
    <w:rsid w:val="00350BD0"/>
    <w:rsid w:val="00350BF3"/>
    <w:rsid w:val="00350CCC"/>
    <w:rsid w:val="00350D86"/>
    <w:rsid w:val="00350E4F"/>
    <w:rsid w:val="00350F51"/>
    <w:rsid w:val="0035123A"/>
    <w:rsid w:val="0035140D"/>
    <w:rsid w:val="00351436"/>
    <w:rsid w:val="00351457"/>
    <w:rsid w:val="0035178F"/>
    <w:rsid w:val="003517E4"/>
    <w:rsid w:val="0035188A"/>
    <w:rsid w:val="003518DA"/>
    <w:rsid w:val="003519A2"/>
    <w:rsid w:val="00351A6F"/>
    <w:rsid w:val="00351C12"/>
    <w:rsid w:val="00351DBF"/>
    <w:rsid w:val="00351DE4"/>
    <w:rsid w:val="00351E6A"/>
    <w:rsid w:val="00351E75"/>
    <w:rsid w:val="00351F05"/>
    <w:rsid w:val="00351FA6"/>
    <w:rsid w:val="003520C6"/>
    <w:rsid w:val="0035215E"/>
    <w:rsid w:val="003521C8"/>
    <w:rsid w:val="00352342"/>
    <w:rsid w:val="00352421"/>
    <w:rsid w:val="00352475"/>
    <w:rsid w:val="00352600"/>
    <w:rsid w:val="00352603"/>
    <w:rsid w:val="0035261E"/>
    <w:rsid w:val="0035271B"/>
    <w:rsid w:val="00352762"/>
    <w:rsid w:val="00352816"/>
    <w:rsid w:val="00352900"/>
    <w:rsid w:val="0035291A"/>
    <w:rsid w:val="003529C9"/>
    <w:rsid w:val="003529DD"/>
    <w:rsid w:val="003529E7"/>
    <w:rsid w:val="00352A76"/>
    <w:rsid w:val="00352B6C"/>
    <w:rsid w:val="00352BB0"/>
    <w:rsid w:val="00352C82"/>
    <w:rsid w:val="00352CE9"/>
    <w:rsid w:val="00352D75"/>
    <w:rsid w:val="00352DAA"/>
    <w:rsid w:val="00352DC9"/>
    <w:rsid w:val="00352DD3"/>
    <w:rsid w:val="00352E7B"/>
    <w:rsid w:val="00352EAE"/>
    <w:rsid w:val="00353033"/>
    <w:rsid w:val="00353170"/>
    <w:rsid w:val="003531D5"/>
    <w:rsid w:val="00353221"/>
    <w:rsid w:val="0035326E"/>
    <w:rsid w:val="00353294"/>
    <w:rsid w:val="00353589"/>
    <w:rsid w:val="0035366D"/>
    <w:rsid w:val="0035379A"/>
    <w:rsid w:val="003537BB"/>
    <w:rsid w:val="003537CD"/>
    <w:rsid w:val="0035395C"/>
    <w:rsid w:val="003539BF"/>
    <w:rsid w:val="00353AA8"/>
    <w:rsid w:val="00353ABB"/>
    <w:rsid w:val="00353B68"/>
    <w:rsid w:val="00353C94"/>
    <w:rsid w:val="00353CAB"/>
    <w:rsid w:val="00353D30"/>
    <w:rsid w:val="00353EB7"/>
    <w:rsid w:val="003540A5"/>
    <w:rsid w:val="00354191"/>
    <w:rsid w:val="0035427E"/>
    <w:rsid w:val="003542A9"/>
    <w:rsid w:val="003542B4"/>
    <w:rsid w:val="00354317"/>
    <w:rsid w:val="00354321"/>
    <w:rsid w:val="0035434D"/>
    <w:rsid w:val="00354404"/>
    <w:rsid w:val="003544C6"/>
    <w:rsid w:val="003545D7"/>
    <w:rsid w:val="00354667"/>
    <w:rsid w:val="0035473C"/>
    <w:rsid w:val="00354776"/>
    <w:rsid w:val="0035496F"/>
    <w:rsid w:val="003549FA"/>
    <w:rsid w:val="00354A9B"/>
    <w:rsid w:val="00354B98"/>
    <w:rsid w:val="00354B9D"/>
    <w:rsid w:val="00354C1F"/>
    <w:rsid w:val="00354C92"/>
    <w:rsid w:val="00354CAA"/>
    <w:rsid w:val="00354CDC"/>
    <w:rsid w:val="00354CFA"/>
    <w:rsid w:val="00354D37"/>
    <w:rsid w:val="00354E5B"/>
    <w:rsid w:val="00354ED1"/>
    <w:rsid w:val="00354EF6"/>
    <w:rsid w:val="00354FE7"/>
    <w:rsid w:val="00355060"/>
    <w:rsid w:val="0035529F"/>
    <w:rsid w:val="003552F8"/>
    <w:rsid w:val="00355381"/>
    <w:rsid w:val="003553A6"/>
    <w:rsid w:val="003553D2"/>
    <w:rsid w:val="00355454"/>
    <w:rsid w:val="00355485"/>
    <w:rsid w:val="0035550D"/>
    <w:rsid w:val="0035556F"/>
    <w:rsid w:val="00355586"/>
    <w:rsid w:val="003555EA"/>
    <w:rsid w:val="00355601"/>
    <w:rsid w:val="00355698"/>
    <w:rsid w:val="003556D2"/>
    <w:rsid w:val="003558B9"/>
    <w:rsid w:val="0035590E"/>
    <w:rsid w:val="00355B7E"/>
    <w:rsid w:val="00355D04"/>
    <w:rsid w:val="00355E98"/>
    <w:rsid w:val="00355F24"/>
    <w:rsid w:val="00355F6C"/>
    <w:rsid w:val="0035604B"/>
    <w:rsid w:val="00356053"/>
    <w:rsid w:val="00356106"/>
    <w:rsid w:val="0035635C"/>
    <w:rsid w:val="003563C7"/>
    <w:rsid w:val="00356436"/>
    <w:rsid w:val="00356453"/>
    <w:rsid w:val="00356540"/>
    <w:rsid w:val="00356598"/>
    <w:rsid w:val="00356787"/>
    <w:rsid w:val="0035679B"/>
    <w:rsid w:val="00356830"/>
    <w:rsid w:val="003568D6"/>
    <w:rsid w:val="00356A06"/>
    <w:rsid w:val="00356AD2"/>
    <w:rsid w:val="00356BA1"/>
    <w:rsid w:val="00356BDC"/>
    <w:rsid w:val="00356C0C"/>
    <w:rsid w:val="00356C74"/>
    <w:rsid w:val="00356CCD"/>
    <w:rsid w:val="00356D02"/>
    <w:rsid w:val="00356D39"/>
    <w:rsid w:val="00356DD2"/>
    <w:rsid w:val="00356DDD"/>
    <w:rsid w:val="00356F39"/>
    <w:rsid w:val="00357011"/>
    <w:rsid w:val="0035713C"/>
    <w:rsid w:val="003571CF"/>
    <w:rsid w:val="003572C7"/>
    <w:rsid w:val="003572D7"/>
    <w:rsid w:val="00357326"/>
    <w:rsid w:val="003573A7"/>
    <w:rsid w:val="00357490"/>
    <w:rsid w:val="00357579"/>
    <w:rsid w:val="003575B1"/>
    <w:rsid w:val="00357669"/>
    <w:rsid w:val="003576BC"/>
    <w:rsid w:val="0035773F"/>
    <w:rsid w:val="0035779F"/>
    <w:rsid w:val="003578B9"/>
    <w:rsid w:val="00357965"/>
    <w:rsid w:val="00357A36"/>
    <w:rsid w:val="00357A4E"/>
    <w:rsid w:val="00357B17"/>
    <w:rsid w:val="00357B2E"/>
    <w:rsid w:val="00357B62"/>
    <w:rsid w:val="00357B68"/>
    <w:rsid w:val="00357B88"/>
    <w:rsid w:val="00357B96"/>
    <w:rsid w:val="00357BBE"/>
    <w:rsid w:val="00357C61"/>
    <w:rsid w:val="00357CA0"/>
    <w:rsid w:val="00357D0A"/>
    <w:rsid w:val="00357E4F"/>
    <w:rsid w:val="0036000A"/>
    <w:rsid w:val="00360059"/>
    <w:rsid w:val="003600C0"/>
    <w:rsid w:val="003601CF"/>
    <w:rsid w:val="003602CC"/>
    <w:rsid w:val="003603AA"/>
    <w:rsid w:val="003604C5"/>
    <w:rsid w:val="003605FE"/>
    <w:rsid w:val="00360792"/>
    <w:rsid w:val="0036083D"/>
    <w:rsid w:val="00360840"/>
    <w:rsid w:val="00360A3A"/>
    <w:rsid w:val="00360B49"/>
    <w:rsid w:val="00360BC3"/>
    <w:rsid w:val="00360C7B"/>
    <w:rsid w:val="00360CB8"/>
    <w:rsid w:val="00360CF0"/>
    <w:rsid w:val="00360F3F"/>
    <w:rsid w:val="00360F67"/>
    <w:rsid w:val="0036110C"/>
    <w:rsid w:val="00361127"/>
    <w:rsid w:val="0036114B"/>
    <w:rsid w:val="003611BA"/>
    <w:rsid w:val="003611E6"/>
    <w:rsid w:val="0036121D"/>
    <w:rsid w:val="0036138B"/>
    <w:rsid w:val="003613C7"/>
    <w:rsid w:val="003613D7"/>
    <w:rsid w:val="00361585"/>
    <w:rsid w:val="0036159E"/>
    <w:rsid w:val="003616FB"/>
    <w:rsid w:val="00361766"/>
    <w:rsid w:val="003617B8"/>
    <w:rsid w:val="0036189D"/>
    <w:rsid w:val="00361902"/>
    <w:rsid w:val="00361947"/>
    <w:rsid w:val="0036197D"/>
    <w:rsid w:val="003619FB"/>
    <w:rsid w:val="00361AA8"/>
    <w:rsid w:val="00361B58"/>
    <w:rsid w:val="00361BD3"/>
    <w:rsid w:val="00361C46"/>
    <w:rsid w:val="00361C84"/>
    <w:rsid w:val="00361D15"/>
    <w:rsid w:val="00361E30"/>
    <w:rsid w:val="00361E70"/>
    <w:rsid w:val="00361EAA"/>
    <w:rsid w:val="00361F57"/>
    <w:rsid w:val="00361F60"/>
    <w:rsid w:val="00361F62"/>
    <w:rsid w:val="00361F65"/>
    <w:rsid w:val="00361FFA"/>
    <w:rsid w:val="00362083"/>
    <w:rsid w:val="00362156"/>
    <w:rsid w:val="0036222B"/>
    <w:rsid w:val="00362280"/>
    <w:rsid w:val="00362384"/>
    <w:rsid w:val="0036239D"/>
    <w:rsid w:val="003623E8"/>
    <w:rsid w:val="0036241B"/>
    <w:rsid w:val="0036247D"/>
    <w:rsid w:val="003624AE"/>
    <w:rsid w:val="003624D7"/>
    <w:rsid w:val="003624DD"/>
    <w:rsid w:val="00362510"/>
    <w:rsid w:val="00362595"/>
    <w:rsid w:val="003625D8"/>
    <w:rsid w:val="00362683"/>
    <w:rsid w:val="003626A7"/>
    <w:rsid w:val="003626D1"/>
    <w:rsid w:val="0036298A"/>
    <w:rsid w:val="00362A46"/>
    <w:rsid w:val="00362AAF"/>
    <w:rsid w:val="00362AB3"/>
    <w:rsid w:val="00362ABF"/>
    <w:rsid w:val="00362B1C"/>
    <w:rsid w:val="00362B34"/>
    <w:rsid w:val="00362C1F"/>
    <w:rsid w:val="00362C84"/>
    <w:rsid w:val="00362D2C"/>
    <w:rsid w:val="00362D60"/>
    <w:rsid w:val="00362E75"/>
    <w:rsid w:val="00362F2F"/>
    <w:rsid w:val="00362FB9"/>
    <w:rsid w:val="003632D5"/>
    <w:rsid w:val="003633B8"/>
    <w:rsid w:val="00363452"/>
    <w:rsid w:val="003635A0"/>
    <w:rsid w:val="0036371D"/>
    <w:rsid w:val="0036372B"/>
    <w:rsid w:val="0036376C"/>
    <w:rsid w:val="0036379E"/>
    <w:rsid w:val="003637E4"/>
    <w:rsid w:val="00363966"/>
    <w:rsid w:val="003639F6"/>
    <w:rsid w:val="00363A08"/>
    <w:rsid w:val="00363ABD"/>
    <w:rsid w:val="00363AFF"/>
    <w:rsid w:val="00363B27"/>
    <w:rsid w:val="00363B8A"/>
    <w:rsid w:val="00363C4F"/>
    <w:rsid w:val="00363CD1"/>
    <w:rsid w:val="00363CD6"/>
    <w:rsid w:val="00363DD6"/>
    <w:rsid w:val="00363E56"/>
    <w:rsid w:val="00363EBB"/>
    <w:rsid w:val="00363F5B"/>
    <w:rsid w:val="0036404D"/>
    <w:rsid w:val="0036423F"/>
    <w:rsid w:val="00364475"/>
    <w:rsid w:val="003644D4"/>
    <w:rsid w:val="003644DA"/>
    <w:rsid w:val="00364580"/>
    <w:rsid w:val="00364607"/>
    <w:rsid w:val="00364671"/>
    <w:rsid w:val="003646AF"/>
    <w:rsid w:val="003646EF"/>
    <w:rsid w:val="00364752"/>
    <w:rsid w:val="003647E9"/>
    <w:rsid w:val="003647FB"/>
    <w:rsid w:val="003648B3"/>
    <w:rsid w:val="003649CA"/>
    <w:rsid w:val="003649F3"/>
    <w:rsid w:val="00364A4A"/>
    <w:rsid w:val="00364A73"/>
    <w:rsid w:val="00364AE2"/>
    <w:rsid w:val="00364AF4"/>
    <w:rsid w:val="00364B03"/>
    <w:rsid w:val="00364B4B"/>
    <w:rsid w:val="00364C47"/>
    <w:rsid w:val="00364CD5"/>
    <w:rsid w:val="00364E09"/>
    <w:rsid w:val="00364E1F"/>
    <w:rsid w:val="00364ECB"/>
    <w:rsid w:val="00364FCE"/>
    <w:rsid w:val="00364FF0"/>
    <w:rsid w:val="00365026"/>
    <w:rsid w:val="003650A0"/>
    <w:rsid w:val="00365128"/>
    <w:rsid w:val="0036515E"/>
    <w:rsid w:val="003651B5"/>
    <w:rsid w:val="003651CD"/>
    <w:rsid w:val="0036529F"/>
    <w:rsid w:val="00365345"/>
    <w:rsid w:val="003653BF"/>
    <w:rsid w:val="003653D5"/>
    <w:rsid w:val="003654F3"/>
    <w:rsid w:val="00365596"/>
    <w:rsid w:val="003657F4"/>
    <w:rsid w:val="0036592A"/>
    <w:rsid w:val="0036594D"/>
    <w:rsid w:val="0036596C"/>
    <w:rsid w:val="0036597B"/>
    <w:rsid w:val="003659F8"/>
    <w:rsid w:val="00365A7B"/>
    <w:rsid w:val="00365A9B"/>
    <w:rsid w:val="00365B46"/>
    <w:rsid w:val="00365B81"/>
    <w:rsid w:val="00365C19"/>
    <w:rsid w:val="00365CF7"/>
    <w:rsid w:val="00365E2E"/>
    <w:rsid w:val="00366184"/>
    <w:rsid w:val="003661AA"/>
    <w:rsid w:val="003661C3"/>
    <w:rsid w:val="003661EA"/>
    <w:rsid w:val="003661EE"/>
    <w:rsid w:val="0036624A"/>
    <w:rsid w:val="003663AD"/>
    <w:rsid w:val="003663C3"/>
    <w:rsid w:val="003663DA"/>
    <w:rsid w:val="003663EF"/>
    <w:rsid w:val="00366416"/>
    <w:rsid w:val="003664BA"/>
    <w:rsid w:val="0036654D"/>
    <w:rsid w:val="00366589"/>
    <w:rsid w:val="00366788"/>
    <w:rsid w:val="0036692D"/>
    <w:rsid w:val="00366939"/>
    <w:rsid w:val="003669E0"/>
    <w:rsid w:val="00366B13"/>
    <w:rsid w:val="00366B87"/>
    <w:rsid w:val="00366BA8"/>
    <w:rsid w:val="00366BC1"/>
    <w:rsid w:val="00366C8E"/>
    <w:rsid w:val="00366D03"/>
    <w:rsid w:val="00366D43"/>
    <w:rsid w:val="00366DC0"/>
    <w:rsid w:val="00366E64"/>
    <w:rsid w:val="00366F10"/>
    <w:rsid w:val="00367058"/>
    <w:rsid w:val="003672BA"/>
    <w:rsid w:val="003674E4"/>
    <w:rsid w:val="0036752A"/>
    <w:rsid w:val="0036759B"/>
    <w:rsid w:val="00367691"/>
    <w:rsid w:val="003677A6"/>
    <w:rsid w:val="003677C7"/>
    <w:rsid w:val="00367A4A"/>
    <w:rsid w:val="00367B0C"/>
    <w:rsid w:val="00367C43"/>
    <w:rsid w:val="00367DFA"/>
    <w:rsid w:val="00367ED8"/>
    <w:rsid w:val="00367F89"/>
    <w:rsid w:val="00370213"/>
    <w:rsid w:val="00370232"/>
    <w:rsid w:val="00370365"/>
    <w:rsid w:val="003705AF"/>
    <w:rsid w:val="003705BE"/>
    <w:rsid w:val="0037074B"/>
    <w:rsid w:val="0037082A"/>
    <w:rsid w:val="0037095A"/>
    <w:rsid w:val="00370A4F"/>
    <w:rsid w:val="00370B0C"/>
    <w:rsid w:val="00370BBC"/>
    <w:rsid w:val="00370BFE"/>
    <w:rsid w:val="00370CC7"/>
    <w:rsid w:val="00370D0F"/>
    <w:rsid w:val="00370D18"/>
    <w:rsid w:val="00370DD9"/>
    <w:rsid w:val="00370E4E"/>
    <w:rsid w:val="00370EA0"/>
    <w:rsid w:val="0037106F"/>
    <w:rsid w:val="003710FB"/>
    <w:rsid w:val="00371166"/>
    <w:rsid w:val="0037121B"/>
    <w:rsid w:val="00371263"/>
    <w:rsid w:val="003713D5"/>
    <w:rsid w:val="00371585"/>
    <w:rsid w:val="00371590"/>
    <w:rsid w:val="00371711"/>
    <w:rsid w:val="003717B4"/>
    <w:rsid w:val="003718B5"/>
    <w:rsid w:val="00371A7B"/>
    <w:rsid w:val="00371ADB"/>
    <w:rsid w:val="00371BC1"/>
    <w:rsid w:val="00371C99"/>
    <w:rsid w:val="00371D61"/>
    <w:rsid w:val="00371DE1"/>
    <w:rsid w:val="00371E91"/>
    <w:rsid w:val="00372002"/>
    <w:rsid w:val="00372012"/>
    <w:rsid w:val="003721B3"/>
    <w:rsid w:val="00372238"/>
    <w:rsid w:val="00372278"/>
    <w:rsid w:val="0037238A"/>
    <w:rsid w:val="0037239D"/>
    <w:rsid w:val="0037241C"/>
    <w:rsid w:val="00372577"/>
    <w:rsid w:val="003725BD"/>
    <w:rsid w:val="00372626"/>
    <w:rsid w:val="003726D3"/>
    <w:rsid w:val="003727A9"/>
    <w:rsid w:val="003727F0"/>
    <w:rsid w:val="00372B63"/>
    <w:rsid w:val="00372B7B"/>
    <w:rsid w:val="00372C79"/>
    <w:rsid w:val="00372CA3"/>
    <w:rsid w:val="00372D4F"/>
    <w:rsid w:val="00372D8E"/>
    <w:rsid w:val="00372DA7"/>
    <w:rsid w:val="00372DC5"/>
    <w:rsid w:val="00372E06"/>
    <w:rsid w:val="00372E33"/>
    <w:rsid w:val="00372EBC"/>
    <w:rsid w:val="00372F4A"/>
    <w:rsid w:val="00372F4E"/>
    <w:rsid w:val="00372FB6"/>
    <w:rsid w:val="00373097"/>
    <w:rsid w:val="003732CB"/>
    <w:rsid w:val="003732F8"/>
    <w:rsid w:val="0037333A"/>
    <w:rsid w:val="00373358"/>
    <w:rsid w:val="0037336C"/>
    <w:rsid w:val="003733B7"/>
    <w:rsid w:val="0037340B"/>
    <w:rsid w:val="003735F7"/>
    <w:rsid w:val="00373671"/>
    <w:rsid w:val="00373687"/>
    <w:rsid w:val="00373698"/>
    <w:rsid w:val="0037385D"/>
    <w:rsid w:val="003739A7"/>
    <w:rsid w:val="00373A6E"/>
    <w:rsid w:val="00373A82"/>
    <w:rsid w:val="00373AE1"/>
    <w:rsid w:val="00373BB1"/>
    <w:rsid w:val="00373C65"/>
    <w:rsid w:val="00373DE9"/>
    <w:rsid w:val="00373E13"/>
    <w:rsid w:val="00373E45"/>
    <w:rsid w:val="00373EFE"/>
    <w:rsid w:val="00374018"/>
    <w:rsid w:val="00374162"/>
    <w:rsid w:val="003741B2"/>
    <w:rsid w:val="003744D6"/>
    <w:rsid w:val="00374536"/>
    <w:rsid w:val="00374549"/>
    <w:rsid w:val="00374599"/>
    <w:rsid w:val="003746D8"/>
    <w:rsid w:val="00374768"/>
    <w:rsid w:val="003747C4"/>
    <w:rsid w:val="003748EE"/>
    <w:rsid w:val="003749DE"/>
    <w:rsid w:val="00374BE7"/>
    <w:rsid w:val="00374E4A"/>
    <w:rsid w:val="00374F00"/>
    <w:rsid w:val="00374FE1"/>
    <w:rsid w:val="00374FE3"/>
    <w:rsid w:val="00374FE5"/>
    <w:rsid w:val="00375029"/>
    <w:rsid w:val="00375084"/>
    <w:rsid w:val="0037510C"/>
    <w:rsid w:val="003753B6"/>
    <w:rsid w:val="003753BB"/>
    <w:rsid w:val="003753C3"/>
    <w:rsid w:val="00375461"/>
    <w:rsid w:val="0037555A"/>
    <w:rsid w:val="0037566E"/>
    <w:rsid w:val="00375886"/>
    <w:rsid w:val="003758D5"/>
    <w:rsid w:val="0037590A"/>
    <w:rsid w:val="0037596F"/>
    <w:rsid w:val="00375B25"/>
    <w:rsid w:val="00375BFC"/>
    <w:rsid w:val="00375C53"/>
    <w:rsid w:val="00375CB0"/>
    <w:rsid w:val="00375E4A"/>
    <w:rsid w:val="00375EB8"/>
    <w:rsid w:val="003760A4"/>
    <w:rsid w:val="003760EF"/>
    <w:rsid w:val="003762AC"/>
    <w:rsid w:val="00376317"/>
    <w:rsid w:val="00376478"/>
    <w:rsid w:val="003764E3"/>
    <w:rsid w:val="0037651D"/>
    <w:rsid w:val="0037652C"/>
    <w:rsid w:val="00376589"/>
    <w:rsid w:val="003765A0"/>
    <w:rsid w:val="00376730"/>
    <w:rsid w:val="00376846"/>
    <w:rsid w:val="00376895"/>
    <w:rsid w:val="00376936"/>
    <w:rsid w:val="00376938"/>
    <w:rsid w:val="003769EE"/>
    <w:rsid w:val="00376AF2"/>
    <w:rsid w:val="00376B14"/>
    <w:rsid w:val="00376BAB"/>
    <w:rsid w:val="00376C49"/>
    <w:rsid w:val="00376C81"/>
    <w:rsid w:val="00376CE5"/>
    <w:rsid w:val="00376DC9"/>
    <w:rsid w:val="00376E3F"/>
    <w:rsid w:val="00376E9B"/>
    <w:rsid w:val="00376F67"/>
    <w:rsid w:val="00376FCA"/>
    <w:rsid w:val="0037710E"/>
    <w:rsid w:val="00377318"/>
    <w:rsid w:val="00377361"/>
    <w:rsid w:val="00377367"/>
    <w:rsid w:val="00377391"/>
    <w:rsid w:val="003773A8"/>
    <w:rsid w:val="003773CF"/>
    <w:rsid w:val="00377472"/>
    <w:rsid w:val="0037755A"/>
    <w:rsid w:val="00377565"/>
    <w:rsid w:val="00377616"/>
    <w:rsid w:val="0037763A"/>
    <w:rsid w:val="0037776B"/>
    <w:rsid w:val="003777B4"/>
    <w:rsid w:val="0037783F"/>
    <w:rsid w:val="0037792F"/>
    <w:rsid w:val="003779D9"/>
    <w:rsid w:val="00377A16"/>
    <w:rsid w:val="00377AE4"/>
    <w:rsid w:val="00377B16"/>
    <w:rsid w:val="00377BFC"/>
    <w:rsid w:val="00377DEA"/>
    <w:rsid w:val="00377E2A"/>
    <w:rsid w:val="00377E34"/>
    <w:rsid w:val="00377E4E"/>
    <w:rsid w:val="00377EA7"/>
    <w:rsid w:val="00377F91"/>
    <w:rsid w:val="00377FBD"/>
    <w:rsid w:val="00377FD9"/>
    <w:rsid w:val="0038010D"/>
    <w:rsid w:val="00380151"/>
    <w:rsid w:val="003801C2"/>
    <w:rsid w:val="00380222"/>
    <w:rsid w:val="003802D8"/>
    <w:rsid w:val="00380337"/>
    <w:rsid w:val="0038044A"/>
    <w:rsid w:val="0038046E"/>
    <w:rsid w:val="00380488"/>
    <w:rsid w:val="0038049D"/>
    <w:rsid w:val="003804CE"/>
    <w:rsid w:val="003804CF"/>
    <w:rsid w:val="003804F6"/>
    <w:rsid w:val="00380552"/>
    <w:rsid w:val="00380745"/>
    <w:rsid w:val="003807D7"/>
    <w:rsid w:val="00380954"/>
    <w:rsid w:val="003809C9"/>
    <w:rsid w:val="003809EB"/>
    <w:rsid w:val="00380A10"/>
    <w:rsid w:val="00380A66"/>
    <w:rsid w:val="00380AAB"/>
    <w:rsid w:val="00380AF5"/>
    <w:rsid w:val="00380D01"/>
    <w:rsid w:val="0038115F"/>
    <w:rsid w:val="00381166"/>
    <w:rsid w:val="0038134D"/>
    <w:rsid w:val="0038143B"/>
    <w:rsid w:val="00381605"/>
    <w:rsid w:val="0038162E"/>
    <w:rsid w:val="00381632"/>
    <w:rsid w:val="0038170A"/>
    <w:rsid w:val="00381829"/>
    <w:rsid w:val="0038196E"/>
    <w:rsid w:val="003819B1"/>
    <w:rsid w:val="00381A47"/>
    <w:rsid w:val="00381AA8"/>
    <w:rsid w:val="00381B99"/>
    <w:rsid w:val="00381D42"/>
    <w:rsid w:val="00381DBA"/>
    <w:rsid w:val="00381DBD"/>
    <w:rsid w:val="00381ED1"/>
    <w:rsid w:val="00381F4E"/>
    <w:rsid w:val="00381FCF"/>
    <w:rsid w:val="00382137"/>
    <w:rsid w:val="0038222B"/>
    <w:rsid w:val="003823BE"/>
    <w:rsid w:val="00382451"/>
    <w:rsid w:val="003824E3"/>
    <w:rsid w:val="00382537"/>
    <w:rsid w:val="00382613"/>
    <w:rsid w:val="003826B4"/>
    <w:rsid w:val="003826E3"/>
    <w:rsid w:val="00382770"/>
    <w:rsid w:val="003827CF"/>
    <w:rsid w:val="0038282E"/>
    <w:rsid w:val="003828C3"/>
    <w:rsid w:val="00382971"/>
    <w:rsid w:val="003829FB"/>
    <w:rsid w:val="00382D06"/>
    <w:rsid w:val="00382D4C"/>
    <w:rsid w:val="00382D5B"/>
    <w:rsid w:val="00382D7C"/>
    <w:rsid w:val="00382DEA"/>
    <w:rsid w:val="00382E50"/>
    <w:rsid w:val="00382EBB"/>
    <w:rsid w:val="00382FB2"/>
    <w:rsid w:val="00382FDC"/>
    <w:rsid w:val="00383047"/>
    <w:rsid w:val="0038305F"/>
    <w:rsid w:val="00383073"/>
    <w:rsid w:val="003830F3"/>
    <w:rsid w:val="0038314D"/>
    <w:rsid w:val="003832FD"/>
    <w:rsid w:val="00383378"/>
    <w:rsid w:val="003833B5"/>
    <w:rsid w:val="003833E6"/>
    <w:rsid w:val="0038343F"/>
    <w:rsid w:val="00383606"/>
    <w:rsid w:val="00383823"/>
    <w:rsid w:val="0038385D"/>
    <w:rsid w:val="003838BB"/>
    <w:rsid w:val="00383915"/>
    <w:rsid w:val="00383C34"/>
    <w:rsid w:val="00383D12"/>
    <w:rsid w:val="00383D4D"/>
    <w:rsid w:val="00383D80"/>
    <w:rsid w:val="00383E15"/>
    <w:rsid w:val="00383EB2"/>
    <w:rsid w:val="00383F92"/>
    <w:rsid w:val="003840BA"/>
    <w:rsid w:val="00384173"/>
    <w:rsid w:val="003842CF"/>
    <w:rsid w:val="00384390"/>
    <w:rsid w:val="00384566"/>
    <w:rsid w:val="00384577"/>
    <w:rsid w:val="0038468C"/>
    <w:rsid w:val="003846AB"/>
    <w:rsid w:val="0038480A"/>
    <w:rsid w:val="0038481A"/>
    <w:rsid w:val="0038486A"/>
    <w:rsid w:val="00384920"/>
    <w:rsid w:val="003849C7"/>
    <w:rsid w:val="00384A6B"/>
    <w:rsid w:val="00384E24"/>
    <w:rsid w:val="00384E27"/>
    <w:rsid w:val="00384F55"/>
    <w:rsid w:val="00384F82"/>
    <w:rsid w:val="003850A0"/>
    <w:rsid w:val="0038518F"/>
    <w:rsid w:val="0038522E"/>
    <w:rsid w:val="0038546D"/>
    <w:rsid w:val="00385491"/>
    <w:rsid w:val="0038554D"/>
    <w:rsid w:val="003855CF"/>
    <w:rsid w:val="003856F2"/>
    <w:rsid w:val="00385794"/>
    <w:rsid w:val="00385816"/>
    <w:rsid w:val="00385861"/>
    <w:rsid w:val="00385955"/>
    <w:rsid w:val="00385959"/>
    <w:rsid w:val="00385A08"/>
    <w:rsid w:val="00385A8A"/>
    <w:rsid w:val="00385B4F"/>
    <w:rsid w:val="00385B91"/>
    <w:rsid w:val="00385C98"/>
    <w:rsid w:val="00385EE6"/>
    <w:rsid w:val="00385F9E"/>
    <w:rsid w:val="00386117"/>
    <w:rsid w:val="003861AF"/>
    <w:rsid w:val="00386369"/>
    <w:rsid w:val="003863C7"/>
    <w:rsid w:val="00386459"/>
    <w:rsid w:val="00386485"/>
    <w:rsid w:val="003864C4"/>
    <w:rsid w:val="003864EC"/>
    <w:rsid w:val="00386532"/>
    <w:rsid w:val="0038662F"/>
    <w:rsid w:val="00386790"/>
    <w:rsid w:val="003867F6"/>
    <w:rsid w:val="0038686D"/>
    <w:rsid w:val="003868FF"/>
    <w:rsid w:val="00386991"/>
    <w:rsid w:val="00386A8A"/>
    <w:rsid w:val="00386AA3"/>
    <w:rsid w:val="00386C1F"/>
    <w:rsid w:val="00386C2E"/>
    <w:rsid w:val="00386D0B"/>
    <w:rsid w:val="00386D72"/>
    <w:rsid w:val="00386D89"/>
    <w:rsid w:val="00386D92"/>
    <w:rsid w:val="00386EA3"/>
    <w:rsid w:val="00386F50"/>
    <w:rsid w:val="003872D3"/>
    <w:rsid w:val="00387373"/>
    <w:rsid w:val="00387437"/>
    <w:rsid w:val="003874BD"/>
    <w:rsid w:val="00387504"/>
    <w:rsid w:val="00387588"/>
    <w:rsid w:val="00387668"/>
    <w:rsid w:val="00387857"/>
    <w:rsid w:val="003878C9"/>
    <w:rsid w:val="003878F9"/>
    <w:rsid w:val="00387C42"/>
    <w:rsid w:val="00387C61"/>
    <w:rsid w:val="00387CD7"/>
    <w:rsid w:val="00387E91"/>
    <w:rsid w:val="00387EA0"/>
    <w:rsid w:val="00387F70"/>
    <w:rsid w:val="00387FC3"/>
    <w:rsid w:val="003900F1"/>
    <w:rsid w:val="00390138"/>
    <w:rsid w:val="00390232"/>
    <w:rsid w:val="0039028C"/>
    <w:rsid w:val="003902A9"/>
    <w:rsid w:val="003902EC"/>
    <w:rsid w:val="0039049E"/>
    <w:rsid w:val="00390601"/>
    <w:rsid w:val="003906B9"/>
    <w:rsid w:val="0039074B"/>
    <w:rsid w:val="003907BF"/>
    <w:rsid w:val="003907E6"/>
    <w:rsid w:val="00390820"/>
    <w:rsid w:val="003909F2"/>
    <w:rsid w:val="00390A22"/>
    <w:rsid w:val="00390BB4"/>
    <w:rsid w:val="00390BE2"/>
    <w:rsid w:val="00390C16"/>
    <w:rsid w:val="00390C24"/>
    <w:rsid w:val="00390C5D"/>
    <w:rsid w:val="00390E28"/>
    <w:rsid w:val="00390ECA"/>
    <w:rsid w:val="00390EF2"/>
    <w:rsid w:val="00391029"/>
    <w:rsid w:val="0039119D"/>
    <w:rsid w:val="003911BC"/>
    <w:rsid w:val="0039122C"/>
    <w:rsid w:val="003913BE"/>
    <w:rsid w:val="003913D4"/>
    <w:rsid w:val="00391466"/>
    <w:rsid w:val="0039148B"/>
    <w:rsid w:val="003914E8"/>
    <w:rsid w:val="00391696"/>
    <w:rsid w:val="00391698"/>
    <w:rsid w:val="0039181B"/>
    <w:rsid w:val="003918D4"/>
    <w:rsid w:val="0039190D"/>
    <w:rsid w:val="003919F1"/>
    <w:rsid w:val="00391A11"/>
    <w:rsid w:val="00391AE7"/>
    <w:rsid w:val="00391B91"/>
    <w:rsid w:val="00391C70"/>
    <w:rsid w:val="00391CA7"/>
    <w:rsid w:val="00391CFC"/>
    <w:rsid w:val="00391D28"/>
    <w:rsid w:val="00391E6E"/>
    <w:rsid w:val="00391EF4"/>
    <w:rsid w:val="00391FEF"/>
    <w:rsid w:val="00392028"/>
    <w:rsid w:val="003920CE"/>
    <w:rsid w:val="003920EA"/>
    <w:rsid w:val="00392103"/>
    <w:rsid w:val="0039217D"/>
    <w:rsid w:val="0039220D"/>
    <w:rsid w:val="0039228F"/>
    <w:rsid w:val="003922F7"/>
    <w:rsid w:val="003923FD"/>
    <w:rsid w:val="0039242F"/>
    <w:rsid w:val="00392538"/>
    <w:rsid w:val="003926BE"/>
    <w:rsid w:val="00392837"/>
    <w:rsid w:val="00392861"/>
    <w:rsid w:val="003929D1"/>
    <w:rsid w:val="00392B66"/>
    <w:rsid w:val="00392C84"/>
    <w:rsid w:val="00392F42"/>
    <w:rsid w:val="00393027"/>
    <w:rsid w:val="00393082"/>
    <w:rsid w:val="003931F1"/>
    <w:rsid w:val="00393212"/>
    <w:rsid w:val="00393265"/>
    <w:rsid w:val="003933AA"/>
    <w:rsid w:val="003933B3"/>
    <w:rsid w:val="00393405"/>
    <w:rsid w:val="00393749"/>
    <w:rsid w:val="0039374F"/>
    <w:rsid w:val="00393796"/>
    <w:rsid w:val="00393842"/>
    <w:rsid w:val="003939F7"/>
    <w:rsid w:val="00393B8B"/>
    <w:rsid w:val="00394042"/>
    <w:rsid w:val="0039405F"/>
    <w:rsid w:val="00394066"/>
    <w:rsid w:val="00394256"/>
    <w:rsid w:val="003942E8"/>
    <w:rsid w:val="0039436A"/>
    <w:rsid w:val="00394371"/>
    <w:rsid w:val="00394387"/>
    <w:rsid w:val="003943CE"/>
    <w:rsid w:val="003944D3"/>
    <w:rsid w:val="00394597"/>
    <w:rsid w:val="003945AC"/>
    <w:rsid w:val="003947A7"/>
    <w:rsid w:val="003948F3"/>
    <w:rsid w:val="0039493A"/>
    <w:rsid w:val="0039496C"/>
    <w:rsid w:val="003949BC"/>
    <w:rsid w:val="003949D7"/>
    <w:rsid w:val="00394AB4"/>
    <w:rsid w:val="00394B41"/>
    <w:rsid w:val="00394BB0"/>
    <w:rsid w:val="00394C47"/>
    <w:rsid w:val="00394C49"/>
    <w:rsid w:val="00394C8A"/>
    <w:rsid w:val="00394CFE"/>
    <w:rsid w:val="00394DFB"/>
    <w:rsid w:val="00394E7C"/>
    <w:rsid w:val="00394F54"/>
    <w:rsid w:val="00394FAC"/>
    <w:rsid w:val="00394FD4"/>
    <w:rsid w:val="00395233"/>
    <w:rsid w:val="00395321"/>
    <w:rsid w:val="00395344"/>
    <w:rsid w:val="00395401"/>
    <w:rsid w:val="00395481"/>
    <w:rsid w:val="003955EA"/>
    <w:rsid w:val="003956C8"/>
    <w:rsid w:val="0039573E"/>
    <w:rsid w:val="00395A09"/>
    <w:rsid w:val="00395A0B"/>
    <w:rsid w:val="00395AF1"/>
    <w:rsid w:val="00395B15"/>
    <w:rsid w:val="00395B53"/>
    <w:rsid w:val="00395C12"/>
    <w:rsid w:val="00395CA2"/>
    <w:rsid w:val="00395CED"/>
    <w:rsid w:val="00395DB5"/>
    <w:rsid w:val="00395E12"/>
    <w:rsid w:val="00395E82"/>
    <w:rsid w:val="00395EB3"/>
    <w:rsid w:val="00395EF7"/>
    <w:rsid w:val="0039601F"/>
    <w:rsid w:val="00396099"/>
    <w:rsid w:val="00396135"/>
    <w:rsid w:val="0039613D"/>
    <w:rsid w:val="0039624A"/>
    <w:rsid w:val="003963FF"/>
    <w:rsid w:val="00396421"/>
    <w:rsid w:val="0039646D"/>
    <w:rsid w:val="003965A5"/>
    <w:rsid w:val="00396679"/>
    <w:rsid w:val="00396682"/>
    <w:rsid w:val="0039672A"/>
    <w:rsid w:val="00396857"/>
    <w:rsid w:val="00396897"/>
    <w:rsid w:val="0039695A"/>
    <w:rsid w:val="003969E8"/>
    <w:rsid w:val="00396ABF"/>
    <w:rsid w:val="00396AD5"/>
    <w:rsid w:val="00396AE4"/>
    <w:rsid w:val="00396C88"/>
    <w:rsid w:val="00396CFE"/>
    <w:rsid w:val="00396D54"/>
    <w:rsid w:val="00396D83"/>
    <w:rsid w:val="00396E93"/>
    <w:rsid w:val="00396EBA"/>
    <w:rsid w:val="0039700E"/>
    <w:rsid w:val="0039709A"/>
    <w:rsid w:val="003970D8"/>
    <w:rsid w:val="0039715D"/>
    <w:rsid w:val="0039728C"/>
    <w:rsid w:val="0039731D"/>
    <w:rsid w:val="00397354"/>
    <w:rsid w:val="00397398"/>
    <w:rsid w:val="00397769"/>
    <w:rsid w:val="003978C2"/>
    <w:rsid w:val="0039796E"/>
    <w:rsid w:val="00397ADC"/>
    <w:rsid w:val="00397BBF"/>
    <w:rsid w:val="00397BC6"/>
    <w:rsid w:val="00397CAD"/>
    <w:rsid w:val="00397E8C"/>
    <w:rsid w:val="00397EBC"/>
    <w:rsid w:val="00397FF4"/>
    <w:rsid w:val="003A0006"/>
    <w:rsid w:val="003A0007"/>
    <w:rsid w:val="003A00B5"/>
    <w:rsid w:val="003A0107"/>
    <w:rsid w:val="003A012F"/>
    <w:rsid w:val="003A0197"/>
    <w:rsid w:val="003A021C"/>
    <w:rsid w:val="003A024C"/>
    <w:rsid w:val="003A03BF"/>
    <w:rsid w:val="003A043C"/>
    <w:rsid w:val="003A0445"/>
    <w:rsid w:val="003A061C"/>
    <w:rsid w:val="003A06A5"/>
    <w:rsid w:val="003A072B"/>
    <w:rsid w:val="003A088A"/>
    <w:rsid w:val="003A08BA"/>
    <w:rsid w:val="003A0922"/>
    <w:rsid w:val="003A0AC4"/>
    <w:rsid w:val="003A0B97"/>
    <w:rsid w:val="003A0C27"/>
    <w:rsid w:val="003A0EB2"/>
    <w:rsid w:val="003A0EC2"/>
    <w:rsid w:val="003A0F34"/>
    <w:rsid w:val="003A103B"/>
    <w:rsid w:val="003A1054"/>
    <w:rsid w:val="003A1279"/>
    <w:rsid w:val="003A150C"/>
    <w:rsid w:val="003A16BC"/>
    <w:rsid w:val="003A1792"/>
    <w:rsid w:val="003A18BB"/>
    <w:rsid w:val="003A19A9"/>
    <w:rsid w:val="003A19AE"/>
    <w:rsid w:val="003A1C05"/>
    <w:rsid w:val="003A1C6D"/>
    <w:rsid w:val="003A1C83"/>
    <w:rsid w:val="003A1CBF"/>
    <w:rsid w:val="003A1D31"/>
    <w:rsid w:val="003A1D39"/>
    <w:rsid w:val="003A1E10"/>
    <w:rsid w:val="003A1E27"/>
    <w:rsid w:val="003A1E66"/>
    <w:rsid w:val="003A1EFF"/>
    <w:rsid w:val="003A1FBF"/>
    <w:rsid w:val="003A208C"/>
    <w:rsid w:val="003A20BC"/>
    <w:rsid w:val="003A20CE"/>
    <w:rsid w:val="003A2185"/>
    <w:rsid w:val="003A21A7"/>
    <w:rsid w:val="003A2206"/>
    <w:rsid w:val="003A24E1"/>
    <w:rsid w:val="003A251C"/>
    <w:rsid w:val="003A2537"/>
    <w:rsid w:val="003A255F"/>
    <w:rsid w:val="003A25A1"/>
    <w:rsid w:val="003A262D"/>
    <w:rsid w:val="003A268A"/>
    <w:rsid w:val="003A26D9"/>
    <w:rsid w:val="003A26ED"/>
    <w:rsid w:val="003A26FA"/>
    <w:rsid w:val="003A2792"/>
    <w:rsid w:val="003A29F8"/>
    <w:rsid w:val="003A2C6D"/>
    <w:rsid w:val="003A2CF9"/>
    <w:rsid w:val="003A2D43"/>
    <w:rsid w:val="003A2E72"/>
    <w:rsid w:val="003A2E9E"/>
    <w:rsid w:val="003A2FEF"/>
    <w:rsid w:val="003A303E"/>
    <w:rsid w:val="003A316B"/>
    <w:rsid w:val="003A317B"/>
    <w:rsid w:val="003A31B8"/>
    <w:rsid w:val="003A32ED"/>
    <w:rsid w:val="003A34B7"/>
    <w:rsid w:val="003A35AD"/>
    <w:rsid w:val="003A368A"/>
    <w:rsid w:val="003A36A0"/>
    <w:rsid w:val="003A36D6"/>
    <w:rsid w:val="003A373B"/>
    <w:rsid w:val="003A378C"/>
    <w:rsid w:val="003A3AF9"/>
    <w:rsid w:val="003A3B24"/>
    <w:rsid w:val="003A3C8F"/>
    <w:rsid w:val="003A3D14"/>
    <w:rsid w:val="003A3DC5"/>
    <w:rsid w:val="003A3E6B"/>
    <w:rsid w:val="003A4005"/>
    <w:rsid w:val="003A427E"/>
    <w:rsid w:val="003A440A"/>
    <w:rsid w:val="003A48D8"/>
    <w:rsid w:val="003A492B"/>
    <w:rsid w:val="003A494E"/>
    <w:rsid w:val="003A4976"/>
    <w:rsid w:val="003A49CD"/>
    <w:rsid w:val="003A4A54"/>
    <w:rsid w:val="003A4AE8"/>
    <w:rsid w:val="003A4C11"/>
    <w:rsid w:val="003A4CFD"/>
    <w:rsid w:val="003A4DAC"/>
    <w:rsid w:val="003A4E73"/>
    <w:rsid w:val="003A4F16"/>
    <w:rsid w:val="003A4FE9"/>
    <w:rsid w:val="003A5065"/>
    <w:rsid w:val="003A50B1"/>
    <w:rsid w:val="003A50C5"/>
    <w:rsid w:val="003A50DE"/>
    <w:rsid w:val="003A5523"/>
    <w:rsid w:val="003A57D0"/>
    <w:rsid w:val="003A57F1"/>
    <w:rsid w:val="003A5886"/>
    <w:rsid w:val="003A5902"/>
    <w:rsid w:val="003A5968"/>
    <w:rsid w:val="003A59EF"/>
    <w:rsid w:val="003A5B28"/>
    <w:rsid w:val="003A5C98"/>
    <w:rsid w:val="003A5D0E"/>
    <w:rsid w:val="003A5D98"/>
    <w:rsid w:val="003A5E06"/>
    <w:rsid w:val="003A5E6A"/>
    <w:rsid w:val="003A5F1A"/>
    <w:rsid w:val="003A5F50"/>
    <w:rsid w:val="003A5F64"/>
    <w:rsid w:val="003A5FA5"/>
    <w:rsid w:val="003A6045"/>
    <w:rsid w:val="003A60D9"/>
    <w:rsid w:val="003A616F"/>
    <w:rsid w:val="003A636F"/>
    <w:rsid w:val="003A63E2"/>
    <w:rsid w:val="003A6480"/>
    <w:rsid w:val="003A66B1"/>
    <w:rsid w:val="003A66B5"/>
    <w:rsid w:val="003A6706"/>
    <w:rsid w:val="003A672A"/>
    <w:rsid w:val="003A6792"/>
    <w:rsid w:val="003A6927"/>
    <w:rsid w:val="003A698E"/>
    <w:rsid w:val="003A6B15"/>
    <w:rsid w:val="003A6C33"/>
    <w:rsid w:val="003A6D57"/>
    <w:rsid w:val="003A6F05"/>
    <w:rsid w:val="003A6F5D"/>
    <w:rsid w:val="003A6FF2"/>
    <w:rsid w:val="003A7001"/>
    <w:rsid w:val="003A7074"/>
    <w:rsid w:val="003A716B"/>
    <w:rsid w:val="003A71B0"/>
    <w:rsid w:val="003A73AD"/>
    <w:rsid w:val="003A7510"/>
    <w:rsid w:val="003A76FE"/>
    <w:rsid w:val="003A7758"/>
    <w:rsid w:val="003A78F7"/>
    <w:rsid w:val="003A7A3F"/>
    <w:rsid w:val="003A7A4A"/>
    <w:rsid w:val="003A7AFA"/>
    <w:rsid w:val="003A7AFB"/>
    <w:rsid w:val="003A7B2E"/>
    <w:rsid w:val="003A7BF2"/>
    <w:rsid w:val="003A7BFE"/>
    <w:rsid w:val="003A7E8E"/>
    <w:rsid w:val="003A7EAF"/>
    <w:rsid w:val="003B0018"/>
    <w:rsid w:val="003B0054"/>
    <w:rsid w:val="003B0109"/>
    <w:rsid w:val="003B0286"/>
    <w:rsid w:val="003B0313"/>
    <w:rsid w:val="003B0337"/>
    <w:rsid w:val="003B038F"/>
    <w:rsid w:val="003B068F"/>
    <w:rsid w:val="003B06DF"/>
    <w:rsid w:val="003B06F6"/>
    <w:rsid w:val="003B082B"/>
    <w:rsid w:val="003B0832"/>
    <w:rsid w:val="003B08C1"/>
    <w:rsid w:val="003B0977"/>
    <w:rsid w:val="003B0A4C"/>
    <w:rsid w:val="003B0B57"/>
    <w:rsid w:val="003B0BB9"/>
    <w:rsid w:val="003B0BDD"/>
    <w:rsid w:val="003B0D3D"/>
    <w:rsid w:val="003B0D99"/>
    <w:rsid w:val="003B0EB2"/>
    <w:rsid w:val="003B0F9C"/>
    <w:rsid w:val="003B0FD3"/>
    <w:rsid w:val="003B10B2"/>
    <w:rsid w:val="003B10F0"/>
    <w:rsid w:val="003B111D"/>
    <w:rsid w:val="003B115C"/>
    <w:rsid w:val="003B118C"/>
    <w:rsid w:val="003B1223"/>
    <w:rsid w:val="003B13AC"/>
    <w:rsid w:val="003B140B"/>
    <w:rsid w:val="003B1477"/>
    <w:rsid w:val="003B150B"/>
    <w:rsid w:val="003B15C7"/>
    <w:rsid w:val="003B16D9"/>
    <w:rsid w:val="003B17D2"/>
    <w:rsid w:val="003B1820"/>
    <w:rsid w:val="003B183E"/>
    <w:rsid w:val="003B1A6E"/>
    <w:rsid w:val="003B1B35"/>
    <w:rsid w:val="003B1DE5"/>
    <w:rsid w:val="003B1E0F"/>
    <w:rsid w:val="003B1E1E"/>
    <w:rsid w:val="003B1E5C"/>
    <w:rsid w:val="003B1EA9"/>
    <w:rsid w:val="003B1F08"/>
    <w:rsid w:val="003B1F6D"/>
    <w:rsid w:val="003B1F78"/>
    <w:rsid w:val="003B1F80"/>
    <w:rsid w:val="003B208B"/>
    <w:rsid w:val="003B20E5"/>
    <w:rsid w:val="003B215F"/>
    <w:rsid w:val="003B234D"/>
    <w:rsid w:val="003B23B4"/>
    <w:rsid w:val="003B23E8"/>
    <w:rsid w:val="003B2592"/>
    <w:rsid w:val="003B274D"/>
    <w:rsid w:val="003B278E"/>
    <w:rsid w:val="003B28FD"/>
    <w:rsid w:val="003B2AD7"/>
    <w:rsid w:val="003B2B35"/>
    <w:rsid w:val="003B2C48"/>
    <w:rsid w:val="003B2D2F"/>
    <w:rsid w:val="003B2E89"/>
    <w:rsid w:val="003B2EBC"/>
    <w:rsid w:val="003B309F"/>
    <w:rsid w:val="003B30FB"/>
    <w:rsid w:val="003B3153"/>
    <w:rsid w:val="003B3190"/>
    <w:rsid w:val="003B321A"/>
    <w:rsid w:val="003B3278"/>
    <w:rsid w:val="003B3311"/>
    <w:rsid w:val="003B3379"/>
    <w:rsid w:val="003B352C"/>
    <w:rsid w:val="003B367A"/>
    <w:rsid w:val="003B3705"/>
    <w:rsid w:val="003B37B4"/>
    <w:rsid w:val="003B38E1"/>
    <w:rsid w:val="003B3974"/>
    <w:rsid w:val="003B39AA"/>
    <w:rsid w:val="003B3ACD"/>
    <w:rsid w:val="003B3C18"/>
    <w:rsid w:val="003B3C21"/>
    <w:rsid w:val="003B3C47"/>
    <w:rsid w:val="003B3CC4"/>
    <w:rsid w:val="003B3D04"/>
    <w:rsid w:val="003B3DAD"/>
    <w:rsid w:val="003B3E58"/>
    <w:rsid w:val="003B3F02"/>
    <w:rsid w:val="003B3F06"/>
    <w:rsid w:val="003B3F39"/>
    <w:rsid w:val="003B3F96"/>
    <w:rsid w:val="003B40CB"/>
    <w:rsid w:val="003B4137"/>
    <w:rsid w:val="003B417E"/>
    <w:rsid w:val="003B41AA"/>
    <w:rsid w:val="003B436B"/>
    <w:rsid w:val="003B43C5"/>
    <w:rsid w:val="003B44C9"/>
    <w:rsid w:val="003B44FB"/>
    <w:rsid w:val="003B45D0"/>
    <w:rsid w:val="003B46B4"/>
    <w:rsid w:val="003B46CC"/>
    <w:rsid w:val="003B48AE"/>
    <w:rsid w:val="003B48B4"/>
    <w:rsid w:val="003B48C5"/>
    <w:rsid w:val="003B49D4"/>
    <w:rsid w:val="003B4B0F"/>
    <w:rsid w:val="003B4DBF"/>
    <w:rsid w:val="003B4DC2"/>
    <w:rsid w:val="003B4DC4"/>
    <w:rsid w:val="003B4FF7"/>
    <w:rsid w:val="003B4FF8"/>
    <w:rsid w:val="003B50D7"/>
    <w:rsid w:val="003B50EE"/>
    <w:rsid w:val="003B5103"/>
    <w:rsid w:val="003B5200"/>
    <w:rsid w:val="003B5326"/>
    <w:rsid w:val="003B5411"/>
    <w:rsid w:val="003B5452"/>
    <w:rsid w:val="003B5473"/>
    <w:rsid w:val="003B5519"/>
    <w:rsid w:val="003B560F"/>
    <w:rsid w:val="003B5661"/>
    <w:rsid w:val="003B5760"/>
    <w:rsid w:val="003B594B"/>
    <w:rsid w:val="003B59FF"/>
    <w:rsid w:val="003B5A25"/>
    <w:rsid w:val="003B5AA0"/>
    <w:rsid w:val="003B5B46"/>
    <w:rsid w:val="003B5CC9"/>
    <w:rsid w:val="003B5D2F"/>
    <w:rsid w:val="003B5D3E"/>
    <w:rsid w:val="003B5DBF"/>
    <w:rsid w:val="003B5EB3"/>
    <w:rsid w:val="003B5ECD"/>
    <w:rsid w:val="003B5F85"/>
    <w:rsid w:val="003B603F"/>
    <w:rsid w:val="003B6059"/>
    <w:rsid w:val="003B60E6"/>
    <w:rsid w:val="003B626F"/>
    <w:rsid w:val="003B62CC"/>
    <w:rsid w:val="003B6338"/>
    <w:rsid w:val="003B634C"/>
    <w:rsid w:val="003B6391"/>
    <w:rsid w:val="003B63CE"/>
    <w:rsid w:val="003B6477"/>
    <w:rsid w:val="003B6503"/>
    <w:rsid w:val="003B655A"/>
    <w:rsid w:val="003B667D"/>
    <w:rsid w:val="003B686A"/>
    <w:rsid w:val="003B687F"/>
    <w:rsid w:val="003B68A8"/>
    <w:rsid w:val="003B68D4"/>
    <w:rsid w:val="003B6947"/>
    <w:rsid w:val="003B6A2E"/>
    <w:rsid w:val="003B6B1E"/>
    <w:rsid w:val="003B6B2E"/>
    <w:rsid w:val="003B6C80"/>
    <w:rsid w:val="003B6D78"/>
    <w:rsid w:val="003B6DD9"/>
    <w:rsid w:val="003B6E77"/>
    <w:rsid w:val="003B6F66"/>
    <w:rsid w:val="003B6FDD"/>
    <w:rsid w:val="003B7025"/>
    <w:rsid w:val="003B708C"/>
    <w:rsid w:val="003B71FC"/>
    <w:rsid w:val="003B7258"/>
    <w:rsid w:val="003B7317"/>
    <w:rsid w:val="003B7429"/>
    <w:rsid w:val="003B7685"/>
    <w:rsid w:val="003B76D4"/>
    <w:rsid w:val="003B7700"/>
    <w:rsid w:val="003B784B"/>
    <w:rsid w:val="003B78CF"/>
    <w:rsid w:val="003B79B5"/>
    <w:rsid w:val="003B7ADD"/>
    <w:rsid w:val="003B7B47"/>
    <w:rsid w:val="003B7CBC"/>
    <w:rsid w:val="003B7DEB"/>
    <w:rsid w:val="003B7DED"/>
    <w:rsid w:val="003B7E00"/>
    <w:rsid w:val="003B7EBC"/>
    <w:rsid w:val="003B7F99"/>
    <w:rsid w:val="003C0031"/>
    <w:rsid w:val="003C00B3"/>
    <w:rsid w:val="003C01A5"/>
    <w:rsid w:val="003C01CB"/>
    <w:rsid w:val="003C03A2"/>
    <w:rsid w:val="003C0598"/>
    <w:rsid w:val="003C05CD"/>
    <w:rsid w:val="003C06F5"/>
    <w:rsid w:val="003C0A30"/>
    <w:rsid w:val="003C0BC1"/>
    <w:rsid w:val="003C0D11"/>
    <w:rsid w:val="003C1193"/>
    <w:rsid w:val="003C122A"/>
    <w:rsid w:val="003C12AF"/>
    <w:rsid w:val="003C1375"/>
    <w:rsid w:val="003C1486"/>
    <w:rsid w:val="003C1730"/>
    <w:rsid w:val="003C174D"/>
    <w:rsid w:val="003C183D"/>
    <w:rsid w:val="003C1AA1"/>
    <w:rsid w:val="003C1B9A"/>
    <w:rsid w:val="003C1C6A"/>
    <w:rsid w:val="003C1CD1"/>
    <w:rsid w:val="003C1D01"/>
    <w:rsid w:val="003C1D27"/>
    <w:rsid w:val="003C1DAB"/>
    <w:rsid w:val="003C1E26"/>
    <w:rsid w:val="003C1EEB"/>
    <w:rsid w:val="003C1F76"/>
    <w:rsid w:val="003C1FA9"/>
    <w:rsid w:val="003C1FAA"/>
    <w:rsid w:val="003C2045"/>
    <w:rsid w:val="003C20B4"/>
    <w:rsid w:val="003C2101"/>
    <w:rsid w:val="003C2360"/>
    <w:rsid w:val="003C24B9"/>
    <w:rsid w:val="003C252E"/>
    <w:rsid w:val="003C2569"/>
    <w:rsid w:val="003C259F"/>
    <w:rsid w:val="003C2666"/>
    <w:rsid w:val="003C268F"/>
    <w:rsid w:val="003C26E4"/>
    <w:rsid w:val="003C2759"/>
    <w:rsid w:val="003C2789"/>
    <w:rsid w:val="003C27B6"/>
    <w:rsid w:val="003C28D8"/>
    <w:rsid w:val="003C2917"/>
    <w:rsid w:val="003C298A"/>
    <w:rsid w:val="003C29AD"/>
    <w:rsid w:val="003C2A02"/>
    <w:rsid w:val="003C2A47"/>
    <w:rsid w:val="003C2A5F"/>
    <w:rsid w:val="003C2A7D"/>
    <w:rsid w:val="003C2B03"/>
    <w:rsid w:val="003C2B7D"/>
    <w:rsid w:val="003C2BBF"/>
    <w:rsid w:val="003C2C4E"/>
    <w:rsid w:val="003C2C7A"/>
    <w:rsid w:val="003C2CE7"/>
    <w:rsid w:val="003C2DD3"/>
    <w:rsid w:val="003C2DF6"/>
    <w:rsid w:val="003C2E9F"/>
    <w:rsid w:val="003C2EEE"/>
    <w:rsid w:val="003C2F59"/>
    <w:rsid w:val="003C2FFA"/>
    <w:rsid w:val="003C302C"/>
    <w:rsid w:val="003C3045"/>
    <w:rsid w:val="003C3206"/>
    <w:rsid w:val="003C3362"/>
    <w:rsid w:val="003C3412"/>
    <w:rsid w:val="003C3415"/>
    <w:rsid w:val="003C341A"/>
    <w:rsid w:val="003C35F3"/>
    <w:rsid w:val="003C3733"/>
    <w:rsid w:val="003C3736"/>
    <w:rsid w:val="003C375C"/>
    <w:rsid w:val="003C37C9"/>
    <w:rsid w:val="003C3819"/>
    <w:rsid w:val="003C38E2"/>
    <w:rsid w:val="003C3916"/>
    <w:rsid w:val="003C393F"/>
    <w:rsid w:val="003C3AF6"/>
    <w:rsid w:val="003C3D29"/>
    <w:rsid w:val="003C3D50"/>
    <w:rsid w:val="003C3DC7"/>
    <w:rsid w:val="003C3DEE"/>
    <w:rsid w:val="003C3DF0"/>
    <w:rsid w:val="003C3E3C"/>
    <w:rsid w:val="003C3EAB"/>
    <w:rsid w:val="003C3ED7"/>
    <w:rsid w:val="003C4042"/>
    <w:rsid w:val="003C40C2"/>
    <w:rsid w:val="003C413A"/>
    <w:rsid w:val="003C427D"/>
    <w:rsid w:val="003C4385"/>
    <w:rsid w:val="003C47FF"/>
    <w:rsid w:val="003C4845"/>
    <w:rsid w:val="003C492E"/>
    <w:rsid w:val="003C49E3"/>
    <w:rsid w:val="003C4ACB"/>
    <w:rsid w:val="003C4AD1"/>
    <w:rsid w:val="003C4B48"/>
    <w:rsid w:val="003C4BE4"/>
    <w:rsid w:val="003C4D0B"/>
    <w:rsid w:val="003C4D1D"/>
    <w:rsid w:val="003C4D37"/>
    <w:rsid w:val="003C4D49"/>
    <w:rsid w:val="003C4DE4"/>
    <w:rsid w:val="003C4E26"/>
    <w:rsid w:val="003C4FB8"/>
    <w:rsid w:val="003C5075"/>
    <w:rsid w:val="003C50EB"/>
    <w:rsid w:val="003C5172"/>
    <w:rsid w:val="003C5180"/>
    <w:rsid w:val="003C5205"/>
    <w:rsid w:val="003C521F"/>
    <w:rsid w:val="003C5262"/>
    <w:rsid w:val="003C52D0"/>
    <w:rsid w:val="003C530F"/>
    <w:rsid w:val="003C5439"/>
    <w:rsid w:val="003C5481"/>
    <w:rsid w:val="003C54B0"/>
    <w:rsid w:val="003C54FD"/>
    <w:rsid w:val="003C5508"/>
    <w:rsid w:val="003C55DF"/>
    <w:rsid w:val="003C5699"/>
    <w:rsid w:val="003C56DB"/>
    <w:rsid w:val="003C586C"/>
    <w:rsid w:val="003C5890"/>
    <w:rsid w:val="003C593D"/>
    <w:rsid w:val="003C59A4"/>
    <w:rsid w:val="003C59CD"/>
    <w:rsid w:val="003C59FA"/>
    <w:rsid w:val="003C5A02"/>
    <w:rsid w:val="003C5A7D"/>
    <w:rsid w:val="003C5B21"/>
    <w:rsid w:val="003C5B27"/>
    <w:rsid w:val="003C5C5D"/>
    <w:rsid w:val="003C5CBF"/>
    <w:rsid w:val="003C5DBC"/>
    <w:rsid w:val="003C5F1A"/>
    <w:rsid w:val="003C6039"/>
    <w:rsid w:val="003C60FF"/>
    <w:rsid w:val="003C6181"/>
    <w:rsid w:val="003C619D"/>
    <w:rsid w:val="003C63D7"/>
    <w:rsid w:val="003C640A"/>
    <w:rsid w:val="003C6471"/>
    <w:rsid w:val="003C660A"/>
    <w:rsid w:val="003C6664"/>
    <w:rsid w:val="003C6768"/>
    <w:rsid w:val="003C6779"/>
    <w:rsid w:val="003C68D4"/>
    <w:rsid w:val="003C69F9"/>
    <w:rsid w:val="003C6A17"/>
    <w:rsid w:val="003C6A2E"/>
    <w:rsid w:val="003C6AA3"/>
    <w:rsid w:val="003C6ADF"/>
    <w:rsid w:val="003C6B31"/>
    <w:rsid w:val="003C6B38"/>
    <w:rsid w:val="003C6B5D"/>
    <w:rsid w:val="003C6B87"/>
    <w:rsid w:val="003C6BCD"/>
    <w:rsid w:val="003C6C32"/>
    <w:rsid w:val="003C6C65"/>
    <w:rsid w:val="003C6CAC"/>
    <w:rsid w:val="003C6DBE"/>
    <w:rsid w:val="003C6E16"/>
    <w:rsid w:val="003C6E67"/>
    <w:rsid w:val="003C6EE5"/>
    <w:rsid w:val="003C6F1F"/>
    <w:rsid w:val="003C6F29"/>
    <w:rsid w:val="003C7252"/>
    <w:rsid w:val="003C733C"/>
    <w:rsid w:val="003C7370"/>
    <w:rsid w:val="003C739B"/>
    <w:rsid w:val="003C73BE"/>
    <w:rsid w:val="003C7707"/>
    <w:rsid w:val="003C77E3"/>
    <w:rsid w:val="003C7917"/>
    <w:rsid w:val="003C7974"/>
    <w:rsid w:val="003C7984"/>
    <w:rsid w:val="003C7A68"/>
    <w:rsid w:val="003C7A82"/>
    <w:rsid w:val="003C7AA7"/>
    <w:rsid w:val="003C7AAA"/>
    <w:rsid w:val="003C7D5B"/>
    <w:rsid w:val="003C7EF7"/>
    <w:rsid w:val="003D0003"/>
    <w:rsid w:val="003D0022"/>
    <w:rsid w:val="003D003E"/>
    <w:rsid w:val="003D00C2"/>
    <w:rsid w:val="003D022A"/>
    <w:rsid w:val="003D025A"/>
    <w:rsid w:val="003D037A"/>
    <w:rsid w:val="003D04DE"/>
    <w:rsid w:val="003D0599"/>
    <w:rsid w:val="003D05B9"/>
    <w:rsid w:val="003D070C"/>
    <w:rsid w:val="003D0765"/>
    <w:rsid w:val="003D07E7"/>
    <w:rsid w:val="003D092C"/>
    <w:rsid w:val="003D0ACE"/>
    <w:rsid w:val="003D0B49"/>
    <w:rsid w:val="003D0C5C"/>
    <w:rsid w:val="003D0E7E"/>
    <w:rsid w:val="003D0EDC"/>
    <w:rsid w:val="003D124D"/>
    <w:rsid w:val="003D1398"/>
    <w:rsid w:val="003D13DE"/>
    <w:rsid w:val="003D151F"/>
    <w:rsid w:val="003D15A0"/>
    <w:rsid w:val="003D15E8"/>
    <w:rsid w:val="003D1815"/>
    <w:rsid w:val="003D1897"/>
    <w:rsid w:val="003D1985"/>
    <w:rsid w:val="003D19DA"/>
    <w:rsid w:val="003D1A7E"/>
    <w:rsid w:val="003D1A80"/>
    <w:rsid w:val="003D1ACB"/>
    <w:rsid w:val="003D1DCD"/>
    <w:rsid w:val="003D1E76"/>
    <w:rsid w:val="003D1EAF"/>
    <w:rsid w:val="003D1EE9"/>
    <w:rsid w:val="003D20B9"/>
    <w:rsid w:val="003D21DC"/>
    <w:rsid w:val="003D2226"/>
    <w:rsid w:val="003D23C2"/>
    <w:rsid w:val="003D24E2"/>
    <w:rsid w:val="003D252E"/>
    <w:rsid w:val="003D2538"/>
    <w:rsid w:val="003D2562"/>
    <w:rsid w:val="003D25DF"/>
    <w:rsid w:val="003D275E"/>
    <w:rsid w:val="003D2912"/>
    <w:rsid w:val="003D2968"/>
    <w:rsid w:val="003D2C1A"/>
    <w:rsid w:val="003D2C3C"/>
    <w:rsid w:val="003D2D76"/>
    <w:rsid w:val="003D2DD6"/>
    <w:rsid w:val="003D2EBB"/>
    <w:rsid w:val="003D2EFC"/>
    <w:rsid w:val="003D30F5"/>
    <w:rsid w:val="003D31C6"/>
    <w:rsid w:val="003D31EC"/>
    <w:rsid w:val="003D328F"/>
    <w:rsid w:val="003D335F"/>
    <w:rsid w:val="003D3367"/>
    <w:rsid w:val="003D34B3"/>
    <w:rsid w:val="003D353E"/>
    <w:rsid w:val="003D3572"/>
    <w:rsid w:val="003D368C"/>
    <w:rsid w:val="003D368F"/>
    <w:rsid w:val="003D36DF"/>
    <w:rsid w:val="003D36F4"/>
    <w:rsid w:val="003D385C"/>
    <w:rsid w:val="003D3882"/>
    <w:rsid w:val="003D38B0"/>
    <w:rsid w:val="003D3910"/>
    <w:rsid w:val="003D39A6"/>
    <w:rsid w:val="003D3A8B"/>
    <w:rsid w:val="003D3B59"/>
    <w:rsid w:val="003D3BA3"/>
    <w:rsid w:val="003D3BAB"/>
    <w:rsid w:val="003D3C1C"/>
    <w:rsid w:val="003D3C33"/>
    <w:rsid w:val="003D3CB2"/>
    <w:rsid w:val="003D3CC5"/>
    <w:rsid w:val="003D3D15"/>
    <w:rsid w:val="003D3DAD"/>
    <w:rsid w:val="003D3E09"/>
    <w:rsid w:val="003D3E24"/>
    <w:rsid w:val="003D3EE0"/>
    <w:rsid w:val="003D3EEF"/>
    <w:rsid w:val="003D3FE2"/>
    <w:rsid w:val="003D404C"/>
    <w:rsid w:val="003D40F0"/>
    <w:rsid w:val="003D429C"/>
    <w:rsid w:val="003D42D8"/>
    <w:rsid w:val="003D4320"/>
    <w:rsid w:val="003D4442"/>
    <w:rsid w:val="003D4592"/>
    <w:rsid w:val="003D4648"/>
    <w:rsid w:val="003D4674"/>
    <w:rsid w:val="003D46B0"/>
    <w:rsid w:val="003D475E"/>
    <w:rsid w:val="003D480D"/>
    <w:rsid w:val="003D48AC"/>
    <w:rsid w:val="003D4A50"/>
    <w:rsid w:val="003D4ADE"/>
    <w:rsid w:val="003D4B75"/>
    <w:rsid w:val="003D4D2F"/>
    <w:rsid w:val="003D4DDB"/>
    <w:rsid w:val="003D4E1A"/>
    <w:rsid w:val="003D4E6B"/>
    <w:rsid w:val="003D4EF1"/>
    <w:rsid w:val="003D4F84"/>
    <w:rsid w:val="003D4FA6"/>
    <w:rsid w:val="003D500C"/>
    <w:rsid w:val="003D50AE"/>
    <w:rsid w:val="003D50FD"/>
    <w:rsid w:val="003D5210"/>
    <w:rsid w:val="003D52A7"/>
    <w:rsid w:val="003D534B"/>
    <w:rsid w:val="003D55AC"/>
    <w:rsid w:val="003D55CC"/>
    <w:rsid w:val="003D55DD"/>
    <w:rsid w:val="003D5641"/>
    <w:rsid w:val="003D569C"/>
    <w:rsid w:val="003D5736"/>
    <w:rsid w:val="003D5943"/>
    <w:rsid w:val="003D5B09"/>
    <w:rsid w:val="003D5BFC"/>
    <w:rsid w:val="003D5C80"/>
    <w:rsid w:val="003D5CA0"/>
    <w:rsid w:val="003D5CFE"/>
    <w:rsid w:val="003D5D40"/>
    <w:rsid w:val="003D5D45"/>
    <w:rsid w:val="003D5D47"/>
    <w:rsid w:val="003D5D61"/>
    <w:rsid w:val="003D5E71"/>
    <w:rsid w:val="003D6026"/>
    <w:rsid w:val="003D6081"/>
    <w:rsid w:val="003D60E8"/>
    <w:rsid w:val="003D60F7"/>
    <w:rsid w:val="003D6108"/>
    <w:rsid w:val="003D6111"/>
    <w:rsid w:val="003D6117"/>
    <w:rsid w:val="003D61A5"/>
    <w:rsid w:val="003D6500"/>
    <w:rsid w:val="003D6558"/>
    <w:rsid w:val="003D657C"/>
    <w:rsid w:val="003D659E"/>
    <w:rsid w:val="003D68AB"/>
    <w:rsid w:val="003D68B1"/>
    <w:rsid w:val="003D69B2"/>
    <w:rsid w:val="003D69F4"/>
    <w:rsid w:val="003D6A4C"/>
    <w:rsid w:val="003D6AB8"/>
    <w:rsid w:val="003D6CD8"/>
    <w:rsid w:val="003D6D4A"/>
    <w:rsid w:val="003D6E3A"/>
    <w:rsid w:val="003D6F95"/>
    <w:rsid w:val="003D6FCF"/>
    <w:rsid w:val="003D7055"/>
    <w:rsid w:val="003D70AB"/>
    <w:rsid w:val="003D70BF"/>
    <w:rsid w:val="003D714A"/>
    <w:rsid w:val="003D7310"/>
    <w:rsid w:val="003D741F"/>
    <w:rsid w:val="003D75C0"/>
    <w:rsid w:val="003D768B"/>
    <w:rsid w:val="003D7B15"/>
    <w:rsid w:val="003D7B99"/>
    <w:rsid w:val="003D7BF7"/>
    <w:rsid w:val="003D7CF7"/>
    <w:rsid w:val="003D7DE8"/>
    <w:rsid w:val="003D7E2E"/>
    <w:rsid w:val="003D7E44"/>
    <w:rsid w:val="003D7EAC"/>
    <w:rsid w:val="003D7EB9"/>
    <w:rsid w:val="003D7EDC"/>
    <w:rsid w:val="003D7F45"/>
    <w:rsid w:val="003D7F91"/>
    <w:rsid w:val="003E0032"/>
    <w:rsid w:val="003E0089"/>
    <w:rsid w:val="003E00E7"/>
    <w:rsid w:val="003E0435"/>
    <w:rsid w:val="003E0471"/>
    <w:rsid w:val="003E0488"/>
    <w:rsid w:val="003E04CC"/>
    <w:rsid w:val="003E063C"/>
    <w:rsid w:val="003E064D"/>
    <w:rsid w:val="003E066B"/>
    <w:rsid w:val="003E0788"/>
    <w:rsid w:val="003E07EC"/>
    <w:rsid w:val="003E08DA"/>
    <w:rsid w:val="003E0900"/>
    <w:rsid w:val="003E0939"/>
    <w:rsid w:val="003E0AB4"/>
    <w:rsid w:val="003E0B61"/>
    <w:rsid w:val="003E0C30"/>
    <w:rsid w:val="003E0C69"/>
    <w:rsid w:val="003E0C73"/>
    <w:rsid w:val="003E0CFB"/>
    <w:rsid w:val="003E0D42"/>
    <w:rsid w:val="003E109C"/>
    <w:rsid w:val="003E10FC"/>
    <w:rsid w:val="003E1146"/>
    <w:rsid w:val="003E1195"/>
    <w:rsid w:val="003E11AA"/>
    <w:rsid w:val="003E1250"/>
    <w:rsid w:val="003E136A"/>
    <w:rsid w:val="003E138D"/>
    <w:rsid w:val="003E13BF"/>
    <w:rsid w:val="003E14CB"/>
    <w:rsid w:val="003E14EE"/>
    <w:rsid w:val="003E15A1"/>
    <w:rsid w:val="003E1609"/>
    <w:rsid w:val="003E1694"/>
    <w:rsid w:val="003E16A6"/>
    <w:rsid w:val="003E17EB"/>
    <w:rsid w:val="003E1820"/>
    <w:rsid w:val="003E1A4D"/>
    <w:rsid w:val="003E1B49"/>
    <w:rsid w:val="003E1D3C"/>
    <w:rsid w:val="003E1DC1"/>
    <w:rsid w:val="003E1DC2"/>
    <w:rsid w:val="003E1E8B"/>
    <w:rsid w:val="003E1EF5"/>
    <w:rsid w:val="003E1F74"/>
    <w:rsid w:val="003E1FC0"/>
    <w:rsid w:val="003E2006"/>
    <w:rsid w:val="003E2079"/>
    <w:rsid w:val="003E2191"/>
    <w:rsid w:val="003E222D"/>
    <w:rsid w:val="003E2346"/>
    <w:rsid w:val="003E23BF"/>
    <w:rsid w:val="003E2431"/>
    <w:rsid w:val="003E2599"/>
    <w:rsid w:val="003E2673"/>
    <w:rsid w:val="003E2697"/>
    <w:rsid w:val="003E26A4"/>
    <w:rsid w:val="003E2788"/>
    <w:rsid w:val="003E2879"/>
    <w:rsid w:val="003E296C"/>
    <w:rsid w:val="003E2979"/>
    <w:rsid w:val="003E2A64"/>
    <w:rsid w:val="003E2A96"/>
    <w:rsid w:val="003E2AA2"/>
    <w:rsid w:val="003E2BCA"/>
    <w:rsid w:val="003E2C34"/>
    <w:rsid w:val="003E2D2A"/>
    <w:rsid w:val="003E2E30"/>
    <w:rsid w:val="003E2EC9"/>
    <w:rsid w:val="003E2ECE"/>
    <w:rsid w:val="003E2F33"/>
    <w:rsid w:val="003E2FA7"/>
    <w:rsid w:val="003E307F"/>
    <w:rsid w:val="003E309D"/>
    <w:rsid w:val="003E30B3"/>
    <w:rsid w:val="003E310C"/>
    <w:rsid w:val="003E3128"/>
    <w:rsid w:val="003E3158"/>
    <w:rsid w:val="003E317D"/>
    <w:rsid w:val="003E321C"/>
    <w:rsid w:val="003E3254"/>
    <w:rsid w:val="003E32B5"/>
    <w:rsid w:val="003E337C"/>
    <w:rsid w:val="003E3689"/>
    <w:rsid w:val="003E36B8"/>
    <w:rsid w:val="003E370B"/>
    <w:rsid w:val="003E3710"/>
    <w:rsid w:val="003E37A3"/>
    <w:rsid w:val="003E37B6"/>
    <w:rsid w:val="003E37E1"/>
    <w:rsid w:val="003E3894"/>
    <w:rsid w:val="003E3A6E"/>
    <w:rsid w:val="003E3B54"/>
    <w:rsid w:val="003E3BAE"/>
    <w:rsid w:val="003E3C2D"/>
    <w:rsid w:val="003E3E35"/>
    <w:rsid w:val="003E402A"/>
    <w:rsid w:val="003E40DC"/>
    <w:rsid w:val="003E42DA"/>
    <w:rsid w:val="003E444B"/>
    <w:rsid w:val="003E4519"/>
    <w:rsid w:val="003E46FF"/>
    <w:rsid w:val="003E471E"/>
    <w:rsid w:val="003E476B"/>
    <w:rsid w:val="003E47DE"/>
    <w:rsid w:val="003E49BA"/>
    <w:rsid w:val="003E49DE"/>
    <w:rsid w:val="003E4A13"/>
    <w:rsid w:val="003E4AF6"/>
    <w:rsid w:val="003E4B06"/>
    <w:rsid w:val="003E4BC7"/>
    <w:rsid w:val="003E4EF6"/>
    <w:rsid w:val="003E4F02"/>
    <w:rsid w:val="003E4F0A"/>
    <w:rsid w:val="003E502A"/>
    <w:rsid w:val="003E506E"/>
    <w:rsid w:val="003E5175"/>
    <w:rsid w:val="003E5179"/>
    <w:rsid w:val="003E525D"/>
    <w:rsid w:val="003E5378"/>
    <w:rsid w:val="003E538F"/>
    <w:rsid w:val="003E5538"/>
    <w:rsid w:val="003E5676"/>
    <w:rsid w:val="003E56BC"/>
    <w:rsid w:val="003E5703"/>
    <w:rsid w:val="003E5715"/>
    <w:rsid w:val="003E575F"/>
    <w:rsid w:val="003E57D2"/>
    <w:rsid w:val="003E57D5"/>
    <w:rsid w:val="003E5864"/>
    <w:rsid w:val="003E5979"/>
    <w:rsid w:val="003E5A69"/>
    <w:rsid w:val="003E5A9F"/>
    <w:rsid w:val="003E5AD8"/>
    <w:rsid w:val="003E5AF2"/>
    <w:rsid w:val="003E5BCD"/>
    <w:rsid w:val="003E5C09"/>
    <w:rsid w:val="003E5C11"/>
    <w:rsid w:val="003E5C9F"/>
    <w:rsid w:val="003E5CAF"/>
    <w:rsid w:val="003E5D05"/>
    <w:rsid w:val="003E5D2B"/>
    <w:rsid w:val="003E5DC6"/>
    <w:rsid w:val="003E5E7C"/>
    <w:rsid w:val="003E5ED1"/>
    <w:rsid w:val="003E5FE6"/>
    <w:rsid w:val="003E60BF"/>
    <w:rsid w:val="003E60EA"/>
    <w:rsid w:val="003E61CE"/>
    <w:rsid w:val="003E6267"/>
    <w:rsid w:val="003E6384"/>
    <w:rsid w:val="003E639D"/>
    <w:rsid w:val="003E646B"/>
    <w:rsid w:val="003E64AA"/>
    <w:rsid w:val="003E65BA"/>
    <w:rsid w:val="003E6625"/>
    <w:rsid w:val="003E664C"/>
    <w:rsid w:val="003E6A90"/>
    <w:rsid w:val="003E6B16"/>
    <w:rsid w:val="003E6C07"/>
    <w:rsid w:val="003E6C4F"/>
    <w:rsid w:val="003E6C8F"/>
    <w:rsid w:val="003E6CB0"/>
    <w:rsid w:val="003E6CEF"/>
    <w:rsid w:val="003E6D3D"/>
    <w:rsid w:val="003E6D8B"/>
    <w:rsid w:val="003E6EA7"/>
    <w:rsid w:val="003E6F3D"/>
    <w:rsid w:val="003E7071"/>
    <w:rsid w:val="003E70A0"/>
    <w:rsid w:val="003E724A"/>
    <w:rsid w:val="003E7308"/>
    <w:rsid w:val="003E734E"/>
    <w:rsid w:val="003E75E3"/>
    <w:rsid w:val="003E75F5"/>
    <w:rsid w:val="003E7665"/>
    <w:rsid w:val="003E7675"/>
    <w:rsid w:val="003E7688"/>
    <w:rsid w:val="003E76FE"/>
    <w:rsid w:val="003E7740"/>
    <w:rsid w:val="003E7807"/>
    <w:rsid w:val="003E780F"/>
    <w:rsid w:val="003E78FF"/>
    <w:rsid w:val="003E7B44"/>
    <w:rsid w:val="003E7B78"/>
    <w:rsid w:val="003E7C91"/>
    <w:rsid w:val="003E7E07"/>
    <w:rsid w:val="003E7EB3"/>
    <w:rsid w:val="003E7ECA"/>
    <w:rsid w:val="003E7F20"/>
    <w:rsid w:val="003E7F41"/>
    <w:rsid w:val="003E7FD1"/>
    <w:rsid w:val="003E7FDB"/>
    <w:rsid w:val="003E7FF9"/>
    <w:rsid w:val="003F01A8"/>
    <w:rsid w:val="003F020B"/>
    <w:rsid w:val="003F0258"/>
    <w:rsid w:val="003F0290"/>
    <w:rsid w:val="003F030A"/>
    <w:rsid w:val="003F03AA"/>
    <w:rsid w:val="003F03ED"/>
    <w:rsid w:val="003F0450"/>
    <w:rsid w:val="003F05C3"/>
    <w:rsid w:val="003F06AE"/>
    <w:rsid w:val="003F07F9"/>
    <w:rsid w:val="003F0861"/>
    <w:rsid w:val="003F09A2"/>
    <w:rsid w:val="003F0ADC"/>
    <w:rsid w:val="003F0CB2"/>
    <w:rsid w:val="003F0D76"/>
    <w:rsid w:val="003F0DB1"/>
    <w:rsid w:val="003F0DCE"/>
    <w:rsid w:val="003F0E80"/>
    <w:rsid w:val="003F0E9D"/>
    <w:rsid w:val="003F0F13"/>
    <w:rsid w:val="003F1128"/>
    <w:rsid w:val="003F11D9"/>
    <w:rsid w:val="003F120E"/>
    <w:rsid w:val="003F12D4"/>
    <w:rsid w:val="003F143B"/>
    <w:rsid w:val="003F145A"/>
    <w:rsid w:val="003F1486"/>
    <w:rsid w:val="003F14D8"/>
    <w:rsid w:val="003F1628"/>
    <w:rsid w:val="003F16B4"/>
    <w:rsid w:val="003F178B"/>
    <w:rsid w:val="003F17AF"/>
    <w:rsid w:val="003F1AA6"/>
    <w:rsid w:val="003F1CE5"/>
    <w:rsid w:val="003F1D35"/>
    <w:rsid w:val="003F1F0F"/>
    <w:rsid w:val="003F1FE9"/>
    <w:rsid w:val="003F2081"/>
    <w:rsid w:val="003F20EA"/>
    <w:rsid w:val="003F2218"/>
    <w:rsid w:val="003F2224"/>
    <w:rsid w:val="003F2231"/>
    <w:rsid w:val="003F24B3"/>
    <w:rsid w:val="003F24CF"/>
    <w:rsid w:val="003F2743"/>
    <w:rsid w:val="003F2A08"/>
    <w:rsid w:val="003F2A2A"/>
    <w:rsid w:val="003F2A4C"/>
    <w:rsid w:val="003F2B24"/>
    <w:rsid w:val="003F2CF9"/>
    <w:rsid w:val="003F2E29"/>
    <w:rsid w:val="003F309F"/>
    <w:rsid w:val="003F313E"/>
    <w:rsid w:val="003F31C0"/>
    <w:rsid w:val="003F327B"/>
    <w:rsid w:val="003F32C1"/>
    <w:rsid w:val="003F32E9"/>
    <w:rsid w:val="003F3349"/>
    <w:rsid w:val="003F3432"/>
    <w:rsid w:val="003F354A"/>
    <w:rsid w:val="003F359D"/>
    <w:rsid w:val="003F35A6"/>
    <w:rsid w:val="003F363F"/>
    <w:rsid w:val="003F37B3"/>
    <w:rsid w:val="003F3910"/>
    <w:rsid w:val="003F393A"/>
    <w:rsid w:val="003F3A3C"/>
    <w:rsid w:val="003F3AEE"/>
    <w:rsid w:val="003F3AF0"/>
    <w:rsid w:val="003F3B16"/>
    <w:rsid w:val="003F3B27"/>
    <w:rsid w:val="003F3B9A"/>
    <w:rsid w:val="003F3C9B"/>
    <w:rsid w:val="003F3D14"/>
    <w:rsid w:val="003F3D6E"/>
    <w:rsid w:val="003F3EA6"/>
    <w:rsid w:val="003F3F29"/>
    <w:rsid w:val="003F4091"/>
    <w:rsid w:val="003F4220"/>
    <w:rsid w:val="003F4246"/>
    <w:rsid w:val="003F4252"/>
    <w:rsid w:val="003F427D"/>
    <w:rsid w:val="003F42D0"/>
    <w:rsid w:val="003F4429"/>
    <w:rsid w:val="003F45E2"/>
    <w:rsid w:val="003F468B"/>
    <w:rsid w:val="003F4704"/>
    <w:rsid w:val="003F47CA"/>
    <w:rsid w:val="003F48C2"/>
    <w:rsid w:val="003F4A45"/>
    <w:rsid w:val="003F4B48"/>
    <w:rsid w:val="003F4BBC"/>
    <w:rsid w:val="003F4CEE"/>
    <w:rsid w:val="003F4F61"/>
    <w:rsid w:val="003F4FAD"/>
    <w:rsid w:val="003F50C4"/>
    <w:rsid w:val="003F50E0"/>
    <w:rsid w:val="003F50F3"/>
    <w:rsid w:val="003F514E"/>
    <w:rsid w:val="003F5178"/>
    <w:rsid w:val="003F518F"/>
    <w:rsid w:val="003F51F9"/>
    <w:rsid w:val="003F5261"/>
    <w:rsid w:val="003F528E"/>
    <w:rsid w:val="003F5304"/>
    <w:rsid w:val="003F53A1"/>
    <w:rsid w:val="003F53A2"/>
    <w:rsid w:val="003F54FB"/>
    <w:rsid w:val="003F55BA"/>
    <w:rsid w:val="003F566F"/>
    <w:rsid w:val="003F5722"/>
    <w:rsid w:val="003F5928"/>
    <w:rsid w:val="003F5962"/>
    <w:rsid w:val="003F5A64"/>
    <w:rsid w:val="003F5A7F"/>
    <w:rsid w:val="003F5AC7"/>
    <w:rsid w:val="003F5AEB"/>
    <w:rsid w:val="003F5B67"/>
    <w:rsid w:val="003F5BEA"/>
    <w:rsid w:val="003F5CDE"/>
    <w:rsid w:val="003F5CE3"/>
    <w:rsid w:val="003F5D51"/>
    <w:rsid w:val="003F60F5"/>
    <w:rsid w:val="003F63D1"/>
    <w:rsid w:val="003F644F"/>
    <w:rsid w:val="003F66F1"/>
    <w:rsid w:val="003F67A5"/>
    <w:rsid w:val="003F67D2"/>
    <w:rsid w:val="003F6909"/>
    <w:rsid w:val="003F690F"/>
    <w:rsid w:val="003F6A99"/>
    <w:rsid w:val="003F6B09"/>
    <w:rsid w:val="003F6B47"/>
    <w:rsid w:val="003F6BF4"/>
    <w:rsid w:val="003F6BFB"/>
    <w:rsid w:val="003F6C25"/>
    <w:rsid w:val="003F6E14"/>
    <w:rsid w:val="003F6E72"/>
    <w:rsid w:val="003F6FF0"/>
    <w:rsid w:val="003F7054"/>
    <w:rsid w:val="003F708E"/>
    <w:rsid w:val="003F70B4"/>
    <w:rsid w:val="003F72F4"/>
    <w:rsid w:val="003F7332"/>
    <w:rsid w:val="003F7396"/>
    <w:rsid w:val="003F7419"/>
    <w:rsid w:val="003F741B"/>
    <w:rsid w:val="003F75B2"/>
    <w:rsid w:val="003F7767"/>
    <w:rsid w:val="003F77AE"/>
    <w:rsid w:val="003F7847"/>
    <w:rsid w:val="003F7892"/>
    <w:rsid w:val="003F78BA"/>
    <w:rsid w:val="003F7940"/>
    <w:rsid w:val="003F7A41"/>
    <w:rsid w:val="003F7CA9"/>
    <w:rsid w:val="003F7D77"/>
    <w:rsid w:val="003F7DD7"/>
    <w:rsid w:val="003F7F22"/>
    <w:rsid w:val="003F7F5F"/>
    <w:rsid w:val="00400033"/>
    <w:rsid w:val="004001B0"/>
    <w:rsid w:val="004001F8"/>
    <w:rsid w:val="004002E9"/>
    <w:rsid w:val="00400383"/>
    <w:rsid w:val="004005E6"/>
    <w:rsid w:val="0040068F"/>
    <w:rsid w:val="00400943"/>
    <w:rsid w:val="00400A33"/>
    <w:rsid w:val="00400B03"/>
    <w:rsid w:val="00400B39"/>
    <w:rsid w:val="00400BA0"/>
    <w:rsid w:val="00400BD3"/>
    <w:rsid w:val="00400BFA"/>
    <w:rsid w:val="00400C94"/>
    <w:rsid w:val="00400CF9"/>
    <w:rsid w:val="00400F1D"/>
    <w:rsid w:val="00400F6E"/>
    <w:rsid w:val="004010BF"/>
    <w:rsid w:val="00401171"/>
    <w:rsid w:val="004011AC"/>
    <w:rsid w:val="004012B6"/>
    <w:rsid w:val="00401300"/>
    <w:rsid w:val="0040133A"/>
    <w:rsid w:val="0040140B"/>
    <w:rsid w:val="00401746"/>
    <w:rsid w:val="004017BB"/>
    <w:rsid w:val="00401858"/>
    <w:rsid w:val="0040190A"/>
    <w:rsid w:val="00401930"/>
    <w:rsid w:val="00401A3D"/>
    <w:rsid w:val="00401B0F"/>
    <w:rsid w:val="00401B4B"/>
    <w:rsid w:val="00401C7E"/>
    <w:rsid w:val="00401CFE"/>
    <w:rsid w:val="00401E15"/>
    <w:rsid w:val="00401EC9"/>
    <w:rsid w:val="00401F30"/>
    <w:rsid w:val="00401F6D"/>
    <w:rsid w:val="00401FCD"/>
    <w:rsid w:val="0040204E"/>
    <w:rsid w:val="00402121"/>
    <w:rsid w:val="00402126"/>
    <w:rsid w:val="0040214A"/>
    <w:rsid w:val="0040264F"/>
    <w:rsid w:val="00402666"/>
    <w:rsid w:val="0040285C"/>
    <w:rsid w:val="0040291E"/>
    <w:rsid w:val="0040298E"/>
    <w:rsid w:val="00402AE1"/>
    <w:rsid w:val="00402C13"/>
    <w:rsid w:val="00402CC2"/>
    <w:rsid w:val="00402D79"/>
    <w:rsid w:val="00402DEF"/>
    <w:rsid w:val="00402E5F"/>
    <w:rsid w:val="00402FE2"/>
    <w:rsid w:val="00403008"/>
    <w:rsid w:val="00403071"/>
    <w:rsid w:val="004030E8"/>
    <w:rsid w:val="004031C2"/>
    <w:rsid w:val="004031CA"/>
    <w:rsid w:val="004031DF"/>
    <w:rsid w:val="004032B9"/>
    <w:rsid w:val="0040330D"/>
    <w:rsid w:val="0040335A"/>
    <w:rsid w:val="0040341D"/>
    <w:rsid w:val="0040355B"/>
    <w:rsid w:val="004035D0"/>
    <w:rsid w:val="004036D9"/>
    <w:rsid w:val="0040370D"/>
    <w:rsid w:val="0040383A"/>
    <w:rsid w:val="004038A7"/>
    <w:rsid w:val="00403904"/>
    <w:rsid w:val="00403B07"/>
    <w:rsid w:val="00403B38"/>
    <w:rsid w:val="00403BD7"/>
    <w:rsid w:val="00403BF8"/>
    <w:rsid w:val="00403C41"/>
    <w:rsid w:val="00403C53"/>
    <w:rsid w:val="00403CCE"/>
    <w:rsid w:val="00403CDF"/>
    <w:rsid w:val="00403D2E"/>
    <w:rsid w:val="00403D38"/>
    <w:rsid w:val="00403DE5"/>
    <w:rsid w:val="00403E2E"/>
    <w:rsid w:val="00403F13"/>
    <w:rsid w:val="0040400D"/>
    <w:rsid w:val="004041FD"/>
    <w:rsid w:val="00404297"/>
    <w:rsid w:val="004043F3"/>
    <w:rsid w:val="004044EE"/>
    <w:rsid w:val="00404522"/>
    <w:rsid w:val="00404535"/>
    <w:rsid w:val="00404570"/>
    <w:rsid w:val="00404626"/>
    <w:rsid w:val="0040465B"/>
    <w:rsid w:val="0040479E"/>
    <w:rsid w:val="00404919"/>
    <w:rsid w:val="00404A01"/>
    <w:rsid w:val="00404A7B"/>
    <w:rsid w:val="00404B50"/>
    <w:rsid w:val="00404D08"/>
    <w:rsid w:val="00404D94"/>
    <w:rsid w:val="00404E8E"/>
    <w:rsid w:val="00404EE7"/>
    <w:rsid w:val="00404F74"/>
    <w:rsid w:val="00404FD8"/>
    <w:rsid w:val="00405143"/>
    <w:rsid w:val="004051A2"/>
    <w:rsid w:val="004051B8"/>
    <w:rsid w:val="0040528A"/>
    <w:rsid w:val="004052BC"/>
    <w:rsid w:val="00405335"/>
    <w:rsid w:val="004053F3"/>
    <w:rsid w:val="0040543B"/>
    <w:rsid w:val="00405488"/>
    <w:rsid w:val="0040558D"/>
    <w:rsid w:val="00405623"/>
    <w:rsid w:val="004056A0"/>
    <w:rsid w:val="004057A5"/>
    <w:rsid w:val="004057F7"/>
    <w:rsid w:val="004058D6"/>
    <w:rsid w:val="004059B7"/>
    <w:rsid w:val="00405A50"/>
    <w:rsid w:val="00405AA2"/>
    <w:rsid w:val="00405AA7"/>
    <w:rsid w:val="00405B0D"/>
    <w:rsid w:val="00405B7F"/>
    <w:rsid w:val="00405BF8"/>
    <w:rsid w:val="00405F92"/>
    <w:rsid w:val="004060F8"/>
    <w:rsid w:val="00406113"/>
    <w:rsid w:val="00406129"/>
    <w:rsid w:val="0040612A"/>
    <w:rsid w:val="004061CB"/>
    <w:rsid w:val="00406244"/>
    <w:rsid w:val="0040629C"/>
    <w:rsid w:val="004062B8"/>
    <w:rsid w:val="004062E1"/>
    <w:rsid w:val="00406313"/>
    <w:rsid w:val="00406373"/>
    <w:rsid w:val="00406427"/>
    <w:rsid w:val="00406662"/>
    <w:rsid w:val="004066BB"/>
    <w:rsid w:val="004066C3"/>
    <w:rsid w:val="004067CF"/>
    <w:rsid w:val="00406972"/>
    <w:rsid w:val="00406ADE"/>
    <w:rsid w:val="00406B52"/>
    <w:rsid w:val="00406BC2"/>
    <w:rsid w:val="00406BCF"/>
    <w:rsid w:val="00406C08"/>
    <w:rsid w:val="00406D30"/>
    <w:rsid w:val="00406E5C"/>
    <w:rsid w:val="00406F4C"/>
    <w:rsid w:val="00407076"/>
    <w:rsid w:val="00407094"/>
    <w:rsid w:val="00407098"/>
    <w:rsid w:val="004070B2"/>
    <w:rsid w:val="0040717C"/>
    <w:rsid w:val="00407183"/>
    <w:rsid w:val="0040719C"/>
    <w:rsid w:val="004071C1"/>
    <w:rsid w:val="004071D6"/>
    <w:rsid w:val="00407324"/>
    <w:rsid w:val="00407461"/>
    <w:rsid w:val="00407496"/>
    <w:rsid w:val="00407599"/>
    <w:rsid w:val="00407607"/>
    <w:rsid w:val="0040760A"/>
    <w:rsid w:val="00407659"/>
    <w:rsid w:val="004076CE"/>
    <w:rsid w:val="00407793"/>
    <w:rsid w:val="004077DA"/>
    <w:rsid w:val="00407878"/>
    <w:rsid w:val="0040791B"/>
    <w:rsid w:val="00407ADD"/>
    <w:rsid w:val="00407B23"/>
    <w:rsid w:val="00407BC0"/>
    <w:rsid w:val="00407C03"/>
    <w:rsid w:val="00407C69"/>
    <w:rsid w:val="00407EDD"/>
    <w:rsid w:val="00407FDD"/>
    <w:rsid w:val="0041002C"/>
    <w:rsid w:val="004100DB"/>
    <w:rsid w:val="004100FD"/>
    <w:rsid w:val="004101D4"/>
    <w:rsid w:val="0041021A"/>
    <w:rsid w:val="0041022C"/>
    <w:rsid w:val="0041038E"/>
    <w:rsid w:val="004104F9"/>
    <w:rsid w:val="00410588"/>
    <w:rsid w:val="00410670"/>
    <w:rsid w:val="004106A4"/>
    <w:rsid w:val="00410708"/>
    <w:rsid w:val="0041078E"/>
    <w:rsid w:val="004107E4"/>
    <w:rsid w:val="0041099C"/>
    <w:rsid w:val="004109C6"/>
    <w:rsid w:val="00410A1A"/>
    <w:rsid w:val="00410A34"/>
    <w:rsid w:val="00410AA8"/>
    <w:rsid w:val="00410AAF"/>
    <w:rsid w:val="00410B02"/>
    <w:rsid w:val="00410B5E"/>
    <w:rsid w:val="00410BFA"/>
    <w:rsid w:val="00410CDF"/>
    <w:rsid w:val="00410D9E"/>
    <w:rsid w:val="00410FF3"/>
    <w:rsid w:val="0041111D"/>
    <w:rsid w:val="0041117A"/>
    <w:rsid w:val="00411257"/>
    <w:rsid w:val="0041128B"/>
    <w:rsid w:val="00411314"/>
    <w:rsid w:val="00411331"/>
    <w:rsid w:val="0041133C"/>
    <w:rsid w:val="004113D9"/>
    <w:rsid w:val="00411478"/>
    <w:rsid w:val="00411493"/>
    <w:rsid w:val="004114BA"/>
    <w:rsid w:val="004114EC"/>
    <w:rsid w:val="004115CD"/>
    <w:rsid w:val="0041175C"/>
    <w:rsid w:val="00411768"/>
    <w:rsid w:val="0041177E"/>
    <w:rsid w:val="00411905"/>
    <w:rsid w:val="0041191E"/>
    <w:rsid w:val="004119C4"/>
    <w:rsid w:val="00411A11"/>
    <w:rsid w:val="00411A4B"/>
    <w:rsid w:val="00411AF6"/>
    <w:rsid w:val="00411B96"/>
    <w:rsid w:val="00411C4C"/>
    <w:rsid w:val="00411CBE"/>
    <w:rsid w:val="00411E2B"/>
    <w:rsid w:val="00411EC9"/>
    <w:rsid w:val="00411F77"/>
    <w:rsid w:val="004121EF"/>
    <w:rsid w:val="004122B6"/>
    <w:rsid w:val="004124AE"/>
    <w:rsid w:val="004124B4"/>
    <w:rsid w:val="0041254E"/>
    <w:rsid w:val="00412573"/>
    <w:rsid w:val="00412630"/>
    <w:rsid w:val="00412644"/>
    <w:rsid w:val="00412649"/>
    <w:rsid w:val="0041286E"/>
    <w:rsid w:val="0041292C"/>
    <w:rsid w:val="00412A3C"/>
    <w:rsid w:val="00412C43"/>
    <w:rsid w:val="00412C5B"/>
    <w:rsid w:val="00412D4D"/>
    <w:rsid w:val="00412E54"/>
    <w:rsid w:val="00412E57"/>
    <w:rsid w:val="00412EA0"/>
    <w:rsid w:val="00412F34"/>
    <w:rsid w:val="00412F49"/>
    <w:rsid w:val="00412F53"/>
    <w:rsid w:val="00412F7A"/>
    <w:rsid w:val="00412FBD"/>
    <w:rsid w:val="00413018"/>
    <w:rsid w:val="00413101"/>
    <w:rsid w:val="0041313B"/>
    <w:rsid w:val="00413147"/>
    <w:rsid w:val="00413259"/>
    <w:rsid w:val="0041329C"/>
    <w:rsid w:val="004132BF"/>
    <w:rsid w:val="004134DE"/>
    <w:rsid w:val="00413582"/>
    <w:rsid w:val="004135E2"/>
    <w:rsid w:val="00413644"/>
    <w:rsid w:val="00413701"/>
    <w:rsid w:val="00413886"/>
    <w:rsid w:val="004138AA"/>
    <w:rsid w:val="00413978"/>
    <w:rsid w:val="004139A2"/>
    <w:rsid w:val="00413A43"/>
    <w:rsid w:val="00413A4E"/>
    <w:rsid w:val="00413B65"/>
    <w:rsid w:val="00413CEA"/>
    <w:rsid w:val="00413D1C"/>
    <w:rsid w:val="00413DE7"/>
    <w:rsid w:val="004140E2"/>
    <w:rsid w:val="00414130"/>
    <w:rsid w:val="004141F1"/>
    <w:rsid w:val="0041428F"/>
    <w:rsid w:val="004145ED"/>
    <w:rsid w:val="00414748"/>
    <w:rsid w:val="0041491B"/>
    <w:rsid w:val="004149F5"/>
    <w:rsid w:val="00414A47"/>
    <w:rsid w:val="00414A90"/>
    <w:rsid w:val="00414B8C"/>
    <w:rsid w:val="00414D94"/>
    <w:rsid w:val="00414E22"/>
    <w:rsid w:val="00414EF7"/>
    <w:rsid w:val="00414FB3"/>
    <w:rsid w:val="004150BE"/>
    <w:rsid w:val="00415141"/>
    <w:rsid w:val="00415282"/>
    <w:rsid w:val="0041530D"/>
    <w:rsid w:val="004153AE"/>
    <w:rsid w:val="00415574"/>
    <w:rsid w:val="00415636"/>
    <w:rsid w:val="004158D4"/>
    <w:rsid w:val="00415923"/>
    <w:rsid w:val="0041594A"/>
    <w:rsid w:val="00415A35"/>
    <w:rsid w:val="00415A7C"/>
    <w:rsid w:val="00415B0A"/>
    <w:rsid w:val="00415BEF"/>
    <w:rsid w:val="00415C77"/>
    <w:rsid w:val="00415E3F"/>
    <w:rsid w:val="00415E6D"/>
    <w:rsid w:val="00415EA2"/>
    <w:rsid w:val="00415EB7"/>
    <w:rsid w:val="00415FD6"/>
    <w:rsid w:val="00416042"/>
    <w:rsid w:val="004161E7"/>
    <w:rsid w:val="00416254"/>
    <w:rsid w:val="00416454"/>
    <w:rsid w:val="00416488"/>
    <w:rsid w:val="0041649F"/>
    <w:rsid w:val="004164AE"/>
    <w:rsid w:val="004165CD"/>
    <w:rsid w:val="00416660"/>
    <w:rsid w:val="004168E8"/>
    <w:rsid w:val="004168EC"/>
    <w:rsid w:val="00416A3D"/>
    <w:rsid w:val="00416A5A"/>
    <w:rsid w:val="00416A7C"/>
    <w:rsid w:val="00416C6B"/>
    <w:rsid w:val="00416CBF"/>
    <w:rsid w:val="00416E49"/>
    <w:rsid w:val="00416F8F"/>
    <w:rsid w:val="00416FE8"/>
    <w:rsid w:val="00417085"/>
    <w:rsid w:val="00417313"/>
    <w:rsid w:val="004173D0"/>
    <w:rsid w:val="004174F6"/>
    <w:rsid w:val="0041758A"/>
    <w:rsid w:val="00417670"/>
    <w:rsid w:val="00417689"/>
    <w:rsid w:val="00417773"/>
    <w:rsid w:val="004177E4"/>
    <w:rsid w:val="004177E8"/>
    <w:rsid w:val="0041783F"/>
    <w:rsid w:val="004178A8"/>
    <w:rsid w:val="00417A0F"/>
    <w:rsid w:val="00417CB5"/>
    <w:rsid w:val="00417D07"/>
    <w:rsid w:val="00417D85"/>
    <w:rsid w:val="00417DB3"/>
    <w:rsid w:val="00417DC6"/>
    <w:rsid w:val="00417E56"/>
    <w:rsid w:val="00417F6E"/>
    <w:rsid w:val="0042000B"/>
    <w:rsid w:val="00420038"/>
    <w:rsid w:val="00420042"/>
    <w:rsid w:val="0042004C"/>
    <w:rsid w:val="004200B8"/>
    <w:rsid w:val="004201F8"/>
    <w:rsid w:val="004202D2"/>
    <w:rsid w:val="004203D1"/>
    <w:rsid w:val="0042069D"/>
    <w:rsid w:val="00420789"/>
    <w:rsid w:val="004207B0"/>
    <w:rsid w:val="00420814"/>
    <w:rsid w:val="0042088E"/>
    <w:rsid w:val="00420915"/>
    <w:rsid w:val="00420937"/>
    <w:rsid w:val="004209F4"/>
    <w:rsid w:val="00420A33"/>
    <w:rsid w:val="00420A43"/>
    <w:rsid w:val="00420A56"/>
    <w:rsid w:val="00420AAC"/>
    <w:rsid w:val="00420ACD"/>
    <w:rsid w:val="00420B01"/>
    <w:rsid w:val="00420E45"/>
    <w:rsid w:val="00420F2F"/>
    <w:rsid w:val="0042106E"/>
    <w:rsid w:val="0042108D"/>
    <w:rsid w:val="004210C1"/>
    <w:rsid w:val="004210E2"/>
    <w:rsid w:val="0042115A"/>
    <w:rsid w:val="004213A6"/>
    <w:rsid w:val="004213B3"/>
    <w:rsid w:val="004213EA"/>
    <w:rsid w:val="00421425"/>
    <w:rsid w:val="00421427"/>
    <w:rsid w:val="004215BC"/>
    <w:rsid w:val="0042162E"/>
    <w:rsid w:val="004216F2"/>
    <w:rsid w:val="0042170E"/>
    <w:rsid w:val="004217D8"/>
    <w:rsid w:val="0042199F"/>
    <w:rsid w:val="004219C7"/>
    <w:rsid w:val="00421A84"/>
    <w:rsid w:val="00421AE4"/>
    <w:rsid w:val="00421BDB"/>
    <w:rsid w:val="00421D14"/>
    <w:rsid w:val="00421D54"/>
    <w:rsid w:val="00421E7A"/>
    <w:rsid w:val="00421F49"/>
    <w:rsid w:val="00422026"/>
    <w:rsid w:val="004220C3"/>
    <w:rsid w:val="00422132"/>
    <w:rsid w:val="00422175"/>
    <w:rsid w:val="00422273"/>
    <w:rsid w:val="004222E3"/>
    <w:rsid w:val="00422341"/>
    <w:rsid w:val="0042252F"/>
    <w:rsid w:val="0042253D"/>
    <w:rsid w:val="00422700"/>
    <w:rsid w:val="00422797"/>
    <w:rsid w:val="0042287E"/>
    <w:rsid w:val="00422955"/>
    <w:rsid w:val="004229E0"/>
    <w:rsid w:val="00422B5F"/>
    <w:rsid w:val="00422BE0"/>
    <w:rsid w:val="00422DA9"/>
    <w:rsid w:val="00422DB0"/>
    <w:rsid w:val="00422EEF"/>
    <w:rsid w:val="0042300C"/>
    <w:rsid w:val="0042300F"/>
    <w:rsid w:val="00423082"/>
    <w:rsid w:val="00423096"/>
    <w:rsid w:val="00423148"/>
    <w:rsid w:val="00423522"/>
    <w:rsid w:val="00423529"/>
    <w:rsid w:val="0042365A"/>
    <w:rsid w:val="004236B7"/>
    <w:rsid w:val="00423862"/>
    <w:rsid w:val="004239B9"/>
    <w:rsid w:val="00423AA5"/>
    <w:rsid w:val="00423AD6"/>
    <w:rsid w:val="00423C80"/>
    <w:rsid w:val="00423CB8"/>
    <w:rsid w:val="00423D34"/>
    <w:rsid w:val="00423D7E"/>
    <w:rsid w:val="00423E3A"/>
    <w:rsid w:val="0042401B"/>
    <w:rsid w:val="004240EE"/>
    <w:rsid w:val="004240FF"/>
    <w:rsid w:val="00424242"/>
    <w:rsid w:val="0042442D"/>
    <w:rsid w:val="0042445F"/>
    <w:rsid w:val="00424461"/>
    <w:rsid w:val="0042451B"/>
    <w:rsid w:val="00424554"/>
    <w:rsid w:val="004245D6"/>
    <w:rsid w:val="00424706"/>
    <w:rsid w:val="00424841"/>
    <w:rsid w:val="00424A3D"/>
    <w:rsid w:val="00424A4D"/>
    <w:rsid w:val="00424AA0"/>
    <w:rsid w:val="00424AAF"/>
    <w:rsid w:val="00424B96"/>
    <w:rsid w:val="00424CBA"/>
    <w:rsid w:val="00424CBF"/>
    <w:rsid w:val="00424CC5"/>
    <w:rsid w:val="00424D25"/>
    <w:rsid w:val="00424F80"/>
    <w:rsid w:val="00424FEB"/>
    <w:rsid w:val="0042513D"/>
    <w:rsid w:val="00425154"/>
    <w:rsid w:val="0042517B"/>
    <w:rsid w:val="004251A1"/>
    <w:rsid w:val="00425232"/>
    <w:rsid w:val="0042524A"/>
    <w:rsid w:val="0042531E"/>
    <w:rsid w:val="0042547D"/>
    <w:rsid w:val="0042548C"/>
    <w:rsid w:val="00425533"/>
    <w:rsid w:val="0042558A"/>
    <w:rsid w:val="004255B5"/>
    <w:rsid w:val="0042560F"/>
    <w:rsid w:val="00425664"/>
    <w:rsid w:val="004256F9"/>
    <w:rsid w:val="0042578A"/>
    <w:rsid w:val="00425949"/>
    <w:rsid w:val="004259CA"/>
    <w:rsid w:val="00425A00"/>
    <w:rsid w:val="00425AAA"/>
    <w:rsid w:val="00425AB6"/>
    <w:rsid w:val="00425B8D"/>
    <w:rsid w:val="00425C5A"/>
    <w:rsid w:val="00425EB7"/>
    <w:rsid w:val="00425EDD"/>
    <w:rsid w:val="00425EEF"/>
    <w:rsid w:val="00425F8C"/>
    <w:rsid w:val="00425F8E"/>
    <w:rsid w:val="004260CE"/>
    <w:rsid w:val="00426128"/>
    <w:rsid w:val="0042634D"/>
    <w:rsid w:val="00426441"/>
    <w:rsid w:val="004264D9"/>
    <w:rsid w:val="0042655C"/>
    <w:rsid w:val="004266F8"/>
    <w:rsid w:val="00426701"/>
    <w:rsid w:val="00426730"/>
    <w:rsid w:val="0042683D"/>
    <w:rsid w:val="0042686D"/>
    <w:rsid w:val="004268B2"/>
    <w:rsid w:val="004268C9"/>
    <w:rsid w:val="004268F3"/>
    <w:rsid w:val="004268FC"/>
    <w:rsid w:val="00426932"/>
    <w:rsid w:val="004269B9"/>
    <w:rsid w:val="004269BB"/>
    <w:rsid w:val="004269F1"/>
    <w:rsid w:val="00426AA2"/>
    <w:rsid w:val="00426AF2"/>
    <w:rsid w:val="00426B1E"/>
    <w:rsid w:val="00426C9B"/>
    <w:rsid w:val="00426D0F"/>
    <w:rsid w:val="00426D39"/>
    <w:rsid w:val="00426D72"/>
    <w:rsid w:val="00426DE3"/>
    <w:rsid w:val="00426DE8"/>
    <w:rsid w:val="00426EB5"/>
    <w:rsid w:val="00426EE7"/>
    <w:rsid w:val="004271D0"/>
    <w:rsid w:val="00427256"/>
    <w:rsid w:val="004273D5"/>
    <w:rsid w:val="004274C5"/>
    <w:rsid w:val="004275A4"/>
    <w:rsid w:val="004275CE"/>
    <w:rsid w:val="0042760D"/>
    <w:rsid w:val="00427763"/>
    <w:rsid w:val="0042789B"/>
    <w:rsid w:val="00427AA0"/>
    <w:rsid w:val="00427B46"/>
    <w:rsid w:val="00427C83"/>
    <w:rsid w:val="00427CDA"/>
    <w:rsid w:val="00427CDD"/>
    <w:rsid w:val="00427DD0"/>
    <w:rsid w:val="00427F16"/>
    <w:rsid w:val="00427F8D"/>
    <w:rsid w:val="00430200"/>
    <w:rsid w:val="00430455"/>
    <w:rsid w:val="004305DF"/>
    <w:rsid w:val="004305EA"/>
    <w:rsid w:val="00430670"/>
    <w:rsid w:val="004306DA"/>
    <w:rsid w:val="004306E7"/>
    <w:rsid w:val="004306EE"/>
    <w:rsid w:val="00430710"/>
    <w:rsid w:val="00430753"/>
    <w:rsid w:val="004307FA"/>
    <w:rsid w:val="0043088D"/>
    <w:rsid w:val="00430A0F"/>
    <w:rsid w:val="00430B69"/>
    <w:rsid w:val="00430BC9"/>
    <w:rsid w:val="00430BF8"/>
    <w:rsid w:val="00430C65"/>
    <w:rsid w:val="00430D17"/>
    <w:rsid w:val="00430D31"/>
    <w:rsid w:val="00430E0D"/>
    <w:rsid w:val="00430E56"/>
    <w:rsid w:val="00430E92"/>
    <w:rsid w:val="00430EBB"/>
    <w:rsid w:val="00430F0A"/>
    <w:rsid w:val="00431013"/>
    <w:rsid w:val="00431344"/>
    <w:rsid w:val="00431349"/>
    <w:rsid w:val="0043138D"/>
    <w:rsid w:val="00431393"/>
    <w:rsid w:val="004314E1"/>
    <w:rsid w:val="00431805"/>
    <w:rsid w:val="00431871"/>
    <w:rsid w:val="0043188B"/>
    <w:rsid w:val="004319BD"/>
    <w:rsid w:val="004319C6"/>
    <w:rsid w:val="00431A49"/>
    <w:rsid w:val="00431AA7"/>
    <w:rsid w:val="00431BF4"/>
    <w:rsid w:val="00431C46"/>
    <w:rsid w:val="00431CC8"/>
    <w:rsid w:val="00431E2D"/>
    <w:rsid w:val="00431E63"/>
    <w:rsid w:val="00431F3D"/>
    <w:rsid w:val="00431F8D"/>
    <w:rsid w:val="00431FF8"/>
    <w:rsid w:val="00432002"/>
    <w:rsid w:val="00432098"/>
    <w:rsid w:val="004322A3"/>
    <w:rsid w:val="004322B3"/>
    <w:rsid w:val="0043235F"/>
    <w:rsid w:val="0043239A"/>
    <w:rsid w:val="004323B8"/>
    <w:rsid w:val="00432400"/>
    <w:rsid w:val="0043243A"/>
    <w:rsid w:val="004324A1"/>
    <w:rsid w:val="004324EE"/>
    <w:rsid w:val="0043251B"/>
    <w:rsid w:val="00432587"/>
    <w:rsid w:val="00432AA7"/>
    <w:rsid w:val="00432ABE"/>
    <w:rsid w:val="00432ADA"/>
    <w:rsid w:val="00432B29"/>
    <w:rsid w:val="00432D87"/>
    <w:rsid w:val="00432DE6"/>
    <w:rsid w:val="00432EB4"/>
    <w:rsid w:val="0043302E"/>
    <w:rsid w:val="0043302F"/>
    <w:rsid w:val="004330F7"/>
    <w:rsid w:val="0043310F"/>
    <w:rsid w:val="00433126"/>
    <w:rsid w:val="0043328F"/>
    <w:rsid w:val="00433310"/>
    <w:rsid w:val="0043331B"/>
    <w:rsid w:val="00433469"/>
    <w:rsid w:val="00433500"/>
    <w:rsid w:val="0043367F"/>
    <w:rsid w:val="0043368F"/>
    <w:rsid w:val="00433829"/>
    <w:rsid w:val="004338A2"/>
    <w:rsid w:val="00433973"/>
    <w:rsid w:val="004339D8"/>
    <w:rsid w:val="004339E0"/>
    <w:rsid w:val="00433A08"/>
    <w:rsid w:val="00433B17"/>
    <w:rsid w:val="00433B61"/>
    <w:rsid w:val="00433C93"/>
    <w:rsid w:val="00433DBF"/>
    <w:rsid w:val="00433E12"/>
    <w:rsid w:val="00434126"/>
    <w:rsid w:val="00434156"/>
    <w:rsid w:val="00434264"/>
    <w:rsid w:val="00434418"/>
    <w:rsid w:val="00434480"/>
    <w:rsid w:val="00434481"/>
    <w:rsid w:val="00434582"/>
    <w:rsid w:val="004345B0"/>
    <w:rsid w:val="0043462B"/>
    <w:rsid w:val="00434723"/>
    <w:rsid w:val="00434768"/>
    <w:rsid w:val="00434A41"/>
    <w:rsid w:val="00434B19"/>
    <w:rsid w:val="00434C14"/>
    <w:rsid w:val="00434C1F"/>
    <w:rsid w:val="00434E1F"/>
    <w:rsid w:val="00434E68"/>
    <w:rsid w:val="00434ECC"/>
    <w:rsid w:val="00434EDC"/>
    <w:rsid w:val="00434F94"/>
    <w:rsid w:val="00434FE3"/>
    <w:rsid w:val="004351A3"/>
    <w:rsid w:val="00435256"/>
    <w:rsid w:val="004352B0"/>
    <w:rsid w:val="004352BE"/>
    <w:rsid w:val="0043531E"/>
    <w:rsid w:val="004353DF"/>
    <w:rsid w:val="00435424"/>
    <w:rsid w:val="00435436"/>
    <w:rsid w:val="004354E2"/>
    <w:rsid w:val="00435504"/>
    <w:rsid w:val="004355E8"/>
    <w:rsid w:val="0043560C"/>
    <w:rsid w:val="004356CD"/>
    <w:rsid w:val="004356EC"/>
    <w:rsid w:val="00435727"/>
    <w:rsid w:val="0043574E"/>
    <w:rsid w:val="00435788"/>
    <w:rsid w:val="004357C2"/>
    <w:rsid w:val="00435839"/>
    <w:rsid w:val="0043588D"/>
    <w:rsid w:val="0043589B"/>
    <w:rsid w:val="00435A4D"/>
    <w:rsid w:val="00435B47"/>
    <w:rsid w:val="00435B9F"/>
    <w:rsid w:val="00435BCE"/>
    <w:rsid w:val="00435C75"/>
    <w:rsid w:val="00435D73"/>
    <w:rsid w:val="00435EA3"/>
    <w:rsid w:val="00435F4C"/>
    <w:rsid w:val="00435F4E"/>
    <w:rsid w:val="00436097"/>
    <w:rsid w:val="00436133"/>
    <w:rsid w:val="004361DC"/>
    <w:rsid w:val="004361EC"/>
    <w:rsid w:val="0043626B"/>
    <w:rsid w:val="004362F8"/>
    <w:rsid w:val="00436311"/>
    <w:rsid w:val="00436401"/>
    <w:rsid w:val="004364E3"/>
    <w:rsid w:val="0043659E"/>
    <w:rsid w:val="0043661F"/>
    <w:rsid w:val="00436872"/>
    <w:rsid w:val="00436AB4"/>
    <w:rsid w:val="00436B52"/>
    <w:rsid w:val="00436C50"/>
    <w:rsid w:val="00436DCC"/>
    <w:rsid w:val="00436E3F"/>
    <w:rsid w:val="00436E4A"/>
    <w:rsid w:val="00436E51"/>
    <w:rsid w:val="00436E9E"/>
    <w:rsid w:val="00436FB1"/>
    <w:rsid w:val="00437027"/>
    <w:rsid w:val="0043707E"/>
    <w:rsid w:val="0043712C"/>
    <w:rsid w:val="004372A5"/>
    <w:rsid w:val="0043745B"/>
    <w:rsid w:val="004374F6"/>
    <w:rsid w:val="0043770F"/>
    <w:rsid w:val="0043779A"/>
    <w:rsid w:val="0043797F"/>
    <w:rsid w:val="00437A45"/>
    <w:rsid w:val="00437A5C"/>
    <w:rsid w:val="00437BEC"/>
    <w:rsid w:val="00437D19"/>
    <w:rsid w:val="00437D30"/>
    <w:rsid w:val="00437E3B"/>
    <w:rsid w:val="00437F1D"/>
    <w:rsid w:val="0044006A"/>
    <w:rsid w:val="004400D2"/>
    <w:rsid w:val="004401E0"/>
    <w:rsid w:val="00440226"/>
    <w:rsid w:val="00440268"/>
    <w:rsid w:val="00440330"/>
    <w:rsid w:val="0044035D"/>
    <w:rsid w:val="00440376"/>
    <w:rsid w:val="004403AD"/>
    <w:rsid w:val="004403E8"/>
    <w:rsid w:val="00440542"/>
    <w:rsid w:val="00440582"/>
    <w:rsid w:val="004405A8"/>
    <w:rsid w:val="004405C4"/>
    <w:rsid w:val="00440693"/>
    <w:rsid w:val="00440729"/>
    <w:rsid w:val="004408AD"/>
    <w:rsid w:val="00440A0F"/>
    <w:rsid w:val="00440A44"/>
    <w:rsid w:val="00440B20"/>
    <w:rsid w:val="00440BFB"/>
    <w:rsid w:val="00440C3E"/>
    <w:rsid w:val="00440D83"/>
    <w:rsid w:val="00440EB7"/>
    <w:rsid w:val="00440F4A"/>
    <w:rsid w:val="00441094"/>
    <w:rsid w:val="0044116F"/>
    <w:rsid w:val="00441179"/>
    <w:rsid w:val="0044117C"/>
    <w:rsid w:val="00441186"/>
    <w:rsid w:val="0044124A"/>
    <w:rsid w:val="00441251"/>
    <w:rsid w:val="0044127D"/>
    <w:rsid w:val="004412D4"/>
    <w:rsid w:val="0044130E"/>
    <w:rsid w:val="004413D7"/>
    <w:rsid w:val="004413EE"/>
    <w:rsid w:val="0044152D"/>
    <w:rsid w:val="0044161B"/>
    <w:rsid w:val="004417F7"/>
    <w:rsid w:val="00441836"/>
    <w:rsid w:val="0044184B"/>
    <w:rsid w:val="004419CA"/>
    <w:rsid w:val="004419EC"/>
    <w:rsid w:val="00441A72"/>
    <w:rsid w:val="00441B2C"/>
    <w:rsid w:val="00441D82"/>
    <w:rsid w:val="00441F7D"/>
    <w:rsid w:val="0044204B"/>
    <w:rsid w:val="0044210B"/>
    <w:rsid w:val="0044217C"/>
    <w:rsid w:val="00442220"/>
    <w:rsid w:val="00442299"/>
    <w:rsid w:val="00442359"/>
    <w:rsid w:val="0044262F"/>
    <w:rsid w:val="00442644"/>
    <w:rsid w:val="0044264D"/>
    <w:rsid w:val="004426AD"/>
    <w:rsid w:val="004427DE"/>
    <w:rsid w:val="004428CE"/>
    <w:rsid w:val="004429A8"/>
    <w:rsid w:val="00442A95"/>
    <w:rsid w:val="00442ABC"/>
    <w:rsid w:val="00442B39"/>
    <w:rsid w:val="00442C9D"/>
    <w:rsid w:val="00442D60"/>
    <w:rsid w:val="00442DA1"/>
    <w:rsid w:val="00442E56"/>
    <w:rsid w:val="00442F3B"/>
    <w:rsid w:val="00442FA0"/>
    <w:rsid w:val="0044311A"/>
    <w:rsid w:val="00443194"/>
    <w:rsid w:val="00443300"/>
    <w:rsid w:val="004433A2"/>
    <w:rsid w:val="004433B7"/>
    <w:rsid w:val="00443532"/>
    <w:rsid w:val="0044359A"/>
    <w:rsid w:val="004435B3"/>
    <w:rsid w:val="00443640"/>
    <w:rsid w:val="004437FA"/>
    <w:rsid w:val="00443808"/>
    <w:rsid w:val="004439E3"/>
    <w:rsid w:val="004439F6"/>
    <w:rsid w:val="00443B36"/>
    <w:rsid w:val="00443C07"/>
    <w:rsid w:val="00443D04"/>
    <w:rsid w:val="00443D78"/>
    <w:rsid w:val="00443DBA"/>
    <w:rsid w:val="00443E02"/>
    <w:rsid w:val="00443E05"/>
    <w:rsid w:val="00443F03"/>
    <w:rsid w:val="00443F2A"/>
    <w:rsid w:val="00443FC6"/>
    <w:rsid w:val="0044407C"/>
    <w:rsid w:val="00444120"/>
    <w:rsid w:val="0044413A"/>
    <w:rsid w:val="0044422D"/>
    <w:rsid w:val="004442D4"/>
    <w:rsid w:val="004443D6"/>
    <w:rsid w:val="00444498"/>
    <w:rsid w:val="0044454F"/>
    <w:rsid w:val="00444662"/>
    <w:rsid w:val="00444726"/>
    <w:rsid w:val="0044485B"/>
    <w:rsid w:val="00444917"/>
    <w:rsid w:val="0044496F"/>
    <w:rsid w:val="00444AE5"/>
    <w:rsid w:val="00444AF1"/>
    <w:rsid w:val="00444AFE"/>
    <w:rsid w:val="00444B21"/>
    <w:rsid w:val="00444B3B"/>
    <w:rsid w:val="00444E22"/>
    <w:rsid w:val="00444E34"/>
    <w:rsid w:val="00444F44"/>
    <w:rsid w:val="004451E0"/>
    <w:rsid w:val="00445298"/>
    <w:rsid w:val="0044558B"/>
    <w:rsid w:val="00445591"/>
    <w:rsid w:val="004455E2"/>
    <w:rsid w:val="004455FE"/>
    <w:rsid w:val="004456B2"/>
    <w:rsid w:val="004456E9"/>
    <w:rsid w:val="0044575D"/>
    <w:rsid w:val="004457BF"/>
    <w:rsid w:val="0044584E"/>
    <w:rsid w:val="004458FC"/>
    <w:rsid w:val="0044595B"/>
    <w:rsid w:val="004459B2"/>
    <w:rsid w:val="004459E0"/>
    <w:rsid w:val="00445B65"/>
    <w:rsid w:val="00445B6B"/>
    <w:rsid w:val="00445B79"/>
    <w:rsid w:val="00445B9F"/>
    <w:rsid w:val="00445BDB"/>
    <w:rsid w:val="00445BF8"/>
    <w:rsid w:val="00445CA7"/>
    <w:rsid w:val="00445CD3"/>
    <w:rsid w:val="00445CE3"/>
    <w:rsid w:val="00445D79"/>
    <w:rsid w:val="00445E2B"/>
    <w:rsid w:val="00445E7E"/>
    <w:rsid w:val="00446030"/>
    <w:rsid w:val="00446091"/>
    <w:rsid w:val="0044619E"/>
    <w:rsid w:val="004461F3"/>
    <w:rsid w:val="004464C3"/>
    <w:rsid w:val="00446503"/>
    <w:rsid w:val="00446523"/>
    <w:rsid w:val="0044655C"/>
    <w:rsid w:val="0044659F"/>
    <w:rsid w:val="00446834"/>
    <w:rsid w:val="004468CF"/>
    <w:rsid w:val="004468D0"/>
    <w:rsid w:val="00446984"/>
    <w:rsid w:val="00446A11"/>
    <w:rsid w:val="00446AFC"/>
    <w:rsid w:val="00446B24"/>
    <w:rsid w:val="00446B3A"/>
    <w:rsid w:val="00446B8D"/>
    <w:rsid w:val="00446C50"/>
    <w:rsid w:val="00447124"/>
    <w:rsid w:val="004471B8"/>
    <w:rsid w:val="004471DF"/>
    <w:rsid w:val="004472EE"/>
    <w:rsid w:val="0044741A"/>
    <w:rsid w:val="00447501"/>
    <w:rsid w:val="0044756C"/>
    <w:rsid w:val="00447764"/>
    <w:rsid w:val="0044779A"/>
    <w:rsid w:val="004477CD"/>
    <w:rsid w:val="00447860"/>
    <w:rsid w:val="00447889"/>
    <w:rsid w:val="00447954"/>
    <w:rsid w:val="00447969"/>
    <w:rsid w:val="00447995"/>
    <w:rsid w:val="00447B5C"/>
    <w:rsid w:val="00447DA5"/>
    <w:rsid w:val="00447DA8"/>
    <w:rsid w:val="00447DFA"/>
    <w:rsid w:val="00447F87"/>
    <w:rsid w:val="00450035"/>
    <w:rsid w:val="00450054"/>
    <w:rsid w:val="004501B6"/>
    <w:rsid w:val="004501B9"/>
    <w:rsid w:val="00450269"/>
    <w:rsid w:val="004504A6"/>
    <w:rsid w:val="00450502"/>
    <w:rsid w:val="00450588"/>
    <w:rsid w:val="004505E0"/>
    <w:rsid w:val="0045075B"/>
    <w:rsid w:val="004507BF"/>
    <w:rsid w:val="004507D0"/>
    <w:rsid w:val="004508BF"/>
    <w:rsid w:val="004509E3"/>
    <w:rsid w:val="00450A1B"/>
    <w:rsid w:val="00450CFE"/>
    <w:rsid w:val="00450D35"/>
    <w:rsid w:val="00451015"/>
    <w:rsid w:val="004510EF"/>
    <w:rsid w:val="00451126"/>
    <w:rsid w:val="0045115E"/>
    <w:rsid w:val="00451330"/>
    <w:rsid w:val="004513C0"/>
    <w:rsid w:val="004513DB"/>
    <w:rsid w:val="00451437"/>
    <w:rsid w:val="004514A8"/>
    <w:rsid w:val="00451548"/>
    <w:rsid w:val="004515CB"/>
    <w:rsid w:val="004516B9"/>
    <w:rsid w:val="0045171C"/>
    <w:rsid w:val="00451AD9"/>
    <w:rsid w:val="00451B38"/>
    <w:rsid w:val="00451C4C"/>
    <w:rsid w:val="00451C55"/>
    <w:rsid w:val="00451C62"/>
    <w:rsid w:val="00451CC5"/>
    <w:rsid w:val="00451FC0"/>
    <w:rsid w:val="00451FE3"/>
    <w:rsid w:val="00452000"/>
    <w:rsid w:val="0045203D"/>
    <w:rsid w:val="00452126"/>
    <w:rsid w:val="0045213C"/>
    <w:rsid w:val="00452194"/>
    <w:rsid w:val="004521A6"/>
    <w:rsid w:val="0045234B"/>
    <w:rsid w:val="0045239D"/>
    <w:rsid w:val="0045246D"/>
    <w:rsid w:val="004525CD"/>
    <w:rsid w:val="00452656"/>
    <w:rsid w:val="00452734"/>
    <w:rsid w:val="00452A46"/>
    <w:rsid w:val="00452B31"/>
    <w:rsid w:val="00452B56"/>
    <w:rsid w:val="00452BA1"/>
    <w:rsid w:val="00452BAB"/>
    <w:rsid w:val="00452BD2"/>
    <w:rsid w:val="00452C4C"/>
    <w:rsid w:val="00452C4F"/>
    <w:rsid w:val="00452CB1"/>
    <w:rsid w:val="00452CE3"/>
    <w:rsid w:val="00452E10"/>
    <w:rsid w:val="00452E9D"/>
    <w:rsid w:val="00452E9F"/>
    <w:rsid w:val="00452F12"/>
    <w:rsid w:val="00452F5A"/>
    <w:rsid w:val="00453022"/>
    <w:rsid w:val="0045307B"/>
    <w:rsid w:val="00453157"/>
    <w:rsid w:val="004531EE"/>
    <w:rsid w:val="004532D4"/>
    <w:rsid w:val="004532F9"/>
    <w:rsid w:val="004534D4"/>
    <w:rsid w:val="00453504"/>
    <w:rsid w:val="004535D9"/>
    <w:rsid w:val="00453659"/>
    <w:rsid w:val="0045373F"/>
    <w:rsid w:val="0045378D"/>
    <w:rsid w:val="00453909"/>
    <w:rsid w:val="0045396C"/>
    <w:rsid w:val="00453C06"/>
    <w:rsid w:val="00453DDC"/>
    <w:rsid w:val="00453DF0"/>
    <w:rsid w:val="00453EFF"/>
    <w:rsid w:val="00453F21"/>
    <w:rsid w:val="00453F2B"/>
    <w:rsid w:val="00453F7F"/>
    <w:rsid w:val="00453FD6"/>
    <w:rsid w:val="00454260"/>
    <w:rsid w:val="004542A6"/>
    <w:rsid w:val="00454460"/>
    <w:rsid w:val="004544A3"/>
    <w:rsid w:val="004544AE"/>
    <w:rsid w:val="004544C0"/>
    <w:rsid w:val="00454615"/>
    <w:rsid w:val="0045467F"/>
    <w:rsid w:val="004547FD"/>
    <w:rsid w:val="00454853"/>
    <w:rsid w:val="0045487C"/>
    <w:rsid w:val="004548BB"/>
    <w:rsid w:val="004548F9"/>
    <w:rsid w:val="004549A7"/>
    <w:rsid w:val="00454A79"/>
    <w:rsid w:val="00454AC9"/>
    <w:rsid w:val="00454B08"/>
    <w:rsid w:val="00454B83"/>
    <w:rsid w:val="00454C3F"/>
    <w:rsid w:val="00454D0C"/>
    <w:rsid w:val="00454D38"/>
    <w:rsid w:val="00454DD6"/>
    <w:rsid w:val="00454DF9"/>
    <w:rsid w:val="00454ED0"/>
    <w:rsid w:val="00454F13"/>
    <w:rsid w:val="00454F79"/>
    <w:rsid w:val="00454FD6"/>
    <w:rsid w:val="00454FFF"/>
    <w:rsid w:val="0045500A"/>
    <w:rsid w:val="004550D3"/>
    <w:rsid w:val="00455151"/>
    <w:rsid w:val="004551A0"/>
    <w:rsid w:val="004551C2"/>
    <w:rsid w:val="004551C4"/>
    <w:rsid w:val="0045523D"/>
    <w:rsid w:val="004552C0"/>
    <w:rsid w:val="004553C3"/>
    <w:rsid w:val="00455437"/>
    <w:rsid w:val="00455450"/>
    <w:rsid w:val="004554AE"/>
    <w:rsid w:val="0045552D"/>
    <w:rsid w:val="0045557B"/>
    <w:rsid w:val="004555DA"/>
    <w:rsid w:val="00455648"/>
    <w:rsid w:val="0045584B"/>
    <w:rsid w:val="00455968"/>
    <w:rsid w:val="00455AD9"/>
    <w:rsid w:val="00455B5A"/>
    <w:rsid w:val="00455C20"/>
    <w:rsid w:val="00455CEF"/>
    <w:rsid w:val="00455D55"/>
    <w:rsid w:val="00455E52"/>
    <w:rsid w:val="00455F61"/>
    <w:rsid w:val="0045604D"/>
    <w:rsid w:val="004560D4"/>
    <w:rsid w:val="00456148"/>
    <w:rsid w:val="004561C1"/>
    <w:rsid w:val="00456251"/>
    <w:rsid w:val="004563CC"/>
    <w:rsid w:val="00456474"/>
    <w:rsid w:val="004565B5"/>
    <w:rsid w:val="00456666"/>
    <w:rsid w:val="00456782"/>
    <w:rsid w:val="004567AB"/>
    <w:rsid w:val="0045685E"/>
    <w:rsid w:val="0045687F"/>
    <w:rsid w:val="00456888"/>
    <w:rsid w:val="004568DD"/>
    <w:rsid w:val="0045693A"/>
    <w:rsid w:val="00456942"/>
    <w:rsid w:val="0045696F"/>
    <w:rsid w:val="004569C5"/>
    <w:rsid w:val="00456A65"/>
    <w:rsid w:val="00456B87"/>
    <w:rsid w:val="00456BCB"/>
    <w:rsid w:val="00456C0E"/>
    <w:rsid w:val="00456D36"/>
    <w:rsid w:val="00456EEA"/>
    <w:rsid w:val="00457007"/>
    <w:rsid w:val="004570A5"/>
    <w:rsid w:val="00457115"/>
    <w:rsid w:val="00457213"/>
    <w:rsid w:val="00457220"/>
    <w:rsid w:val="004572E6"/>
    <w:rsid w:val="00457383"/>
    <w:rsid w:val="004573B0"/>
    <w:rsid w:val="004576B3"/>
    <w:rsid w:val="004576C4"/>
    <w:rsid w:val="00457714"/>
    <w:rsid w:val="00457861"/>
    <w:rsid w:val="00457882"/>
    <w:rsid w:val="00457938"/>
    <w:rsid w:val="00457966"/>
    <w:rsid w:val="004579AC"/>
    <w:rsid w:val="004579ED"/>
    <w:rsid w:val="004579F1"/>
    <w:rsid w:val="00457A23"/>
    <w:rsid w:val="00457A69"/>
    <w:rsid w:val="00457A9E"/>
    <w:rsid w:val="00457AAE"/>
    <w:rsid w:val="00457C96"/>
    <w:rsid w:val="00457DA1"/>
    <w:rsid w:val="00457E66"/>
    <w:rsid w:val="00457E72"/>
    <w:rsid w:val="00457F26"/>
    <w:rsid w:val="00460021"/>
    <w:rsid w:val="00460048"/>
    <w:rsid w:val="00460051"/>
    <w:rsid w:val="00460181"/>
    <w:rsid w:val="00460242"/>
    <w:rsid w:val="004603FA"/>
    <w:rsid w:val="0046045D"/>
    <w:rsid w:val="0046047B"/>
    <w:rsid w:val="00460517"/>
    <w:rsid w:val="00460653"/>
    <w:rsid w:val="004606E0"/>
    <w:rsid w:val="00460704"/>
    <w:rsid w:val="00460762"/>
    <w:rsid w:val="00460776"/>
    <w:rsid w:val="0046080B"/>
    <w:rsid w:val="004609D6"/>
    <w:rsid w:val="00460A00"/>
    <w:rsid w:val="00460ADD"/>
    <w:rsid w:val="00460C68"/>
    <w:rsid w:val="00460D33"/>
    <w:rsid w:val="00460D7A"/>
    <w:rsid w:val="00460E50"/>
    <w:rsid w:val="004610DD"/>
    <w:rsid w:val="00461105"/>
    <w:rsid w:val="00461241"/>
    <w:rsid w:val="00461311"/>
    <w:rsid w:val="00461322"/>
    <w:rsid w:val="00461403"/>
    <w:rsid w:val="004615C0"/>
    <w:rsid w:val="004615CF"/>
    <w:rsid w:val="00461641"/>
    <w:rsid w:val="0046166C"/>
    <w:rsid w:val="00461723"/>
    <w:rsid w:val="00461725"/>
    <w:rsid w:val="00461776"/>
    <w:rsid w:val="004618E3"/>
    <w:rsid w:val="00461AE2"/>
    <w:rsid w:val="00461B2C"/>
    <w:rsid w:val="00461BEE"/>
    <w:rsid w:val="00461C19"/>
    <w:rsid w:val="00461CEB"/>
    <w:rsid w:val="00461DEA"/>
    <w:rsid w:val="0046202F"/>
    <w:rsid w:val="0046209D"/>
    <w:rsid w:val="00462120"/>
    <w:rsid w:val="004621D4"/>
    <w:rsid w:val="00462255"/>
    <w:rsid w:val="004622A5"/>
    <w:rsid w:val="00462339"/>
    <w:rsid w:val="004623E9"/>
    <w:rsid w:val="004623F7"/>
    <w:rsid w:val="00462487"/>
    <w:rsid w:val="004624DD"/>
    <w:rsid w:val="0046255D"/>
    <w:rsid w:val="00462590"/>
    <w:rsid w:val="0046267C"/>
    <w:rsid w:val="00462831"/>
    <w:rsid w:val="00462944"/>
    <w:rsid w:val="00462954"/>
    <w:rsid w:val="00462A21"/>
    <w:rsid w:val="00462B63"/>
    <w:rsid w:val="00462B7B"/>
    <w:rsid w:val="00462BB1"/>
    <w:rsid w:val="00462CF0"/>
    <w:rsid w:val="00462E1F"/>
    <w:rsid w:val="00462EB5"/>
    <w:rsid w:val="00463025"/>
    <w:rsid w:val="00463073"/>
    <w:rsid w:val="004630AA"/>
    <w:rsid w:val="004630EC"/>
    <w:rsid w:val="00463133"/>
    <w:rsid w:val="0046319C"/>
    <w:rsid w:val="0046324F"/>
    <w:rsid w:val="00463274"/>
    <w:rsid w:val="00463622"/>
    <w:rsid w:val="004636B5"/>
    <w:rsid w:val="00463889"/>
    <w:rsid w:val="00463C28"/>
    <w:rsid w:val="00463C87"/>
    <w:rsid w:val="00463CE1"/>
    <w:rsid w:val="00463DA7"/>
    <w:rsid w:val="00463DF2"/>
    <w:rsid w:val="00463FAA"/>
    <w:rsid w:val="00464048"/>
    <w:rsid w:val="004640AF"/>
    <w:rsid w:val="004640B5"/>
    <w:rsid w:val="0046415A"/>
    <w:rsid w:val="004642C7"/>
    <w:rsid w:val="004642F5"/>
    <w:rsid w:val="00464313"/>
    <w:rsid w:val="00464371"/>
    <w:rsid w:val="00464500"/>
    <w:rsid w:val="00464559"/>
    <w:rsid w:val="0046458D"/>
    <w:rsid w:val="004645FB"/>
    <w:rsid w:val="00464670"/>
    <w:rsid w:val="00464777"/>
    <w:rsid w:val="0046478C"/>
    <w:rsid w:val="00464792"/>
    <w:rsid w:val="0046492F"/>
    <w:rsid w:val="00464AA1"/>
    <w:rsid w:val="00464B0E"/>
    <w:rsid w:val="00464BBB"/>
    <w:rsid w:val="00464CAA"/>
    <w:rsid w:val="00464DDB"/>
    <w:rsid w:val="00464E7C"/>
    <w:rsid w:val="00464F0F"/>
    <w:rsid w:val="00464FD2"/>
    <w:rsid w:val="00465032"/>
    <w:rsid w:val="00465086"/>
    <w:rsid w:val="004650F1"/>
    <w:rsid w:val="00465255"/>
    <w:rsid w:val="004652CF"/>
    <w:rsid w:val="004652FD"/>
    <w:rsid w:val="0046531D"/>
    <w:rsid w:val="0046534D"/>
    <w:rsid w:val="00465353"/>
    <w:rsid w:val="00465360"/>
    <w:rsid w:val="0046539C"/>
    <w:rsid w:val="0046551E"/>
    <w:rsid w:val="0046553F"/>
    <w:rsid w:val="00465926"/>
    <w:rsid w:val="00465929"/>
    <w:rsid w:val="0046593C"/>
    <w:rsid w:val="00465950"/>
    <w:rsid w:val="00465A55"/>
    <w:rsid w:val="00465B2F"/>
    <w:rsid w:val="00465D58"/>
    <w:rsid w:val="00465D5E"/>
    <w:rsid w:val="00465E29"/>
    <w:rsid w:val="00465F19"/>
    <w:rsid w:val="00465F3D"/>
    <w:rsid w:val="00465F7E"/>
    <w:rsid w:val="00465FA1"/>
    <w:rsid w:val="00465FD5"/>
    <w:rsid w:val="00466084"/>
    <w:rsid w:val="00466097"/>
    <w:rsid w:val="004660EF"/>
    <w:rsid w:val="00466286"/>
    <w:rsid w:val="004662E2"/>
    <w:rsid w:val="00466353"/>
    <w:rsid w:val="004665BD"/>
    <w:rsid w:val="00466667"/>
    <w:rsid w:val="00466698"/>
    <w:rsid w:val="004666EC"/>
    <w:rsid w:val="00466707"/>
    <w:rsid w:val="0046671F"/>
    <w:rsid w:val="0046680E"/>
    <w:rsid w:val="0046697F"/>
    <w:rsid w:val="00466B4B"/>
    <w:rsid w:val="00466BA8"/>
    <w:rsid w:val="00466D7C"/>
    <w:rsid w:val="00466D93"/>
    <w:rsid w:val="00466DA2"/>
    <w:rsid w:val="00466DCC"/>
    <w:rsid w:val="00466E79"/>
    <w:rsid w:val="00466E9C"/>
    <w:rsid w:val="00466EBE"/>
    <w:rsid w:val="00466ED2"/>
    <w:rsid w:val="00466FC9"/>
    <w:rsid w:val="00467078"/>
    <w:rsid w:val="0046707E"/>
    <w:rsid w:val="004670FE"/>
    <w:rsid w:val="00467222"/>
    <w:rsid w:val="00467397"/>
    <w:rsid w:val="004673AF"/>
    <w:rsid w:val="00467443"/>
    <w:rsid w:val="00467516"/>
    <w:rsid w:val="0046761B"/>
    <w:rsid w:val="004677BC"/>
    <w:rsid w:val="004677CC"/>
    <w:rsid w:val="0046789F"/>
    <w:rsid w:val="00467A29"/>
    <w:rsid w:val="00467B19"/>
    <w:rsid w:val="00467CA5"/>
    <w:rsid w:val="00467D03"/>
    <w:rsid w:val="00467D25"/>
    <w:rsid w:val="00467D2A"/>
    <w:rsid w:val="00467E7A"/>
    <w:rsid w:val="00467E9F"/>
    <w:rsid w:val="00467EC7"/>
    <w:rsid w:val="00467ECB"/>
    <w:rsid w:val="00467F08"/>
    <w:rsid w:val="00470144"/>
    <w:rsid w:val="0047025F"/>
    <w:rsid w:val="004702CE"/>
    <w:rsid w:val="0047035E"/>
    <w:rsid w:val="004703FD"/>
    <w:rsid w:val="0047041C"/>
    <w:rsid w:val="0047062A"/>
    <w:rsid w:val="00470638"/>
    <w:rsid w:val="0047063A"/>
    <w:rsid w:val="00470694"/>
    <w:rsid w:val="004706A4"/>
    <w:rsid w:val="004706E1"/>
    <w:rsid w:val="0047075C"/>
    <w:rsid w:val="00470799"/>
    <w:rsid w:val="004707E3"/>
    <w:rsid w:val="0047094F"/>
    <w:rsid w:val="00470991"/>
    <w:rsid w:val="00470A04"/>
    <w:rsid w:val="00470AAD"/>
    <w:rsid w:val="00470B6B"/>
    <w:rsid w:val="00470B76"/>
    <w:rsid w:val="00470C84"/>
    <w:rsid w:val="00470CA5"/>
    <w:rsid w:val="00470D2E"/>
    <w:rsid w:val="00470F99"/>
    <w:rsid w:val="00471154"/>
    <w:rsid w:val="0047117C"/>
    <w:rsid w:val="004712DE"/>
    <w:rsid w:val="00471308"/>
    <w:rsid w:val="0047139E"/>
    <w:rsid w:val="004713F8"/>
    <w:rsid w:val="004714E5"/>
    <w:rsid w:val="00471548"/>
    <w:rsid w:val="0047154F"/>
    <w:rsid w:val="004715F5"/>
    <w:rsid w:val="0047161C"/>
    <w:rsid w:val="004716EF"/>
    <w:rsid w:val="00471813"/>
    <w:rsid w:val="00471942"/>
    <w:rsid w:val="00471A03"/>
    <w:rsid w:val="00471A44"/>
    <w:rsid w:val="00471A76"/>
    <w:rsid w:val="00471AE5"/>
    <w:rsid w:val="00471B43"/>
    <w:rsid w:val="00471BC0"/>
    <w:rsid w:val="00471C6D"/>
    <w:rsid w:val="00471C90"/>
    <w:rsid w:val="00471E96"/>
    <w:rsid w:val="00471EA2"/>
    <w:rsid w:val="00471EAE"/>
    <w:rsid w:val="00471EBE"/>
    <w:rsid w:val="00471F77"/>
    <w:rsid w:val="00471FEB"/>
    <w:rsid w:val="004720C5"/>
    <w:rsid w:val="0047214D"/>
    <w:rsid w:val="00472237"/>
    <w:rsid w:val="00472329"/>
    <w:rsid w:val="0047238B"/>
    <w:rsid w:val="004723CA"/>
    <w:rsid w:val="0047242E"/>
    <w:rsid w:val="0047244A"/>
    <w:rsid w:val="004724BF"/>
    <w:rsid w:val="0047264A"/>
    <w:rsid w:val="004726DC"/>
    <w:rsid w:val="004727C1"/>
    <w:rsid w:val="00472859"/>
    <w:rsid w:val="00472902"/>
    <w:rsid w:val="00472966"/>
    <w:rsid w:val="00472B8F"/>
    <w:rsid w:val="00472C22"/>
    <w:rsid w:val="00472C3E"/>
    <w:rsid w:val="00472D1D"/>
    <w:rsid w:val="00472E21"/>
    <w:rsid w:val="00472E38"/>
    <w:rsid w:val="00472E4B"/>
    <w:rsid w:val="00472E66"/>
    <w:rsid w:val="00472EDF"/>
    <w:rsid w:val="00472F28"/>
    <w:rsid w:val="004730FA"/>
    <w:rsid w:val="004731E4"/>
    <w:rsid w:val="0047327D"/>
    <w:rsid w:val="004732E3"/>
    <w:rsid w:val="004733D6"/>
    <w:rsid w:val="00473407"/>
    <w:rsid w:val="00473514"/>
    <w:rsid w:val="004735A6"/>
    <w:rsid w:val="00473614"/>
    <w:rsid w:val="0047361E"/>
    <w:rsid w:val="004736AC"/>
    <w:rsid w:val="004736D9"/>
    <w:rsid w:val="0047379B"/>
    <w:rsid w:val="004737CD"/>
    <w:rsid w:val="004738E8"/>
    <w:rsid w:val="00473A28"/>
    <w:rsid w:val="00473C24"/>
    <w:rsid w:val="00473C68"/>
    <w:rsid w:val="00473D1B"/>
    <w:rsid w:val="00473E06"/>
    <w:rsid w:val="00473FA6"/>
    <w:rsid w:val="00474039"/>
    <w:rsid w:val="00474057"/>
    <w:rsid w:val="0047414B"/>
    <w:rsid w:val="0047414D"/>
    <w:rsid w:val="004741D2"/>
    <w:rsid w:val="00474223"/>
    <w:rsid w:val="0047429E"/>
    <w:rsid w:val="00474421"/>
    <w:rsid w:val="00474428"/>
    <w:rsid w:val="004744CE"/>
    <w:rsid w:val="004744FE"/>
    <w:rsid w:val="00474555"/>
    <w:rsid w:val="00474643"/>
    <w:rsid w:val="00474681"/>
    <w:rsid w:val="00474732"/>
    <w:rsid w:val="00474733"/>
    <w:rsid w:val="004747A2"/>
    <w:rsid w:val="004747AA"/>
    <w:rsid w:val="00474806"/>
    <w:rsid w:val="00474918"/>
    <w:rsid w:val="0047498A"/>
    <w:rsid w:val="00474ADD"/>
    <w:rsid w:val="00474C4D"/>
    <w:rsid w:val="0047504F"/>
    <w:rsid w:val="00475130"/>
    <w:rsid w:val="00475176"/>
    <w:rsid w:val="004751DE"/>
    <w:rsid w:val="0047524D"/>
    <w:rsid w:val="00475343"/>
    <w:rsid w:val="00475398"/>
    <w:rsid w:val="00475681"/>
    <w:rsid w:val="004756AA"/>
    <w:rsid w:val="0047589F"/>
    <w:rsid w:val="00475B01"/>
    <w:rsid w:val="00475B5A"/>
    <w:rsid w:val="00475C1F"/>
    <w:rsid w:val="00475D36"/>
    <w:rsid w:val="00475DF9"/>
    <w:rsid w:val="00475E20"/>
    <w:rsid w:val="00475EBD"/>
    <w:rsid w:val="00475F08"/>
    <w:rsid w:val="00475F48"/>
    <w:rsid w:val="00476074"/>
    <w:rsid w:val="0047616B"/>
    <w:rsid w:val="004761F8"/>
    <w:rsid w:val="0047628E"/>
    <w:rsid w:val="00476388"/>
    <w:rsid w:val="004764A5"/>
    <w:rsid w:val="004764DC"/>
    <w:rsid w:val="0047672D"/>
    <w:rsid w:val="00476739"/>
    <w:rsid w:val="0047677E"/>
    <w:rsid w:val="00476851"/>
    <w:rsid w:val="0047686C"/>
    <w:rsid w:val="004768BB"/>
    <w:rsid w:val="004769CD"/>
    <w:rsid w:val="00476A31"/>
    <w:rsid w:val="00476B78"/>
    <w:rsid w:val="00476BFD"/>
    <w:rsid w:val="00476D7D"/>
    <w:rsid w:val="00476E16"/>
    <w:rsid w:val="00476F5A"/>
    <w:rsid w:val="004770C9"/>
    <w:rsid w:val="004770FC"/>
    <w:rsid w:val="0047711E"/>
    <w:rsid w:val="0047717D"/>
    <w:rsid w:val="00477206"/>
    <w:rsid w:val="00477724"/>
    <w:rsid w:val="00477D82"/>
    <w:rsid w:val="00477DD0"/>
    <w:rsid w:val="00477DE8"/>
    <w:rsid w:val="00477EA2"/>
    <w:rsid w:val="00477F90"/>
    <w:rsid w:val="0048004F"/>
    <w:rsid w:val="00480222"/>
    <w:rsid w:val="0048029E"/>
    <w:rsid w:val="00480320"/>
    <w:rsid w:val="00480346"/>
    <w:rsid w:val="00480368"/>
    <w:rsid w:val="0048039F"/>
    <w:rsid w:val="00480438"/>
    <w:rsid w:val="00480475"/>
    <w:rsid w:val="0048050C"/>
    <w:rsid w:val="00480522"/>
    <w:rsid w:val="00480574"/>
    <w:rsid w:val="00480642"/>
    <w:rsid w:val="004806EE"/>
    <w:rsid w:val="0048081B"/>
    <w:rsid w:val="00480835"/>
    <w:rsid w:val="0048088A"/>
    <w:rsid w:val="0048099A"/>
    <w:rsid w:val="004809ED"/>
    <w:rsid w:val="004809F2"/>
    <w:rsid w:val="00480A66"/>
    <w:rsid w:val="00480AF7"/>
    <w:rsid w:val="00480CB5"/>
    <w:rsid w:val="00480CBC"/>
    <w:rsid w:val="00480EDE"/>
    <w:rsid w:val="00480F4C"/>
    <w:rsid w:val="00480F9D"/>
    <w:rsid w:val="00481081"/>
    <w:rsid w:val="004810F4"/>
    <w:rsid w:val="0048115C"/>
    <w:rsid w:val="00481277"/>
    <w:rsid w:val="004812A2"/>
    <w:rsid w:val="004814E8"/>
    <w:rsid w:val="004815A0"/>
    <w:rsid w:val="004815DD"/>
    <w:rsid w:val="0048161D"/>
    <w:rsid w:val="0048168F"/>
    <w:rsid w:val="00481748"/>
    <w:rsid w:val="00481806"/>
    <w:rsid w:val="00481822"/>
    <w:rsid w:val="00481867"/>
    <w:rsid w:val="00481899"/>
    <w:rsid w:val="004818F5"/>
    <w:rsid w:val="004818FC"/>
    <w:rsid w:val="00481B6C"/>
    <w:rsid w:val="00481BA4"/>
    <w:rsid w:val="00481BF9"/>
    <w:rsid w:val="00481D8E"/>
    <w:rsid w:val="00481DD7"/>
    <w:rsid w:val="00481F4E"/>
    <w:rsid w:val="00481F71"/>
    <w:rsid w:val="004820E5"/>
    <w:rsid w:val="00482102"/>
    <w:rsid w:val="0048214F"/>
    <w:rsid w:val="0048216D"/>
    <w:rsid w:val="00482177"/>
    <w:rsid w:val="004821D7"/>
    <w:rsid w:val="00482243"/>
    <w:rsid w:val="0048232D"/>
    <w:rsid w:val="00482456"/>
    <w:rsid w:val="00482478"/>
    <w:rsid w:val="00482588"/>
    <w:rsid w:val="00482743"/>
    <w:rsid w:val="0048274A"/>
    <w:rsid w:val="00482750"/>
    <w:rsid w:val="0048277D"/>
    <w:rsid w:val="00482794"/>
    <w:rsid w:val="004827DE"/>
    <w:rsid w:val="0048280C"/>
    <w:rsid w:val="00482919"/>
    <w:rsid w:val="00482A52"/>
    <w:rsid w:val="00482AC6"/>
    <w:rsid w:val="00482B9D"/>
    <w:rsid w:val="00482BE8"/>
    <w:rsid w:val="00482CFF"/>
    <w:rsid w:val="00482D5C"/>
    <w:rsid w:val="00482D5F"/>
    <w:rsid w:val="00482DAC"/>
    <w:rsid w:val="00482DF6"/>
    <w:rsid w:val="00482E20"/>
    <w:rsid w:val="00482E73"/>
    <w:rsid w:val="00482F2A"/>
    <w:rsid w:val="00482F3B"/>
    <w:rsid w:val="004830AC"/>
    <w:rsid w:val="0048324A"/>
    <w:rsid w:val="0048325E"/>
    <w:rsid w:val="004833CD"/>
    <w:rsid w:val="00483420"/>
    <w:rsid w:val="004835DE"/>
    <w:rsid w:val="00483798"/>
    <w:rsid w:val="00483A51"/>
    <w:rsid w:val="00483B61"/>
    <w:rsid w:val="00483BEF"/>
    <w:rsid w:val="00483C81"/>
    <w:rsid w:val="00483D33"/>
    <w:rsid w:val="00483DAC"/>
    <w:rsid w:val="00483E1C"/>
    <w:rsid w:val="00483E8D"/>
    <w:rsid w:val="004840D5"/>
    <w:rsid w:val="0048415F"/>
    <w:rsid w:val="0048418C"/>
    <w:rsid w:val="00484196"/>
    <w:rsid w:val="004842F2"/>
    <w:rsid w:val="00484368"/>
    <w:rsid w:val="004843D6"/>
    <w:rsid w:val="004844B6"/>
    <w:rsid w:val="004844E6"/>
    <w:rsid w:val="004844EE"/>
    <w:rsid w:val="0048454A"/>
    <w:rsid w:val="00484581"/>
    <w:rsid w:val="004846E2"/>
    <w:rsid w:val="00484722"/>
    <w:rsid w:val="00484767"/>
    <w:rsid w:val="004849E2"/>
    <w:rsid w:val="004849E5"/>
    <w:rsid w:val="004849E8"/>
    <w:rsid w:val="00484A70"/>
    <w:rsid w:val="00484AC5"/>
    <w:rsid w:val="00484D5D"/>
    <w:rsid w:val="00484DA4"/>
    <w:rsid w:val="00485059"/>
    <w:rsid w:val="00485187"/>
    <w:rsid w:val="00485408"/>
    <w:rsid w:val="00485445"/>
    <w:rsid w:val="004854D9"/>
    <w:rsid w:val="0048560D"/>
    <w:rsid w:val="004856D1"/>
    <w:rsid w:val="004856E1"/>
    <w:rsid w:val="004857E1"/>
    <w:rsid w:val="004857F0"/>
    <w:rsid w:val="004859A5"/>
    <w:rsid w:val="00485AEB"/>
    <w:rsid w:val="00485B0B"/>
    <w:rsid w:val="00485B52"/>
    <w:rsid w:val="00485B99"/>
    <w:rsid w:val="00485C27"/>
    <w:rsid w:val="00485D25"/>
    <w:rsid w:val="0048606E"/>
    <w:rsid w:val="004860A3"/>
    <w:rsid w:val="00486157"/>
    <w:rsid w:val="004862D4"/>
    <w:rsid w:val="004863F2"/>
    <w:rsid w:val="00486520"/>
    <w:rsid w:val="00486578"/>
    <w:rsid w:val="004865FE"/>
    <w:rsid w:val="00486703"/>
    <w:rsid w:val="00486728"/>
    <w:rsid w:val="00486736"/>
    <w:rsid w:val="00486820"/>
    <w:rsid w:val="00486847"/>
    <w:rsid w:val="004869E6"/>
    <w:rsid w:val="00486A4C"/>
    <w:rsid w:val="00486A5E"/>
    <w:rsid w:val="00486A78"/>
    <w:rsid w:val="00486AC2"/>
    <w:rsid w:val="00486B04"/>
    <w:rsid w:val="00486BF4"/>
    <w:rsid w:val="00486DE2"/>
    <w:rsid w:val="00487004"/>
    <w:rsid w:val="00487248"/>
    <w:rsid w:val="0048736A"/>
    <w:rsid w:val="004873C0"/>
    <w:rsid w:val="004873DC"/>
    <w:rsid w:val="004873EB"/>
    <w:rsid w:val="004873FA"/>
    <w:rsid w:val="0048743F"/>
    <w:rsid w:val="00487461"/>
    <w:rsid w:val="0048759D"/>
    <w:rsid w:val="0048764B"/>
    <w:rsid w:val="00487699"/>
    <w:rsid w:val="0048770F"/>
    <w:rsid w:val="0048776C"/>
    <w:rsid w:val="004877C4"/>
    <w:rsid w:val="004878F7"/>
    <w:rsid w:val="00487913"/>
    <w:rsid w:val="0048791F"/>
    <w:rsid w:val="00487A6D"/>
    <w:rsid w:val="00487AA8"/>
    <w:rsid w:val="00487AA9"/>
    <w:rsid w:val="00487B4D"/>
    <w:rsid w:val="00487B92"/>
    <w:rsid w:val="00487BDD"/>
    <w:rsid w:val="00487C13"/>
    <w:rsid w:val="00487C17"/>
    <w:rsid w:val="00487CC9"/>
    <w:rsid w:val="00490010"/>
    <w:rsid w:val="0049069F"/>
    <w:rsid w:val="004907C6"/>
    <w:rsid w:val="00490874"/>
    <w:rsid w:val="004908E2"/>
    <w:rsid w:val="004909FB"/>
    <w:rsid w:val="00490A9C"/>
    <w:rsid w:val="00490AA5"/>
    <w:rsid w:val="00490DFA"/>
    <w:rsid w:val="00490DFF"/>
    <w:rsid w:val="00490E93"/>
    <w:rsid w:val="00490EF1"/>
    <w:rsid w:val="00490F17"/>
    <w:rsid w:val="0049107C"/>
    <w:rsid w:val="00491080"/>
    <w:rsid w:val="00491094"/>
    <w:rsid w:val="0049112F"/>
    <w:rsid w:val="00491217"/>
    <w:rsid w:val="0049124A"/>
    <w:rsid w:val="0049124C"/>
    <w:rsid w:val="00491346"/>
    <w:rsid w:val="0049134E"/>
    <w:rsid w:val="004913AF"/>
    <w:rsid w:val="00491459"/>
    <w:rsid w:val="00491495"/>
    <w:rsid w:val="004914B2"/>
    <w:rsid w:val="0049157E"/>
    <w:rsid w:val="00491603"/>
    <w:rsid w:val="0049160E"/>
    <w:rsid w:val="00491A39"/>
    <w:rsid w:val="00491A91"/>
    <w:rsid w:val="00491B52"/>
    <w:rsid w:val="00491BE8"/>
    <w:rsid w:val="00491BF3"/>
    <w:rsid w:val="00491C18"/>
    <w:rsid w:val="00491CF8"/>
    <w:rsid w:val="00491DF1"/>
    <w:rsid w:val="00491E10"/>
    <w:rsid w:val="00491F2B"/>
    <w:rsid w:val="00491F9D"/>
    <w:rsid w:val="00492028"/>
    <w:rsid w:val="0049203F"/>
    <w:rsid w:val="0049206F"/>
    <w:rsid w:val="00492076"/>
    <w:rsid w:val="0049210C"/>
    <w:rsid w:val="0049217E"/>
    <w:rsid w:val="004921A6"/>
    <w:rsid w:val="004921DF"/>
    <w:rsid w:val="0049222C"/>
    <w:rsid w:val="00492230"/>
    <w:rsid w:val="0049228F"/>
    <w:rsid w:val="004923E7"/>
    <w:rsid w:val="0049249D"/>
    <w:rsid w:val="004925D9"/>
    <w:rsid w:val="00492627"/>
    <w:rsid w:val="0049276C"/>
    <w:rsid w:val="0049291C"/>
    <w:rsid w:val="00492BD3"/>
    <w:rsid w:val="00492C2B"/>
    <w:rsid w:val="00492C36"/>
    <w:rsid w:val="00492D22"/>
    <w:rsid w:val="00492DF8"/>
    <w:rsid w:val="00492E92"/>
    <w:rsid w:val="00493032"/>
    <w:rsid w:val="00493071"/>
    <w:rsid w:val="00493086"/>
    <w:rsid w:val="00493262"/>
    <w:rsid w:val="004932C0"/>
    <w:rsid w:val="0049342B"/>
    <w:rsid w:val="0049348D"/>
    <w:rsid w:val="00493530"/>
    <w:rsid w:val="00493578"/>
    <w:rsid w:val="00493589"/>
    <w:rsid w:val="00493591"/>
    <w:rsid w:val="0049360E"/>
    <w:rsid w:val="00493614"/>
    <w:rsid w:val="004936A1"/>
    <w:rsid w:val="004936AF"/>
    <w:rsid w:val="004936ED"/>
    <w:rsid w:val="004937C8"/>
    <w:rsid w:val="0049386D"/>
    <w:rsid w:val="004939E9"/>
    <w:rsid w:val="00493AC9"/>
    <w:rsid w:val="00493AF9"/>
    <w:rsid w:val="00493C19"/>
    <w:rsid w:val="00493D34"/>
    <w:rsid w:val="00493D59"/>
    <w:rsid w:val="00493E01"/>
    <w:rsid w:val="00493E02"/>
    <w:rsid w:val="00493E2C"/>
    <w:rsid w:val="00493E93"/>
    <w:rsid w:val="00493F10"/>
    <w:rsid w:val="00493F7C"/>
    <w:rsid w:val="00493FD6"/>
    <w:rsid w:val="00493FF8"/>
    <w:rsid w:val="00494298"/>
    <w:rsid w:val="00494411"/>
    <w:rsid w:val="004944D0"/>
    <w:rsid w:val="004944F2"/>
    <w:rsid w:val="0049454F"/>
    <w:rsid w:val="00494578"/>
    <w:rsid w:val="0049476A"/>
    <w:rsid w:val="00494927"/>
    <w:rsid w:val="00494977"/>
    <w:rsid w:val="004949AB"/>
    <w:rsid w:val="00494A4D"/>
    <w:rsid w:val="00494BEF"/>
    <w:rsid w:val="00494CCD"/>
    <w:rsid w:val="00494D2A"/>
    <w:rsid w:val="00494E52"/>
    <w:rsid w:val="00494EC9"/>
    <w:rsid w:val="00494F8B"/>
    <w:rsid w:val="0049502D"/>
    <w:rsid w:val="004951C7"/>
    <w:rsid w:val="0049520A"/>
    <w:rsid w:val="004952E2"/>
    <w:rsid w:val="004952FE"/>
    <w:rsid w:val="004953DF"/>
    <w:rsid w:val="004955A6"/>
    <w:rsid w:val="004955A8"/>
    <w:rsid w:val="00495889"/>
    <w:rsid w:val="004958C4"/>
    <w:rsid w:val="004959AE"/>
    <w:rsid w:val="00495A34"/>
    <w:rsid w:val="00495CAA"/>
    <w:rsid w:val="00495DD2"/>
    <w:rsid w:val="00495F6B"/>
    <w:rsid w:val="00496022"/>
    <w:rsid w:val="0049604A"/>
    <w:rsid w:val="00496053"/>
    <w:rsid w:val="004960BE"/>
    <w:rsid w:val="0049621F"/>
    <w:rsid w:val="0049636B"/>
    <w:rsid w:val="00496455"/>
    <w:rsid w:val="00496627"/>
    <w:rsid w:val="00496647"/>
    <w:rsid w:val="00496665"/>
    <w:rsid w:val="004966EC"/>
    <w:rsid w:val="00496729"/>
    <w:rsid w:val="0049676B"/>
    <w:rsid w:val="00496833"/>
    <w:rsid w:val="0049688F"/>
    <w:rsid w:val="00496905"/>
    <w:rsid w:val="00496AD2"/>
    <w:rsid w:val="00496B7A"/>
    <w:rsid w:val="00496B97"/>
    <w:rsid w:val="00496BB6"/>
    <w:rsid w:val="00496BFD"/>
    <w:rsid w:val="00496C56"/>
    <w:rsid w:val="00496C82"/>
    <w:rsid w:val="00496E4E"/>
    <w:rsid w:val="00496E67"/>
    <w:rsid w:val="0049703A"/>
    <w:rsid w:val="004970DB"/>
    <w:rsid w:val="0049715E"/>
    <w:rsid w:val="00497220"/>
    <w:rsid w:val="00497296"/>
    <w:rsid w:val="004972FD"/>
    <w:rsid w:val="0049742B"/>
    <w:rsid w:val="0049745E"/>
    <w:rsid w:val="00497473"/>
    <w:rsid w:val="004974FB"/>
    <w:rsid w:val="0049751A"/>
    <w:rsid w:val="0049753B"/>
    <w:rsid w:val="00497566"/>
    <w:rsid w:val="00497649"/>
    <w:rsid w:val="0049774B"/>
    <w:rsid w:val="004978AC"/>
    <w:rsid w:val="00497921"/>
    <w:rsid w:val="0049799B"/>
    <w:rsid w:val="004979BE"/>
    <w:rsid w:val="00497A27"/>
    <w:rsid w:val="00497AFA"/>
    <w:rsid w:val="00497D6A"/>
    <w:rsid w:val="00497E1F"/>
    <w:rsid w:val="00497E7C"/>
    <w:rsid w:val="00497E9B"/>
    <w:rsid w:val="00497EC0"/>
    <w:rsid w:val="00497FF1"/>
    <w:rsid w:val="004A0023"/>
    <w:rsid w:val="004A012B"/>
    <w:rsid w:val="004A02A4"/>
    <w:rsid w:val="004A035B"/>
    <w:rsid w:val="004A036F"/>
    <w:rsid w:val="004A0380"/>
    <w:rsid w:val="004A03B0"/>
    <w:rsid w:val="004A03B2"/>
    <w:rsid w:val="004A04C7"/>
    <w:rsid w:val="004A051A"/>
    <w:rsid w:val="004A0520"/>
    <w:rsid w:val="004A0636"/>
    <w:rsid w:val="004A0685"/>
    <w:rsid w:val="004A071E"/>
    <w:rsid w:val="004A0742"/>
    <w:rsid w:val="004A087E"/>
    <w:rsid w:val="004A0934"/>
    <w:rsid w:val="004A095F"/>
    <w:rsid w:val="004A0D17"/>
    <w:rsid w:val="004A0D8A"/>
    <w:rsid w:val="004A0DCC"/>
    <w:rsid w:val="004A0E1C"/>
    <w:rsid w:val="004A0E2B"/>
    <w:rsid w:val="004A0EF5"/>
    <w:rsid w:val="004A0F62"/>
    <w:rsid w:val="004A0FDE"/>
    <w:rsid w:val="004A0FF1"/>
    <w:rsid w:val="004A1036"/>
    <w:rsid w:val="004A11DF"/>
    <w:rsid w:val="004A11EE"/>
    <w:rsid w:val="004A12D3"/>
    <w:rsid w:val="004A1375"/>
    <w:rsid w:val="004A13DF"/>
    <w:rsid w:val="004A13E1"/>
    <w:rsid w:val="004A1549"/>
    <w:rsid w:val="004A1552"/>
    <w:rsid w:val="004A1554"/>
    <w:rsid w:val="004A15B6"/>
    <w:rsid w:val="004A15C2"/>
    <w:rsid w:val="004A16BE"/>
    <w:rsid w:val="004A1861"/>
    <w:rsid w:val="004A1907"/>
    <w:rsid w:val="004A192A"/>
    <w:rsid w:val="004A19C1"/>
    <w:rsid w:val="004A1A98"/>
    <w:rsid w:val="004A1C09"/>
    <w:rsid w:val="004A1DF0"/>
    <w:rsid w:val="004A1DF1"/>
    <w:rsid w:val="004A1E88"/>
    <w:rsid w:val="004A2053"/>
    <w:rsid w:val="004A20D0"/>
    <w:rsid w:val="004A20E9"/>
    <w:rsid w:val="004A2102"/>
    <w:rsid w:val="004A214A"/>
    <w:rsid w:val="004A2156"/>
    <w:rsid w:val="004A24E1"/>
    <w:rsid w:val="004A2508"/>
    <w:rsid w:val="004A26E0"/>
    <w:rsid w:val="004A27C3"/>
    <w:rsid w:val="004A28C9"/>
    <w:rsid w:val="004A28DE"/>
    <w:rsid w:val="004A2B3E"/>
    <w:rsid w:val="004A2D93"/>
    <w:rsid w:val="004A2F1D"/>
    <w:rsid w:val="004A2F4F"/>
    <w:rsid w:val="004A3111"/>
    <w:rsid w:val="004A31B4"/>
    <w:rsid w:val="004A32B5"/>
    <w:rsid w:val="004A32F7"/>
    <w:rsid w:val="004A33A2"/>
    <w:rsid w:val="004A33DB"/>
    <w:rsid w:val="004A3464"/>
    <w:rsid w:val="004A3469"/>
    <w:rsid w:val="004A34F7"/>
    <w:rsid w:val="004A3581"/>
    <w:rsid w:val="004A3686"/>
    <w:rsid w:val="004A381A"/>
    <w:rsid w:val="004A382F"/>
    <w:rsid w:val="004A383E"/>
    <w:rsid w:val="004A3878"/>
    <w:rsid w:val="004A389D"/>
    <w:rsid w:val="004A39C7"/>
    <w:rsid w:val="004A3AB3"/>
    <w:rsid w:val="004A3B54"/>
    <w:rsid w:val="004A3B91"/>
    <w:rsid w:val="004A3C1D"/>
    <w:rsid w:val="004A3C3A"/>
    <w:rsid w:val="004A3DFC"/>
    <w:rsid w:val="004A4025"/>
    <w:rsid w:val="004A4038"/>
    <w:rsid w:val="004A4142"/>
    <w:rsid w:val="004A415D"/>
    <w:rsid w:val="004A415F"/>
    <w:rsid w:val="004A420D"/>
    <w:rsid w:val="004A4387"/>
    <w:rsid w:val="004A4474"/>
    <w:rsid w:val="004A44EC"/>
    <w:rsid w:val="004A4705"/>
    <w:rsid w:val="004A470E"/>
    <w:rsid w:val="004A4815"/>
    <w:rsid w:val="004A4A85"/>
    <w:rsid w:val="004A4AB5"/>
    <w:rsid w:val="004A4BA5"/>
    <w:rsid w:val="004A4C74"/>
    <w:rsid w:val="004A4D1B"/>
    <w:rsid w:val="004A4D74"/>
    <w:rsid w:val="004A4DB2"/>
    <w:rsid w:val="004A4F48"/>
    <w:rsid w:val="004A4FFB"/>
    <w:rsid w:val="004A504C"/>
    <w:rsid w:val="004A507C"/>
    <w:rsid w:val="004A5332"/>
    <w:rsid w:val="004A534F"/>
    <w:rsid w:val="004A5385"/>
    <w:rsid w:val="004A5397"/>
    <w:rsid w:val="004A5445"/>
    <w:rsid w:val="004A5697"/>
    <w:rsid w:val="004A578C"/>
    <w:rsid w:val="004A58C3"/>
    <w:rsid w:val="004A594C"/>
    <w:rsid w:val="004A59E6"/>
    <w:rsid w:val="004A5C17"/>
    <w:rsid w:val="004A5C26"/>
    <w:rsid w:val="004A5D7C"/>
    <w:rsid w:val="004A5DC6"/>
    <w:rsid w:val="004A5DEE"/>
    <w:rsid w:val="004A5EEC"/>
    <w:rsid w:val="004A5F12"/>
    <w:rsid w:val="004A5F2F"/>
    <w:rsid w:val="004A5FEC"/>
    <w:rsid w:val="004A6131"/>
    <w:rsid w:val="004A614E"/>
    <w:rsid w:val="004A615C"/>
    <w:rsid w:val="004A619B"/>
    <w:rsid w:val="004A61A2"/>
    <w:rsid w:val="004A6457"/>
    <w:rsid w:val="004A6470"/>
    <w:rsid w:val="004A6494"/>
    <w:rsid w:val="004A67D1"/>
    <w:rsid w:val="004A6914"/>
    <w:rsid w:val="004A6944"/>
    <w:rsid w:val="004A69CD"/>
    <w:rsid w:val="004A6CE1"/>
    <w:rsid w:val="004A6D36"/>
    <w:rsid w:val="004A6E4C"/>
    <w:rsid w:val="004A6E54"/>
    <w:rsid w:val="004A6E5C"/>
    <w:rsid w:val="004A6E79"/>
    <w:rsid w:val="004A6F73"/>
    <w:rsid w:val="004A700A"/>
    <w:rsid w:val="004A706E"/>
    <w:rsid w:val="004A719B"/>
    <w:rsid w:val="004A7206"/>
    <w:rsid w:val="004A7245"/>
    <w:rsid w:val="004A7262"/>
    <w:rsid w:val="004A7331"/>
    <w:rsid w:val="004A74A3"/>
    <w:rsid w:val="004A7572"/>
    <w:rsid w:val="004A7708"/>
    <w:rsid w:val="004A7A89"/>
    <w:rsid w:val="004A7AA5"/>
    <w:rsid w:val="004A7AA9"/>
    <w:rsid w:val="004A7ABF"/>
    <w:rsid w:val="004A7D20"/>
    <w:rsid w:val="004A7D33"/>
    <w:rsid w:val="004A7DED"/>
    <w:rsid w:val="004A7FE0"/>
    <w:rsid w:val="004B00A5"/>
    <w:rsid w:val="004B02F3"/>
    <w:rsid w:val="004B0594"/>
    <w:rsid w:val="004B05C2"/>
    <w:rsid w:val="004B061D"/>
    <w:rsid w:val="004B06A2"/>
    <w:rsid w:val="004B0869"/>
    <w:rsid w:val="004B0880"/>
    <w:rsid w:val="004B0959"/>
    <w:rsid w:val="004B098F"/>
    <w:rsid w:val="004B0A21"/>
    <w:rsid w:val="004B0AB4"/>
    <w:rsid w:val="004B0B15"/>
    <w:rsid w:val="004B0BFC"/>
    <w:rsid w:val="004B0E14"/>
    <w:rsid w:val="004B0E3D"/>
    <w:rsid w:val="004B0ED4"/>
    <w:rsid w:val="004B0F66"/>
    <w:rsid w:val="004B0F70"/>
    <w:rsid w:val="004B0FE0"/>
    <w:rsid w:val="004B1039"/>
    <w:rsid w:val="004B10BB"/>
    <w:rsid w:val="004B1149"/>
    <w:rsid w:val="004B1372"/>
    <w:rsid w:val="004B14EB"/>
    <w:rsid w:val="004B156E"/>
    <w:rsid w:val="004B15C1"/>
    <w:rsid w:val="004B15FB"/>
    <w:rsid w:val="004B160B"/>
    <w:rsid w:val="004B161F"/>
    <w:rsid w:val="004B168D"/>
    <w:rsid w:val="004B17D8"/>
    <w:rsid w:val="004B1825"/>
    <w:rsid w:val="004B1903"/>
    <w:rsid w:val="004B19DF"/>
    <w:rsid w:val="004B1B02"/>
    <w:rsid w:val="004B1B63"/>
    <w:rsid w:val="004B1BB1"/>
    <w:rsid w:val="004B1CA3"/>
    <w:rsid w:val="004B1CE8"/>
    <w:rsid w:val="004B1D8D"/>
    <w:rsid w:val="004B1E40"/>
    <w:rsid w:val="004B2005"/>
    <w:rsid w:val="004B21AF"/>
    <w:rsid w:val="004B2221"/>
    <w:rsid w:val="004B2278"/>
    <w:rsid w:val="004B2360"/>
    <w:rsid w:val="004B2581"/>
    <w:rsid w:val="004B2593"/>
    <w:rsid w:val="004B2597"/>
    <w:rsid w:val="004B26FD"/>
    <w:rsid w:val="004B271E"/>
    <w:rsid w:val="004B27A0"/>
    <w:rsid w:val="004B2954"/>
    <w:rsid w:val="004B2B29"/>
    <w:rsid w:val="004B2C40"/>
    <w:rsid w:val="004B304F"/>
    <w:rsid w:val="004B31E4"/>
    <w:rsid w:val="004B3303"/>
    <w:rsid w:val="004B33AA"/>
    <w:rsid w:val="004B33C6"/>
    <w:rsid w:val="004B340B"/>
    <w:rsid w:val="004B34DB"/>
    <w:rsid w:val="004B34DE"/>
    <w:rsid w:val="004B34EC"/>
    <w:rsid w:val="004B353B"/>
    <w:rsid w:val="004B3570"/>
    <w:rsid w:val="004B3589"/>
    <w:rsid w:val="004B3651"/>
    <w:rsid w:val="004B36F8"/>
    <w:rsid w:val="004B398D"/>
    <w:rsid w:val="004B3B6E"/>
    <w:rsid w:val="004B3D6D"/>
    <w:rsid w:val="004B3DEC"/>
    <w:rsid w:val="004B3E77"/>
    <w:rsid w:val="004B3EE2"/>
    <w:rsid w:val="004B3EEE"/>
    <w:rsid w:val="004B3F5E"/>
    <w:rsid w:val="004B3FF8"/>
    <w:rsid w:val="004B41B7"/>
    <w:rsid w:val="004B41D2"/>
    <w:rsid w:val="004B41D5"/>
    <w:rsid w:val="004B4255"/>
    <w:rsid w:val="004B4294"/>
    <w:rsid w:val="004B438C"/>
    <w:rsid w:val="004B4412"/>
    <w:rsid w:val="004B4438"/>
    <w:rsid w:val="004B4476"/>
    <w:rsid w:val="004B45A0"/>
    <w:rsid w:val="004B4715"/>
    <w:rsid w:val="004B4823"/>
    <w:rsid w:val="004B487D"/>
    <w:rsid w:val="004B488D"/>
    <w:rsid w:val="004B4926"/>
    <w:rsid w:val="004B4A34"/>
    <w:rsid w:val="004B4AD6"/>
    <w:rsid w:val="004B4B4E"/>
    <w:rsid w:val="004B4BDC"/>
    <w:rsid w:val="004B4C01"/>
    <w:rsid w:val="004B4D01"/>
    <w:rsid w:val="004B4D1F"/>
    <w:rsid w:val="004B4D65"/>
    <w:rsid w:val="004B4D78"/>
    <w:rsid w:val="004B4DD6"/>
    <w:rsid w:val="004B4E99"/>
    <w:rsid w:val="004B516C"/>
    <w:rsid w:val="004B51EB"/>
    <w:rsid w:val="004B53FF"/>
    <w:rsid w:val="004B54AC"/>
    <w:rsid w:val="004B54BC"/>
    <w:rsid w:val="004B5723"/>
    <w:rsid w:val="004B57D4"/>
    <w:rsid w:val="004B584B"/>
    <w:rsid w:val="004B5995"/>
    <w:rsid w:val="004B5B67"/>
    <w:rsid w:val="004B5C2C"/>
    <w:rsid w:val="004B5E71"/>
    <w:rsid w:val="004B5E9F"/>
    <w:rsid w:val="004B5FA4"/>
    <w:rsid w:val="004B5FBD"/>
    <w:rsid w:val="004B603B"/>
    <w:rsid w:val="004B6097"/>
    <w:rsid w:val="004B60AA"/>
    <w:rsid w:val="004B6159"/>
    <w:rsid w:val="004B618A"/>
    <w:rsid w:val="004B620B"/>
    <w:rsid w:val="004B623F"/>
    <w:rsid w:val="004B6258"/>
    <w:rsid w:val="004B6349"/>
    <w:rsid w:val="004B6365"/>
    <w:rsid w:val="004B64BF"/>
    <w:rsid w:val="004B6858"/>
    <w:rsid w:val="004B685B"/>
    <w:rsid w:val="004B68DD"/>
    <w:rsid w:val="004B69A4"/>
    <w:rsid w:val="004B69DD"/>
    <w:rsid w:val="004B6B19"/>
    <w:rsid w:val="004B6D21"/>
    <w:rsid w:val="004B6ED4"/>
    <w:rsid w:val="004B6FBF"/>
    <w:rsid w:val="004B6FDE"/>
    <w:rsid w:val="004B715F"/>
    <w:rsid w:val="004B7324"/>
    <w:rsid w:val="004B7334"/>
    <w:rsid w:val="004B73F4"/>
    <w:rsid w:val="004B759E"/>
    <w:rsid w:val="004B760F"/>
    <w:rsid w:val="004B763B"/>
    <w:rsid w:val="004B7665"/>
    <w:rsid w:val="004B7840"/>
    <w:rsid w:val="004B7849"/>
    <w:rsid w:val="004B789F"/>
    <w:rsid w:val="004B7950"/>
    <w:rsid w:val="004B796B"/>
    <w:rsid w:val="004B7A02"/>
    <w:rsid w:val="004B7A52"/>
    <w:rsid w:val="004B7BCA"/>
    <w:rsid w:val="004B7C24"/>
    <w:rsid w:val="004B7C88"/>
    <w:rsid w:val="004B7F11"/>
    <w:rsid w:val="004B7F9B"/>
    <w:rsid w:val="004B7FED"/>
    <w:rsid w:val="004C00AE"/>
    <w:rsid w:val="004C020F"/>
    <w:rsid w:val="004C021D"/>
    <w:rsid w:val="004C02B8"/>
    <w:rsid w:val="004C036C"/>
    <w:rsid w:val="004C03A1"/>
    <w:rsid w:val="004C0550"/>
    <w:rsid w:val="004C05AF"/>
    <w:rsid w:val="004C05E2"/>
    <w:rsid w:val="004C05F4"/>
    <w:rsid w:val="004C0694"/>
    <w:rsid w:val="004C06D8"/>
    <w:rsid w:val="004C077E"/>
    <w:rsid w:val="004C07F6"/>
    <w:rsid w:val="004C082E"/>
    <w:rsid w:val="004C093E"/>
    <w:rsid w:val="004C09A7"/>
    <w:rsid w:val="004C0A9A"/>
    <w:rsid w:val="004C0C67"/>
    <w:rsid w:val="004C0D42"/>
    <w:rsid w:val="004C0E38"/>
    <w:rsid w:val="004C0F4B"/>
    <w:rsid w:val="004C0F4C"/>
    <w:rsid w:val="004C10A9"/>
    <w:rsid w:val="004C11FB"/>
    <w:rsid w:val="004C1347"/>
    <w:rsid w:val="004C13AE"/>
    <w:rsid w:val="004C1520"/>
    <w:rsid w:val="004C1551"/>
    <w:rsid w:val="004C1684"/>
    <w:rsid w:val="004C179F"/>
    <w:rsid w:val="004C17B6"/>
    <w:rsid w:val="004C1812"/>
    <w:rsid w:val="004C182B"/>
    <w:rsid w:val="004C186C"/>
    <w:rsid w:val="004C18A1"/>
    <w:rsid w:val="004C194D"/>
    <w:rsid w:val="004C1967"/>
    <w:rsid w:val="004C19D6"/>
    <w:rsid w:val="004C1A38"/>
    <w:rsid w:val="004C1A3B"/>
    <w:rsid w:val="004C1B3D"/>
    <w:rsid w:val="004C1B6F"/>
    <w:rsid w:val="004C1CDC"/>
    <w:rsid w:val="004C1D13"/>
    <w:rsid w:val="004C1D86"/>
    <w:rsid w:val="004C1DAD"/>
    <w:rsid w:val="004C1DF8"/>
    <w:rsid w:val="004C1E85"/>
    <w:rsid w:val="004C1EE4"/>
    <w:rsid w:val="004C21B7"/>
    <w:rsid w:val="004C22E4"/>
    <w:rsid w:val="004C2390"/>
    <w:rsid w:val="004C240D"/>
    <w:rsid w:val="004C241D"/>
    <w:rsid w:val="004C2575"/>
    <w:rsid w:val="004C2616"/>
    <w:rsid w:val="004C27B6"/>
    <w:rsid w:val="004C28F7"/>
    <w:rsid w:val="004C296D"/>
    <w:rsid w:val="004C29A8"/>
    <w:rsid w:val="004C29C3"/>
    <w:rsid w:val="004C2AC4"/>
    <w:rsid w:val="004C2CAE"/>
    <w:rsid w:val="004C2DCC"/>
    <w:rsid w:val="004C2E1D"/>
    <w:rsid w:val="004C2E98"/>
    <w:rsid w:val="004C2ED0"/>
    <w:rsid w:val="004C2FFB"/>
    <w:rsid w:val="004C3020"/>
    <w:rsid w:val="004C30C9"/>
    <w:rsid w:val="004C317C"/>
    <w:rsid w:val="004C32D5"/>
    <w:rsid w:val="004C3308"/>
    <w:rsid w:val="004C337D"/>
    <w:rsid w:val="004C33AC"/>
    <w:rsid w:val="004C345F"/>
    <w:rsid w:val="004C34D6"/>
    <w:rsid w:val="004C3669"/>
    <w:rsid w:val="004C3760"/>
    <w:rsid w:val="004C377B"/>
    <w:rsid w:val="004C37E3"/>
    <w:rsid w:val="004C37F0"/>
    <w:rsid w:val="004C37FC"/>
    <w:rsid w:val="004C38F9"/>
    <w:rsid w:val="004C3987"/>
    <w:rsid w:val="004C3991"/>
    <w:rsid w:val="004C3ACE"/>
    <w:rsid w:val="004C3C18"/>
    <w:rsid w:val="004C3C66"/>
    <w:rsid w:val="004C3D5B"/>
    <w:rsid w:val="004C3D78"/>
    <w:rsid w:val="004C3D83"/>
    <w:rsid w:val="004C3E40"/>
    <w:rsid w:val="004C3ED9"/>
    <w:rsid w:val="004C3F30"/>
    <w:rsid w:val="004C4024"/>
    <w:rsid w:val="004C4144"/>
    <w:rsid w:val="004C4265"/>
    <w:rsid w:val="004C426C"/>
    <w:rsid w:val="004C42D7"/>
    <w:rsid w:val="004C45BA"/>
    <w:rsid w:val="004C469F"/>
    <w:rsid w:val="004C474B"/>
    <w:rsid w:val="004C47D0"/>
    <w:rsid w:val="004C4821"/>
    <w:rsid w:val="004C48D4"/>
    <w:rsid w:val="004C4C53"/>
    <w:rsid w:val="004C4CF3"/>
    <w:rsid w:val="004C4D0F"/>
    <w:rsid w:val="004C4D21"/>
    <w:rsid w:val="004C4D88"/>
    <w:rsid w:val="004C4F2A"/>
    <w:rsid w:val="004C501E"/>
    <w:rsid w:val="004C52A0"/>
    <w:rsid w:val="004C52FC"/>
    <w:rsid w:val="004C5520"/>
    <w:rsid w:val="004C5570"/>
    <w:rsid w:val="004C56CD"/>
    <w:rsid w:val="004C56EF"/>
    <w:rsid w:val="004C5773"/>
    <w:rsid w:val="004C57D5"/>
    <w:rsid w:val="004C59CC"/>
    <w:rsid w:val="004C59CD"/>
    <w:rsid w:val="004C59EC"/>
    <w:rsid w:val="004C5E04"/>
    <w:rsid w:val="004C5E71"/>
    <w:rsid w:val="004C5E78"/>
    <w:rsid w:val="004C5F58"/>
    <w:rsid w:val="004C5FF9"/>
    <w:rsid w:val="004C600D"/>
    <w:rsid w:val="004C61BD"/>
    <w:rsid w:val="004C61DE"/>
    <w:rsid w:val="004C620C"/>
    <w:rsid w:val="004C6489"/>
    <w:rsid w:val="004C6595"/>
    <w:rsid w:val="004C6650"/>
    <w:rsid w:val="004C66F0"/>
    <w:rsid w:val="004C67E1"/>
    <w:rsid w:val="004C67FB"/>
    <w:rsid w:val="004C686D"/>
    <w:rsid w:val="004C69EF"/>
    <w:rsid w:val="004C6A2F"/>
    <w:rsid w:val="004C6A79"/>
    <w:rsid w:val="004C6A7E"/>
    <w:rsid w:val="004C6AE4"/>
    <w:rsid w:val="004C6CA4"/>
    <w:rsid w:val="004C6CC6"/>
    <w:rsid w:val="004C6E1E"/>
    <w:rsid w:val="004C6EA6"/>
    <w:rsid w:val="004C6F2E"/>
    <w:rsid w:val="004C6F3A"/>
    <w:rsid w:val="004C6F74"/>
    <w:rsid w:val="004C6F90"/>
    <w:rsid w:val="004C708C"/>
    <w:rsid w:val="004C70FD"/>
    <w:rsid w:val="004C7169"/>
    <w:rsid w:val="004C7184"/>
    <w:rsid w:val="004C72E6"/>
    <w:rsid w:val="004C7362"/>
    <w:rsid w:val="004C7452"/>
    <w:rsid w:val="004C745E"/>
    <w:rsid w:val="004C74B6"/>
    <w:rsid w:val="004C7530"/>
    <w:rsid w:val="004C758D"/>
    <w:rsid w:val="004C761A"/>
    <w:rsid w:val="004C7637"/>
    <w:rsid w:val="004C76BB"/>
    <w:rsid w:val="004C7795"/>
    <w:rsid w:val="004C77CE"/>
    <w:rsid w:val="004C7904"/>
    <w:rsid w:val="004C7968"/>
    <w:rsid w:val="004C7B3D"/>
    <w:rsid w:val="004C7BB0"/>
    <w:rsid w:val="004C7C5D"/>
    <w:rsid w:val="004C7CC4"/>
    <w:rsid w:val="004C7CFF"/>
    <w:rsid w:val="004C7D25"/>
    <w:rsid w:val="004C7DA1"/>
    <w:rsid w:val="004C7DD0"/>
    <w:rsid w:val="004C7DDB"/>
    <w:rsid w:val="004C7E68"/>
    <w:rsid w:val="004C7F02"/>
    <w:rsid w:val="004C7FA7"/>
    <w:rsid w:val="004D000F"/>
    <w:rsid w:val="004D004A"/>
    <w:rsid w:val="004D01FD"/>
    <w:rsid w:val="004D023D"/>
    <w:rsid w:val="004D02CB"/>
    <w:rsid w:val="004D02DE"/>
    <w:rsid w:val="004D032B"/>
    <w:rsid w:val="004D033A"/>
    <w:rsid w:val="004D06D1"/>
    <w:rsid w:val="004D086D"/>
    <w:rsid w:val="004D093E"/>
    <w:rsid w:val="004D0D1A"/>
    <w:rsid w:val="004D0D22"/>
    <w:rsid w:val="004D0D57"/>
    <w:rsid w:val="004D0D8B"/>
    <w:rsid w:val="004D0E53"/>
    <w:rsid w:val="004D0EA4"/>
    <w:rsid w:val="004D0EB5"/>
    <w:rsid w:val="004D0F85"/>
    <w:rsid w:val="004D1113"/>
    <w:rsid w:val="004D1308"/>
    <w:rsid w:val="004D1395"/>
    <w:rsid w:val="004D1416"/>
    <w:rsid w:val="004D159E"/>
    <w:rsid w:val="004D16B3"/>
    <w:rsid w:val="004D16C4"/>
    <w:rsid w:val="004D1762"/>
    <w:rsid w:val="004D181B"/>
    <w:rsid w:val="004D1825"/>
    <w:rsid w:val="004D186B"/>
    <w:rsid w:val="004D1A5D"/>
    <w:rsid w:val="004D1B93"/>
    <w:rsid w:val="004D1BAA"/>
    <w:rsid w:val="004D1BED"/>
    <w:rsid w:val="004D1BFF"/>
    <w:rsid w:val="004D1C46"/>
    <w:rsid w:val="004D1C67"/>
    <w:rsid w:val="004D1D30"/>
    <w:rsid w:val="004D1F57"/>
    <w:rsid w:val="004D2117"/>
    <w:rsid w:val="004D21C7"/>
    <w:rsid w:val="004D21FE"/>
    <w:rsid w:val="004D22AB"/>
    <w:rsid w:val="004D2324"/>
    <w:rsid w:val="004D2399"/>
    <w:rsid w:val="004D2443"/>
    <w:rsid w:val="004D2479"/>
    <w:rsid w:val="004D261E"/>
    <w:rsid w:val="004D264F"/>
    <w:rsid w:val="004D28A5"/>
    <w:rsid w:val="004D2911"/>
    <w:rsid w:val="004D2AB7"/>
    <w:rsid w:val="004D2ABC"/>
    <w:rsid w:val="004D2B81"/>
    <w:rsid w:val="004D2D23"/>
    <w:rsid w:val="004D2D6F"/>
    <w:rsid w:val="004D2E40"/>
    <w:rsid w:val="004D3040"/>
    <w:rsid w:val="004D3198"/>
    <w:rsid w:val="004D3229"/>
    <w:rsid w:val="004D324F"/>
    <w:rsid w:val="004D330E"/>
    <w:rsid w:val="004D3320"/>
    <w:rsid w:val="004D3426"/>
    <w:rsid w:val="004D3580"/>
    <w:rsid w:val="004D35E1"/>
    <w:rsid w:val="004D3649"/>
    <w:rsid w:val="004D37AD"/>
    <w:rsid w:val="004D394D"/>
    <w:rsid w:val="004D397E"/>
    <w:rsid w:val="004D3A12"/>
    <w:rsid w:val="004D3B1B"/>
    <w:rsid w:val="004D3B32"/>
    <w:rsid w:val="004D3CE0"/>
    <w:rsid w:val="004D3D27"/>
    <w:rsid w:val="004D3D62"/>
    <w:rsid w:val="004D3DF6"/>
    <w:rsid w:val="004D408B"/>
    <w:rsid w:val="004D40C5"/>
    <w:rsid w:val="004D4148"/>
    <w:rsid w:val="004D4184"/>
    <w:rsid w:val="004D418E"/>
    <w:rsid w:val="004D41D7"/>
    <w:rsid w:val="004D4206"/>
    <w:rsid w:val="004D437A"/>
    <w:rsid w:val="004D4480"/>
    <w:rsid w:val="004D4494"/>
    <w:rsid w:val="004D44E1"/>
    <w:rsid w:val="004D453E"/>
    <w:rsid w:val="004D4587"/>
    <w:rsid w:val="004D4711"/>
    <w:rsid w:val="004D481E"/>
    <w:rsid w:val="004D4821"/>
    <w:rsid w:val="004D4841"/>
    <w:rsid w:val="004D48CC"/>
    <w:rsid w:val="004D49FC"/>
    <w:rsid w:val="004D4B6F"/>
    <w:rsid w:val="004D4BB5"/>
    <w:rsid w:val="004D4C2E"/>
    <w:rsid w:val="004D4C9A"/>
    <w:rsid w:val="004D4CFD"/>
    <w:rsid w:val="004D4D13"/>
    <w:rsid w:val="004D4D7B"/>
    <w:rsid w:val="004D4E4B"/>
    <w:rsid w:val="004D4EAA"/>
    <w:rsid w:val="004D515D"/>
    <w:rsid w:val="004D5278"/>
    <w:rsid w:val="004D52A1"/>
    <w:rsid w:val="004D5493"/>
    <w:rsid w:val="004D54F8"/>
    <w:rsid w:val="004D5504"/>
    <w:rsid w:val="004D5580"/>
    <w:rsid w:val="004D576D"/>
    <w:rsid w:val="004D57C2"/>
    <w:rsid w:val="004D5809"/>
    <w:rsid w:val="004D588A"/>
    <w:rsid w:val="004D589D"/>
    <w:rsid w:val="004D58E4"/>
    <w:rsid w:val="004D5A21"/>
    <w:rsid w:val="004D5A4D"/>
    <w:rsid w:val="004D5B1B"/>
    <w:rsid w:val="004D5B3A"/>
    <w:rsid w:val="004D5BFC"/>
    <w:rsid w:val="004D5C35"/>
    <w:rsid w:val="004D5C3B"/>
    <w:rsid w:val="004D5D0F"/>
    <w:rsid w:val="004D5DA8"/>
    <w:rsid w:val="004D5DB2"/>
    <w:rsid w:val="004D5E87"/>
    <w:rsid w:val="004D5EC2"/>
    <w:rsid w:val="004D5EDF"/>
    <w:rsid w:val="004D5EEA"/>
    <w:rsid w:val="004D5EF0"/>
    <w:rsid w:val="004D5FD5"/>
    <w:rsid w:val="004D60F6"/>
    <w:rsid w:val="004D6131"/>
    <w:rsid w:val="004D6145"/>
    <w:rsid w:val="004D6148"/>
    <w:rsid w:val="004D6372"/>
    <w:rsid w:val="004D63F9"/>
    <w:rsid w:val="004D6425"/>
    <w:rsid w:val="004D6427"/>
    <w:rsid w:val="004D65CB"/>
    <w:rsid w:val="004D65D5"/>
    <w:rsid w:val="004D6619"/>
    <w:rsid w:val="004D665A"/>
    <w:rsid w:val="004D671B"/>
    <w:rsid w:val="004D695B"/>
    <w:rsid w:val="004D6988"/>
    <w:rsid w:val="004D6A43"/>
    <w:rsid w:val="004D6AA8"/>
    <w:rsid w:val="004D6AE5"/>
    <w:rsid w:val="004D6B1C"/>
    <w:rsid w:val="004D6B27"/>
    <w:rsid w:val="004D6CE5"/>
    <w:rsid w:val="004D6D17"/>
    <w:rsid w:val="004D6E06"/>
    <w:rsid w:val="004D6E11"/>
    <w:rsid w:val="004D6FE6"/>
    <w:rsid w:val="004D7022"/>
    <w:rsid w:val="004D7057"/>
    <w:rsid w:val="004D71DA"/>
    <w:rsid w:val="004D72CA"/>
    <w:rsid w:val="004D74FC"/>
    <w:rsid w:val="004D75BC"/>
    <w:rsid w:val="004D766E"/>
    <w:rsid w:val="004D76F3"/>
    <w:rsid w:val="004D77A8"/>
    <w:rsid w:val="004D7889"/>
    <w:rsid w:val="004D793B"/>
    <w:rsid w:val="004D79F9"/>
    <w:rsid w:val="004D79FE"/>
    <w:rsid w:val="004D7A51"/>
    <w:rsid w:val="004D7A8D"/>
    <w:rsid w:val="004D7C15"/>
    <w:rsid w:val="004D7D07"/>
    <w:rsid w:val="004D7D79"/>
    <w:rsid w:val="004D7E41"/>
    <w:rsid w:val="004D7FA7"/>
    <w:rsid w:val="004E0071"/>
    <w:rsid w:val="004E0204"/>
    <w:rsid w:val="004E0405"/>
    <w:rsid w:val="004E0467"/>
    <w:rsid w:val="004E06A4"/>
    <w:rsid w:val="004E06B9"/>
    <w:rsid w:val="004E0711"/>
    <w:rsid w:val="004E0748"/>
    <w:rsid w:val="004E07B4"/>
    <w:rsid w:val="004E07D2"/>
    <w:rsid w:val="004E086B"/>
    <w:rsid w:val="004E092C"/>
    <w:rsid w:val="004E093D"/>
    <w:rsid w:val="004E09DC"/>
    <w:rsid w:val="004E0AE4"/>
    <w:rsid w:val="004E0BAF"/>
    <w:rsid w:val="004E0D3E"/>
    <w:rsid w:val="004E0E7E"/>
    <w:rsid w:val="004E0E84"/>
    <w:rsid w:val="004E0E91"/>
    <w:rsid w:val="004E0EBF"/>
    <w:rsid w:val="004E1323"/>
    <w:rsid w:val="004E149D"/>
    <w:rsid w:val="004E1519"/>
    <w:rsid w:val="004E1741"/>
    <w:rsid w:val="004E1744"/>
    <w:rsid w:val="004E19A8"/>
    <w:rsid w:val="004E1A41"/>
    <w:rsid w:val="004E1A90"/>
    <w:rsid w:val="004E1AA7"/>
    <w:rsid w:val="004E1AFE"/>
    <w:rsid w:val="004E1C04"/>
    <w:rsid w:val="004E1D53"/>
    <w:rsid w:val="004E1D8B"/>
    <w:rsid w:val="004E1E78"/>
    <w:rsid w:val="004E1E86"/>
    <w:rsid w:val="004E1F4F"/>
    <w:rsid w:val="004E1F9D"/>
    <w:rsid w:val="004E206A"/>
    <w:rsid w:val="004E20AE"/>
    <w:rsid w:val="004E20BB"/>
    <w:rsid w:val="004E20C4"/>
    <w:rsid w:val="004E20FD"/>
    <w:rsid w:val="004E2121"/>
    <w:rsid w:val="004E2131"/>
    <w:rsid w:val="004E2220"/>
    <w:rsid w:val="004E2223"/>
    <w:rsid w:val="004E2247"/>
    <w:rsid w:val="004E259A"/>
    <w:rsid w:val="004E2631"/>
    <w:rsid w:val="004E273E"/>
    <w:rsid w:val="004E2843"/>
    <w:rsid w:val="004E289A"/>
    <w:rsid w:val="004E2A12"/>
    <w:rsid w:val="004E2A19"/>
    <w:rsid w:val="004E2B33"/>
    <w:rsid w:val="004E2C55"/>
    <w:rsid w:val="004E2C5B"/>
    <w:rsid w:val="004E2C73"/>
    <w:rsid w:val="004E2DE9"/>
    <w:rsid w:val="004E2E4E"/>
    <w:rsid w:val="004E2FAB"/>
    <w:rsid w:val="004E30BB"/>
    <w:rsid w:val="004E30EF"/>
    <w:rsid w:val="004E3179"/>
    <w:rsid w:val="004E3184"/>
    <w:rsid w:val="004E330D"/>
    <w:rsid w:val="004E34A7"/>
    <w:rsid w:val="004E3501"/>
    <w:rsid w:val="004E3775"/>
    <w:rsid w:val="004E3882"/>
    <w:rsid w:val="004E3931"/>
    <w:rsid w:val="004E39E2"/>
    <w:rsid w:val="004E3A3B"/>
    <w:rsid w:val="004E3B2D"/>
    <w:rsid w:val="004E3C94"/>
    <w:rsid w:val="004E3E0E"/>
    <w:rsid w:val="004E3F59"/>
    <w:rsid w:val="004E3F89"/>
    <w:rsid w:val="004E415C"/>
    <w:rsid w:val="004E4174"/>
    <w:rsid w:val="004E418A"/>
    <w:rsid w:val="004E4296"/>
    <w:rsid w:val="004E4380"/>
    <w:rsid w:val="004E4405"/>
    <w:rsid w:val="004E4417"/>
    <w:rsid w:val="004E4453"/>
    <w:rsid w:val="004E4492"/>
    <w:rsid w:val="004E44FF"/>
    <w:rsid w:val="004E4525"/>
    <w:rsid w:val="004E452C"/>
    <w:rsid w:val="004E4589"/>
    <w:rsid w:val="004E45C3"/>
    <w:rsid w:val="004E48AD"/>
    <w:rsid w:val="004E498D"/>
    <w:rsid w:val="004E49D6"/>
    <w:rsid w:val="004E4DA9"/>
    <w:rsid w:val="004E4F90"/>
    <w:rsid w:val="004E500D"/>
    <w:rsid w:val="004E5287"/>
    <w:rsid w:val="004E52A0"/>
    <w:rsid w:val="004E5341"/>
    <w:rsid w:val="004E5489"/>
    <w:rsid w:val="004E54BD"/>
    <w:rsid w:val="004E5612"/>
    <w:rsid w:val="004E5631"/>
    <w:rsid w:val="004E5698"/>
    <w:rsid w:val="004E5AB2"/>
    <w:rsid w:val="004E5AC8"/>
    <w:rsid w:val="004E5B08"/>
    <w:rsid w:val="004E5B2A"/>
    <w:rsid w:val="004E5B39"/>
    <w:rsid w:val="004E5C79"/>
    <w:rsid w:val="004E5CD0"/>
    <w:rsid w:val="004E5EB1"/>
    <w:rsid w:val="004E5ED7"/>
    <w:rsid w:val="004E5EE5"/>
    <w:rsid w:val="004E5FF5"/>
    <w:rsid w:val="004E6066"/>
    <w:rsid w:val="004E6144"/>
    <w:rsid w:val="004E615B"/>
    <w:rsid w:val="004E62C1"/>
    <w:rsid w:val="004E632D"/>
    <w:rsid w:val="004E637E"/>
    <w:rsid w:val="004E63A8"/>
    <w:rsid w:val="004E6403"/>
    <w:rsid w:val="004E6476"/>
    <w:rsid w:val="004E64B0"/>
    <w:rsid w:val="004E65AE"/>
    <w:rsid w:val="004E662B"/>
    <w:rsid w:val="004E665D"/>
    <w:rsid w:val="004E667C"/>
    <w:rsid w:val="004E6689"/>
    <w:rsid w:val="004E66C7"/>
    <w:rsid w:val="004E66EC"/>
    <w:rsid w:val="004E670B"/>
    <w:rsid w:val="004E68EE"/>
    <w:rsid w:val="004E6997"/>
    <w:rsid w:val="004E6A0B"/>
    <w:rsid w:val="004E6BB4"/>
    <w:rsid w:val="004E6C1A"/>
    <w:rsid w:val="004E6C8A"/>
    <w:rsid w:val="004E6E13"/>
    <w:rsid w:val="004E6E1B"/>
    <w:rsid w:val="004E6E4C"/>
    <w:rsid w:val="004E6E54"/>
    <w:rsid w:val="004E6E61"/>
    <w:rsid w:val="004E6F48"/>
    <w:rsid w:val="004E6FDD"/>
    <w:rsid w:val="004E700B"/>
    <w:rsid w:val="004E701C"/>
    <w:rsid w:val="004E714C"/>
    <w:rsid w:val="004E719C"/>
    <w:rsid w:val="004E7237"/>
    <w:rsid w:val="004E7355"/>
    <w:rsid w:val="004E736C"/>
    <w:rsid w:val="004E754E"/>
    <w:rsid w:val="004E75B3"/>
    <w:rsid w:val="004E7686"/>
    <w:rsid w:val="004E79B1"/>
    <w:rsid w:val="004E7A25"/>
    <w:rsid w:val="004E7A8A"/>
    <w:rsid w:val="004E7B3F"/>
    <w:rsid w:val="004E7BCE"/>
    <w:rsid w:val="004E7D0F"/>
    <w:rsid w:val="004E7DCD"/>
    <w:rsid w:val="004E7F02"/>
    <w:rsid w:val="004F004C"/>
    <w:rsid w:val="004F01A5"/>
    <w:rsid w:val="004F01C1"/>
    <w:rsid w:val="004F03D6"/>
    <w:rsid w:val="004F049F"/>
    <w:rsid w:val="004F04B5"/>
    <w:rsid w:val="004F04D0"/>
    <w:rsid w:val="004F0578"/>
    <w:rsid w:val="004F05A7"/>
    <w:rsid w:val="004F063E"/>
    <w:rsid w:val="004F067E"/>
    <w:rsid w:val="004F06C7"/>
    <w:rsid w:val="004F0764"/>
    <w:rsid w:val="004F07E9"/>
    <w:rsid w:val="004F0825"/>
    <w:rsid w:val="004F090A"/>
    <w:rsid w:val="004F0997"/>
    <w:rsid w:val="004F09A7"/>
    <w:rsid w:val="004F09E3"/>
    <w:rsid w:val="004F0C79"/>
    <w:rsid w:val="004F0D06"/>
    <w:rsid w:val="004F0DB1"/>
    <w:rsid w:val="004F0DBA"/>
    <w:rsid w:val="004F0DBF"/>
    <w:rsid w:val="004F0E12"/>
    <w:rsid w:val="004F1154"/>
    <w:rsid w:val="004F11F3"/>
    <w:rsid w:val="004F1250"/>
    <w:rsid w:val="004F12B6"/>
    <w:rsid w:val="004F12D9"/>
    <w:rsid w:val="004F12ED"/>
    <w:rsid w:val="004F13F9"/>
    <w:rsid w:val="004F14AF"/>
    <w:rsid w:val="004F14B5"/>
    <w:rsid w:val="004F1657"/>
    <w:rsid w:val="004F175B"/>
    <w:rsid w:val="004F17E7"/>
    <w:rsid w:val="004F18D1"/>
    <w:rsid w:val="004F18D2"/>
    <w:rsid w:val="004F1A83"/>
    <w:rsid w:val="004F1B72"/>
    <w:rsid w:val="004F1D3A"/>
    <w:rsid w:val="004F1DA2"/>
    <w:rsid w:val="004F1DC9"/>
    <w:rsid w:val="004F2130"/>
    <w:rsid w:val="004F219E"/>
    <w:rsid w:val="004F21B9"/>
    <w:rsid w:val="004F2222"/>
    <w:rsid w:val="004F22B1"/>
    <w:rsid w:val="004F243E"/>
    <w:rsid w:val="004F25D0"/>
    <w:rsid w:val="004F26EB"/>
    <w:rsid w:val="004F2729"/>
    <w:rsid w:val="004F2989"/>
    <w:rsid w:val="004F29E0"/>
    <w:rsid w:val="004F2AE1"/>
    <w:rsid w:val="004F2C6C"/>
    <w:rsid w:val="004F2E2A"/>
    <w:rsid w:val="004F2E67"/>
    <w:rsid w:val="004F2F04"/>
    <w:rsid w:val="004F2F69"/>
    <w:rsid w:val="004F2FFF"/>
    <w:rsid w:val="004F3061"/>
    <w:rsid w:val="004F3205"/>
    <w:rsid w:val="004F328C"/>
    <w:rsid w:val="004F3297"/>
    <w:rsid w:val="004F3299"/>
    <w:rsid w:val="004F330A"/>
    <w:rsid w:val="004F3313"/>
    <w:rsid w:val="004F3356"/>
    <w:rsid w:val="004F3380"/>
    <w:rsid w:val="004F33A1"/>
    <w:rsid w:val="004F3447"/>
    <w:rsid w:val="004F35A1"/>
    <w:rsid w:val="004F35E4"/>
    <w:rsid w:val="004F365C"/>
    <w:rsid w:val="004F36EA"/>
    <w:rsid w:val="004F37F4"/>
    <w:rsid w:val="004F389D"/>
    <w:rsid w:val="004F3989"/>
    <w:rsid w:val="004F3C3D"/>
    <w:rsid w:val="004F3C8F"/>
    <w:rsid w:val="004F3D49"/>
    <w:rsid w:val="004F3DA7"/>
    <w:rsid w:val="004F3DE0"/>
    <w:rsid w:val="004F3DFE"/>
    <w:rsid w:val="004F3EA8"/>
    <w:rsid w:val="004F3F3B"/>
    <w:rsid w:val="004F404E"/>
    <w:rsid w:val="004F4185"/>
    <w:rsid w:val="004F41A6"/>
    <w:rsid w:val="004F42E8"/>
    <w:rsid w:val="004F4420"/>
    <w:rsid w:val="004F44AC"/>
    <w:rsid w:val="004F450A"/>
    <w:rsid w:val="004F4740"/>
    <w:rsid w:val="004F47B4"/>
    <w:rsid w:val="004F47B6"/>
    <w:rsid w:val="004F4958"/>
    <w:rsid w:val="004F4A4B"/>
    <w:rsid w:val="004F4A6B"/>
    <w:rsid w:val="004F4B2B"/>
    <w:rsid w:val="004F4B56"/>
    <w:rsid w:val="004F4DE3"/>
    <w:rsid w:val="004F4DEC"/>
    <w:rsid w:val="004F4FBA"/>
    <w:rsid w:val="004F5077"/>
    <w:rsid w:val="004F5273"/>
    <w:rsid w:val="004F5351"/>
    <w:rsid w:val="004F537A"/>
    <w:rsid w:val="004F5443"/>
    <w:rsid w:val="004F5468"/>
    <w:rsid w:val="004F547B"/>
    <w:rsid w:val="004F54E1"/>
    <w:rsid w:val="004F54FE"/>
    <w:rsid w:val="004F55F4"/>
    <w:rsid w:val="004F5778"/>
    <w:rsid w:val="004F5780"/>
    <w:rsid w:val="004F57C8"/>
    <w:rsid w:val="004F594C"/>
    <w:rsid w:val="004F5971"/>
    <w:rsid w:val="004F5AA1"/>
    <w:rsid w:val="004F5C44"/>
    <w:rsid w:val="004F5CC6"/>
    <w:rsid w:val="004F5FFA"/>
    <w:rsid w:val="004F6147"/>
    <w:rsid w:val="004F61AE"/>
    <w:rsid w:val="004F6319"/>
    <w:rsid w:val="004F6333"/>
    <w:rsid w:val="004F6338"/>
    <w:rsid w:val="004F639E"/>
    <w:rsid w:val="004F63B3"/>
    <w:rsid w:val="004F63FC"/>
    <w:rsid w:val="004F6452"/>
    <w:rsid w:val="004F649C"/>
    <w:rsid w:val="004F659E"/>
    <w:rsid w:val="004F6631"/>
    <w:rsid w:val="004F6666"/>
    <w:rsid w:val="004F68C5"/>
    <w:rsid w:val="004F6C0E"/>
    <w:rsid w:val="004F6C7E"/>
    <w:rsid w:val="004F6CFA"/>
    <w:rsid w:val="004F6DF1"/>
    <w:rsid w:val="004F6E2B"/>
    <w:rsid w:val="004F6E88"/>
    <w:rsid w:val="004F6EF5"/>
    <w:rsid w:val="004F7248"/>
    <w:rsid w:val="004F7252"/>
    <w:rsid w:val="004F727C"/>
    <w:rsid w:val="004F72B5"/>
    <w:rsid w:val="004F72DE"/>
    <w:rsid w:val="004F72F2"/>
    <w:rsid w:val="004F739C"/>
    <w:rsid w:val="004F73BA"/>
    <w:rsid w:val="004F73F3"/>
    <w:rsid w:val="004F755E"/>
    <w:rsid w:val="004F757D"/>
    <w:rsid w:val="004F758C"/>
    <w:rsid w:val="004F7732"/>
    <w:rsid w:val="004F7787"/>
    <w:rsid w:val="004F77D1"/>
    <w:rsid w:val="004F78B0"/>
    <w:rsid w:val="004F7994"/>
    <w:rsid w:val="004F79FD"/>
    <w:rsid w:val="004F7A36"/>
    <w:rsid w:val="004F7B37"/>
    <w:rsid w:val="004F7B83"/>
    <w:rsid w:val="004F7B8A"/>
    <w:rsid w:val="004F7BF3"/>
    <w:rsid w:val="004F7C90"/>
    <w:rsid w:val="004F7E97"/>
    <w:rsid w:val="004F7EFC"/>
    <w:rsid w:val="004F7F7C"/>
    <w:rsid w:val="00500033"/>
    <w:rsid w:val="005000C8"/>
    <w:rsid w:val="00500108"/>
    <w:rsid w:val="00500361"/>
    <w:rsid w:val="00500374"/>
    <w:rsid w:val="0050043B"/>
    <w:rsid w:val="0050044B"/>
    <w:rsid w:val="0050046C"/>
    <w:rsid w:val="005004C0"/>
    <w:rsid w:val="005004C4"/>
    <w:rsid w:val="005004D3"/>
    <w:rsid w:val="005006C8"/>
    <w:rsid w:val="0050077A"/>
    <w:rsid w:val="0050081F"/>
    <w:rsid w:val="005008C3"/>
    <w:rsid w:val="00500A12"/>
    <w:rsid w:val="00500A28"/>
    <w:rsid w:val="00500A86"/>
    <w:rsid w:val="00500B28"/>
    <w:rsid w:val="00500B30"/>
    <w:rsid w:val="00500B5F"/>
    <w:rsid w:val="00500B83"/>
    <w:rsid w:val="00500BAE"/>
    <w:rsid w:val="00500BC3"/>
    <w:rsid w:val="00500CB0"/>
    <w:rsid w:val="00500CCC"/>
    <w:rsid w:val="00500CEE"/>
    <w:rsid w:val="00500E56"/>
    <w:rsid w:val="00500F10"/>
    <w:rsid w:val="00500F3C"/>
    <w:rsid w:val="00501065"/>
    <w:rsid w:val="005010AE"/>
    <w:rsid w:val="00501197"/>
    <w:rsid w:val="00501288"/>
    <w:rsid w:val="00501320"/>
    <w:rsid w:val="00501816"/>
    <w:rsid w:val="005019C3"/>
    <w:rsid w:val="00501A51"/>
    <w:rsid w:val="00501C2A"/>
    <w:rsid w:val="00501D33"/>
    <w:rsid w:val="00501EFF"/>
    <w:rsid w:val="00501F43"/>
    <w:rsid w:val="00501F82"/>
    <w:rsid w:val="0050233B"/>
    <w:rsid w:val="00502346"/>
    <w:rsid w:val="005023A5"/>
    <w:rsid w:val="00502442"/>
    <w:rsid w:val="0050251B"/>
    <w:rsid w:val="00502546"/>
    <w:rsid w:val="0050255B"/>
    <w:rsid w:val="00502716"/>
    <w:rsid w:val="005027A1"/>
    <w:rsid w:val="00502833"/>
    <w:rsid w:val="0050285C"/>
    <w:rsid w:val="00502A07"/>
    <w:rsid w:val="00502BA4"/>
    <w:rsid w:val="00502C91"/>
    <w:rsid w:val="00502D19"/>
    <w:rsid w:val="00502D65"/>
    <w:rsid w:val="00502E8A"/>
    <w:rsid w:val="00502FA2"/>
    <w:rsid w:val="00502FAB"/>
    <w:rsid w:val="005030DE"/>
    <w:rsid w:val="0050314E"/>
    <w:rsid w:val="005031C7"/>
    <w:rsid w:val="005031DA"/>
    <w:rsid w:val="005032B8"/>
    <w:rsid w:val="005033A2"/>
    <w:rsid w:val="0050342E"/>
    <w:rsid w:val="0050346B"/>
    <w:rsid w:val="00503548"/>
    <w:rsid w:val="0050365B"/>
    <w:rsid w:val="00503787"/>
    <w:rsid w:val="00503799"/>
    <w:rsid w:val="00503880"/>
    <w:rsid w:val="00503894"/>
    <w:rsid w:val="005038EA"/>
    <w:rsid w:val="00503A05"/>
    <w:rsid w:val="00503B36"/>
    <w:rsid w:val="00503C5F"/>
    <w:rsid w:val="00503C9D"/>
    <w:rsid w:val="00503CF6"/>
    <w:rsid w:val="00503D13"/>
    <w:rsid w:val="00503D56"/>
    <w:rsid w:val="00503ECC"/>
    <w:rsid w:val="00503F74"/>
    <w:rsid w:val="00504121"/>
    <w:rsid w:val="005041DB"/>
    <w:rsid w:val="005042CA"/>
    <w:rsid w:val="0050433C"/>
    <w:rsid w:val="005044A4"/>
    <w:rsid w:val="005044D8"/>
    <w:rsid w:val="005045E9"/>
    <w:rsid w:val="00504789"/>
    <w:rsid w:val="005047B7"/>
    <w:rsid w:val="005047CA"/>
    <w:rsid w:val="00504820"/>
    <w:rsid w:val="005048CC"/>
    <w:rsid w:val="005049CC"/>
    <w:rsid w:val="00504A6A"/>
    <w:rsid w:val="00504A85"/>
    <w:rsid w:val="00504D96"/>
    <w:rsid w:val="00504DB2"/>
    <w:rsid w:val="00504F6B"/>
    <w:rsid w:val="0050513A"/>
    <w:rsid w:val="00505291"/>
    <w:rsid w:val="0050536E"/>
    <w:rsid w:val="0050541D"/>
    <w:rsid w:val="0050556B"/>
    <w:rsid w:val="0050558E"/>
    <w:rsid w:val="0050566C"/>
    <w:rsid w:val="0050577D"/>
    <w:rsid w:val="005057CB"/>
    <w:rsid w:val="005057DC"/>
    <w:rsid w:val="00505883"/>
    <w:rsid w:val="00505A38"/>
    <w:rsid w:val="00505B26"/>
    <w:rsid w:val="00505B8F"/>
    <w:rsid w:val="00505C1B"/>
    <w:rsid w:val="00505C7D"/>
    <w:rsid w:val="00505CCB"/>
    <w:rsid w:val="005060A6"/>
    <w:rsid w:val="00506291"/>
    <w:rsid w:val="005062D3"/>
    <w:rsid w:val="005064C2"/>
    <w:rsid w:val="0050684B"/>
    <w:rsid w:val="0050685A"/>
    <w:rsid w:val="005068BF"/>
    <w:rsid w:val="00506935"/>
    <w:rsid w:val="00506986"/>
    <w:rsid w:val="00506A77"/>
    <w:rsid w:val="00506B63"/>
    <w:rsid w:val="00506BFB"/>
    <w:rsid w:val="00506D03"/>
    <w:rsid w:val="00506E58"/>
    <w:rsid w:val="00506E9F"/>
    <w:rsid w:val="0050709C"/>
    <w:rsid w:val="005071B1"/>
    <w:rsid w:val="0050724F"/>
    <w:rsid w:val="0050734D"/>
    <w:rsid w:val="005076D4"/>
    <w:rsid w:val="005076EB"/>
    <w:rsid w:val="00507759"/>
    <w:rsid w:val="0050776C"/>
    <w:rsid w:val="005077B3"/>
    <w:rsid w:val="005077BC"/>
    <w:rsid w:val="005077F2"/>
    <w:rsid w:val="005078D6"/>
    <w:rsid w:val="00507918"/>
    <w:rsid w:val="00507923"/>
    <w:rsid w:val="00507938"/>
    <w:rsid w:val="005079B4"/>
    <w:rsid w:val="00507F72"/>
    <w:rsid w:val="00507F80"/>
    <w:rsid w:val="00510043"/>
    <w:rsid w:val="00510124"/>
    <w:rsid w:val="005101CE"/>
    <w:rsid w:val="005103BA"/>
    <w:rsid w:val="0051047D"/>
    <w:rsid w:val="005104B5"/>
    <w:rsid w:val="005104C6"/>
    <w:rsid w:val="005105A0"/>
    <w:rsid w:val="005105A8"/>
    <w:rsid w:val="005105D6"/>
    <w:rsid w:val="00510659"/>
    <w:rsid w:val="00510675"/>
    <w:rsid w:val="0051068F"/>
    <w:rsid w:val="00510690"/>
    <w:rsid w:val="00510780"/>
    <w:rsid w:val="00510804"/>
    <w:rsid w:val="00510889"/>
    <w:rsid w:val="005108F2"/>
    <w:rsid w:val="0051097A"/>
    <w:rsid w:val="00510B2F"/>
    <w:rsid w:val="00510B49"/>
    <w:rsid w:val="00510BA7"/>
    <w:rsid w:val="00510CCC"/>
    <w:rsid w:val="00510D98"/>
    <w:rsid w:val="00510DAA"/>
    <w:rsid w:val="00510DE0"/>
    <w:rsid w:val="00510E6E"/>
    <w:rsid w:val="00510ECB"/>
    <w:rsid w:val="00510F01"/>
    <w:rsid w:val="00510F82"/>
    <w:rsid w:val="0051100B"/>
    <w:rsid w:val="00511081"/>
    <w:rsid w:val="005110BF"/>
    <w:rsid w:val="0051128A"/>
    <w:rsid w:val="0051129E"/>
    <w:rsid w:val="00511416"/>
    <w:rsid w:val="00511576"/>
    <w:rsid w:val="005115EF"/>
    <w:rsid w:val="005115F7"/>
    <w:rsid w:val="0051161D"/>
    <w:rsid w:val="00511681"/>
    <w:rsid w:val="00511847"/>
    <w:rsid w:val="00511869"/>
    <w:rsid w:val="00511947"/>
    <w:rsid w:val="00511981"/>
    <w:rsid w:val="00511A7C"/>
    <w:rsid w:val="00511A9C"/>
    <w:rsid w:val="00511AA6"/>
    <w:rsid w:val="00511CAD"/>
    <w:rsid w:val="00511CBD"/>
    <w:rsid w:val="00511D30"/>
    <w:rsid w:val="00511D97"/>
    <w:rsid w:val="00511DB0"/>
    <w:rsid w:val="0051234B"/>
    <w:rsid w:val="005123A5"/>
    <w:rsid w:val="005123B5"/>
    <w:rsid w:val="00512919"/>
    <w:rsid w:val="00512B1D"/>
    <w:rsid w:val="00512B3C"/>
    <w:rsid w:val="00512B73"/>
    <w:rsid w:val="00512B87"/>
    <w:rsid w:val="00512C63"/>
    <w:rsid w:val="00512D31"/>
    <w:rsid w:val="00512E8B"/>
    <w:rsid w:val="00512EEB"/>
    <w:rsid w:val="00512F13"/>
    <w:rsid w:val="00512F2B"/>
    <w:rsid w:val="00512F87"/>
    <w:rsid w:val="005130ED"/>
    <w:rsid w:val="00513188"/>
    <w:rsid w:val="005131E1"/>
    <w:rsid w:val="00513222"/>
    <w:rsid w:val="005132BB"/>
    <w:rsid w:val="00513425"/>
    <w:rsid w:val="005134A3"/>
    <w:rsid w:val="005134A9"/>
    <w:rsid w:val="005134B1"/>
    <w:rsid w:val="005134D9"/>
    <w:rsid w:val="0051352D"/>
    <w:rsid w:val="00513560"/>
    <w:rsid w:val="005136B0"/>
    <w:rsid w:val="005136E8"/>
    <w:rsid w:val="005136F6"/>
    <w:rsid w:val="00513731"/>
    <w:rsid w:val="00513775"/>
    <w:rsid w:val="005137E9"/>
    <w:rsid w:val="005137ED"/>
    <w:rsid w:val="00513909"/>
    <w:rsid w:val="00513915"/>
    <w:rsid w:val="00513975"/>
    <w:rsid w:val="00513A22"/>
    <w:rsid w:val="00513A72"/>
    <w:rsid w:val="00513B38"/>
    <w:rsid w:val="00513B8A"/>
    <w:rsid w:val="00513B92"/>
    <w:rsid w:val="00513C20"/>
    <w:rsid w:val="00513CCF"/>
    <w:rsid w:val="00513DCD"/>
    <w:rsid w:val="00513ED1"/>
    <w:rsid w:val="00513ED4"/>
    <w:rsid w:val="00513F0E"/>
    <w:rsid w:val="00513F26"/>
    <w:rsid w:val="00513F7C"/>
    <w:rsid w:val="0051404C"/>
    <w:rsid w:val="00514098"/>
    <w:rsid w:val="0051429B"/>
    <w:rsid w:val="005142FF"/>
    <w:rsid w:val="005143CD"/>
    <w:rsid w:val="0051445D"/>
    <w:rsid w:val="00514504"/>
    <w:rsid w:val="0051451E"/>
    <w:rsid w:val="0051452A"/>
    <w:rsid w:val="0051456A"/>
    <w:rsid w:val="005145E1"/>
    <w:rsid w:val="00514642"/>
    <w:rsid w:val="00514843"/>
    <w:rsid w:val="00514931"/>
    <w:rsid w:val="00514941"/>
    <w:rsid w:val="00514A12"/>
    <w:rsid w:val="00514B05"/>
    <w:rsid w:val="00514B35"/>
    <w:rsid w:val="00514B9F"/>
    <w:rsid w:val="00514C2C"/>
    <w:rsid w:val="00514C8E"/>
    <w:rsid w:val="00514DCF"/>
    <w:rsid w:val="00514DDB"/>
    <w:rsid w:val="00514E0F"/>
    <w:rsid w:val="00514E81"/>
    <w:rsid w:val="00514EB7"/>
    <w:rsid w:val="00514FB3"/>
    <w:rsid w:val="00514FF3"/>
    <w:rsid w:val="00514FFF"/>
    <w:rsid w:val="0051505B"/>
    <w:rsid w:val="00515129"/>
    <w:rsid w:val="0051515F"/>
    <w:rsid w:val="0051518B"/>
    <w:rsid w:val="00515199"/>
    <w:rsid w:val="0051537C"/>
    <w:rsid w:val="0051537D"/>
    <w:rsid w:val="005153B0"/>
    <w:rsid w:val="00515401"/>
    <w:rsid w:val="005154FA"/>
    <w:rsid w:val="00515591"/>
    <w:rsid w:val="005155E1"/>
    <w:rsid w:val="005156AA"/>
    <w:rsid w:val="00515773"/>
    <w:rsid w:val="00515789"/>
    <w:rsid w:val="00515929"/>
    <w:rsid w:val="00515969"/>
    <w:rsid w:val="005159BE"/>
    <w:rsid w:val="005159E0"/>
    <w:rsid w:val="00515A42"/>
    <w:rsid w:val="00515B00"/>
    <w:rsid w:val="00515BA8"/>
    <w:rsid w:val="00515CB0"/>
    <w:rsid w:val="00515D04"/>
    <w:rsid w:val="00515E2C"/>
    <w:rsid w:val="00515F55"/>
    <w:rsid w:val="00516092"/>
    <w:rsid w:val="005160DA"/>
    <w:rsid w:val="005161E7"/>
    <w:rsid w:val="00516246"/>
    <w:rsid w:val="005163FC"/>
    <w:rsid w:val="0051646E"/>
    <w:rsid w:val="00516513"/>
    <w:rsid w:val="005167A6"/>
    <w:rsid w:val="005167D3"/>
    <w:rsid w:val="005167DA"/>
    <w:rsid w:val="005168B3"/>
    <w:rsid w:val="0051690F"/>
    <w:rsid w:val="005169D7"/>
    <w:rsid w:val="00516AFC"/>
    <w:rsid w:val="00516B31"/>
    <w:rsid w:val="00516B80"/>
    <w:rsid w:val="00516C2A"/>
    <w:rsid w:val="00516C39"/>
    <w:rsid w:val="00516CEE"/>
    <w:rsid w:val="00516D08"/>
    <w:rsid w:val="00516FE2"/>
    <w:rsid w:val="0051700B"/>
    <w:rsid w:val="005170FE"/>
    <w:rsid w:val="00517127"/>
    <w:rsid w:val="005173E2"/>
    <w:rsid w:val="00517464"/>
    <w:rsid w:val="00517474"/>
    <w:rsid w:val="0051753C"/>
    <w:rsid w:val="00517625"/>
    <w:rsid w:val="00517935"/>
    <w:rsid w:val="0051798A"/>
    <w:rsid w:val="005179A6"/>
    <w:rsid w:val="00517AF6"/>
    <w:rsid w:val="00517B46"/>
    <w:rsid w:val="00517BBE"/>
    <w:rsid w:val="00517C73"/>
    <w:rsid w:val="00517E33"/>
    <w:rsid w:val="00517E75"/>
    <w:rsid w:val="005200E6"/>
    <w:rsid w:val="005201AA"/>
    <w:rsid w:val="005201D0"/>
    <w:rsid w:val="0052032E"/>
    <w:rsid w:val="005204BF"/>
    <w:rsid w:val="00520682"/>
    <w:rsid w:val="00520684"/>
    <w:rsid w:val="00520812"/>
    <w:rsid w:val="0052090B"/>
    <w:rsid w:val="0052099E"/>
    <w:rsid w:val="00520A91"/>
    <w:rsid w:val="00520AD4"/>
    <w:rsid w:val="00520B37"/>
    <w:rsid w:val="00520C17"/>
    <w:rsid w:val="00520C1B"/>
    <w:rsid w:val="00520CE2"/>
    <w:rsid w:val="00520EE9"/>
    <w:rsid w:val="00520F05"/>
    <w:rsid w:val="00520FA0"/>
    <w:rsid w:val="00521138"/>
    <w:rsid w:val="00521165"/>
    <w:rsid w:val="0052135A"/>
    <w:rsid w:val="00521403"/>
    <w:rsid w:val="0052164E"/>
    <w:rsid w:val="005216E8"/>
    <w:rsid w:val="00521784"/>
    <w:rsid w:val="0052187A"/>
    <w:rsid w:val="0052187F"/>
    <w:rsid w:val="005219C4"/>
    <w:rsid w:val="00521A22"/>
    <w:rsid w:val="00521A33"/>
    <w:rsid w:val="00521A70"/>
    <w:rsid w:val="00521AF3"/>
    <w:rsid w:val="00521B4D"/>
    <w:rsid w:val="00521BE2"/>
    <w:rsid w:val="00521BF1"/>
    <w:rsid w:val="00521C2E"/>
    <w:rsid w:val="00521C5C"/>
    <w:rsid w:val="00521C61"/>
    <w:rsid w:val="00521C66"/>
    <w:rsid w:val="00521D99"/>
    <w:rsid w:val="00521EC8"/>
    <w:rsid w:val="005221AD"/>
    <w:rsid w:val="005221BB"/>
    <w:rsid w:val="005222A5"/>
    <w:rsid w:val="0052235D"/>
    <w:rsid w:val="00522461"/>
    <w:rsid w:val="0052251F"/>
    <w:rsid w:val="0052270B"/>
    <w:rsid w:val="005227D0"/>
    <w:rsid w:val="005228D5"/>
    <w:rsid w:val="005229FE"/>
    <w:rsid w:val="00522B6B"/>
    <w:rsid w:val="00522C4B"/>
    <w:rsid w:val="00522C8F"/>
    <w:rsid w:val="00522C9C"/>
    <w:rsid w:val="00522CCB"/>
    <w:rsid w:val="00522D8C"/>
    <w:rsid w:val="00522E92"/>
    <w:rsid w:val="00522F83"/>
    <w:rsid w:val="00523058"/>
    <w:rsid w:val="005230AA"/>
    <w:rsid w:val="005230AC"/>
    <w:rsid w:val="005230F9"/>
    <w:rsid w:val="005231B7"/>
    <w:rsid w:val="005231F1"/>
    <w:rsid w:val="00523235"/>
    <w:rsid w:val="005232AB"/>
    <w:rsid w:val="005232CD"/>
    <w:rsid w:val="00523335"/>
    <w:rsid w:val="005233D8"/>
    <w:rsid w:val="005233E7"/>
    <w:rsid w:val="0052341B"/>
    <w:rsid w:val="00523493"/>
    <w:rsid w:val="005234C7"/>
    <w:rsid w:val="005235B5"/>
    <w:rsid w:val="005235FF"/>
    <w:rsid w:val="005236DC"/>
    <w:rsid w:val="005237AE"/>
    <w:rsid w:val="005237E9"/>
    <w:rsid w:val="0052387C"/>
    <w:rsid w:val="00523970"/>
    <w:rsid w:val="00523B09"/>
    <w:rsid w:val="00523BCF"/>
    <w:rsid w:val="00523C7C"/>
    <w:rsid w:val="00523D6E"/>
    <w:rsid w:val="00523E8D"/>
    <w:rsid w:val="00523E9A"/>
    <w:rsid w:val="00523F91"/>
    <w:rsid w:val="00523FD0"/>
    <w:rsid w:val="005240AE"/>
    <w:rsid w:val="0052411E"/>
    <w:rsid w:val="005242B0"/>
    <w:rsid w:val="0052453C"/>
    <w:rsid w:val="00524578"/>
    <w:rsid w:val="00524639"/>
    <w:rsid w:val="00524661"/>
    <w:rsid w:val="005246B8"/>
    <w:rsid w:val="00524770"/>
    <w:rsid w:val="005247BC"/>
    <w:rsid w:val="0052487A"/>
    <w:rsid w:val="0052489F"/>
    <w:rsid w:val="005248A5"/>
    <w:rsid w:val="005248B7"/>
    <w:rsid w:val="00524A1D"/>
    <w:rsid w:val="00524A2F"/>
    <w:rsid w:val="00524A9F"/>
    <w:rsid w:val="00524CB9"/>
    <w:rsid w:val="00524DCF"/>
    <w:rsid w:val="00524E24"/>
    <w:rsid w:val="00524E65"/>
    <w:rsid w:val="00524EAD"/>
    <w:rsid w:val="00524FD6"/>
    <w:rsid w:val="0052510D"/>
    <w:rsid w:val="00525138"/>
    <w:rsid w:val="00525198"/>
    <w:rsid w:val="005251DB"/>
    <w:rsid w:val="0052526B"/>
    <w:rsid w:val="00525308"/>
    <w:rsid w:val="00525361"/>
    <w:rsid w:val="00525388"/>
    <w:rsid w:val="005253A2"/>
    <w:rsid w:val="00525540"/>
    <w:rsid w:val="005255E0"/>
    <w:rsid w:val="0052579A"/>
    <w:rsid w:val="00525805"/>
    <w:rsid w:val="0052587F"/>
    <w:rsid w:val="005258AC"/>
    <w:rsid w:val="00525A43"/>
    <w:rsid w:val="00525A7F"/>
    <w:rsid w:val="00525AE1"/>
    <w:rsid w:val="00525BC0"/>
    <w:rsid w:val="00525C01"/>
    <w:rsid w:val="00525CB8"/>
    <w:rsid w:val="00525DE9"/>
    <w:rsid w:val="00525FBE"/>
    <w:rsid w:val="00525FD5"/>
    <w:rsid w:val="00525FF4"/>
    <w:rsid w:val="00526073"/>
    <w:rsid w:val="00526159"/>
    <w:rsid w:val="0052616A"/>
    <w:rsid w:val="0052625A"/>
    <w:rsid w:val="0052627E"/>
    <w:rsid w:val="005262A5"/>
    <w:rsid w:val="005262C0"/>
    <w:rsid w:val="00526353"/>
    <w:rsid w:val="00526416"/>
    <w:rsid w:val="0052651F"/>
    <w:rsid w:val="0052654F"/>
    <w:rsid w:val="005265E0"/>
    <w:rsid w:val="00526681"/>
    <w:rsid w:val="005267EE"/>
    <w:rsid w:val="00526863"/>
    <w:rsid w:val="005268F9"/>
    <w:rsid w:val="00526910"/>
    <w:rsid w:val="00526AD8"/>
    <w:rsid w:val="00526BF5"/>
    <w:rsid w:val="00526CF6"/>
    <w:rsid w:val="00526D31"/>
    <w:rsid w:val="00527038"/>
    <w:rsid w:val="00527076"/>
    <w:rsid w:val="005270F9"/>
    <w:rsid w:val="00527136"/>
    <w:rsid w:val="005271AC"/>
    <w:rsid w:val="005271AF"/>
    <w:rsid w:val="0052720D"/>
    <w:rsid w:val="005272BE"/>
    <w:rsid w:val="005272D6"/>
    <w:rsid w:val="005272D8"/>
    <w:rsid w:val="0052750C"/>
    <w:rsid w:val="00527595"/>
    <w:rsid w:val="005275AD"/>
    <w:rsid w:val="005276C0"/>
    <w:rsid w:val="00527764"/>
    <w:rsid w:val="00527846"/>
    <w:rsid w:val="0052791D"/>
    <w:rsid w:val="00527A61"/>
    <w:rsid w:val="00527B48"/>
    <w:rsid w:val="00527C00"/>
    <w:rsid w:val="00527C0C"/>
    <w:rsid w:val="00527D19"/>
    <w:rsid w:val="00527D9A"/>
    <w:rsid w:val="00527E54"/>
    <w:rsid w:val="005301CC"/>
    <w:rsid w:val="0053026C"/>
    <w:rsid w:val="00530326"/>
    <w:rsid w:val="0053034D"/>
    <w:rsid w:val="00530369"/>
    <w:rsid w:val="0053039D"/>
    <w:rsid w:val="0053043F"/>
    <w:rsid w:val="0053049D"/>
    <w:rsid w:val="005304A1"/>
    <w:rsid w:val="005304EF"/>
    <w:rsid w:val="00530521"/>
    <w:rsid w:val="0053053C"/>
    <w:rsid w:val="0053069D"/>
    <w:rsid w:val="00530816"/>
    <w:rsid w:val="00530836"/>
    <w:rsid w:val="0053088B"/>
    <w:rsid w:val="00530954"/>
    <w:rsid w:val="005309BC"/>
    <w:rsid w:val="005309D3"/>
    <w:rsid w:val="005309DA"/>
    <w:rsid w:val="00530B05"/>
    <w:rsid w:val="00530B1A"/>
    <w:rsid w:val="00530BA3"/>
    <w:rsid w:val="00530C62"/>
    <w:rsid w:val="00530C9F"/>
    <w:rsid w:val="00530D93"/>
    <w:rsid w:val="00530E5C"/>
    <w:rsid w:val="00530FBE"/>
    <w:rsid w:val="005310B9"/>
    <w:rsid w:val="00531135"/>
    <w:rsid w:val="005311BD"/>
    <w:rsid w:val="0053122D"/>
    <w:rsid w:val="00531299"/>
    <w:rsid w:val="005313A1"/>
    <w:rsid w:val="005313AC"/>
    <w:rsid w:val="005315D1"/>
    <w:rsid w:val="00531633"/>
    <w:rsid w:val="0053163F"/>
    <w:rsid w:val="0053170A"/>
    <w:rsid w:val="0053179B"/>
    <w:rsid w:val="005318D9"/>
    <w:rsid w:val="005318F7"/>
    <w:rsid w:val="0053191F"/>
    <w:rsid w:val="0053197C"/>
    <w:rsid w:val="005319B2"/>
    <w:rsid w:val="005319D8"/>
    <w:rsid w:val="00531B83"/>
    <w:rsid w:val="00531CBB"/>
    <w:rsid w:val="00531D26"/>
    <w:rsid w:val="00531DCC"/>
    <w:rsid w:val="00531EB0"/>
    <w:rsid w:val="00531F19"/>
    <w:rsid w:val="00531FC8"/>
    <w:rsid w:val="0053206D"/>
    <w:rsid w:val="0053209B"/>
    <w:rsid w:val="005320E5"/>
    <w:rsid w:val="0053217E"/>
    <w:rsid w:val="0053227C"/>
    <w:rsid w:val="0053230E"/>
    <w:rsid w:val="00532382"/>
    <w:rsid w:val="00532421"/>
    <w:rsid w:val="00532471"/>
    <w:rsid w:val="0053249D"/>
    <w:rsid w:val="005324AE"/>
    <w:rsid w:val="00532640"/>
    <w:rsid w:val="0053275B"/>
    <w:rsid w:val="00532783"/>
    <w:rsid w:val="0053284F"/>
    <w:rsid w:val="0053287E"/>
    <w:rsid w:val="005329CB"/>
    <w:rsid w:val="00532A25"/>
    <w:rsid w:val="00532A65"/>
    <w:rsid w:val="00532AAE"/>
    <w:rsid w:val="00532B93"/>
    <w:rsid w:val="00532D21"/>
    <w:rsid w:val="00532D85"/>
    <w:rsid w:val="00532EF4"/>
    <w:rsid w:val="00532FFA"/>
    <w:rsid w:val="00532FFF"/>
    <w:rsid w:val="005330E4"/>
    <w:rsid w:val="00533147"/>
    <w:rsid w:val="005331C7"/>
    <w:rsid w:val="005332BC"/>
    <w:rsid w:val="005335EF"/>
    <w:rsid w:val="0053360F"/>
    <w:rsid w:val="00533631"/>
    <w:rsid w:val="00533665"/>
    <w:rsid w:val="00533722"/>
    <w:rsid w:val="0053399F"/>
    <w:rsid w:val="005339A0"/>
    <w:rsid w:val="005339E6"/>
    <w:rsid w:val="00533B67"/>
    <w:rsid w:val="00533B71"/>
    <w:rsid w:val="00533B80"/>
    <w:rsid w:val="00533F77"/>
    <w:rsid w:val="0053414C"/>
    <w:rsid w:val="0053427D"/>
    <w:rsid w:val="0053439A"/>
    <w:rsid w:val="005343D2"/>
    <w:rsid w:val="005346DE"/>
    <w:rsid w:val="0053470F"/>
    <w:rsid w:val="0053478A"/>
    <w:rsid w:val="0053481D"/>
    <w:rsid w:val="00534893"/>
    <w:rsid w:val="0053499D"/>
    <w:rsid w:val="00534A17"/>
    <w:rsid w:val="00534B52"/>
    <w:rsid w:val="00534BAB"/>
    <w:rsid w:val="00534C54"/>
    <w:rsid w:val="00534C77"/>
    <w:rsid w:val="00534CB1"/>
    <w:rsid w:val="00534CBE"/>
    <w:rsid w:val="00534D56"/>
    <w:rsid w:val="00534F7A"/>
    <w:rsid w:val="0053508A"/>
    <w:rsid w:val="005350DC"/>
    <w:rsid w:val="00535181"/>
    <w:rsid w:val="00535295"/>
    <w:rsid w:val="00535302"/>
    <w:rsid w:val="00535351"/>
    <w:rsid w:val="0053538D"/>
    <w:rsid w:val="00535508"/>
    <w:rsid w:val="00535509"/>
    <w:rsid w:val="00535654"/>
    <w:rsid w:val="00535672"/>
    <w:rsid w:val="00535683"/>
    <w:rsid w:val="00535797"/>
    <w:rsid w:val="0053579F"/>
    <w:rsid w:val="00535B06"/>
    <w:rsid w:val="00535B94"/>
    <w:rsid w:val="00535BC2"/>
    <w:rsid w:val="00535C10"/>
    <w:rsid w:val="00535D29"/>
    <w:rsid w:val="00535E03"/>
    <w:rsid w:val="00535E7B"/>
    <w:rsid w:val="00535EE4"/>
    <w:rsid w:val="00535F9A"/>
    <w:rsid w:val="00535FED"/>
    <w:rsid w:val="00536035"/>
    <w:rsid w:val="0053605A"/>
    <w:rsid w:val="00536081"/>
    <w:rsid w:val="0053609E"/>
    <w:rsid w:val="00536105"/>
    <w:rsid w:val="005361B4"/>
    <w:rsid w:val="005362CF"/>
    <w:rsid w:val="00536472"/>
    <w:rsid w:val="005364DF"/>
    <w:rsid w:val="00536527"/>
    <w:rsid w:val="00536596"/>
    <w:rsid w:val="0053659B"/>
    <w:rsid w:val="0053661A"/>
    <w:rsid w:val="00536773"/>
    <w:rsid w:val="005367F1"/>
    <w:rsid w:val="00536829"/>
    <w:rsid w:val="00536841"/>
    <w:rsid w:val="00536905"/>
    <w:rsid w:val="00536995"/>
    <w:rsid w:val="00536AB8"/>
    <w:rsid w:val="00536C52"/>
    <w:rsid w:val="00536C53"/>
    <w:rsid w:val="00536CF7"/>
    <w:rsid w:val="00536D93"/>
    <w:rsid w:val="00536D9B"/>
    <w:rsid w:val="00536DB1"/>
    <w:rsid w:val="00536DD1"/>
    <w:rsid w:val="005370D5"/>
    <w:rsid w:val="00537159"/>
    <w:rsid w:val="005371D6"/>
    <w:rsid w:val="00537326"/>
    <w:rsid w:val="005373B2"/>
    <w:rsid w:val="0053740E"/>
    <w:rsid w:val="0053752E"/>
    <w:rsid w:val="005375C5"/>
    <w:rsid w:val="005376BD"/>
    <w:rsid w:val="005376F5"/>
    <w:rsid w:val="005378B5"/>
    <w:rsid w:val="0053790B"/>
    <w:rsid w:val="005379D7"/>
    <w:rsid w:val="00537A4B"/>
    <w:rsid w:val="00537AE4"/>
    <w:rsid w:val="00537BB0"/>
    <w:rsid w:val="00537CB9"/>
    <w:rsid w:val="00537D60"/>
    <w:rsid w:val="00537EA2"/>
    <w:rsid w:val="00537EB5"/>
    <w:rsid w:val="00537F8F"/>
    <w:rsid w:val="00537FB8"/>
    <w:rsid w:val="0054006F"/>
    <w:rsid w:val="0054016C"/>
    <w:rsid w:val="005401AC"/>
    <w:rsid w:val="0054024E"/>
    <w:rsid w:val="00540406"/>
    <w:rsid w:val="0054040E"/>
    <w:rsid w:val="00540477"/>
    <w:rsid w:val="00540522"/>
    <w:rsid w:val="005407A6"/>
    <w:rsid w:val="005408C2"/>
    <w:rsid w:val="00540907"/>
    <w:rsid w:val="00540B01"/>
    <w:rsid w:val="00540B04"/>
    <w:rsid w:val="00540B35"/>
    <w:rsid w:val="00540B64"/>
    <w:rsid w:val="00540BE2"/>
    <w:rsid w:val="00540C28"/>
    <w:rsid w:val="00540D1F"/>
    <w:rsid w:val="00540FA5"/>
    <w:rsid w:val="00541157"/>
    <w:rsid w:val="0054117E"/>
    <w:rsid w:val="00541225"/>
    <w:rsid w:val="005412F0"/>
    <w:rsid w:val="00541395"/>
    <w:rsid w:val="00541603"/>
    <w:rsid w:val="00541757"/>
    <w:rsid w:val="00541772"/>
    <w:rsid w:val="005417D4"/>
    <w:rsid w:val="005417D9"/>
    <w:rsid w:val="00541818"/>
    <w:rsid w:val="0054197C"/>
    <w:rsid w:val="005419A8"/>
    <w:rsid w:val="00541A26"/>
    <w:rsid w:val="00541A66"/>
    <w:rsid w:val="00541FEB"/>
    <w:rsid w:val="00541FF3"/>
    <w:rsid w:val="0054220F"/>
    <w:rsid w:val="005422B7"/>
    <w:rsid w:val="0054231D"/>
    <w:rsid w:val="00542418"/>
    <w:rsid w:val="00542505"/>
    <w:rsid w:val="0054252C"/>
    <w:rsid w:val="00542545"/>
    <w:rsid w:val="0054263E"/>
    <w:rsid w:val="00542716"/>
    <w:rsid w:val="00542735"/>
    <w:rsid w:val="00542799"/>
    <w:rsid w:val="00542A2A"/>
    <w:rsid w:val="00542BE2"/>
    <w:rsid w:val="00542CA6"/>
    <w:rsid w:val="00542DB5"/>
    <w:rsid w:val="00542E5D"/>
    <w:rsid w:val="00542E95"/>
    <w:rsid w:val="00542F13"/>
    <w:rsid w:val="00542F2C"/>
    <w:rsid w:val="005430A6"/>
    <w:rsid w:val="00543252"/>
    <w:rsid w:val="00543278"/>
    <w:rsid w:val="0054339D"/>
    <w:rsid w:val="005433E7"/>
    <w:rsid w:val="005433FC"/>
    <w:rsid w:val="00543563"/>
    <w:rsid w:val="005435BD"/>
    <w:rsid w:val="005435BF"/>
    <w:rsid w:val="005435F3"/>
    <w:rsid w:val="00543755"/>
    <w:rsid w:val="005437F8"/>
    <w:rsid w:val="00543808"/>
    <w:rsid w:val="0054385A"/>
    <w:rsid w:val="005439F9"/>
    <w:rsid w:val="00543A4B"/>
    <w:rsid w:val="00543B05"/>
    <w:rsid w:val="00543B08"/>
    <w:rsid w:val="00543B8F"/>
    <w:rsid w:val="00543BA8"/>
    <w:rsid w:val="00543BFD"/>
    <w:rsid w:val="00543C08"/>
    <w:rsid w:val="00543C66"/>
    <w:rsid w:val="00543CA9"/>
    <w:rsid w:val="00543CD3"/>
    <w:rsid w:val="00543ECE"/>
    <w:rsid w:val="00544020"/>
    <w:rsid w:val="00544057"/>
    <w:rsid w:val="00544062"/>
    <w:rsid w:val="0054408C"/>
    <w:rsid w:val="00544107"/>
    <w:rsid w:val="00544305"/>
    <w:rsid w:val="005444E7"/>
    <w:rsid w:val="00544504"/>
    <w:rsid w:val="0054454C"/>
    <w:rsid w:val="00544699"/>
    <w:rsid w:val="005446D3"/>
    <w:rsid w:val="00544790"/>
    <w:rsid w:val="0054479A"/>
    <w:rsid w:val="005447F3"/>
    <w:rsid w:val="00544996"/>
    <w:rsid w:val="00544A56"/>
    <w:rsid w:val="00544AFC"/>
    <w:rsid w:val="00544BEE"/>
    <w:rsid w:val="00544CB9"/>
    <w:rsid w:val="00544CEE"/>
    <w:rsid w:val="00544E0E"/>
    <w:rsid w:val="00544F19"/>
    <w:rsid w:val="005453A6"/>
    <w:rsid w:val="005453B4"/>
    <w:rsid w:val="005453F8"/>
    <w:rsid w:val="00545586"/>
    <w:rsid w:val="00545638"/>
    <w:rsid w:val="0054576F"/>
    <w:rsid w:val="0054579B"/>
    <w:rsid w:val="0054579D"/>
    <w:rsid w:val="0054580C"/>
    <w:rsid w:val="005458EE"/>
    <w:rsid w:val="005459C2"/>
    <w:rsid w:val="005459F9"/>
    <w:rsid w:val="00545AE3"/>
    <w:rsid w:val="00545BFB"/>
    <w:rsid w:val="00545ECC"/>
    <w:rsid w:val="00545F27"/>
    <w:rsid w:val="005461E1"/>
    <w:rsid w:val="0054627C"/>
    <w:rsid w:val="005462F7"/>
    <w:rsid w:val="0054632C"/>
    <w:rsid w:val="00546417"/>
    <w:rsid w:val="00546508"/>
    <w:rsid w:val="0054669B"/>
    <w:rsid w:val="005467A9"/>
    <w:rsid w:val="005468EA"/>
    <w:rsid w:val="00546A80"/>
    <w:rsid w:val="00546AD1"/>
    <w:rsid w:val="00546BDC"/>
    <w:rsid w:val="00546BEE"/>
    <w:rsid w:val="00546E86"/>
    <w:rsid w:val="00546EBD"/>
    <w:rsid w:val="005471ED"/>
    <w:rsid w:val="00547312"/>
    <w:rsid w:val="00547396"/>
    <w:rsid w:val="00547448"/>
    <w:rsid w:val="00547543"/>
    <w:rsid w:val="0054754E"/>
    <w:rsid w:val="00547591"/>
    <w:rsid w:val="005476D2"/>
    <w:rsid w:val="005477FB"/>
    <w:rsid w:val="00547A62"/>
    <w:rsid w:val="00547B7E"/>
    <w:rsid w:val="00547BEC"/>
    <w:rsid w:val="00547CCD"/>
    <w:rsid w:val="00547DB4"/>
    <w:rsid w:val="00547FF5"/>
    <w:rsid w:val="00550000"/>
    <w:rsid w:val="00550003"/>
    <w:rsid w:val="00550049"/>
    <w:rsid w:val="005500C9"/>
    <w:rsid w:val="00550121"/>
    <w:rsid w:val="00550131"/>
    <w:rsid w:val="0055021C"/>
    <w:rsid w:val="00550284"/>
    <w:rsid w:val="005502DA"/>
    <w:rsid w:val="0055031B"/>
    <w:rsid w:val="00550419"/>
    <w:rsid w:val="00550609"/>
    <w:rsid w:val="00550630"/>
    <w:rsid w:val="0055076D"/>
    <w:rsid w:val="00550778"/>
    <w:rsid w:val="005507EC"/>
    <w:rsid w:val="005509B9"/>
    <w:rsid w:val="00550B1B"/>
    <w:rsid w:val="00550C8F"/>
    <w:rsid w:val="00550D08"/>
    <w:rsid w:val="00550E3D"/>
    <w:rsid w:val="00550EA0"/>
    <w:rsid w:val="00550EF4"/>
    <w:rsid w:val="00550F3C"/>
    <w:rsid w:val="00551008"/>
    <w:rsid w:val="00551223"/>
    <w:rsid w:val="0055134F"/>
    <w:rsid w:val="0055139C"/>
    <w:rsid w:val="00551450"/>
    <w:rsid w:val="00551484"/>
    <w:rsid w:val="005514DC"/>
    <w:rsid w:val="005514E7"/>
    <w:rsid w:val="00551510"/>
    <w:rsid w:val="00551672"/>
    <w:rsid w:val="00551693"/>
    <w:rsid w:val="005516B7"/>
    <w:rsid w:val="005517D7"/>
    <w:rsid w:val="00551816"/>
    <w:rsid w:val="0055186F"/>
    <w:rsid w:val="005518F6"/>
    <w:rsid w:val="00551988"/>
    <w:rsid w:val="00551B4B"/>
    <w:rsid w:val="00551C39"/>
    <w:rsid w:val="00551CC3"/>
    <w:rsid w:val="00551CF1"/>
    <w:rsid w:val="00551D85"/>
    <w:rsid w:val="00551DCC"/>
    <w:rsid w:val="00551E99"/>
    <w:rsid w:val="00551F51"/>
    <w:rsid w:val="00551F81"/>
    <w:rsid w:val="00551F8C"/>
    <w:rsid w:val="00551FEA"/>
    <w:rsid w:val="00552058"/>
    <w:rsid w:val="00552084"/>
    <w:rsid w:val="0055217A"/>
    <w:rsid w:val="005521D2"/>
    <w:rsid w:val="0055223D"/>
    <w:rsid w:val="00552506"/>
    <w:rsid w:val="005525B3"/>
    <w:rsid w:val="005526C2"/>
    <w:rsid w:val="005526C4"/>
    <w:rsid w:val="005526FF"/>
    <w:rsid w:val="00552711"/>
    <w:rsid w:val="00552792"/>
    <w:rsid w:val="0055281A"/>
    <w:rsid w:val="0055281D"/>
    <w:rsid w:val="005528F4"/>
    <w:rsid w:val="00552951"/>
    <w:rsid w:val="00552965"/>
    <w:rsid w:val="00552A4D"/>
    <w:rsid w:val="00552ACA"/>
    <w:rsid w:val="00552BAC"/>
    <w:rsid w:val="00552DFE"/>
    <w:rsid w:val="00552F00"/>
    <w:rsid w:val="00553110"/>
    <w:rsid w:val="005531D5"/>
    <w:rsid w:val="00553301"/>
    <w:rsid w:val="005533EF"/>
    <w:rsid w:val="0055345D"/>
    <w:rsid w:val="005534BA"/>
    <w:rsid w:val="00553653"/>
    <w:rsid w:val="00553687"/>
    <w:rsid w:val="0055377D"/>
    <w:rsid w:val="005537BA"/>
    <w:rsid w:val="005538AB"/>
    <w:rsid w:val="0055399B"/>
    <w:rsid w:val="00553A17"/>
    <w:rsid w:val="00553DA0"/>
    <w:rsid w:val="00553DDE"/>
    <w:rsid w:val="00553EE1"/>
    <w:rsid w:val="00553F6B"/>
    <w:rsid w:val="00553F75"/>
    <w:rsid w:val="0055407E"/>
    <w:rsid w:val="005540AB"/>
    <w:rsid w:val="0055413E"/>
    <w:rsid w:val="00554161"/>
    <w:rsid w:val="00554240"/>
    <w:rsid w:val="0055430B"/>
    <w:rsid w:val="00554321"/>
    <w:rsid w:val="005543B9"/>
    <w:rsid w:val="0055444E"/>
    <w:rsid w:val="005544F3"/>
    <w:rsid w:val="005545E9"/>
    <w:rsid w:val="0055479B"/>
    <w:rsid w:val="0055486D"/>
    <w:rsid w:val="00554892"/>
    <w:rsid w:val="00554AB4"/>
    <w:rsid w:val="00554C2F"/>
    <w:rsid w:val="00554D41"/>
    <w:rsid w:val="00554D5E"/>
    <w:rsid w:val="00554E60"/>
    <w:rsid w:val="00554F7B"/>
    <w:rsid w:val="00555003"/>
    <w:rsid w:val="0055500A"/>
    <w:rsid w:val="0055500E"/>
    <w:rsid w:val="0055508B"/>
    <w:rsid w:val="005550E1"/>
    <w:rsid w:val="005551C8"/>
    <w:rsid w:val="00555257"/>
    <w:rsid w:val="005552DE"/>
    <w:rsid w:val="005552E8"/>
    <w:rsid w:val="00555344"/>
    <w:rsid w:val="005553C3"/>
    <w:rsid w:val="00555410"/>
    <w:rsid w:val="00555693"/>
    <w:rsid w:val="00555695"/>
    <w:rsid w:val="00555697"/>
    <w:rsid w:val="005556CB"/>
    <w:rsid w:val="0055572C"/>
    <w:rsid w:val="00555787"/>
    <w:rsid w:val="005557B6"/>
    <w:rsid w:val="0055589D"/>
    <w:rsid w:val="005558A1"/>
    <w:rsid w:val="005558F5"/>
    <w:rsid w:val="00555962"/>
    <w:rsid w:val="00555988"/>
    <w:rsid w:val="0055598D"/>
    <w:rsid w:val="005559D5"/>
    <w:rsid w:val="005559F4"/>
    <w:rsid w:val="00555A05"/>
    <w:rsid w:val="00555AC0"/>
    <w:rsid w:val="00555C1C"/>
    <w:rsid w:val="00555D45"/>
    <w:rsid w:val="00555D79"/>
    <w:rsid w:val="00555DC4"/>
    <w:rsid w:val="00555E2B"/>
    <w:rsid w:val="00555E60"/>
    <w:rsid w:val="00555E91"/>
    <w:rsid w:val="00555F4F"/>
    <w:rsid w:val="00555FD6"/>
    <w:rsid w:val="0055629A"/>
    <w:rsid w:val="005562EB"/>
    <w:rsid w:val="00556597"/>
    <w:rsid w:val="00556693"/>
    <w:rsid w:val="005566A7"/>
    <w:rsid w:val="0055671B"/>
    <w:rsid w:val="00556771"/>
    <w:rsid w:val="00556835"/>
    <w:rsid w:val="00556982"/>
    <w:rsid w:val="005569C6"/>
    <w:rsid w:val="00556BD6"/>
    <w:rsid w:val="00556C80"/>
    <w:rsid w:val="00556D4B"/>
    <w:rsid w:val="00556E04"/>
    <w:rsid w:val="00556E60"/>
    <w:rsid w:val="00556F39"/>
    <w:rsid w:val="00556F43"/>
    <w:rsid w:val="00557072"/>
    <w:rsid w:val="005571C2"/>
    <w:rsid w:val="0055729F"/>
    <w:rsid w:val="0055740A"/>
    <w:rsid w:val="00557450"/>
    <w:rsid w:val="00557452"/>
    <w:rsid w:val="005574D3"/>
    <w:rsid w:val="00557558"/>
    <w:rsid w:val="005575AD"/>
    <w:rsid w:val="005575C8"/>
    <w:rsid w:val="00557723"/>
    <w:rsid w:val="005577CB"/>
    <w:rsid w:val="005577DB"/>
    <w:rsid w:val="00557816"/>
    <w:rsid w:val="00557978"/>
    <w:rsid w:val="005579F4"/>
    <w:rsid w:val="00557A57"/>
    <w:rsid w:val="00557BCC"/>
    <w:rsid w:val="00557C6B"/>
    <w:rsid w:val="00557E43"/>
    <w:rsid w:val="00557EA3"/>
    <w:rsid w:val="00557EB4"/>
    <w:rsid w:val="00557F65"/>
    <w:rsid w:val="005600CA"/>
    <w:rsid w:val="00560185"/>
    <w:rsid w:val="00560186"/>
    <w:rsid w:val="0056021C"/>
    <w:rsid w:val="005603D3"/>
    <w:rsid w:val="005603FB"/>
    <w:rsid w:val="00560497"/>
    <w:rsid w:val="00560575"/>
    <w:rsid w:val="005605B0"/>
    <w:rsid w:val="005607E3"/>
    <w:rsid w:val="005607E8"/>
    <w:rsid w:val="005608C3"/>
    <w:rsid w:val="005609F1"/>
    <w:rsid w:val="00560A2B"/>
    <w:rsid w:val="00560A5F"/>
    <w:rsid w:val="00560B14"/>
    <w:rsid w:val="00560B45"/>
    <w:rsid w:val="00560B52"/>
    <w:rsid w:val="00560BE5"/>
    <w:rsid w:val="00560C8E"/>
    <w:rsid w:val="00560D1E"/>
    <w:rsid w:val="00560EE6"/>
    <w:rsid w:val="00561186"/>
    <w:rsid w:val="00561198"/>
    <w:rsid w:val="005611BC"/>
    <w:rsid w:val="005612CF"/>
    <w:rsid w:val="00561410"/>
    <w:rsid w:val="0056142A"/>
    <w:rsid w:val="0056144C"/>
    <w:rsid w:val="0056146C"/>
    <w:rsid w:val="00561798"/>
    <w:rsid w:val="00561A68"/>
    <w:rsid w:val="00561A92"/>
    <w:rsid w:val="00561AF1"/>
    <w:rsid w:val="00561AF3"/>
    <w:rsid w:val="00561D8C"/>
    <w:rsid w:val="00561E01"/>
    <w:rsid w:val="00561E0D"/>
    <w:rsid w:val="00561E2D"/>
    <w:rsid w:val="00561E82"/>
    <w:rsid w:val="00561EF4"/>
    <w:rsid w:val="00561F00"/>
    <w:rsid w:val="00561FCF"/>
    <w:rsid w:val="0056207D"/>
    <w:rsid w:val="00562123"/>
    <w:rsid w:val="005621B4"/>
    <w:rsid w:val="0056220D"/>
    <w:rsid w:val="00562227"/>
    <w:rsid w:val="005623AC"/>
    <w:rsid w:val="005623ED"/>
    <w:rsid w:val="0056261A"/>
    <w:rsid w:val="00562668"/>
    <w:rsid w:val="005626AC"/>
    <w:rsid w:val="0056272B"/>
    <w:rsid w:val="005627BE"/>
    <w:rsid w:val="0056287D"/>
    <w:rsid w:val="00562900"/>
    <w:rsid w:val="005629E6"/>
    <w:rsid w:val="00562A1D"/>
    <w:rsid w:val="00562A54"/>
    <w:rsid w:val="00562BBB"/>
    <w:rsid w:val="00562CC7"/>
    <w:rsid w:val="00562CD0"/>
    <w:rsid w:val="00562DB3"/>
    <w:rsid w:val="00562E1E"/>
    <w:rsid w:val="00562E2B"/>
    <w:rsid w:val="00562F9B"/>
    <w:rsid w:val="00563073"/>
    <w:rsid w:val="005632DB"/>
    <w:rsid w:val="0056332D"/>
    <w:rsid w:val="0056338F"/>
    <w:rsid w:val="00563448"/>
    <w:rsid w:val="0056347B"/>
    <w:rsid w:val="005634ED"/>
    <w:rsid w:val="00563520"/>
    <w:rsid w:val="005635AA"/>
    <w:rsid w:val="005636F7"/>
    <w:rsid w:val="00563721"/>
    <w:rsid w:val="005637C2"/>
    <w:rsid w:val="00563897"/>
    <w:rsid w:val="005638D7"/>
    <w:rsid w:val="005639E1"/>
    <w:rsid w:val="00563A06"/>
    <w:rsid w:val="00563A9D"/>
    <w:rsid w:val="00563B39"/>
    <w:rsid w:val="00563B55"/>
    <w:rsid w:val="00563B59"/>
    <w:rsid w:val="00563B92"/>
    <w:rsid w:val="00563C6F"/>
    <w:rsid w:val="00563D77"/>
    <w:rsid w:val="00563E1F"/>
    <w:rsid w:val="00563F77"/>
    <w:rsid w:val="00563FC1"/>
    <w:rsid w:val="00564076"/>
    <w:rsid w:val="00564181"/>
    <w:rsid w:val="005643EF"/>
    <w:rsid w:val="0056444B"/>
    <w:rsid w:val="00564593"/>
    <w:rsid w:val="005645B0"/>
    <w:rsid w:val="00564658"/>
    <w:rsid w:val="005646D9"/>
    <w:rsid w:val="00564738"/>
    <w:rsid w:val="005647EB"/>
    <w:rsid w:val="005647F9"/>
    <w:rsid w:val="00564842"/>
    <w:rsid w:val="00564A3A"/>
    <w:rsid w:val="00564A76"/>
    <w:rsid w:val="00564B84"/>
    <w:rsid w:val="00564C76"/>
    <w:rsid w:val="00564CD5"/>
    <w:rsid w:val="00564D4A"/>
    <w:rsid w:val="00564E18"/>
    <w:rsid w:val="00564F21"/>
    <w:rsid w:val="00564FDE"/>
    <w:rsid w:val="0056502E"/>
    <w:rsid w:val="00565075"/>
    <w:rsid w:val="005650A3"/>
    <w:rsid w:val="005650C3"/>
    <w:rsid w:val="0056521D"/>
    <w:rsid w:val="00565287"/>
    <w:rsid w:val="005654A1"/>
    <w:rsid w:val="005654A6"/>
    <w:rsid w:val="005654EC"/>
    <w:rsid w:val="0056559D"/>
    <w:rsid w:val="0056561D"/>
    <w:rsid w:val="00565792"/>
    <w:rsid w:val="00565799"/>
    <w:rsid w:val="00565880"/>
    <w:rsid w:val="0056588E"/>
    <w:rsid w:val="005659C9"/>
    <w:rsid w:val="00565B20"/>
    <w:rsid w:val="00565B86"/>
    <w:rsid w:val="00565C5F"/>
    <w:rsid w:val="00565C94"/>
    <w:rsid w:val="00565CF7"/>
    <w:rsid w:val="00565D39"/>
    <w:rsid w:val="00565D7B"/>
    <w:rsid w:val="00565E21"/>
    <w:rsid w:val="00565E76"/>
    <w:rsid w:val="00565F02"/>
    <w:rsid w:val="00565F2B"/>
    <w:rsid w:val="00565F58"/>
    <w:rsid w:val="005660A2"/>
    <w:rsid w:val="005660D0"/>
    <w:rsid w:val="00566137"/>
    <w:rsid w:val="00566197"/>
    <w:rsid w:val="005661D2"/>
    <w:rsid w:val="00566227"/>
    <w:rsid w:val="005662CF"/>
    <w:rsid w:val="005662D2"/>
    <w:rsid w:val="005663D6"/>
    <w:rsid w:val="0056650F"/>
    <w:rsid w:val="0056654A"/>
    <w:rsid w:val="005665A5"/>
    <w:rsid w:val="005665FE"/>
    <w:rsid w:val="0056661F"/>
    <w:rsid w:val="00566667"/>
    <w:rsid w:val="0056666A"/>
    <w:rsid w:val="005666A1"/>
    <w:rsid w:val="00566890"/>
    <w:rsid w:val="0056697A"/>
    <w:rsid w:val="005669BA"/>
    <w:rsid w:val="00566A72"/>
    <w:rsid w:val="00566A9D"/>
    <w:rsid w:val="00566D0E"/>
    <w:rsid w:val="00566D66"/>
    <w:rsid w:val="00566DB4"/>
    <w:rsid w:val="00566E21"/>
    <w:rsid w:val="00566E4A"/>
    <w:rsid w:val="00566E60"/>
    <w:rsid w:val="00566E90"/>
    <w:rsid w:val="00566E95"/>
    <w:rsid w:val="0056700F"/>
    <w:rsid w:val="0056708B"/>
    <w:rsid w:val="005670B9"/>
    <w:rsid w:val="005670F7"/>
    <w:rsid w:val="0056716A"/>
    <w:rsid w:val="005671C9"/>
    <w:rsid w:val="00567249"/>
    <w:rsid w:val="005672B7"/>
    <w:rsid w:val="005672D2"/>
    <w:rsid w:val="00567638"/>
    <w:rsid w:val="005677C1"/>
    <w:rsid w:val="00567910"/>
    <w:rsid w:val="00567935"/>
    <w:rsid w:val="00567C29"/>
    <w:rsid w:val="00567D13"/>
    <w:rsid w:val="00567F5D"/>
    <w:rsid w:val="00567F85"/>
    <w:rsid w:val="00567FDF"/>
    <w:rsid w:val="0057001A"/>
    <w:rsid w:val="00570105"/>
    <w:rsid w:val="00570211"/>
    <w:rsid w:val="0057038A"/>
    <w:rsid w:val="005703D8"/>
    <w:rsid w:val="00570469"/>
    <w:rsid w:val="005704ED"/>
    <w:rsid w:val="00570562"/>
    <w:rsid w:val="005705E4"/>
    <w:rsid w:val="005707B9"/>
    <w:rsid w:val="005707C2"/>
    <w:rsid w:val="00570818"/>
    <w:rsid w:val="005708A2"/>
    <w:rsid w:val="00570917"/>
    <w:rsid w:val="0057099B"/>
    <w:rsid w:val="00570A9A"/>
    <w:rsid w:val="00570B3E"/>
    <w:rsid w:val="00570BAC"/>
    <w:rsid w:val="00570C53"/>
    <w:rsid w:val="00570DB2"/>
    <w:rsid w:val="00570E3E"/>
    <w:rsid w:val="00570FE6"/>
    <w:rsid w:val="005710E8"/>
    <w:rsid w:val="005710F3"/>
    <w:rsid w:val="00571172"/>
    <w:rsid w:val="0057117E"/>
    <w:rsid w:val="00571200"/>
    <w:rsid w:val="005712AB"/>
    <w:rsid w:val="0057131B"/>
    <w:rsid w:val="005713B2"/>
    <w:rsid w:val="0057148C"/>
    <w:rsid w:val="005714B2"/>
    <w:rsid w:val="005715D1"/>
    <w:rsid w:val="0057176F"/>
    <w:rsid w:val="00571788"/>
    <w:rsid w:val="0057178C"/>
    <w:rsid w:val="005717B9"/>
    <w:rsid w:val="005717CF"/>
    <w:rsid w:val="005717E3"/>
    <w:rsid w:val="0057182C"/>
    <w:rsid w:val="0057182D"/>
    <w:rsid w:val="00571844"/>
    <w:rsid w:val="0057185D"/>
    <w:rsid w:val="005718D8"/>
    <w:rsid w:val="00571AF2"/>
    <w:rsid w:val="00571C0D"/>
    <w:rsid w:val="00571D45"/>
    <w:rsid w:val="00571D78"/>
    <w:rsid w:val="00571E90"/>
    <w:rsid w:val="00571EFA"/>
    <w:rsid w:val="00571F93"/>
    <w:rsid w:val="00571FA9"/>
    <w:rsid w:val="00571FF7"/>
    <w:rsid w:val="00572070"/>
    <w:rsid w:val="005720C1"/>
    <w:rsid w:val="005720CD"/>
    <w:rsid w:val="005721FA"/>
    <w:rsid w:val="0057235C"/>
    <w:rsid w:val="00572460"/>
    <w:rsid w:val="0057252C"/>
    <w:rsid w:val="00572548"/>
    <w:rsid w:val="005725DF"/>
    <w:rsid w:val="0057260A"/>
    <w:rsid w:val="0057262C"/>
    <w:rsid w:val="005726BE"/>
    <w:rsid w:val="005727AC"/>
    <w:rsid w:val="00572921"/>
    <w:rsid w:val="00572986"/>
    <w:rsid w:val="00572A10"/>
    <w:rsid w:val="00572BD0"/>
    <w:rsid w:val="00572C02"/>
    <w:rsid w:val="00572D0D"/>
    <w:rsid w:val="00572E34"/>
    <w:rsid w:val="0057300B"/>
    <w:rsid w:val="0057304D"/>
    <w:rsid w:val="005730DD"/>
    <w:rsid w:val="00573249"/>
    <w:rsid w:val="00573250"/>
    <w:rsid w:val="00573398"/>
    <w:rsid w:val="005733C9"/>
    <w:rsid w:val="00573556"/>
    <w:rsid w:val="0057360D"/>
    <w:rsid w:val="00573861"/>
    <w:rsid w:val="0057389F"/>
    <w:rsid w:val="005738FD"/>
    <w:rsid w:val="00573920"/>
    <w:rsid w:val="00573987"/>
    <w:rsid w:val="005739C0"/>
    <w:rsid w:val="005739FA"/>
    <w:rsid w:val="00573ACD"/>
    <w:rsid w:val="00573B16"/>
    <w:rsid w:val="00573C52"/>
    <w:rsid w:val="00573D2F"/>
    <w:rsid w:val="00573D7A"/>
    <w:rsid w:val="00573DF1"/>
    <w:rsid w:val="00573F40"/>
    <w:rsid w:val="00573F67"/>
    <w:rsid w:val="00574047"/>
    <w:rsid w:val="0057410B"/>
    <w:rsid w:val="005741BD"/>
    <w:rsid w:val="005741D3"/>
    <w:rsid w:val="00574276"/>
    <w:rsid w:val="00574348"/>
    <w:rsid w:val="00574507"/>
    <w:rsid w:val="005745D3"/>
    <w:rsid w:val="005745F4"/>
    <w:rsid w:val="00574643"/>
    <w:rsid w:val="005746DC"/>
    <w:rsid w:val="00574836"/>
    <w:rsid w:val="005748A0"/>
    <w:rsid w:val="005749D0"/>
    <w:rsid w:val="00574D2F"/>
    <w:rsid w:val="00574D6A"/>
    <w:rsid w:val="00574DF8"/>
    <w:rsid w:val="00574E27"/>
    <w:rsid w:val="00574F45"/>
    <w:rsid w:val="00574F83"/>
    <w:rsid w:val="00574FAA"/>
    <w:rsid w:val="00574FAF"/>
    <w:rsid w:val="00575082"/>
    <w:rsid w:val="005750D7"/>
    <w:rsid w:val="00575119"/>
    <w:rsid w:val="005751D0"/>
    <w:rsid w:val="005751EF"/>
    <w:rsid w:val="005751F9"/>
    <w:rsid w:val="00575212"/>
    <w:rsid w:val="0057540F"/>
    <w:rsid w:val="0057541B"/>
    <w:rsid w:val="005754C1"/>
    <w:rsid w:val="00575714"/>
    <w:rsid w:val="00575734"/>
    <w:rsid w:val="005758C4"/>
    <w:rsid w:val="00575960"/>
    <w:rsid w:val="00575970"/>
    <w:rsid w:val="005759AA"/>
    <w:rsid w:val="00575A68"/>
    <w:rsid w:val="00575AD1"/>
    <w:rsid w:val="00575B07"/>
    <w:rsid w:val="00575B78"/>
    <w:rsid w:val="00575CBB"/>
    <w:rsid w:val="00575CEB"/>
    <w:rsid w:val="00575DC6"/>
    <w:rsid w:val="00575EA0"/>
    <w:rsid w:val="00575EAC"/>
    <w:rsid w:val="00575F05"/>
    <w:rsid w:val="00575F8D"/>
    <w:rsid w:val="00575FFC"/>
    <w:rsid w:val="0057608F"/>
    <w:rsid w:val="00576099"/>
    <w:rsid w:val="005760B9"/>
    <w:rsid w:val="005760EA"/>
    <w:rsid w:val="00576165"/>
    <w:rsid w:val="0057617D"/>
    <w:rsid w:val="00576199"/>
    <w:rsid w:val="005762B7"/>
    <w:rsid w:val="005762C9"/>
    <w:rsid w:val="00576311"/>
    <w:rsid w:val="00576384"/>
    <w:rsid w:val="00576507"/>
    <w:rsid w:val="00576547"/>
    <w:rsid w:val="005765F4"/>
    <w:rsid w:val="0057662C"/>
    <w:rsid w:val="005766A1"/>
    <w:rsid w:val="0057675E"/>
    <w:rsid w:val="005767B4"/>
    <w:rsid w:val="005767DA"/>
    <w:rsid w:val="0057680F"/>
    <w:rsid w:val="00576829"/>
    <w:rsid w:val="00576842"/>
    <w:rsid w:val="00576854"/>
    <w:rsid w:val="005768A4"/>
    <w:rsid w:val="005768BD"/>
    <w:rsid w:val="00576921"/>
    <w:rsid w:val="00576969"/>
    <w:rsid w:val="00576ADE"/>
    <w:rsid w:val="00576BA5"/>
    <w:rsid w:val="00576CD2"/>
    <w:rsid w:val="00576D7C"/>
    <w:rsid w:val="00576E30"/>
    <w:rsid w:val="00576F2B"/>
    <w:rsid w:val="00576F66"/>
    <w:rsid w:val="00576F74"/>
    <w:rsid w:val="00577109"/>
    <w:rsid w:val="00577131"/>
    <w:rsid w:val="00577187"/>
    <w:rsid w:val="00577256"/>
    <w:rsid w:val="005772E5"/>
    <w:rsid w:val="0057736B"/>
    <w:rsid w:val="0057736C"/>
    <w:rsid w:val="0057749A"/>
    <w:rsid w:val="00577514"/>
    <w:rsid w:val="0057751B"/>
    <w:rsid w:val="00577598"/>
    <w:rsid w:val="005775DB"/>
    <w:rsid w:val="005776BF"/>
    <w:rsid w:val="005776E1"/>
    <w:rsid w:val="005776FE"/>
    <w:rsid w:val="0057771A"/>
    <w:rsid w:val="005777BA"/>
    <w:rsid w:val="005777C9"/>
    <w:rsid w:val="00577804"/>
    <w:rsid w:val="005778DB"/>
    <w:rsid w:val="00577925"/>
    <w:rsid w:val="0057792D"/>
    <w:rsid w:val="005779DF"/>
    <w:rsid w:val="00577A93"/>
    <w:rsid w:val="00577B13"/>
    <w:rsid w:val="00577B51"/>
    <w:rsid w:val="00577BD4"/>
    <w:rsid w:val="00577C1E"/>
    <w:rsid w:val="00577CC5"/>
    <w:rsid w:val="00577EE8"/>
    <w:rsid w:val="0058000B"/>
    <w:rsid w:val="005800B3"/>
    <w:rsid w:val="005800CF"/>
    <w:rsid w:val="00580168"/>
    <w:rsid w:val="00580193"/>
    <w:rsid w:val="00580336"/>
    <w:rsid w:val="00580387"/>
    <w:rsid w:val="0058045A"/>
    <w:rsid w:val="00580475"/>
    <w:rsid w:val="005804EA"/>
    <w:rsid w:val="0058054C"/>
    <w:rsid w:val="0058056E"/>
    <w:rsid w:val="0058085E"/>
    <w:rsid w:val="0058092A"/>
    <w:rsid w:val="00580A1A"/>
    <w:rsid w:val="00580AE4"/>
    <w:rsid w:val="00580C30"/>
    <w:rsid w:val="00580C34"/>
    <w:rsid w:val="00580D05"/>
    <w:rsid w:val="00580D0C"/>
    <w:rsid w:val="00580D46"/>
    <w:rsid w:val="00580DBE"/>
    <w:rsid w:val="00580E6F"/>
    <w:rsid w:val="00580E90"/>
    <w:rsid w:val="00580EA8"/>
    <w:rsid w:val="00580F8E"/>
    <w:rsid w:val="00581029"/>
    <w:rsid w:val="005810C1"/>
    <w:rsid w:val="005811EF"/>
    <w:rsid w:val="00581212"/>
    <w:rsid w:val="005812EB"/>
    <w:rsid w:val="0058133A"/>
    <w:rsid w:val="005815A2"/>
    <w:rsid w:val="005815CC"/>
    <w:rsid w:val="00581629"/>
    <w:rsid w:val="0058163E"/>
    <w:rsid w:val="00581641"/>
    <w:rsid w:val="005816A2"/>
    <w:rsid w:val="005816DD"/>
    <w:rsid w:val="00581724"/>
    <w:rsid w:val="005819A5"/>
    <w:rsid w:val="005819C0"/>
    <w:rsid w:val="005819DA"/>
    <w:rsid w:val="00581A50"/>
    <w:rsid w:val="00581AC3"/>
    <w:rsid w:val="00581ACF"/>
    <w:rsid w:val="00581B33"/>
    <w:rsid w:val="00581C04"/>
    <w:rsid w:val="00581C3F"/>
    <w:rsid w:val="00581CB6"/>
    <w:rsid w:val="00581D19"/>
    <w:rsid w:val="00581D20"/>
    <w:rsid w:val="00581D39"/>
    <w:rsid w:val="00581D56"/>
    <w:rsid w:val="00581E2E"/>
    <w:rsid w:val="00581E35"/>
    <w:rsid w:val="00581E47"/>
    <w:rsid w:val="00581EE4"/>
    <w:rsid w:val="00581F84"/>
    <w:rsid w:val="0058209D"/>
    <w:rsid w:val="005820CE"/>
    <w:rsid w:val="00582236"/>
    <w:rsid w:val="00582463"/>
    <w:rsid w:val="00582496"/>
    <w:rsid w:val="00582655"/>
    <w:rsid w:val="005826A9"/>
    <w:rsid w:val="005827E3"/>
    <w:rsid w:val="00582839"/>
    <w:rsid w:val="00582935"/>
    <w:rsid w:val="00582A1B"/>
    <w:rsid w:val="00582AE5"/>
    <w:rsid w:val="00582B1B"/>
    <w:rsid w:val="00582B69"/>
    <w:rsid w:val="00582CD7"/>
    <w:rsid w:val="00582DF4"/>
    <w:rsid w:val="00582EA4"/>
    <w:rsid w:val="00582EFC"/>
    <w:rsid w:val="00582F2A"/>
    <w:rsid w:val="00582F51"/>
    <w:rsid w:val="00583031"/>
    <w:rsid w:val="00583143"/>
    <w:rsid w:val="0058317A"/>
    <w:rsid w:val="005832F7"/>
    <w:rsid w:val="0058343A"/>
    <w:rsid w:val="0058345A"/>
    <w:rsid w:val="0058350D"/>
    <w:rsid w:val="00583524"/>
    <w:rsid w:val="00583534"/>
    <w:rsid w:val="00583543"/>
    <w:rsid w:val="00583653"/>
    <w:rsid w:val="0058391A"/>
    <w:rsid w:val="005839B7"/>
    <w:rsid w:val="005839CB"/>
    <w:rsid w:val="00583AC0"/>
    <w:rsid w:val="00583AF9"/>
    <w:rsid w:val="00583BFF"/>
    <w:rsid w:val="00583DF5"/>
    <w:rsid w:val="00583E12"/>
    <w:rsid w:val="00583E79"/>
    <w:rsid w:val="00583EDD"/>
    <w:rsid w:val="00583EFA"/>
    <w:rsid w:val="00583F99"/>
    <w:rsid w:val="00584003"/>
    <w:rsid w:val="0058401B"/>
    <w:rsid w:val="00584064"/>
    <w:rsid w:val="0058409D"/>
    <w:rsid w:val="005840EA"/>
    <w:rsid w:val="00584103"/>
    <w:rsid w:val="0058428A"/>
    <w:rsid w:val="00584365"/>
    <w:rsid w:val="00584372"/>
    <w:rsid w:val="005843DE"/>
    <w:rsid w:val="00584413"/>
    <w:rsid w:val="005844AB"/>
    <w:rsid w:val="00584841"/>
    <w:rsid w:val="00584A21"/>
    <w:rsid w:val="00584A59"/>
    <w:rsid w:val="00584B07"/>
    <w:rsid w:val="00584C70"/>
    <w:rsid w:val="00584CBB"/>
    <w:rsid w:val="00584DA0"/>
    <w:rsid w:val="00584E75"/>
    <w:rsid w:val="00584E81"/>
    <w:rsid w:val="00584EAC"/>
    <w:rsid w:val="00584F04"/>
    <w:rsid w:val="0058505E"/>
    <w:rsid w:val="0058506E"/>
    <w:rsid w:val="0058507E"/>
    <w:rsid w:val="0058512F"/>
    <w:rsid w:val="00585231"/>
    <w:rsid w:val="00585265"/>
    <w:rsid w:val="0058537D"/>
    <w:rsid w:val="00585592"/>
    <w:rsid w:val="005856DA"/>
    <w:rsid w:val="0058576C"/>
    <w:rsid w:val="0058599C"/>
    <w:rsid w:val="005859F2"/>
    <w:rsid w:val="00585A8A"/>
    <w:rsid w:val="00585ADD"/>
    <w:rsid w:val="00585B07"/>
    <w:rsid w:val="00585B12"/>
    <w:rsid w:val="00585C03"/>
    <w:rsid w:val="00585C1F"/>
    <w:rsid w:val="00585C8F"/>
    <w:rsid w:val="00585E6F"/>
    <w:rsid w:val="00585E89"/>
    <w:rsid w:val="00585F98"/>
    <w:rsid w:val="00586108"/>
    <w:rsid w:val="00586186"/>
    <w:rsid w:val="0058650E"/>
    <w:rsid w:val="00586550"/>
    <w:rsid w:val="00586641"/>
    <w:rsid w:val="0058675B"/>
    <w:rsid w:val="00586774"/>
    <w:rsid w:val="0058684C"/>
    <w:rsid w:val="0058685C"/>
    <w:rsid w:val="005868D7"/>
    <w:rsid w:val="00586940"/>
    <w:rsid w:val="00586ABA"/>
    <w:rsid w:val="00586AC2"/>
    <w:rsid w:val="00586ACD"/>
    <w:rsid w:val="00586C38"/>
    <w:rsid w:val="00586C7E"/>
    <w:rsid w:val="00586D06"/>
    <w:rsid w:val="00586DC4"/>
    <w:rsid w:val="00586DF6"/>
    <w:rsid w:val="005870BF"/>
    <w:rsid w:val="005873B4"/>
    <w:rsid w:val="005874D3"/>
    <w:rsid w:val="005875BC"/>
    <w:rsid w:val="005876E4"/>
    <w:rsid w:val="0058774D"/>
    <w:rsid w:val="005877F1"/>
    <w:rsid w:val="00587807"/>
    <w:rsid w:val="005878A1"/>
    <w:rsid w:val="00587938"/>
    <w:rsid w:val="00587963"/>
    <w:rsid w:val="0058799F"/>
    <w:rsid w:val="005879DD"/>
    <w:rsid w:val="00587B2D"/>
    <w:rsid w:val="00587B50"/>
    <w:rsid w:val="00587C07"/>
    <w:rsid w:val="00587C12"/>
    <w:rsid w:val="00587C7B"/>
    <w:rsid w:val="00587CE9"/>
    <w:rsid w:val="00587CEA"/>
    <w:rsid w:val="00587F76"/>
    <w:rsid w:val="00590156"/>
    <w:rsid w:val="005901D1"/>
    <w:rsid w:val="005902C6"/>
    <w:rsid w:val="0059033F"/>
    <w:rsid w:val="005905BD"/>
    <w:rsid w:val="00590659"/>
    <w:rsid w:val="00590699"/>
    <w:rsid w:val="005907D3"/>
    <w:rsid w:val="00590858"/>
    <w:rsid w:val="005908B7"/>
    <w:rsid w:val="00590957"/>
    <w:rsid w:val="005909F0"/>
    <w:rsid w:val="00590A64"/>
    <w:rsid w:val="00590C0D"/>
    <w:rsid w:val="00590C77"/>
    <w:rsid w:val="00590CEB"/>
    <w:rsid w:val="00590D4E"/>
    <w:rsid w:val="00591135"/>
    <w:rsid w:val="0059115F"/>
    <w:rsid w:val="00591191"/>
    <w:rsid w:val="00591199"/>
    <w:rsid w:val="005911D9"/>
    <w:rsid w:val="005912E4"/>
    <w:rsid w:val="00591332"/>
    <w:rsid w:val="00591362"/>
    <w:rsid w:val="0059136C"/>
    <w:rsid w:val="005913AD"/>
    <w:rsid w:val="0059150D"/>
    <w:rsid w:val="00591512"/>
    <w:rsid w:val="00591819"/>
    <w:rsid w:val="00591866"/>
    <w:rsid w:val="005918A7"/>
    <w:rsid w:val="0059192B"/>
    <w:rsid w:val="00591A89"/>
    <w:rsid w:val="00591AB7"/>
    <w:rsid w:val="00591B22"/>
    <w:rsid w:val="00591C13"/>
    <w:rsid w:val="00591CDB"/>
    <w:rsid w:val="00591CFA"/>
    <w:rsid w:val="00591E24"/>
    <w:rsid w:val="00591FC7"/>
    <w:rsid w:val="00591FD3"/>
    <w:rsid w:val="005920A3"/>
    <w:rsid w:val="00592196"/>
    <w:rsid w:val="0059232B"/>
    <w:rsid w:val="00592350"/>
    <w:rsid w:val="005923C6"/>
    <w:rsid w:val="00592435"/>
    <w:rsid w:val="0059248D"/>
    <w:rsid w:val="005924AA"/>
    <w:rsid w:val="005924EF"/>
    <w:rsid w:val="0059254D"/>
    <w:rsid w:val="0059269D"/>
    <w:rsid w:val="005926CF"/>
    <w:rsid w:val="005926F7"/>
    <w:rsid w:val="0059278A"/>
    <w:rsid w:val="00592798"/>
    <w:rsid w:val="0059286A"/>
    <w:rsid w:val="00592913"/>
    <w:rsid w:val="00592BDC"/>
    <w:rsid w:val="00592C0B"/>
    <w:rsid w:val="00592C48"/>
    <w:rsid w:val="00592CD6"/>
    <w:rsid w:val="00592D91"/>
    <w:rsid w:val="00592DAF"/>
    <w:rsid w:val="00592E6C"/>
    <w:rsid w:val="00592F13"/>
    <w:rsid w:val="00592FC0"/>
    <w:rsid w:val="005930AB"/>
    <w:rsid w:val="005930DA"/>
    <w:rsid w:val="0059325D"/>
    <w:rsid w:val="00593292"/>
    <w:rsid w:val="00593371"/>
    <w:rsid w:val="00593412"/>
    <w:rsid w:val="00593414"/>
    <w:rsid w:val="00593475"/>
    <w:rsid w:val="0059347B"/>
    <w:rsid w:val="005934CD"/>
    <w:rsid w:val="00593590"/>
    <w:rsid w:val="00593627"/>
    <w:rsid w:val="00593641"/>
    <w:rsid w:val="00593656"/>
    <w:rsid w:val="00593787"/>
    <w:rsid w:val="00593861"/>
    <w:rsid w:val="00593BF7"/>
    <w:rsid w:val="00593C0F"/>
    <w:rsid w:val="00593C7C"/>
    <w:rsid w:val="00593CB1"/>
    <w:rsid w:val="00593E1A"/>
    <w:rsid w:val="00593EC2"/>
    <w:rsid w:val="00593EE2"/>
    <w:rsid w:val="00593EFC"/>
    <w:rsid w:val="00593FBE"/>
    <w:rsid w:val="00593FF3"/>
    <w:rsid w:val="00594022"/>
    <w:rsid w:val="00594034"/>
    <w:rsid w:val="00594274"/>
    <w:rsid w:val="00594439"/>
    <w:rsid w:val="005944A8"/>
    <w:rsid w:val="00594549"/>
    <w:rsid w:val="005946BC"/>
    <w:rsid w:val="0059486F"/>
    <w:rsid w:val="00594895"/>
    <w:rsid w:val="005948C1"/>
    <w:rsid w:val="005948FE"/>
    <w:rsid w:val="00594961"/>
    <w:rsid w:val="005949E9"/>
    <w:rsid w:val="00594AD3"/>
    <w:rsid w:val="00594B38"/>
    <w:rsid w:val="00594BED"/>
    <w:rsid w:val="00594CA6"/>
    <w:rsid w:val="00594CD0"/>
    <w:rsid w:val="00594CD9"/>
    <w:rsid w:val="00594D8E"/>
    <w:rsid w:val="00594DE8"/>
    <w:rsid w:val="00594E02"/>
    <w:rsid w:val="00594F51"/>
    <w:rsid w:val="00594FFF"/>
    <w:rsid w:val="005950E7"/>
    <w:rsid w:val="00595223"/>
    <w:rsid w:val="0059539F"/>
    <w:rsid w:val="005953CC"/>
    <w:rsid w:val="005953F5"/>
    <w:rsid w:val="005954D5"/>
    <w:rsid w:val="005954E8"/>
    <w:rsid w:val="00595595"/>
    <w:rsid w:val="0059559F"/>
    <w:rsid w:val="005956FC"/>
    <w:rsid w:val="0059582E"/>
    <w:rsid w:val="005958AD"/>
    <w:rsid w:val="005958DC"/>
    <w:rsid w:val="00595909"/>
    <w:rsid w:val="005959D4"/>
    <w:rsid w:val="00595A88"/>
    <w:rsid w:val="00595B85"/>
    <w:rsid w:val="00595BC1"/>
    <w:rsid w:val="00595BE4"/>
    <w:rsid w:val="00595C01"/>
    <w:rsid w:val="00595C31"/>
    <w:rsid w:val="00595C5F"/>
    <w:rsid w:val="00595C76"/>
    <w:rsid w:val="00595DD0"/>
    <w:rsid w:val="00595E5B"/>
    <w:rsid w:val="00595EDA"/>
    <w:rsid w:val="00595FC1"/>
    <w:rsid w:val="00596084"/>
    <w:rsid w:val="0059617D"/>
    <w:rsid w:val="005961AF"/>
    <w:rsid w:val="005961B6"/>
    <w:rsid w:val="005963D2"/>
    <w:rsid w:val="00596434"/>
    <w:rsid w:val="00596470"/>
    <w:rsid w:val="0059647A"/>
    <w:rsid w:val="0059651E"/>
    <w:rsid w:val="00596553"/>
    <w:rsid w:val="0059657B"/>
    <w:rsid w:val="0059666A"/>
    <w:rsid w:val="005966C0"/>
    <w:rsid w:val="00596736"/>
    <w:rsid w:val="0059676B"/>
    <w:rsid w:val="005967D7"/>
    <w:rsid w:val="005967EC"/>
    <w:rsid w:val="00596826"/>
    <w:rsid w:val="0059682F"/>
    <w:rsid w:val="005968DC"/>
    <w:rsid w:val="005969FA"/>
    <w:rsid w:val="005969FB"/>
    <w:rsid w:val="00596A40"/>
    <w:rsid w:val="00596A87"/>
    <w:rsid w:val="00596AE3"/>
    <w:rsid w:val="00596B9E"/>
    <w:rsid w:val="00596CAD"/>
    <w:rsid w:val="00596CBC"/>
    <w:rsid w:val="00596CD4"/>
    <w:rsid w:val="00596CE2"/>
    <w:rsid w:val="00596DA4"/>
    <w:rsid w:val="00596DB4"/>
    <w:rsid w:val="00596E12"/>
    <w:rsid w:val="0059709C"/>
    <w:rsid w:val="00597161"/>
    <w:rsid w:val="0059718F"/>
    <w:rsid w:val="005971CA"/>
    <w:rsid w:val="0059729C"/>
    <w:rsid w:val="005972DA"/>
    <w:rsid w:val="0059744C"/>
    <w:rsid w:val="00597468"/>
    <w:rsid w:val="00597653"/>
    <w:rsid w:val="00597655"/>
    <w:rsid w:val="005976AC"/>
    <w:rsid w:val="00597743"/>
    <w:rsid w:val="005979F0"/>
    <w:rsid w:val="00597A76"/>
    <w:rsid w:val="00597AC0"/>
    <w:rsid w:val="00597B0E"/>
    <w:rsid w:val="00597BF8"/>
    <w:rsid w:val="00597D7A"/>
    <w:rsid w:val="00597DD4"/>
    <w:rsid w:val="00597EAF"/>
    <w:rsid w:val="00597F7E"/>
    <w:rsid w:val="00597F96"/>
    <w:rsid w:val="005A0160"/>
    <w:rsid w:val="005A01E4"/>
    <w:rsid w:val="005A01E6"/>
    <w:rsid w:val="005A03F3"/>
    <w:rsid w:val="005A04AD"/>
    <w:rsid w:val="005A04B2"/>
    <w:rsid w:val="005A04E6"/>
    <w:rsid w:val="005A055A"/>
    <w:rsid w:val="005A057B"/>
    <w:rsid w:val="005A0635"/>
    <w:rsid w:val="005A0832"/>
    <w:rsid w:val="005A088A"/>
    <w:rsid w:val="005A091E"/>
    <w:rsid w:val="005A0AD6"/>
    <w:rsid w:val="005A0B7A"/>
    <w:rsid w:val="005A0CC4"/>
    <w:rsid w:val="005A0CCC"/>
    <w:rsid w:val="005A0DA9"/>
    <w:rsid w:val="005A0DBB"/>
    <w:rsid w:val="005A0DCA"/>
    <w:rsid w:val="005A0E48"/>
    <w:rsid w:val="005A0F94"/>
    <w:rsid w:val="005A0FA9"/>
    <w:rsid w:val="005A10F6"/>
    <w:rsid w:val="005A1106"/>
    <w:rsid w:val="005A113F"/>
    <w:rsid w:val="005A1162"/>
    <w:rsid w:val="005A11B9"/>
    <w:rsid w:val="005A1260"/>
    <w:rsid w:val="005A12E6"/>
    <w:rsid w:val="005A12E7"/>
    <w:rsid w:val="005A1332"/>
    <w:rsid w:val="005A1432"/>
    <w:rsid w:val="005A1608"/>
    <w:rsid w:val="005A17EB"/>
    <w:rsid w:val="005A180D"/>
    <w:rsid w:val="005A1831"/>
    <w:rsid w:val="005A184E"/>
    <w:rsid w:val="005A1970"/>
    <w:rsid w:val="005A198D"/>
    <w:rsid w:val="005A1AA8"/>
    <w:rsid w:val="005A1AE9"/>
    <w:rsid w:val="005A1B32"/>
    <w:rsid w:val="005A1C3D"/>
    <w:rsid w:val="005A1E40"/>
    <w:rsid w:val="005A2007"/>
    <w:rsid w:val="005A20C2"/>
    <w:rsid w:val="005A2109"/>
    <w:rsid w:val="005A21F0"/>
    <w:rsid w:val="005A2207"/>
    <w:rsid w:val="005A220D"/>
    <w:rsid w:val="005A2269"/>
    <w:rsid w:val="005A22FB"/>
    <w:rsid w:val="005A2382"/>
    <w:rsid w:val="005A24E2"/>
    <w:rsid w:val="005A24EE"/>
    <w:rsid w:val="005A2528"/>
    <w:rsid w:val="005A256F"/>
    <w:rsid w:val="005A26E2"/>
    <w:rsid w:val="005A272A"/>
    <w:rsid w:val="005A282D"/>
    <w:rsid w:val="005A28D7"/>
    <w:rsid w:val="005A2968"/>
    <w:rsid w:val="005A29B1"/>
    <w:rsid w:val="005A2B91"/>
    <w:rsid w:val="005A2BAA"/>
    <w:rsid w:val="005A2BEF"/>
    <w:rsid w:val="005A2C71"/>
    <w:rsid w:val="005A2CAA"/>
    <w:rsid w:val="005A2E81"/>
    <w:rsid w:val="005A2EC5"/>
    <w:rsid w:val="005A2ED4"/>
    <w:rsid w:val="005A2F22"/>
    <w:rsid w:val="005A2FD1"/>
    <w:rsid w:val="005A300F"/>
    <w:rsid w:val="005A3031"/>
    <w:rsid w:val="005A31E6"/>
    <w:rsid w:val="005A32BD"/>
    <w:rsid w:val="005A32EB"/>
    <w:rsid w:val="005A340C"/>
    <w:rsid w:val="005A3457"/>
    <w:rsid w:val="005A3459"/>
    <w:rsid w:val="005A34C1"/>
    <w:rsid w:val="005A34D0"/>
    <w:rsid w:val="005A3506"/>
    <w:rsid w:val="005A353D"/>
    <w:rsid w:val="005A3576"/>
    <w:rsid w:val="005A35C6"/>
    <w:rsid w:val="005A35E7"/>
    <w:rsid w:val="005A364F"/>
    <w:rsid w:val="005A37FA"/>
    <w:rsid w:val="005A38CC"/>
    <w:rsid w:val="005A3919"/>
    <w:rsid w:val="005A3966"/>
    <w:rsid w:val="005A39C9"/>
    <w:rsid w:val="005A3AE6"/>
    <w:rsid w:val="005A3BA3"/>
    <w:rsid w:val="005A3BB9"/>
    <w:rsid w:val="005A3C6E"/>
    <w:rsid w:val="005A3D92"/>
    <w:rsid w:val="005A3F13"/>
    <w:rsid w:val="005A3F34"/>
    <w:rsid w:val="005A3F49"/>
    <w:rsid w:val="005A408A"/>
    <w:rsid w:val="005A4165"/>
    <w:rsid w:val="005A4188"/>
    <w:rsid w:val="005A41B7"/>
    <w:rsid w:val="005A439B"/>
    <w:rsid w:val="005A43D6"/>
    <w:rsid w:val="005A455E"/>
    <w:rsid w:val="005A4597"/>
    <w:rsid w:val="005A45DD"/>
    <w:rsid w:val="005A4721"/>
    <w:rsid w:val="005A47B9"/>
    <w:rsid w:val="005A48A6"/>
    <w:rsid w:val="005A498D"/>
    <w:rsid w:val="005A4A45"/>
    <w:rsid w:val="005A4BAC"/>
    <w:rsid w:val="005A4C30"/>
    <w:rsid w:val="005A4CD6"/>
    <w:rsid w:val="005A4D4A"/>
    <w:rsid w:val="005A4D5E"/>
    <w:rsid w:val="005A4F88"/>
    <w:rsid w:val="005A4FD7"/>
    <w:rsid w:val="005A4FDE"/>
    <w:rsid w:val="005A5239"/>
    <w:rsid w:val="005A5310"/>
    <w:rsid w:val="005A531B"/>
    <w:rsid w:val="005A536D"/>
    <w:rsid w:val="005A54C6"/>
    <w:rsid w:val="005A556F"/>
    <w:rsid w:val="005A5710"/>
    <w:rsid w:val="005A5722"/>
    <w:rsid w:val="005A5791"/>
    <w:rsid w:val="005A58DA"/>
    <w:rsid w:val="005A58FB"/>
    <w:rsid w:val="005A594F"/>
    <w:rsid w:val="005A5958"/>
    <w:rsid w:val="005A59F8"/>
    <w:rsid w:val="005A5A40"/>
    <w:rsid w:val="005A5A5F"/>
    <w:rsid w:val="005A5B46"/>
    <w:rsid w:val="005A5BFD"/>
    <w:rsid w:val="005A5DBB"/>
    <w:rsid w:val="005A5F55"/>
    <w:rsid w:val="005A5F89"/>
    <w:rsid w:val="005A5FA5"/>
    <w:rsid w:val="005A5FAC"/>
    <w:rsid w:val="005A6077"/>
    <w:rsid w:val="005A6215"/>
    <w:rsid w:val="005A6282"/>
    <w:rsid w:val="005A631C"/>
    <w:rsid w:val="005A635E"/>
    <w:rsid w:val="005A63B4"/>
    <w:rsid w:val="005A6538"/>
    <w:rsid w:val="005A65DD"/>
    <w:rsid w:val="005A660B"/>
    <w:rsid w:val="005A67A9"/>
    <w:rsid w:val="005A686C"/>
    <w:rsid w:val="005A6AA6"/>
    <w:rsid w:val="005A6BBE"/>
    <w:rsid w:val="005A6C19"/>
    <w:rsid w:val="005A6C68"/>
    <w:rsid w:val="005A6C6A"/>
    <w:rsid w:val="005A6C8A"/>
    <w:rsid w:val="005A6D65"/>
    <w:rsid w:val="005A6E20"/>
    <w:rsid w:val="005A6E80"/>
    <w:rsid w:val="005A6E85"/>
    <w:rsid w:val="005A7119"/>
    <w:rsid w:val="005A71AE"/>
    <w:rsid w:val="005A7232"/>
    <w:rsid w:val="005A727C"/>
    <w:rsid w:val="005A728C"/>
    <w:rsid w:val="005A72BC"/>
    <w:rsid w:val="005A730E"/>
    <w:rsid w:val="005A733C"/>
    <w:rsid w:val="005A7450"/>
    <w:rsid w:val="005A7453"/>
    <w:rsid w:val="005A745A"/>
    <w:rsid w:val="005A74B7"/>
    <w:rsid w:val="005A7513"/>
    <w:rsid w:val="005A7536"/>
    <w:rsid w:val="005A756E"/>
    <w:rsid w:val="005A75FF"/>
    <w:rsid w:val="005A76BA"/>
    <w:rsid w:val="005A76F1"/>
    <w:rsid w:val="005A7807"/>
    <w:rsid w:val="005A7827"/>
    <w:rsid w:val="005A7831"/>
    <w:rsid w:val="005A7933"/>
    <w:rsid w:val="005A7B47"/>
    <w:rsid w:val="005A7C1F"/>
    <w:rsid w:val="005A7CE5"/>
    <w:rsid w:val="005A7D3A"/>
    <w:rsid w:val="005A7E54"/>
    <w:rsid w:val="005A7E80"/>
    <w:rsid w:val="005B00B8"/>
    <w:rsid w:val="005B00D6"/>
    <w:rsid w:val="005B040B"/>
    <w:rsid w:val="005B04DE"/>
    <w:rsid w:val="005B0547"/>
    <w:rsid w:val="005B061A"/>
    <w:rsid w:val="005B066B"/>
    <w:rsid w:val="005B06D2"/>
    <w:rsid w:val="005B0705"/>
    <w:rsid w:val="005B0870"/>
    <w:rsid w:val="005B0988"/>
    <w:rsid w:val="005B098D"/>
    <w:rsid w:val="005B0A76"/>
    <w:rsid w:val="005B0AEF"/>
    <w:rsid w:val="005B0C08"/>
    <w:rsid w:val="005B0C7C"/>
    <w:rsid w:val="005B0CD1"/>
    <w:rsid w:val="005B0CD2"/>
    <w:rsid w:val="005B0D0B"/>
    <w:rsid w:val="005B103F"/>
    <w:rsid w:val="005B11B2"/>
    <w:rsid w:val="005B12A3"/>
    <w:rsid w:val="005B12A9"/>
    <w:rsid w:val="005B12D1"/>
    <w:rsid w:val="005B1319"/>
    <w:rsid w:val="005B1492"/>
    <w:rsid w:val="005B14DE"/>
    <w:rsid w:val="005B15A4"/>
    <w:rsid w:val="005B15A6"/>
    <w:rsid w:val="005B165E"/>
    <w:rsid w:val="005B16CB"/>
    <w:rsid w:val="005B17B2"/>
    <w:rsid w:val="005B17DF"/>
    <w:rsid w:val="005B1802"/>
    <w:rsid w:val="005B1877"/>
    <w:rsid w:val="005B19C6"/>
    <w:rsid w:val="005B1A38"/>
    <w:rsid w:val="005B1A49"/>
    <w:rsid w:val="005B1A5C"/>
    <w:rsid w:val="005B1B90"/>
    <w:rsid w:val="005B1B98"/>
    <w:rsid w:val="005B1C67"/>
    <w:rsid w:val="005B1D74"/>
    <w:rsid w:val="005B1DF0"/>
    <w:rsid w:val="005B1FE3"/>
    <w:rsid w:val="005B2062"/>
    <w:rsid w:val="005B247C"/>
    <w:rsid w:val="005B2483"/>
    <w:rsid w:val="005B2546"/>
    <w:rsid w:val="005B265F"/>
    <w:rsid w:val="005B2707"/>
    <w:rsid w:val="005B2712"/>
    <w:rsid w:val="005B2713"/>
    <w:rsid w:val="005B2727"/>
    <w:rsid w:val="005B27EC"/>
    <w:rsid w:val="005B29F9"/>
    <w:rsid w:val="005B2AFD"/>
    <w:rsid w:val="005B2B99"/>
    <w:rsid w:val="005B2BA0"/>
    <w:rsid w:val="005B2DE6"/>
    <w:rsid w:val="005B2EC8"/>
    <w:rsid w:val="005B2EF0"/>
    <w:rsid w:val="005B3005"/>
    <w:rsid w:val="005B30A8"/>
    <w:rsid w:val="005B31FF"/>
    <w:rsid w:val="005B32AA"/>
    <w:rsid w:val="005B334F"/>
    <w:rsid w:val="005B338E"/>
    <w:rsid w:val="005B348F"/>
    <w:rsid w:val="005B34E1"/>
    <w:rsid w:val="005B35C8"/>
    <w:rsid w:val="005B35E8"/>
    <w:rsid w:val="005B3721"/>
    <w:rsid w:val="005B3784"/>
    <w:rsid w:val="005B3798"/>
    <w:rsid w:val="005B37DC"/>
    <w:rsid w:val="005B3839"/>
    <w:rsid w:val="005B38FE"/>
    <w:rsid w:val="005B3A0A"/>
    <w:rsid w:val="005B3A29"/>
    <w:rsid w:val="005B3A2B"/>
    <w:rsid w:val="005B3A4C"/>
    <w:rsid w:val="005B3B69"/>
    <w:rsid w:val="005B3CB6"/>
    <w:rsid w:val="005B3CD1"/>
    <w:rsid w:val="005B3D8B"/>
    <w:rsid w:val="005B3DCB"/>
    <w:rsid w:val="005B40ED"/>
    <w:rsid w:val="005B4153"/>
    <w:rsid w:val="005B4156"/>
    <w:rsid w:val="005B429C"/>
    <w:rsid w:val="005B42E0"/>
    <w:rsid w:val="005B4326"/>
    <w:rsid w:val="005B4337"/>
    <w:rsid w:val="005B45B2"/>
    <w:rsid w:val="005B45F5"/>
    <w:rsid w:val="005B4619"/>
    <w:rsid w:val="005B473E"/>
    <w:rsid w:val="005B4755"/>
    <w:rsid w:val="005B478A"/>
    <w:rsid w:val="005B47C3"/>
    <w:rsid w:val="005B488F"/>
    <w:rsid w:val="005B48CF"/>
    <w:rsid w:val="005B4911"/>
    <w:rsid w:val="005B4930"/>
    <w:rsid w:val="005B4AA6"/>
    <w:rsid w:val="005B4D4A"/>
    <w:rsid w:val="005B4D7D"/>
    <w:rsid w:val="005B4D8D"/>
    <w:rsid w:val="005B4E16"/>
    <w:rsid w:val="005B4EFA"/>
    <w:rsid w:val="005B4F09"/>
    <w:rsid w:val="005B4FB7"/>
    <w:rsid w:val="005B5081"/>
    <w:rsid w:val="005B508E"/>
    <w:rsid w:val="005B51DB"/>
    <w:rsid w:val="005B521D"/>
    <w:rsid w:val="005B5246"/>
    <w:rsid w:val="005B5419"/>
    <w:rsid w:val="005B55E5"/>
    <w:rsid w:val="005B55EA"/>
    <w:rsid w:val="005B5785"/>
    <w:rsid w:val="005B580B"/>
    <w:rsid w:val="005B5855"/>
    <w:rsid w:val="005B5882"/>
    <w:rsid w:val="005B588F"/>
    <w:rsid w:val="005B5A2F"/>
    <w:rsid w:val="005B5A6C"/>
    <w:rsid w:val="005B5B66"/>
    <w:rsid w:val="005B5C20"/>
    <w:rsid w:val="005B5CBD"/>
    <w:rsid w:val="005B5CDA"/>
    <w:rsid w:val="005B5E54"/>
    <w:rsid w:val="005B5FD5"/>
    <w:rsid w:val="005B5FE9"/>
    <w:rsid w:val="005B60A0"/>
    <w:rsid w:val="005B619F"/>
    <w:rsid w:val="005B6233"/>
    <w:rsid w:val="005B62E9"/>
    <w:rsid w:val="005B63C0"/>
    <w:rsid w:val="005B64D2"/>
    <w:rsid w:val="005B64F0"/>
    <w:rsid w:val="005B6615"/>
    <w:rsid w:val="005B68CA"/>
    <w:rsid w:val="005B6929"/>
    <w:rsid w:val="005B69EC"/>
    <w:rsid w:val="005B6A78"/>
    <w:rsid w:val="005B6B53"/>
    <w:rsid w:val="005B6CA6"/>
    <w:rsid w:val="005B6D3E"/>
    <w:rsid w:val="005B6E4B"/>
    <w:rsid w:val="005B6EFF"/>
    <w:rsid w:val="005B6F46"/>
    <w:rsid w:val="005B6F5A"/>
    <w:rsid w:val="005B7250"/>
    <w:rsid w:val="005B7371"/>
    <w:rsid w:val="005B7407"/>
    <w:rsid w:val="005B7469"/>
    <w:rsid w:val="005B74C3"/>
    <w:rsid w:val="005B7533"/>
    <w:rsid w:val="005B77C9"/>
    <w:rsid w:val="005B785C"/>
    <w:rsid w:val="005B786A"/>
    <w:rsid w:val="005B7917"/>
    <w:rsid w:val="005B7AE9"/>
    <w:rsid w:val="005B7B0F"/>
    <w:rsid w:val="005B7B50"/>
    <w:rsid w:val="005B7CCB"/>
    <w:rsid w:val="005B7DDE"/>
    <w:rsid w:val="005B7E88"/>
    <w:rsid w:val="005B7EF5"/>
    <w:rsid w:val="005B7F0A"/>
    <w:rsid w:val="005C00B3"/>
    <w:rsid w:val="005C0112"/>
    <w:rsid w:val="005C01A7"/>
    <w:rsid w:val="005C030A"/>
    <w:rsid w:val="005C0380"/>
    <w:rsid w:val="005C0441"/>
    <w:rsid w:val="005C0480"/>
    <w:rsid w:val="005C0482"/>
    <w:rsid w:val="005C049D"/>
    <w:rsid w:val="005C0569"/>
    <w:rsid w:val="005C05BB"/>
    <w:rsid w:val="005C05EB"/>
    <w:rsid w:val="005C0630"/>
    <w:rsid w:val="005C076A"/>
    <w:rsid w:val="005C0775"/>
    <w:rsid w:val="005C07D2"/>
    <w:rsid w:val="005C08AC"/>
    <w:rsid w:val="005C0B42"/>
    <w:rsid w:val="005C0C10"/>
    <w:rsid w:val="005C0C12"/>
    <w:rsid w:val="005C0CB4"/>
    <w:rsid w:val="005C0D2F"/>
    <w:rsid w:val="005C0D37"/>
    <w:rsid w:val="005C0D3B"/>
    <w:rsid w:val="005C0EDB"/>
    <w:rsid w:val="005C0F5F"/>
    <w:rsid w:val="005C111E"/>
    <w:rsid w:val="005C112B"/>
    <w:rsid w:val="005C113A"/>
    <w:rsid w:val="005C12B5"/>
    <w:rsid w:val="005C12D3"/>
    <w:rsid w:val="005C1341"/>
    <w:rsid w:val="005C13FD"/>
    <w:rsid w:val="005C14DC"/>
    <w:rsid w:val="005C1514"/>
    <w:rsid w:val="005C1548"/>
    <w:rsid w:val="005C1564"/>
    <w:rsid w:val="005C15C7"/>
    <w:rsid w:val="005C1610"/>
    <w:rsid w:val="005C16FC"/>
    <w:rsid w:val="005C187A"/>
    <w:rsid w:val="005C1A69"/>
    <w:rsid w:val="005C1ADD"/>
    <w:rsid w:val="005C1B20"/>
    <w:rsid w:val="005C1CF2"/>
    <w:rsid w:val="005C1D38"/>
    <w:rsid w:val="005C1EF5"/>
    <w:rsid w:val="005C1FBF"/>
    <w:rsid w:val="005C2007"/>
    <w:rsid w:val="005C209A"/>
    <w:rsid w:val="005C21DC"/>
    <w:rsid w:val="005C222E"/>
    <w:rsid w:val="005C2257"/>
    <w:rsid w:val="005C22CC"/>
    <w:rsid w:val="005C2345"/>
    <w:rsid w:val="005C23ED"/>
    <w:rsid w:val="005C2437"/>
    <w:rsid w:val="005C250C"/>
    <w:rsid w:val="005C251D"/>
    <w:rsid w:val="005C256D"/>
    <w:rsid w:val="005C25A1"/>
    <w:rsid w:val="005C2602"/>
    <w:rsid w:val="005C26AE"/>
    <w:rsid w:val="005C26C9"/>
    <w:rsid w:val="005C26E6"/>
    <w:rsid w:val="005C2855"/>
    <w:rsid w:val="005C2867"/>
    <w:rsid w:val="005C2907"/>
    <w:rsid w:val="005C2966"/>
    <w:rsid w:val="005C299E"/>
    <w:rsid w:val="005C29C8"/>
    <w:rsid w:val="005C2A9B"/>
    <w:rsid w:val="005C2B21"/>
    <w:rsid w:val="005C2B71"/>
    <w:rsid w:val="005C2C43"/>
    <w:rsid w:val="005C2C6D"/>
    <w:rsid w:val="005C2D74"/>
    <w:rsid w:val="005C2E80"/>
    <w:rsid w:val="005C2EEE"/>
    <w:rsid w:val="005C2F01"/>
    <w:rsid w:val="005C2F11"/>
    <w:rsid w:val="005C2F90"/>
    <w:rsid w:val="005C2F99"/>
    <w:rsid w:val="005C2FA3"/>
    <w:rsid w:val="005C2FDA"/>
    <w:rsid w:val="005C3012"/>
    <w:rsid w:val="005C306A"/>
    <w:rsid w:val="005C30C9"/>
    <w:rsid w:val="005C3114"/>
    <w:rsid w:val="005C3133"/>
    <w:rsid w:val="005C3180"/>
    <w:rsid w:val="005C34C9"/>
    <w:rsid w:val="005C34F1"/>
    <w:rsid w:val="005C3609"/>
    <w:rsid w:val="005C3622"/>
    <w:rsid w:val="005C3768"/>
    <w:rsid w:val="005C37D4"/>
    <w:rsid w:val="005C3860"/>
    <w:rsid w:val="005C387F"/>
    <w:rsid w:val="005C3896"/>
    <w:rsid w:val="005C38E9"/>
    <w:rsid w:val="005C3902"/>
    <w:rsid w:val="005C3912"/>
    <w:rsid w:val="005C39CC"/>
    <w:rsid w:val="005C3A6A"/>
    <w:rsid w:val="005C3AA9"/>
    <w:rsid w:val="005C3AFA"/>
    <w:rsid w:val="005C3B1B"/>
    <w:rsid w:val="005C3D4C"/>
    <w:rsid w:val="005C3E35"/>
    <w:rsid w:val="005C3EA8"/>
    <w:rsid w:val="005C3F4E"/>
    <w:rsid w:val="005C3F91"/>
    <w:rsid w:val="005C3FA7"/>
    <w:rsid w:val="005C40AC"/>
    <w:rsid w:val="005C4165"/>
    <w:rsid w:val="005C41AE"/>
    <w:rsid w:val="005C4224"/>
    <w:rsid w:val="005C4291"/>
    <w:rsid w:val="005C44D5"/>
    <w:rsid w:val="005C4514"/>
    <w:rsid w:val="005C4746"/>
    <w:rsid w:val="005C4811"/>
    <w:rsid w:val="005C4845"/>
    <w:rsid w:val="005C4900"/>
    <w:rsid w:val="005C4ACE"/>
    <w:rsid w:val="005C4B08"/>
    <w:rsid w:val="005C4C64"/>
    <w:rsid w:val="005C4CBD"/>
    <w:rsid w:val="005C4CC1"/>
    <w:rsid w:val="005C4D63"/>
    <w:rsid w:val="005C4DB5"/>
    <w:rsid w:val="005C5097"/>
    <w:rsid w:val="005C51D5"/>
    <w:rsid w:val="005C5207"/>
    <w:rsid w:val="005C5242"/>
    <w:rsid w:val="005C52CB"/>
    <w:rsid w:val="005C5318"/>
    <w:rsid w:val="005C5337"/>
    <w:rsid w:val="005C544C"/>
    <w:rsid w:val="005C54BE"/>
    <w:rsid w:val="005C5619"/>
    <w:rsid w:val="005C565B"/>
    <w:rsid w:val="005C569B"/>
    <w:rsid w:val="005C570F"/>
    <w:rsid w:val="005C5731"/>
    <w:rsid w:val="005C5746"/>
    <w:rsid w:val="005C5757"/>
    <w:rsid w:val="005C575F"/>
    <w:rsid w:val="005C57E2"/>
    <w:rsid w:val="005C5BAA"/>
    <w:rsid w:val="005C5C15"/>
    <w:rsid w:val="005C5C69"/>
    <w:rsid w:val="005C5CE0"/>
    <w:rsid w:val="005C5CEE"/>
    <w:rsid w:val="005C5D18"/>
    <w:rsid w:val="005C60C2"/>
    <w:rsid w:val="005C611E"/>
    <w:rsid w:val="005C6129"/>
    <w:rsid w:val="005C6164"/>
    <w:rsid w:val="005C6166"/>
    <w:rsid w:val="005C621E"/>
    <w:rsid w:val="005C6444"/>
    <w:rsid w:val="005C6531"/>
    <w:rsid w:val="005C664E"/>
    <w:rsid w:val="005C66D8"/>
    <w:rsid w:val="005C673B"/>
    <w:rsid w:val="005C67B5"/>
    <w:rsid w:val="005C6939"/>
    <w:rsid w:val="005C6986"/>
    <w:rsid w:val="005C69F1"/>
    <w:rsid w:val="005C6AEE"/>
    <w:rsid w:val="005C6BA2"/>
    <w:rsid w:val="005C6BC3"/>
    <w:rsid w:val="005C6C1B"/>
    <w:rsid w:val="005C6C6A"/>
    <w:rsid w:val="005C6CE5"/>
    <w:rsid w:val="005C6CE9"/>
    <w:rsid w:val="005C6D2A"/>
    <w:rsid w:val="005C6D87"/>
    <w:rsid w:val="005C6DEF"/>
    <w:rsid w:val="005C6E82"/>
    <w:rsid w:val="005C6F1E"/>
    <w:rsid w:val="005C6F31"/>
    <w:rsid w:val="005C6FA5"/>
    <w:rsid w:val="005C703B"/>
    <w:rsid w:val="005C70EE"/>
    <w:rsid w:val="005C70EF"/>
    <w:rsid w:val="005C7179"/>
    <w:rsid w:val="005C71C9"/>
    <w:rsid w:val="005C73A5"/>
    <w:rsid w:val="005C7433"/>
    <w:rsid w:val="005C7514"/>
    <w:rsid w:val="005C752D"/>
    <w:rsid w:val="005C7585"/>
    <w:rsid w:val="005C7683"/>
    <w:rsid w:val="005C769F"/>
    <w:rsid w:val="005C773A"/>
    <w:rsid w:val="005C77EC"/>
    <w:rsid w:val="005C7978"/>
    <w:rsid w:val="005C7BCD"/>
    <w:rsid w:val="005C7C34"/>
    <w:rsid w:val="005C7C8C"/>
    <w:rsid w:val="005C7D3A"/>
    <w:rsid w:val="005C7E30"/>
    <w:rsid w:val="005C7E8C"/>
    <w:rsid w:val="005C7EEB"/>
    <w:rsid w:val="005C7F51"/>
    <w:rsid w:val="005C7FA8"/>
    <w:rsid w:val="005D01B0"/>
    <w:rsid w:val="005D0275"/>
    <w:rsid w:val="005D02FD"/>
    <w:rsid w:val="005D036B"/>
    <w:rsid w:val="005D04A3"/>
    <w:rsid w:val="005D05D4"/>
    <w:rsid w:val="005D0663"/>
    <w:rsid w:val="005D0680"/>
    <w:rsid w:val="005D0715"/>
    <w:rsid w:val="005D0985"/>
    <w:rsid w:val="005D0B4B"/>
    <w:rsid w:val="005D0BBE"/>
    <w:rsid w:val="005D0DA9"/>
    <w:rsid w:val="005D0DC8"/>
    <w:rsid w:val="005D0EEB"/>
    <w:rsid w:val="005D100B"/>
    <w:rsid w:val="005D1083"/>
    <w:rsid w:val="005D124A"/>
    <w:rsid w:val="005D12D6"/>
    <w:rsid w:val="005D1300"/>
    <w:rsid w:val="005D130B"/>
    <w:rsid w:val="005D1368"/>
    <w:rsid w:val="005D13B5"/>
    <w:rsid w:val="005D1581"/>
    <w:rsid w:val="005D1596"/>
    <w:rsid w:val="005D15D5"/>
    <w:rsid w:val="005D187E"/>
    <w:rsid w:val="005D1919"/>
    <w:rsid w:val="005D1939"/>
    <w:rsid w:val="005D1A30"/>
    <w:rsid w:val="005D1B8E"/>
    <w:rsid w:val="005D1BB9"/>
    <w:rsid w:val="005D1BC4"/>
    <w:rsid w:val="005D1CAE"/>
    <w:rsid w:val="005D1CBD"/>
    <w:rsid w:val="005D1D01"/>
    <w:rsid w:val="005D1E2B"/>
    <w:rsid w:val="005D1F4C"/>
    <w:rsid w:val="005D1F91"/>
    <w:rsid w:val="005D20A7"/>
    <w:rsid w:val="005D2193"/>
    <w:rsid w:val="005D2351"/>
    <w:rsid w:val="005D23F8"/>
    <w:rsid w:val="005D26A5"/>
    <w:rsid w:val="005D26E8"/>
    <w:rsid w:val="005D2806"/>
    <w:rsid w:val="005D28AB"/>
    <w:rsid w:val="005D2A52"/>
    <w:rsid w:val="005D2A82"/>
    <w:rsid w:val="005D2A8A"/>
    <w:rsid w:val="005D2ACE"/>
    <w:rsid w:val="005D2CF1"/>
    <w:rsid w:val="005D2D18"/>
    <w:rsid w:val="005D2DF6"/>
    <w:rsid w:val="005D2E51"/>
    <w:rsid w:val="005D2F20"/>
    <w:rsid w:val="005D2F74"/>
    <w:rsid w:val="005D2F90"/>
    <w:rsid w:val="005D300A"/>
    <w:rsid w:val="005D30FA"/>
    <w:rsid w:val="005D31FB"/>
    <w:rsid w:val="005D321A"/>
    <w:rsid w:val="005D35D6"/>
    <w:rsid w:val="005D371B"/>
    <w:rsid w:val="005D3772"/>
    <w:rsid w:val="005D392B"/>
    <w:rsid w:val="005D3A5B"/>
    <w:rsid w:val="005D3A9A"/>
    <w:rsid w:val="005D3AD3"/>
    <w:rsid w:val="005D3AEF"/>
    <w:rsid w:val="005D3BD0"/>
    <w:rsid w:val="005D3C66"/>
    <w:rsid w:val="005D3CA2"/>
    <w:rsid w:val="005D3CC4"/>
    <w:rsid w:val="005D3DF5"/>
    <w:rsid w:val="005D414B"/>
    <w:rsid w:val="005D41F7"/>
    <w:rsid w:val="005D4275"/>
    <w:rsid w:val="005D4310"/>
    <w:rsid w:val="005D434E"/>
    <w:rsid w:val="005D43B8"/>
    <w:rsid w:val="005D43D0"/>
    <w:rsid w:val="005D4482"/>
    <w:rsid w:val="005D459C"/>
    <w:rsid w:val="005D45BB"/>
    <w:rsid w:val="005D4608"/>
    <w:rsid w:val="005D47EC"/>
    <w:rsid w:val="005D4A3C"/>
    <w:rsid w:val="005D4AE2"/>
    <w:rsid w:val="005D4B4F"/>
    <w:rsid w:val="005D4BF3"/>
    <w:rsid w:val="005D4C7C"/>
    <w:rsid w:val="005D4D5E"/>
    <w:rsid w:val="005D4D95"/>
    <w:rsid w:val="005D5139"/>
    <w:rsid w:val="005D52B2"/>
    <w:rsid w:val="005D5374"/>
    <w:rsid w:val="005D5442"/>
    <w:rsid w:val="005D548E"/>
    <w:rsid w:val="005D550E"/>
    <w:rsid w:val="005D5512"/>
    <w:rsid w:val="005D5572"/>
    <w:rsid w:val="005D55A0"/>
    <w:rsid w:val="005D55E4"/>
    <w:rsid w:val="005D56C8"/>
    <w:rsid w:val="005D577A"/>
    <w:rsid w:val="005D57BC"/>
    <w:rsid w:val="005D57FF"/>
    <w:rsid w:val="005D58D1"/>
    <w:rsid w:val="005D5915"/>
    <w:rsid w:val="005D5916"/>
    <w:rsid w:val="005D591D"/>
    <w:rsid w:val="005D5931"/>
    <w:rsid w:val="005D5AB8"/>
    <w:rsid w:val="005D5BD0"/>
    <w:rsid w:val="005D5BDC"/>
    <w:rsid w:val="005D5C4C"/>
    <w:rsid w:val="005D5D6D"/>
    <w:rsid w:val="005D61DA"/>
    <w:rsid w:val="005D61F9"/>
    <w:rsid w:val="005D6420"/>
    <w:rsid w:val="005D64E0"/>
    <w:rsid w:val="005D64E8"/>
    <w:rsid w:val="005D64F5"/>
    <w:rsid w:val="005D6648"/>
    <w:rsid w:val="005D6733"/>
    <w:rsid w:val="005D67EC"/>
    <w:rsid w:val="005D6858"/>
    <w:rsid w:val="005D6863"/>
    <w:rsid w:val="005D68B1"/>
    <w:rsid w:val="005D69DA"/>
    <w:rsid w:val="005D6B54"/>
    <w:rsid w:val="005D6BC4"/>
    <w:rsid w:val="005D6BF1"/>
    <w:rsid w:val="005D6C58"/>
    <w:rsid w:val="005D6C72"/>
    <w:rsid w:val="005D6D4E"/>
    <w:rsid w:val="005D6DD9"/>
    <w:rsid w:val="005D6EB5"/>
    <w:rsid w:val="005D6EF2"/>
    <w:rsid w:val="005D6FD3"/>
    <w:rsid w:val="005D6FEA"/>
    <w:rsid w:val="005D70E3"/>
    <w:rsid w:val="005D710B"/>
    <w:rsid w:val="005D72A3"/>
    <w:rsid w:val="005D72AE"/>
    <w:rsid w:val="005D72CF"/>
    <w:rsid w:val="005D73DE"/>
    <w:rsid w:val="005D74BB"/>
    <w:rsid w:val="005D7503"/>
    <w:rsid w:val="005D76E7"/>
    <w:rsid w:val="005D7735"/>
    <w:rsid w:val="005D7758"/>
    <w:rsid w:val="005D77DA"/>
    <w:rsid w:val="005D77F3"/>
    <w:rsid w:val="005D794B"/>
    <w:rsid w:val="005D7985"/>
    <w:rsid w:val="005D7ABA"/>
    <w:rsid w:val="005D7ABC"/>
    <w:rsid w:val="005D7BD7"/>
    <w:rsid w:val="005D7BF2"/>
    <w:rsid w:val="005D7E95"/>
    <w:rsid w:val="005D7EE1"/>
    <w:rsid w:val="005D7F85"/>
    <w:rsid w:val="005D7FE1"/>
    <w:rsid w:val="005E0021"/>
    <w:rsid w:val="005E0096"/>
    <w:rsid w:val="005E01F9"/>
    <w:rsid w:val="005E02A2"/>
    <w:rsid w:val="005E037D"/>
    <w:rsid w:val="005E0494"/>
    <w:rsid w:val="005E04CD"/>
    <w:rsid w:val="005E05FF"/>
    <w:rsid w:val="005E073B"/>
    <w:rsid w:val="005E07E8"/>
    <w:rsid w:val="005E098E"/>
    <w:rsid w:val="005E0A9D"/>
    <w:rsid w:val="005E0AA1"/>
    <w:rsid w:val="005E0B2D"/>
    <w:rsid w:val="005E0C5C"/>
    <w:rsid w:val="005E0CB0"/>
    <w:rsid w:val="005E0D62"/>
    <w:rsid w:val="005E0D8A"/>
    <w:rsid w:val="005E0EAA"/>
    <w:rsid w:val="005E0FE4"/>
    <w:rsid w:val="005E1058"/>
    <w:rsid w:val="005E112C"/>
    <w:rsid w:val="005E12C9"/>
    <w:rsid w:val="005E12F3"/>
    <w:rsid w:val="005E1317"/>
    <w:rsid w:val="005E137F"/>
    <w:rsid w:val="005E1393"/>
    <w:rsid w:val="005E13E1"/>
    <w:rsid w:val="005E1473"/>
    <w:rsid w:val="005E1544"/>
    <w:rsid w:val="005E1599"/>
    <w:rsid w:val="005E15B6"/>
    <w:rsid w:val="005E16B8"/>
    <w:rsid w:val="005E1716"/>
    <w:rsid w:val="005E172B"/>
    <w:rsid w:val="005E182A"/>
    <w:rsid w:val="005E1A33"/>
    <w:rsid w:val="005E1A40"/>
    <w:rsid w:val="005E1AF2"/>
    <w:rsid w:val="005E1C4F"/>
    <w:rsid w:val="005E1D57"/>
    <w:rsid w:val="005E1D77"/>
    <w:rsid w:val="005E1F2C"/>
    <w:rsid w:val="005E2127"/>
    <w:rsid w:val="005E21DA"/>
    <w:rsid w:val="005E2224"/>
    <w:rsid w:val="005E22BC"/>
    <w:rsid w:val="005E235C"/>
    <w:rsid w:val="005E2383"/>
    <w:rsid w:val="005E24AF"/>
    <w:rsid w:val="005E252A"/>
    <w:rsid w:val="005E2535"/>
    <w:rsid w:val="005E275B"/>
    <w:rsid w:val="005E277E"/>
    <w:rsid w:val="005E27A8"/>
    <w:rsid w:val="005E2860"/>
    <w:rsid w:val="005E29EC"/>
    <w:rsid w:val="005E2A4C"/>
    <w:rsid w:val="005E2A91"/>
    <w:rsid w:val="005E2A99"/>
    <w:rsid w:val="005E2BC7"/>
    <w:rsid w:val="005E2E9B"/>
    <w:rsid w:val="005E2FDA"/>
    <w:rsid w:val="005E31A8"/>
    <w:rsid w:val="005E33AE"/>
    <w:rsid w:val="005E33E9"/>
    <w:rsid w:val="005E34B6"/>
    <w:rsid w:val="005E3501"/>
    <w:rsid w:val="005E37E1"/>
    <w:rsid w:val="005E3966"/>
    <w:rsid w:val="005E3AE1"/>
    <w:rsid w:val="005E3B0A"/>
    <w:rsid w:val="005E3B6C"/>
    <w:rsid w:val="005E3B73"/>
    <w:rsid w:val="005E3B77"/>
    <w:rsid w:val="005E3FB1"/>
    <w:rsid w:val="005E3FE2"/>
    <w:rsid w:val="005E410F"/>
    <w:rsid w:val="005E4112"/>
    <w:rsid w:val="005E414F"/>
    <w:rsid w:val="005E41BC"/>
    <w:rsid w:val="005E42DC"/>
    <w:rsid w:val="005E42FE"/>
    <w:rsid w:val="005E4345"/>
    <w:rsid w:val="005E4419"/>
    <w:rsid w:val="005E44DB"/>
    <w:rsid w:val="005E461C"/>
    <w:rsid w:val="005E465C"/>
    <w:rsid w:val="005E469D"/>
    <w:rsid w:val="005E46D2"/>
    <w:rsid w:val="005E470B"/>
    <w:rsid w:val="005E4717"/>
    <w:rsid w:val="005E488E"/>
    <w:rsid w:val="005E48FE"/>
    <w:rsid w:val="005E4BBA"/>
    <w:rsid w:val="005E4DB2"/>
    <w:rsid w:val="005E4E5F"/>
    <w:rsid w:val="005E4F4F"/>
    <w:rsid w:val="005E4F54"/>
    <w:rsid w:val="005E5001"/>
    <w:rsid w:val="005E513E"/>
    <w:rsid w:val="005E5227"/>
    <w:rsid w:val="005E5484"/>
    <w:rsid w:val="005E54BD"/>
    <w:rsid w:val="005E5521"/>
    <w:rsid w:val="005E5594"/>
    <w:rsid w:val="005E559A"/>
    <w:rsid w:val="005E5621"/>
    <w:rsid w:val="005E56E2"/>
    <w:rsid w:val="005E574D"/>
    <w:rsid w:val="005E57E0"/>
    <w:rsid w:val="005E59F2"/>
    <w:rsid w:val="005E5C95"/>
    <w:rsid w:val="005E5D9A"/>
    <w:rsid w:val="005E5E3B"/>
    <w:rsid w:val="005E5F70"/>
    <w:rsid w:val="005E5F8B"/>
    <w:rsid w:val="005E6098"/>
    <w:rsid w:val="005E6577"/>
    <w:rsid w:val="005E665D"/>
    <w:rsid w:val="005E66B5"/>
    <w:rsid w:val="005E67B1"/>
    <w:rsid w:val="005E68D1"/>
    <w:rsid w:val="005E6DFA"/>
    <w:rsid w:val="005E7047"/>
    <w:rsid w:val="005E7292"/>
    <w:rsid w:val="005E7356"/>
    <w:rsid w:val="005E7361"/>
    <w:rsid w:val="005E741A"/>
    <w:rsid w:val="005E7425"/>
    <w:rsid w:val="005E746B"/>
    <w:rsid w:val="005E75AC"/>
    <w:rsid w:val="005E75B9"/>
    <w:rsid w:val="005E765E"/>
    <w:rsid w:val="005E76B1"/>
    <w:rsid w:val="005E785C"/>
    <w:rsid w:val="005E79AF"/>
    <w:rsid w:val="005E7AD5"/>
    <w:rsid w:val="005E7CA2"/>
    <w:rsid w:val="005E7F07"/>
    <w:rsid w:val="005E7F14"/>
    <w:rsid w:val="005E7F52"/>
    <w:rsid w:val="005E7FFA"/>
    <w:rsid w:val="005F01FB"/>
    <w:rsid w:val="005F0277"/>
    <w:rsid w:val="005F0281"/>
    <w:rsid w:val="005F02C1"/>
    <w:rsid w:val="005F02E8"/>
    <w:rsid w:val="005F0438"/>
    <w:rsid w:val="005F043A"/>
    <w:rsid w:val="005F050E"/>
    <w:rsid w:val="005F05D0"/>
    <w:rsid w:val="005F05F3"/>
    <w:rsid w:val="005F080C"/>
    <w:rsid w:val="005F0B7E"/>
    <w:rsid w:val="005F0B93"/>
    <w:rsid w:val="005F0BFC"/>
    <w:rsid w:val="005F0DC3"/>
    <w:rsid w:val="005F0DD5"/>
    <w:rsid w:val="005F0E53"/>
    <w:rsid w:val="005F0E80"/>
    <w:rsid w:val="005F0ED6"/>
    <w:rsid w:val="005F0EDF"/>
    <w:rsid w:val="005F1184"/>
    <w:rsid w:val="005F1268"/>
    <w:rsid w:val="005F13A5"/>
    <w:rsid w:val="005F13BD"/>
    <w:rsid w:val="005F144B"/>
    <w:rsid w:val="005F15A2"/>
    <w:rsid w:val="005F1731"/>
    <w:rsid w:val="005F1761"/>
    <w:rsid w:val="005F188D"/>
    <w:rsid w:val="005F190E"/>
    <w:rsid w:val="005F193C"/>
    <w:rsid w:val="005F1A97"/>
    <w:rsid w:val="005F1A9C"/>
    <w:rsid w:val="005F1AF9"/>
    <w:rsid w:val="005F1B33"/>
    <w:rsid w:val="005F1B5B"/>
    <w:rsid w:val="005F1C5B"/>
    <w:rsid w:val="005F1D20"/>
    <w:rsid w:val="005F1E5D"/>
    <w:rsid w:val="005F1F8B"/>
    <w:rsid w:val="005F1FCD"/>
    <w:rsid w:val="005F2004"/>
    <w:rsid w:val="005F209A"/>
    <w:rsid w:val="005F2101"/>
    <w:rsid w:val="005F218A"/>
    <w:rsid w:val="005F21A1"/>
    <w:rsid w:val="005F2205"/>
    <w:rsid w:val="005F2209"/>
    <w:rsid w:val="005F220D"/>
    <w:rsid w:val="005F229C"/>
    <w:rsid w:val="005F22CF"/>
    <w:rsid w:val="005F24F1"/>
    <w:rsid w:val="005F254E"/>
    <w:rsid w:val="005F25E2"/>
    <w:rsid w:val="005F2674"/>
    <w:rsid w:val="005F2745"/>
    <w:rsid w:val="005F2778"/>
    <w:rsid w:val="005F2862"/>
    <w:rsid w:val="005F2D0B"/>
    <w:rsid w:val="005F2D2B"/>
    <w:rsid w:val="005F2DF5"/>
    <w:rsid w:val="005F2E8F"/>
    <w:rsid w:val="005F2F1B"/>
    <w:rsid w:val="005F2F99"/>
    <w:rsid w:val="005F2FCC"/>
    <w:rsid w:val="005F3082"/>
    <w:rsid w:val="005F308A"/>
    <w:rsid w:val="005F3113"/>
    <w:rsid w:val="005F31FA"/>
    <w:rsid w:val="005F3218"/>
    <w:rsid w:val="005F32F6"/>
    <w:rsid w:val="005F3347"/>
    <w:rsid w:val="005F335A"/>
    <w:rsid w:val="005F337B"/>
    <w:rsid w:val="005F33CA"/>
    <w:rsid w:val="005F35D7"/>
    <w:rsid w:val="005F3840"/>
    <w:rsid w:val="005F3886"/>
    <w:rsid w:val="005F3939"/>
    <w:rsid w:val="005F3A30"/>
    <w:rsid w:val="005F3A6C"/>
    <w:rsid w:val="005F3AAC"/>
    <w:rsid w:val="005F3B23"/>
    <w:rsid w:val="005F3BE6"/>
    <w:rsid w:val="005F3D2E"/>
    <w:rsid w:val="005F3D4C"/>
    <w:rsid w:val="005F3D7B"/>
    <w:rsid w:val="005F3DDE"/>
    <w:rsid w:val="005F3F54"/>
    <w:rsid w:val="005F3FDA"/>
    <w:rsid w:val="005F3FE8"/>
    <w:rsid w:val="005F40D5"/>
    <w:rsid w:val="005F4130"/>
    <w:rsid w:val="005F4141"/>
    <w:rsid w:val="005F4149"/>
    <w:rsid w:val="005F42A6"/>
    <w:rsid w:val="005F453D"/>
    <w:rsid w:val="005F4617"/>
    <w:rsid w:val="005F46B5"/>
    <w:rsid w:val="005F4726"/>
    <w:rsid w:val="005F480A"/>
    <w:rsid w:val="005F4943"/>
    <w:rsid w:val="005F4AEE"/>
    <w:rsid w:val="005F4B3D"/>
    <w:rsid w:val="005F4BCB"/>
    <w:rsid w:val="005F4D2E"/>
    <w:rsid w:val="005F4E8C"/>
    <w:rsid w:val="005F4F9A"/>
    <w:rsid w:val="005F4FD0"/>
    <w:rsid w:val="005F513D"/>
    <w:rsid w:val="005F51F6"/>
    <w:rsid w:val="005F524D"/>
    <w:rsid w:val="005F525A"/>
    <w:rsid w:val="005F534B"/>
    <w:rsid w:val="005F536C"/>
    <w:rsid w:val="005F5391"/>
    <w:rsid w:val="005F53D5"/>
    <w:rsid w:val="005F53F1"/>
    <w:rsid w:val="005F5400"/>
    <w:rsid w:val="005F5431"/>
    <w:rsid w:val="005F54F5"/>
    <w:rsid w:val="005F54FE"/>
    <w:rsid w:val="005F561C"/>
    <w:rsid w:val="005F56F9"/>
    <w:rsid w:val="005F57A0"/>
    <w:rsid w:val="005F58BE"/>
    <w:rsid w:val="005F58D5"/>
    <w:rsid w:val="005F59A6"/>
    <w:rsid w:val="005F5A6D"/>
    <w:rsid w:val="005F5ABE"/>
    <w:rsid w:val="005F5B77"/>
    <w:rsid w:val="005F5BC4"/>
    <w:rsid w:val="005F5C19"/>
    <w:rsid w:val="005F5C64"/>
    <w:rsid w:val="005F5C94"/>
    <w:rsid w:val="005F5E89"/>
    <w:rsid w:val="005F5EA9"/>
    <w:rsid w:val="005F5F20"/>
    <w:rsid w:val="005F5F36"/>
    <w:rsid w:val="005F5F3F"/>
    <w:rsid w:val="005F5F5E"/>
    <w:rsid w:val="005F5FBB"/>
    <w:rsid w:val="005F6107"/>
    <w:rsid w:val="005F61B5"/>
    <w:rsid w:val="005F64D6"/>
    <w:rsid w:val="005F655E"/>
    <w:rsid w:val="005F674F"/>
    <w:rsid w:val="005F684D"/>
    <w:rsid w:val="005F68A1"/>
    <w:rsid w:val="005F68FD"/>
    <w:rsid w:val="005F6A49"/>
    <w:rsid w:val="005F6BA6"/>
    <w:rsid w:val="005F6C04"/>
    <w:rsid w:val="005F6CEC"/>
    <w:rsid w:val="005F6D97"/>
    <w:rsid w:val="005F6EF2"/>
    <w:rsid w:val="005F6EF7"/>
    <w:rsid w:val="005F6F01"/>
    <w:rsid w:val="005F6F5F"/>
    <w:rsid w:val="005F6F71"/>
    <w:rsid w:val="005F700D"/>
    <w:rsid w:val="005F7051"/>
    <w:rsid w:val="005F70D3"/>
    <w:rsid w:val="005F71B5"/>
    <w:rsid w:val="005F7217"/>
    <w:rsid w:val="005F7218"/>
    <w:rsid w:val="005F73B4"/>
    <w:rsid w:val="005F73DD"/>
    <w:rsid w:val="005F74C0"/>
    <w:rsid w:val="005F7592"/>
    <w:rsid w:val="005F75EF"/>
    <w:rsid w:val="005F7633"/>
    <w:rsid w:val="005F778E"/>
    <w:rsid w:val="005F77F5"/>
    <w:rsid w:val="005F7868"/>
    <w:rsid w:val="005F793E"/>
    <w:rsid w:val="005F7A7C"/>
    <w:rsid w:val="005F7ACD"/>
    <w:rsid w:val="005F7AFC"/>
    <w:rsid w:val="005F7B01"/>
    <w:rsid w:val="005F7B67"/>
    <w:rsid w:val="005F7B8D"/>
    <w:rsid w:val="005F7BCE"/>
    <w:rsid w:val="005F7BEC"/>
    <w:rsid w:val="005F7C1D"/>
    <w:rsid w:val="005F7E6A"/>
    <w:rsid w:val="005F7F7F"/>
    <w:rsid w:val="005F7FF4"/>
    <w:rsid w:val="0060002E"/>
    <w:rsid w:val="0060014F"/>
    <w:rsid w:val="00600189"/>
    <w:rsid w:val="00600364"/>
    <w:rsid w:val="006003A4"/>
    <w:rsid w:val="00600460"/>
    <w:rsid w:val="006004D9"/>
    <w:rsid w:val="0060051C"/>
    <w:rsid w:val="00600672"/>
    <w:rsid w:val="006006B5"/>
    <w:rsid w:val="00600792"/>
    <w:rsid w:val="00600840"/>
    <w:rsid w:val="0060092A"/>
    <w:rsid w:val="00600A44"/>
    <w:rsid w:val="00600B24"/>
    <w:rsid w:val="00600B90"/>
    <w:rsid w:val="00600BAE"/>
    <w:rsid w:val="00600C52"/>
    <w:rsid w:val="00600CCD"/>
    <w:rsid w:val="00600D9F"/>
    <w:rsid w:val="0060120B"/>
    <w:rsid w:val="00601273"/>
    <w:rsid w:val="006012EB"/>
    <w:rsid w:val="0060133E"/>
    <w:rsid w:val="00601488"/>
    <w:rsid w:val="006014E8"/>
    <w:rsid w:val="0060152E"/>
    <w:rsid w:val="00601601"/>
    <w:rsid w:val="00601792"/>
    <w:rsid w:val="00601799"/>
    <w:rsid w:val="00601ADC"/>
    <w:rsid w:val="00601AEA"/>
    <w:rsid w:val="00601B07"/>
    <w:rsid w:val="00601C09"/>
    <w:rsid w:val="00601E01"/>
    <w:rsid w:val="00601E2F"/>
    <w:rsid w:val="00601EBA"/>
    <w:rsid w:val="00601F01"/>
    <w:rsid w:val="00601FA2"/>
    <w:rsid w:val="00601FD7"/>
    <w:rsid w:val="00602162"/>
    <w:rsid w:val="006021B6"/>
    <w:rsid w:val="00602266"/>
    <w:rsid w:val="006022E1"/>
    <w:rsid w:val="006023CF"/>
    <w:rsid w:val="006023D7"/>
    <w:rsid w:val="0060241B"/>
    <w:rsid w:val="00602561"/>
    <w:rsid w:val="00602829"/>
    <w:rsid w:val="00602963"/>
    <w:rsid w:val="00602A1C"/>
    <w:rsid w:val="00602AA9"/>
    <w:rsid w:val="00602B93"/>
    <w:rsid w:val="00602BAB"/>
    <w:rsid w:val="00602BC4"/>
    <w:rsid w:val="00602C9D"/>
    <w:rsid w:val="00602D63"/>
    <w:rsid w:val="00602E6A"/>
    <w:rsid w:val="00602F7F"/>
    <w:rsid w:val="006031BD"/>
    <w:rsid w:val="0060320D"/>
    <w:rsid w:val="00603246"/>
    <w:rsid w:val="0060366D"/>
    <w:rsid w:val="00603724"/>
    <w:rsid w:val="006037C3"/>
    <w:rsid w:val="006037C4"/>
    <w:rsid w:val="006037D3"/>
    <w:rsid w:val="006038EA"/>
    <w:rsid w:val="00603901"/>
    <w:rsid w:val="0060393D"/>
    <w:rsid w:val="0060399F"/>
    <w:rsid w:val="00603A49"/>
    <w:rsid w:val="00603ACB"/>
    <w:rsid w:val="00603BC5"/>
    <w:rsid w:val="00603BCA"/>
    <w:rsid w:val="00603C16"/>
    <w:rsid w:val="00603D2D"/>
    <w:rsid w:val="00603DB6"/>
    <w:rsid w:val="00603E7A"/>
    <w:rsid w:val="00604383"/>
    <w:rsid w:val="0060458F"/>
    <w:rsid w:val="006046AC"/>
    <w:rsid w:val="0060470E"/>
    <w:rsid w:val="00604792"/>
    <w:rsid w:val="006048CC"/>
    <w:rsid w:val="0060493C"/>
    <w:rsid w:val="0060495E"/>
    <w:rsid w:val="00604993"/>
    <w:rsid w:val="006049D7"/>
    <w:rsid w:val="00604A99"/>
    <w:rsid w:val="00604B7C"/>
    <w:rsid w:val="00604C89"/>
    <w:rsid w:val="00604D84"/>
    <w:rsid w:val="00604EFD"/>
    <w:rsid w:val="00604F22"/>
    <w:rsid w:val="00604FC1"/>
    <w:rsid w:val="00605007"/>
    <w:rsid w:val="00605069"/>
    <w:rsid w:val="00605162"/>
    <w:rsid w:val="00605199"/>
    <w:rsid w:val="00605243"/>
    <w:rsid w:val="006052F0"/>
    <w:rsid w:val="00605393"/>
    <w:rsid w:val="006053AE"/>
    <w:rsid w:val="00605407"/>
    <w:rsid w:val="00605444"/>
    <w:rsid w:val="006054E7"/>
    <w:rsid w:val="00605513"/>
    <w:rsid w:val="00605578"/>
    <w:rsid w:val="00605603"/>
    <w:rsid w:val="0060560F"/>
    <w:rsid w:val="00605801"/>
    <w:rsid w:val="00605A1C"/>
    <w:rsid w:val="00605A6E"/>
    <w:rsid w:val="00605AD8"/>
    <w:rsid w:val="00605BCC"/>
    <w:rsid w:val="00605C98"/>
    <w:rsid w:val="00605CE5"/>
    <w:rsid w:val="00605CEB"/>
    <w:rsid w:val="00605DC2"/>
    <w:rsid w:val="00605DD2"/>
    <w:rsid w:val="00605E13"/>
    <w:rsid w:val="00605E4F"/>
    <w:rsid w:val="00605F81"/>
    <w:rsid w:val="00605FDA"/>
    <w:rsid w:val="00606110"/>
    <w:rsid w:val="00606219"/>
    <w:rsid w:val="0060630B"/>
    <w:rsid w:val="00606512"/>
    <w:rsid w:val="0060656E"/>
    <w:rsid w:val="006065AC"/>
    <w:rsid w:val="006065EE"/>
    <w:rsid w:val="006065F7"/>
    <w:rsid w:val="00606676"/>
    <w:rsid w:val="0060668E"/>
    <w:rsid w:val="00606731"/>
    <w:rsid w:val="006067AC"/>
    <w:rsid w:val="006067DA"/>
    <w:rsid w:val="00606933"/>
    <w:rsid w:val="0060697A"/>
    <w:rsid w:val="0060698A"/>
    <w:rsid w:val="00606BDE"/>
    <w:rsid w:val="00606BF1"/>
    <w:rsid w:val="00606CA9"/>
    <w:rsid w:val="00606CBA"/>
    <w:rsid w:val="00606EFC"/>
    <w:rsid w:val="00606F09"/>
    <w:rsid w:val="00606FFF"/>
    <w:rsid w:val="00607014"/>
    <w:rsid w:val="0060708A"/>
    <w:rsid w:val="0060714E"/>
    <w:rsid w:val="006071B2"/>
    <w:rsid w:val="00607220"/>
    <w:rsid w:val="0060740A"/>
    <w:rsid w:val="0060741A"/>
    <w:rsid w:val="00607453"/>
    <w:rsid w:val="006074A1"/>
    <w:rsid w:val="006074CE"/>
    <w:rsid w:val="00607608"/>
    <w:rsid w:val="00607624"/>
    <w:rsid w:val="0060762F"/>
    <w:rsid w:val="0060764C"/>
    <w:rsid w:val="0060766F"/>
    <w:rsid w:val="0060798C"/>
    <w:rsid w:val="006079D6"/>
    <w:rsid w:val="00607A9B"/>
    <w:rsid w:val="00607ADE"/>
    <w:rsid w:val="00607C64"/>
    <w:rsid w:val="00607E95"/>
    <w:rsid w:val="00607EEA"/>
    <w:rsid w:val="00607EFD"/>
    <w:rsid w:val="006100C0"/>
    <w:rsid w:val="006100E2"/>
    <w:rsid w:val="00610381"/>
    <w:rsid w:val="006103A1"/>
    <w:rsid w:val="00610459"/>
    <w:rsid w:val="00610474"/>
    <w:rsid w:val="006104E1"/>
    <w:rsid w:val="00610514"/>
    <w:rsid w:val="0061067A"/>
    <w:rsid w:val="00610749"/>
    <w:rsid w:val="0061075D"/>
    <w:rsid w:val="00610775"/>
    <w:rsid w:val="00610891"/>
    <w:rsid w:val="0061089B"/>
    <w:rsid w:val="006108CA"/>
    <w:rsid w:val="006108F1"/>
    <w:rsid w:val="00610AA1"/>
    <w:rsid w:val="00610AAE"/>
    <w:rsid w:val="00610C87"/>
    <w:rsid w:val="00610D49"/>
    <w:rsid w:val="00610D8B"/>
    <w:rsid w:val="00610DDB"/>
    <w:rsid w:val="00610E36"/>
    <w:rsid w:val="00610E70"/>
    <w:rsid w:val="00610F18"/>
    <w:rsid w:val="00610F24"/>
    <w:rsid w:val="00610F58"/>
    <w:rsid w:val="00611096"/>
    <w:rsid w:val="006110B6"/>
    <w:rsid w:val="00611510"/>
    <w:rsid w:val="006115D9"/>
    <w:rsid w:val="0061160E"/>
    <w:rsid w:val="006116D5"/>
    <w:rsid w:val="0061186F"/>
    <w:rsid w:val="0061188C"/>
    <w:rsid w:val="00611893"/>
    <w:rsid w:val="006118BD"/>
    <w:rsid w:val="00611944"/>
    <w:rsid w:val="00611999"/>
    <w:rsid w:val="00611A6D"/>
    <w:rsid w:val="00611BC3"/>
    <w:rsid w:val="00611C0A"/>
    <w:rsid w:val="00611D0C"/>
    <w:rsid w:val="00611E93"/>
    <w:rsid w:val="00611F51"/>
    <w:rsid w:val="0061202C"/>
    <w:rsid w:val="006120DC"/>
    <w:rsid w:val="0061210C"/>
    <w:rsid w:val="0061231F"/>
    <w:rsid w:val="00612340"/>
    <w:rsid w:val="006126B6"/>
    <w:rsid w:val="006126F0"/>
    <w:rsid w:val="00612793"/>
    <w:rsid w:val="00612B82"/>
    <w:rsid w:val="00612BC5"/>
    <w:rsid w:val="00612CB8"/>
    <w:rsid w:val="00612D76"/>
    <w:rsid w:val="00612D8D"/>
    <w:rsid w:val="00612E9E"/>
    <w:rsid w:val="00612F39"/>
    <w:rsid w:val="00612FB3"/>
    <w:rsid w:val="006130A1"/>
    <w:rsid w:val="00613112"/>
    <w:rsid w:val="00613405"/>
    <w:rsid w:val="0061341B"/>
    <w:rsid w:val="00613490"/>
    <w:rsid w:val="006134D5"/>
    <w:rsid w:val="00613510"/>
    <w:rsid w:val="006135AC"/>
    <w:rsid w:val="006135B7"/>
    <w:rsid w:val="00613608"/>
    <w:rsid w:val="0061368D"/>
    <w:rsid w:val="00613757"/>
    <w:rsid w:val="00613788"/>
    <w:rsid w:val="006137CF"/>
    <w:rsid w:val="00613807"/>
    <w:rsid w:val="006138F6"/>
    <w:rsid w:val="00613914"/>
    <w:rsid w:val="00613999"/>
    <w:rsid w:val="006139A4"/>
    <w:rsid w:val="00613B97"/>
    <w:rsid w:val="00613BD7"/>
    <w:rsid w:val="00613BE9"/>
    <w:rsid w:val="00613C06"/>
    <w:rsid w:val="00613E44"/>
    <w:rsid w:val="00613E8D"/>
    <w:rsid w:val="00613E9A"/>
    <w:rsid w:val="00613EC1"/>
    <w:rsid w:val="00613F31"/>
    <w:rsid w:val="0061428A"/>
    <w:rsid w:val="006142A6"/>
    <w:rsid w:val="006142C4"/>
    <w:rsid w:val="00614481"/>
    <w:rsid w:val="006144D2"/>
    <w:rsid w:val="0061458A"/>
    <w:rsid w:val="006145D7"/>
    <w:rsid w:val="00614606"/>
    <w:rsid w:val="00614634"/>
    <w:rsid w:val="006147D2"/>
    <w:rsid w:val="00614864"/>
    <w:rsid w:val="00614945"/>
    <w:rsid w:val="00614AA1"/>
    <w:rsid w:val="00614AFF"/>
    <w:rsid w:val="00614B26"/>
    <w:rsid w:val="00614BF8"/>
    <w:rsid w:val="00614C0A"/>
    <w:rsid w:val="00614C87"/>
    <w:rsid w:val="00614D18"/>
    <w:rsid w:val="00614D2C"/>
    <w:rsid w:val="00614DB8"/>
    <w:rsid w:val="00614DDE"/>
    <w:rsid w:val="00614E44"/>
    <w:rsid w:val="00614ED3"/>
    <w:rsid w:val="00614FB6"/>
    <w:rsid w:val="00614FF3"/>
    <w:rsid w:val="00615026"/>
    <w:rsid w:val="006150C2"/>
    <w:rsid w:val="006150E6"/>
    <w:rsid w:val="00615127"/>
    <w:rsid w:val="00615139"/>
    <w:rsid w:val="00615176"/>
    <w:rsid w:val="0061522B"/>
    <w:rsid w:val="006152A4"/>
    <w:rsid w:val="006152E1"/>
    <w:rsid w:val="00615305"/>
    <w:rsid w:val="0061538F"/>
    <w:rsid w:val="006153A7"/>
    <w:rsid w:val="006153D1"/>
    <w:rsid w:val="0061546D"/>
    <w:rsid w:val="00615566"/>
    <w:rsid w:val="006155A3"/>
    <w:rsid w:val="00615606"/>
    <w:rsid w:val="00615626"/>
    <w:rsid w:val="00615852"/>
    <w:rsid w:val="006158A1"/>
    <w:rsid w:val="00615A66"/>
    <w:rsid w:val="00615C0B"/>
    <w:rsid w:val="00615C5D"/>
    <w:rsid w:val="00615DBF"/>
    <w:rsid w:val="00615EB4"/>
    <w:rsid w:val="00615F26"/>
    <w:rsid w:val="00616044"/>
    <w:rsid w:val="00616192"/>
    <w:rsid w:val="00616203"/>
    <w:rsid w:val="006162FD"/>
    <w:rsid w:val="006165ED"/>
    <w:rsid w:val="00616737"/>
    <w:rsid w:val="0061678A"/>
    <w:rsid w:val="0061692A"/>
    <w:rsid w:val="00616AF7"/>
    <w:rsid w:val="00616BE1"/>
    <w:rsid w:val="00616DCE"/>
    <w:rsid w:val="00616DE4"/>
    <w:rsid w:val="00616E50"/>
    <w:rsid w:val="00616F02"/>
    <w:rsid w:val="00616F2F"/>
    <w:rsid w:val="00616F3D"/>
    <w:rsid w:val="0061702A"/>
    <w:rsid w:val="006170EE"/>
    <w:rsid w:val="0061713F"/>
    <w:rsid w:val="00617227"/>
    <w:rsid w:val="0061722B"/>
    <w:rsid w:val="006172DB"/>
    <w:rsid w:val="00617325"/>
    <w:rsid w:val="006173CB"/>
    <w:rsid w:val="006173DC"/>
    <w:rsid w:val="00617404"/>
    <w:rsid w:val="0061752F"/>
    <w:rsid w:val="006175C0"/>
    <w:rsid w:val="006175F1"/>
    <w:rsid w:val="0061762F"/>
    <w:rsid w:val="006176E7"/>
    <w:rsid w:val="00617731"/>
    <w:rsid w:val="00617839"/>
    <w:rsid w:val="006178FE"/>
    <w:rsid w:val="006179AD"/>
    <w:rsid w:val="00617AD1"/>
    <w:rsid w:val="00617B2C"/>
    <w:rsid w:val="00617CE7"/>
    <w:rsid w:val="00617CFD"/>
    <w:rsid w:val="00617DB4"/>
    <w:rsid w:val="00617EC9"/>
    <w:rsid w:val="00617F10"/>
    <w:rsid w:val="00617F46"/>
    <w:rsid w:val="00617F82"/>
    <w:rsid w:val="0062003D"/>
    <w:rsid w:val="00620073"/>
    <w:rsid w:val="006200E0"/>
    <w:rsid w:val="00620101"/>
    <w:rsid w:val="0062011A"/>
    <w:rsid w:val="00620126"/>
    <w:rsid w:val="006201F5"/>
    <w:rsid w:val="006202D0"/>
    <w:rsid w:val="006203A9"/>
    <w:rsid w:val="00620439"/>
    <w:rsid w:val="006204B3"/>
    <w:rsid w:val="00620557"/>
    <w:rsid w:val="0062056C"/>
    <w:rsid w:val="006205AD"/>
    <w:rsid w:val="006206B5"/>
    <w:rsid w:val="00620AEF"/>
    <w:rsid w:val="00620B2C"/>
    <w:rsid w:val="00620C24"/>
    <w:rsid w:val="00620D21"/>
    <w:rsid w:val="00620D58"/>
    <w:rsid w:val="00620E42"/>
    <w:rsid w:val="00620EE6"/>
    <w:rsid w:val="00620F3E"/>
    <w:rsid w:val="00620F64"/>
    <w:rsid w:val="00621225"/>
    <w:rsid w:val="0062125C"/>
    <w:rsid w:val="00621600"/>
    <w:rsid w:val="00621740"/>
    <w:rsid w:val="00621745"/>
    <w:rsid w:val="0062183A"/>
    <w:rsid w:val="00621925"/>
    <w:rsid w:val="0062196D"/>
    <w:rsid w:val="00621A4A"/>
    <w:rsid w:val="00621AA8"/>
    <w:rsid w:val="00621AC9"/>
    <w:rsid w:val="00621B3B"/>
    <w:rsid w:val="00621D8B"/>
    <w:rsid w:val="00621DAD"/>
    <w:rsid w:val="00621DB1"/>
    <w:rsid w:val="00621FAD"/>
    <w:rsid w:val="00621FBE"/>
    <w:rsid w:val="0062203D"/>
    <w:rsid w:val="00622142"/>
    <w:rsid w:val="0062224E"/>
    <w:rsid w:val="00622398"/>
    <w:rsid w:val="0062252D"/>
    <w:rsid w:val="00622594"/>
    <w:rsid w:val="006226DB"/>
    <w:rsid w:val="0062280A"/>
    <w:rsid w:val="00622946"/>
    <w:rsid w:val="0062294A"/>
    <w:rsid w:val="00622B1E"/>
    <w:rsid w:val="00622C06"/>
    <w:rsid w:val="00622C2D"/>
    <w:rsid w:val="00622D45"/>
    <w:rsid w:val="00622DDB"/>
    <w:rsid w:val="00622DFE"/>
    <w:rsid w:val="00622EF1"/>
    <w:rsid w:val="00622EF6"/>
    <w:rsid w:val="00622F1C"/>
    <w:rsid w:val="00622F30"/>
    <w:rsid w:val="00622F80"/>
    <w:rsid w:val="00622FBB"/>
    <w:rsid w:val="00623170"/>
    <w:rsid w:val="00623175"/>
    <w:rsid w:val="006231C4"/>
    <w:rsid w:val="00623238"/>
    <w:rsid w:val="00623305"/>
    <w:rsid w:val="00623426"/>
    <w:rsid w:val="00623524"/>
    <w:rsid w:val="00623562"/>
    <w:rsid w:val="00623703"/>
    <w:rsid w:val="00623706"/>
    <w:rsid w:val="0062375A"/>
    <w:rsid w:val="00623837"/>
    <w:rsid w:val="0062386F"/>
    <w:rsid w:val="00623878"/>
    <w:rsid w:val="00623882"/>
    <w:rsid w:val="00623923"/>
    <w:rsid w:val="00623A8F"/>
    <w:rsid w:val="00623ABA"/>
    <w:rsid w:val="00623BC0"/>
    <w:rsid w:val="00623BEC"/>
    <w:rsid w:val="00623C90"/>
    <w:rsid w:val="00623CE3"/>
    <w:rsid w:val="00623D9A"/>
    <w:rsid w:val="00623FD6"/>
    <w:rsid w:val="00624155"/>
    <w:rsid w:val="006241C1"/>
    <w:rsid w:val="0062421A"/>
    <w:rsid w:val="00624318"/>
    <w:rsid w:val="006244A7"/>
    <w:rsid w:val="00624546"/>
    <w:rsid w:val="0062458F"/>
    <w:rsid w:val="0062461F"/>
    <w:rsid w:val="00624695"/>
    <w:rsid w:val="006246C0"/>
    <w:rsid w:val="00624804"/>
    <w:rsid w:val="00624843"/>
    <w:rsid w:val="00624855"/>
    <w:rsid w:val="00624AB0"/>
    <w:rsid w:val="00624BB1"/>
    <w:rsid w:val="00624BBA"/>
    <w:rsid w:val="00624C5E"/>
    <w:rsid w:val="00624C5F"/>
    <w:rsid w:val="00624CA0"/>
    <w:rsid w:val="00624DBE"/>
    <w:rsid w:val="00624EE4"/>
    <w:rsid w:val="00624EEF"/>
    <w:rsid w:val="00624F0D"/>
    <w:rsid w:val="00624F4A"/>
    <w:rsid w:val="00625031"/>
    <w:rsid w:val="00625032"/>
    <w:rsid w:val="00625105"/>
    <w:rsid w:val="0062520A"/>
    <w:rsid w:val="00625224"/>
    <w:rsid w:val="00625311"/>
    <w:rsid w:val="0062543E"/>
    <w:rsid w:val="006254FF"/>
    <w:rsid w:val="00625783"/>
    <w:rsid w:val="006257DB"/>
    <w:rsid w:val="00625807"/>
    <w:rsid w:val="006258B7"/>
    <w:rsid w:val="00625A57"/>
    <w:rsid w:val="00625AC3"/>
    <w:rsid w:val="00625AFC"/>
    <w:rsid w:val="00625B55"/>
    <w:rsid w:val="00625BDB"/>
    <w:rsid w:val="00625C76"/>
    <w:rsid w:val="00625E25"/>
    <w:rsid w:val="00625E31"/>
    <w:rsid w:val="00625ECD"/>
    <w:rsid w:val="00625EFE"/>
    <w:rsid w:val="00625F0D"/>
    <w:rsid w:val="00625F2B"/>
    <w:rsid w:val="00625F77"/>
    <w:rsid w:val="00625F8D"/>
    <w:rsid w:val="00626074"/>
    <w:rsid w:val="0062614D"/>
    <w:rsid w:val="006261BC"/>
    <w:rsid w:val="0062629D"/>
    <w:rsid w:val="00626319"/>
    <w:rsid w:val="006263E4"/>
    <w:rsid w:val="0062644B"/>
    <w:rsid w:val="00626460"/>
    <w:rsid w:val="0062658E"/>
    <w:rsid w:val="0062661F"/>
    <w:rsid w:val="00626679"/>
    <w:rsid w:val="006269C0"/>
    <w:rsid w:val="006269CF"/>
    <w:rsid w:val="006269D3"/>
    <w:rsid w:val="006269EE"/>
    <w:rsid w:val="00626A54"/>
    <w:rsid w:val="00626AA6"/>
    <w:rsid w:val="00626B1B"/>
    <w:rsid w:val="00626BCC"/>
    <w:rsid w:val="00626BF4"/>
    <w:rsid w:val="00626D61"/>
    <w:rsid w:val="00626DEA"/>
    <w:rsid w:val="00626E75"/>
    <w:rsid w:val="00626F9C"/>
    <w:rsid w:val="00626FD8"/>
    <w:rsid w:val="00626FE7"/>
    <w:rsid w:val="00627008"/>
    <w:rsid w:val="00627050"/>
    <w:rsid w:val="0062708E"/>
    <w:rsid w:val="006271EF"/>
    <w:rsid w:val="00627201"/>
    <w:rsid w:val="006273DF"/>
    <w:rsid w:val="006273F5"/>
    <w:rsid w:val="00627475"/>
    <w:rsid w:val="00627718"/>
    <w:rsid w:val="006277AD"/>
    <w:rsid w:val="006277E0"/>
    <w:rsid w:val="00627988"/>
    <w:rsid w:val="00627A60"/>
    <w:rsid w:val="00627BFA"/>
    <w:rsid w:val="00627C0D"/>
    <w:rsid w:val="00627C82"/>
    <w:rsid w:val="00627D4B"/>
    <w:rsid w:val="00627DA6"/>
    <w:rsid w:val="00627EF6"/>
    <w:rsid w:val="00627EFC"/>
    <w:rsid w:val="00627FBD"/>
    <w:rsid w:val="00627FFC"/>
    <w:rsid w:val="006300B6"/>
    <w:rsid w:val="00630113"/>
    <w:rsid w:val="00630199"/>
    <w:rsid w:val="0063019C"/>
    <w:rsid w:val="006301C4"/>
    <w:rsid w:val="006302E3"/>
    <w:rsid w:val="006303DB"/>
    <w:rsid w:val="006303ED"/>
    <w:rsid w:val="00630431"/>
    <w:rsid w:val="0063045C"/>
    <w:rsid w:val="006304BE"/>
    <w:rsid w:val="006304D2"/>
    <w:rsid w:val="00630628"/>
    <w:rsid w:val="0063062C"/>
    <w:rsid w:val="0063067C"/>
    <w:rsid w:val="00630908"/>
    <w:rsid w:val="00630A03"/>
    <w:rsid w:val="00630A4E"/>
    <w:rsid w:val="00630B15"/>
    <w:rsid w:val="00630B7B"/>
    <w:rsid w:val="00630B9B"/>
    <w:rsid w:val="00630BE4"/>
    <w:rsid w:val="00630C41"/>
    <w:rsid w:val="00630CDA"/>
    <w:rsid w:val="00630EE5"/>
    <w:rsid w:val="00630F19"/>
    <w:rsid w:val="00630F64"/>
    <w:rsid w:val="00630FAF"/>
    <w:rsid w:val="00630FEC"/>
    <w:rsid w:val="006310FB"/>
    <w:rsid w:val="00631115"/>
    <w:rsid w:val="00631233"/>
    <w:rsid w:val="00631282"/>
    <w:rsid w:val="00631495"/>
    <w:rsid w:val="006314EA"/>
    <w:rsid w:val="00631582"/>
    <w:rsid w:val="006317CC"/>
    <w:rsid w:val="00631832"/>
    <w:rsid w:val="00631847"/>
    <w:rsid w:val="00631883"/>
    <w:rsid w:val="006318FF"/>
    <w:rsid w:val="0063193F"/>
    <w:rsid w:val="006319CB"/>
    <w:rsid w:val="00631A04"/>
    <w:rsid w:val="00631A6B"/>
    <w:rsid w:val="00631B98"/>
    <w:rsid w:val="00631EBA"/>
    <w:rsid w:val="00631EBE"/>
    <w:rsid w:val="00631EF6"/>
    <w:rsid w:val="00631F34"/>
    <w:rsid w:val="00631FD5"/>
    <w:rsid w:val="00631FF8"/>
    <w:rsid w:val="0063211A"/>
    <w:rsid w:val="006321A7"/>
    <w:rsid w:val="006321F2"/>
    <w:rsid w:val="006322D5"/>
    <w:rsid w:val="00632399"/>
    <w:rsid w:val="0063239F"/>
    <w:rsid w:val="006323A9"/>
    <w:rsid w:val="00632515"/>
    <w:rsid w:val="00632584"/>
    <w:rsid w:val="0063258F"/>
    <w:rsid w:val="006325DE"/>
    <w:rsid w:val="00632634"/>
    <w:rsid w:val="0063264F"/>
    <w:rsid w:val="00632840"/>
    <w:rsid w:val="0063286E"/>
    <w:rsid w:val="00632A97"/>
    <w:rsid w:val="00632AA6"/>
    <w:rsid w:val="00632AC6"/>
    <w:rsid w:val="00632B2E"/>
    <w:rsid w:val="00632B46"/>
    <w:rsid w:val="00632BA0"/>
    <w:rsid w:val="00632C29"/>
    <w:rsid w:val="00632CE1"/>
    <w:rsid w:val="00632D0B"/>
    <w:rsid w:val="00632D83"/>
    <w:rsid w:val="00632F41"/>
    <w:rsid w:val="0063316D"/>
    <w:rsid w:val="00633173"/>
    <w:rsid w:val="006332DF"/>
    <w:rsid w:val="006333D7"/>
    <w:rsid w:val="00633406"/>
    <w:rsid w:val="0063344C"/>
    <w:rsid w:val="0063371E"/>
    <w:rsid w:val="00633768"/>
    <w:rsid w:val="006338F1"/>
    <w:rsid w:val="00633BB3"/>
    <w:rsid w:val="00633C36"/>
    <w:rsid w:val="00633C45"/>
    <w:rsid w:val="00633DE9"/>
    <w:rsid w:val="00633FF9"/>
    <w:rsid w:val="0063416C"/>
    <w:rsid w:val="006341F9"/>
    <w:rsid w:val="0063425B"/>
    <w:rsid w:val="00634326"/>
    <w:rsid w:val="00634433"/>
    <w:rsid w:val="00634560"/>
    <w:rsid w:val="00634562"/>
    <w:rsid w:val="006345E7"/>
    <w:rsid w:val="00634624"/>
    <w:rsid w:val="0063466F"/>
    <w:rsid w:val="0063475D"/>
    <w:rsid w:val="006347C3"/>
    <w:rsid w:val="00634CCF"/>
    <w:rsid w:val="00634F47"/>
    <w:rsid w:val="00634FE2"/>
    <w:rsid w:val="00635051"/>
    <w:rsid w:val="006350E6"/>
    <w:rsid w:val="006351A6"/>
    <w:rsid w:val="006352B7"/>
    <w:rsid w:val="00635318"/>
    <w:rsid w:val="00635401"/>
    <w:rsid w:val="0063546F"/>
    <w:rsid w:val="0063551B"/>
    <w:rsid w:val="0063553B"/>
    <w:rsid w:val="006355C6"/>
    <w:rsid w:val="0063566B"/>
    <w:rsid w:val="00635726"/>
    <w:rsid w:val="0063575A"/>
    <w:rsid w:val="0063597F"/>
    <w:rsid w:val="00635A2F"/>
    <w:rsid w:val="00635ADF"/>
    <w:rsid w:val="00635BBF"/>
    <w:rsid w:val="00635BDE"/>
    <w:rsid w:val="00635C0E"/>
    <w:rsid w:val="00635CF8"/>
    <w:rsid w:val="00635D33"/>
    <w:rsid w:val="00635D6E"/>
    <w:rsid w:val="00635E12"/>
    <w:rsid w:val="00635F2E"/>
    <w:rsid w:val="00635FBB"/>
    <w:rsid w:val="0063608B"/>
    <w:rsid w:val="00636180"/>
    <w:rsid w:val="00636224"/>
    <w:rsid w:val="00636287"/>
    <w:rsid w:val="00636434"/>
    <w:rsid w:val="0063653B"/>
    <w:rsid w:val="0063668E"/>
    <w:rsid w:val="006367CC"/>
    <w:rsid w:val="006367F5"/>
    <w:rsid w:val="00636A28"/>
    <w:rsid w:val="00636A45"/>
    <w:rsid w:val="00636B42"/>
    <w:rsid w:val="00636BD0"/>
    <w:rsid w:val="00636BE4"/>
    <w:rsid w:val="00636C94"/>
    <w:rsid w:val="00636D11"/>
    <w:rsid w:val="00636E04"/>
    <w:rsid w:val="00636EF4"/>
    <w:rsid w:val="00636F23"/>
    <w:rsid w:val="00637277"/>
    <w:rsid w:val="006372B4"/>
    <w:rsid w:val="00637454"/>
    <w:rsid w:val="0063777E"/>
    <w:rsid w:val="006377CF"/>
    <w:rsid w:val="00637848"/>
    <w:rsid w:val="00637AF1"/>
    <w:rsid w:val="00637BF2"/>
    <w:rsid w:val="00637C05"/>
    <w:rsid w:val="00637C1D"/>
    <w:rsid w:val="00637C8B"/>
    <w:rsid w:val="00637CB8"/>
    <w:rsid w:val="00637E2E"/>
    <w:rsid w:val="00637E8C"/>
    <w:rsid w:val="00637EC9"/>
    <w:rsid w:val="00637FBB"/>
    <w:rsid w:val="0064002A"/>
    <w:rsid w:val="00640149"/>
    <w:rsid w:val="0064023B"/>
    <w:rsid w:val="00640256"/>
    <w:rsid w:val="00640367"/>
    <w:rsid w:val="00640618"/>
    <w:rsid w:val="00640627"/>
    <w:rsid w:val="00640681"/>
    <w:rsid w:val="00640711"/>
    <w:rsid w:val="00640799"/>
    <w:rsid w:val="006407E6"/>
    <w:rsid w:val="00640835"/>
    <w:rsid w:val="0064083B"/>
    <w:rsid w:val="00640852"/>
    <w:rsid w:val="006408F0"/>
    <w:rsid w:val="0064099E"/>
    <w:rsid w:val="006409A3"/>
    <w:rsid w:val="006409AD"/>
    <w:rsid w:val="00640A0E"/>
    <w:rsid w:val="00640AD1"/>
    <w:rsid w:val="00640B5C"/>
    <w:rsid w:val="00640B69"/>
    <w:rsid w:val="00640C2B"/>
    <w:rsid w:val="00640CA3"/>
    <w:rsid w:val="00640DEA"/>
    <w:rsid w:val="00640DFE"/>
    <w:rsid w:val="00640E2F"/>
    <w:rsid w:val="00640EB6"/>
    <w:rsid w:val="00640ED2"/>
    <w:rsid w:val="00640EDF"/>
    <w:rsid w:val="00640F31"/>
    <w:rsid w:val="00640FCD"/>
    <w:rsid w:val="00641135"/>
    <w:rsid w:val="0064117C"/>
    <w:rsid w:val="006411D9"/>
    <w:rsid w:val="0064121A"/>
    <w:rsid w:val="00641289"/>
    <w:rsid w:val="006412B5"/>
    <w:rsid w:val="00641333"/>
    <w:rsid w:val="006415EA"/>
    <w:rsid w:val="0064163B"/>
    <w:rsid w:val="006416C0"/>
    <w:rsid w:val="006418A6"/>
    <w:rsid w:val="006418CB"/>
    <w:rsid w:val="006418D6"/>
    <w:rsid w:val="0064193D"/>
    <w:rsid w:val="00641957"/>
    <w:rsid w:val="006419D2"/>
    <w:rsid w:val="00641A7B"/>
    <w:rsid w:val="00641AA6"/>
    <w:rsid w:val="00641BF3"/>
    <w:rsid w:val="00641C77"/>
    <w:rsid w:val="00641CE4"/>
    <w:rsid w:val="00641CF3"/>
    <w:rsid w:val="00641D65"/>
    <w:rsid w:val="00641F06"/>
    <w:rsid w:val="00641F1E"/>
    <w:rsid w:val="006420A7"/>
    <w:rsid w:val="00642108"/>
    <w:rsid w:val="00642126"/>
    <w:rsid w:val="0064212B"/>
    <w:rsid w:val="00642183"/>
    <w:rsid w:val="00642251"/>
    <w:rsid w:val="0064228B"/>
    <w:rsid w:val="006422C4"/>
    <w:rsid w:val="00642383"/>
    <w:rsid w:val="0064242B"/>
    <w:rsid w:val="00642439"/>
    <w:rsid w:val="0064253D"/>
    <w:rsid w:val="00642603"/>
    <w:rsid w:val="00642628"/>
    <w:rsid w:val="006426E8"/>
    <w:rsid w:val="00642742"/>
    <w:rsid w:val="006427CC"/>
    <w:rsid w:val="0064280C"/>
    <w:rsid w:val="0064285E"/>
    <w:rsid w:val="00642885"/>
    <w:rsid w:val="006428AF"/>
    <w:rsid w:val="006428FC"/>
    <w:rsid w:val="00642947"/>
    <w:rsid w:val="0064294D"/>
    <w:rsid w:val="00642AD2"/>
    <w:rsid w:val="00642BC0"/>
    <w:rsid w:val="00642D7D"/>
    <w:rsid w:val="00642DE3"/>
    <w:rsid w:val="00642E51"/>
    <w:rsid w:val="00642F1C"/>
    <w:rsid w:val="00642FAC"/>
    <w:rsid w:val="0064316A"/>
    <w:rsid w:val="006432B4"/>
    <w:rsid w:val="00643361"/>
    <w:rsid w:val="0064346F"/>
    <w:rsid w:val="006434D5"/>
    <w:rsid w:val="00643569"/>
    <w:rsid w:val="0064357E"/>
    <w:rsid w:val="00643611"/>
    <w:rsid w:val="00643669"/>
    <w:rsid w:val="00643789"/>
    <w:rsid w:val="0064386F"/>
    <w:rsid w:val="006438CB"/>
    <w:rsid w:val="006438D6"/>
    <w:rsid w:val="0064390B"/>
    <w:rsid w:val="006439CC"/>
    <w:rsid w:val="006439F7"/>
    <w:rsid w:val="00643AE2"/>
    <w:rsid w:val="00643B44"/>
    <w:rsid w:val="00643CC6"/>
    <w:rsid w:val="00643D62"/>
    <w:rsid w:val="00643DBE"/>
    <w:rsid w:val="00643E07"/>
    <w:rsid w:val="00643E5C"/>
    <w:rsid w:val="00643F37"/>
    <w:rsid w:val="00643F3A"/>
    <w:rsid w:val="00644025"/>
    <w:rsid w:val="00644113"/>
    <w:rsid w:val="00644124"/>
    <w:rsid w:val="006441FE"/>
    <w:rsid w:val="0064420A"/>
    <w:rsid w:val="0064434E"/>
    <w:rsid w:val="006444AF"/>
    <w:rsid w:val="006444B4"/>
    <w:rsid w:val="006444ED"/>
    <w:rsid w:val="006445DC"/>
    <w:rsid w:val="00644640"/>
    <w:rsid w:val="0064466B"/>
    <w:rsid w:val="006447CB"/>
    <w:rsid w:val="006449AE"/>
    <w:rsid w:val="006449C6"/>
    <w:rsid w:val="00644A7F"/>
    <w:rsid w:val="00644AE2"/>
    <w:rsid w:val="00644BC6"/>
    <w:rsid w:val="00644E65"/>
    <w:rsid w:val="00644E99"/>
    <w:rsid w:val="00644F76"/>
    <w:rsid w:val="00644FE9"/>
    <w:rsid w:val="00645095"/>
    <w:rsid w:val="0064512F"/>
    <w:rsid w:val="00645417"/>
    <w:rsid w:val="00645495"/>
    <w:rsid w:val="006454EC"/>
    <w:rsid w:val="006456B6"/>
    <w:rsid w:val="006456E0"/>
    <w:rsid w:val="00645774"/>
    <w:rsid w:val="006457DB"/>
    <w:rsid w:val="006457FA"/>
    <w:rsid w:val="00645802"/>
    <w:rsid w:val="00645920"/>
    <w:rsid w:val="006459D1"/>
    <w:rsid w:val="006459EE"/>
    <w:rsid w:val="006459F7"/>
    <w:rsid w:val="00645A4B"/>
    <w:rsid w:val="00645B42"/>
    <w:rsid w:val="00645DB2"/>
    <w:rsid w:val="00645FCF"/>
    <w:rsid w:val="0064606D"/>
    <w:rsid w:val="006460AC"/>
    <w:rsid w:val="006460C9"/>
    <w:rsid w:val="0064628C"/>
    <w:rsid w:val="0064629A"/>
    <w:rsid w:val="00646346"/>
    <w:rsid w:val="00646374"/>
    <w:rsid w:val="006463BD"/>
    <w:rsid w:val="006463F3"/>
    <w:rsid w:val="00646409"/>
    <w:rsid w:val="006464B8"/>
    <w:rsid w:val="006464CA"/>
    <w:rsid w:val="006464CD"/>
    <w:rsid w:val="00646556"/>
    <w:rsid w:val="00646751"/>
    <w:rsid w:val="00646786"/>
    <w:rsid w:val="00646897"/>
    <w:rsid w:val="0064689B"/>
    <w:rsid w:val="006468E1"/>
    <w:rsid w:val="006469F5"/>
    <w:rsid w:val="00646A4A"/>
    <w:rsid w:val="00646B44"/>
    <w:rsid w:val="00646C00"/>
    <w:rsid w:val="00646C1C"/>
    <w:rsid w:val="00646D46"/>
    <w:rsid w:val="00646D95"/>
    <w:rsid w:val="00646EBF"/>
    <w:rsid w:val="00646EEF"/>
    <w:rsid w:val="00646F4A"/>
    <w:rsid w:val="00646FB2"/>
    <w:rsid w:val="0064703C"/>
    <w:rsid w:val="006470E3"/>
    <w:rsid w:val="00647183"/>
    <w:rsid w:val="00647217"/>
    <w:rsid w:val="0064727D"/>
    <w:rsid w:val="006472E7"/>
    <w:rsid w:val="006472F5"/>
    <w:rsid w:val="0064743A"/>
    <w:rsid w:val="006475F8"/>
    <w:rsid w:val="00647678"/>
    <w:rsid w:val="00647783"/>
    <w:rsid w:val="0064782B"/>
    <w:rsid w:val="0064787A"/>
    <w:rsid w:val="00647B64"/>
    <w:rsid w:val="00647B7A"/>
    <w:rsid w:val="00647C24"/>
    <w:rsid w:val="00647D4A"/>
    <w:rsid w:val="00647DDD"/>
    <w:rsid w:val="00647DF8"/>
    <w:rsid w:val="00650013"/>
    <w:rsid w:val="00650214"/>
    <w:rsid w:val="00650299"/>
    <w:rsid w:val="00650357"/>
    <w:rsid w:val="006503D9"/>
    <w:rsid w:val="0065042F"/>
    <w:rsid w:val="00650618"/>
    <w:rsid w:val="006507DE"/>
    <w:rsid w:val="0065086A"/>
    <w:rsid w:val="0065086D"/>
    <w:rsid w:val="0065090F"/>
    <w:rsid w:val="0065093E"/>
    <w:rsid w:val="00650979"/>
    <w:rsid w:val="006509D6"/>
    <w:rsid w:val="006509F5"/>
    <w:rsid w:val="00650AAC"/>
    <w:rsid w:val="00650B9C"/>
    <w:rsid w:val="00650BA8"/>
    <w:rsid w:val="00650C4E"/>
    <w:rsid w:val="00650C6C"/>
    <w:rsid w:val="00650CEA"/>
    <w:rsid w:val="00650CF2"/>
    <w:rsid w:val="00650D72"/>
    <w:rsid w:val="00650D85"/>
    <w:rsid w:val="00650E28"/>
    <w:rsid w:val="00650EF1"/>
    <w:rsid w:val="00650FE1"/>
    <w:rsid w:val="00651016"/>
    <w:rsid w:val="00651301"/>
    <w:rsid w:val="0065148E"/>
    <w:rsid w:val="006514D3"/>
    <w:rsid w:val="00651529"/>
    <w:rsid w:val="0065165F"/>
    <w:rsid w:val="006516C2"/>
    <w:rsid w:val="006516FA"/>
    <w:rsid w:val="0065173B"/>
    <w:rsid w:val="00651873"/>
    <w:rsid w:val="006518BD"/>
    <w:rsid w:val="006518EB"/>
    <w:rsid w:val="006518EE"/>
    <w:rsid w:val="006518F7"/>
    <w:rsid w:val="0065194A"/>
    <w:rsid w:val="006519DD"/>
    <w:rsid w:val="00651AA4"/>
    <w:rsid w:val="00651B34"/>
    <w:rsid w:val="00651B4C"/>
    <w:rsid w:val="00651B72"/>
    <w:rsid w:val="00651BB5"/>
    <w:rsid w:val="00651BC3"/>
    <w:rsid w:val="00651C75"/>
    <w:rsid w:val="00651CE6"/>
    <w:rsid w:val="00651DBC"/>
    <w:rsid w:val="00651F6D"/>
    <w:rsid w:val="00651F89"/>
    <w:rsid w:val="00651FDD"/>
    <w:rsid w:val="00651FFD"/>
    <w:rsid w:val="0065214E"/>
    <w:rsid w:val="006523A9"/>
    <w:rsid w:val="006524D9"/>
    <w:rsid w:val="0065263C"/>
    <w:rsid w:val="00652788"/>
    <w:rsid w:val="006527B6"/>
    <w:rsid w:val="00652867"/>
    <w:rsid w:val="006528C9"/>
    <w:rsid w:val="006528E5"/>
    <w:rsid w:val="00652921"/>
    <w:rsid w:val="006529A9"/>
    <w:rsid w:val="006529D9"/>
    <w:rsid w:val="00652AA6"/>
    <w:rsid w:val="00652B6D"/>
    <w:rsid w:val="00652C27"/>
    <w:rsid w:val="00652D9B"/>
    <w:rsid w:val="00652E51"/>
    <w:rsid w:val="00652F5A"/>
    <w:rsid w:val="00653022"/>
    <w:rsid w:val="006530CA"/>
    <w:rsid w:val="00653229"/>
    <w:rsid w:val="006532BF"/>
    <w:rsid w:val="00653397"/>
    <w:rsid w:val="006534D2"/>
    <w:rsid w:val="006534F5"/>
    <w:rsid w:val="006534F7"/>
    <w:rsid w:val="00653517"/>
    <w:rsid w:val="0065354B"/>
    <w:rsid w:val="0065359B"/>
    <w:rsid w:val="006535B3"/>
    <w:rsid w:val="00653734"/>
    <w:rsid w:val="0065378D"/>
    <w:rsid w:val="006537C2"/>
    <w:rsid w:val="0065384D"/>
    <w:rsid w:val="006538DB"/>
    <w:rsid w:val="00653A39"/>
    <w:rsid w:val="00653C72"/>
    <w:rsid w:val="00653DB9"/>
    <w:rsid w:val="00653E34"/>
    <w:rsid w:val="00653E59"/>
    <w:rsid w:val="00653F24"/>
    <w:rsid w:val="0065404C"/>
    <w:rsid w:val="006541F8"/>
    <w:rsid w:val="0065442C"/>
    <w:rsid w:val="00654577"/>
    <w:rsid w:val="0065462B"/>
    <w:rsid w:val="0065464D"/>
    <w:rsid w:val="006546F7"/>
    <w:rsid w:val="00654822"/>
    <w:rsid w:val="00654886"/>
    <w:rsid w:val="0065490C"/>
    <w:rsid w:val="0065491A"/>
    <w:rsid w:val="00654939"/>
    <w:rsid w:val="00654983"/>
    <w:rsid w:val="006549E5"/>
    <w:rsid w:val="00654C3B"/>
    <w:rsid w:val="00654CC7"/>
    <w:rsid w:val="00654E19"/>
    <w:rsid w:val="00654E45"/>
    <w:rsid w:val="00654E75"/>
    <w:rsid w:val="00654E7A"/>
    <w:rsid w:val="0065509C"/>
    <w:rsid w:val="006550C0"/>
    <w:rsid w:val="006551BB"/>
    <w:rsid w:val="00655303"/>
    <w:rsid w:val="006553F2"/>
    <w:rsid w:val="006554ED"/>
    <w:rsid w:val="00655570"/>
    <w:rsid w:val="0065569A"/>
    <w:rsid w:val="006556CF"/>
    <w:rsid w:val="00655723"/>
    <w:rsid w:val="00655771"/>
    <w:rsid w:val="006557B5"/>
    <w:rsid w:val="00655914"/>
    <w:rsid w:val="00655B95"/>
    <w:rsid w:val="00655E08"/>
    <w:rsid w:val="00655F3E"/>
    <w:rsid w:val="00655F57"/>
    <w:rsid w:val="00655F7E"/>
    <w:rsid w:val="00656144"/>
    <w:rsid w:val="0065648A"/>
    <w:rsid w:val="00656674"/>
    <w:rsid w:val="0065693F"/>
    <w:rsid w:val="00656A4F"/>
    <w:rsid w:val="00656ABA"/>
    <w:rsid w:val="00656AE6"/>
    <w:rsid w:val="00656BF0"/>
    <w:rsid w:val="00656C18"/>
    <w:rsid w:val="00656C1F"/>
    <w:rsid w:val="00656CA9"/>
    <w:rsid w:val="00656E7D"/>
    <w:rsid w:val="00657005"/>
    <w:rsid w:val="0065717E"/>
    <w:rsid w:val="006571F6"/>
    <w:rsid w:val="006571F9"/>
    <w:rsid w:val="006571FD"/>
    <w:rsid w:val="00657254"/>
    <w:rsid w:val="006572A5"/>
    <w:rsid w:val="006573F2"/>
    <w:rsid w:val="0065741A"/>
    <w:rsid w:val="00657451"/>
    <w:rsid w:val="00657574"/>
    <w:rsid w:val="006575FD"/>
    <w:rsid w:val="0065764C"/>
    <w:rsid w:val="006577C5"/>
    <w:rsid w:val="0065794E"/>
    <w:rsid w:val="0065798E"/>
    <w:rsid w:val="00657A8C"/>
    <w:rsid w:val="00657AF3"/>
    <w:rsid w:val="00657B05"/>
    <w:rsid w:val="00657BD1"/>
    <w:rsid w:val="00657C51"/>
    <w:rsid w:val="00657DB2"/>
    <w:rsid w:val="00660194"/>
    <w:rsid w:val="006601D1"/>
    <w:rsid w:val="0066024F"/>
    <w:rsid w:val="0066040F"/>
    <w:rsid w:val="00660427"/>
    <w:rsid w:val="006604FF"/>
    <w:rsid w:val="00660536"/>
    <w:rsid w:val="0066057D"/>
    <w:rsid w:val="006605DA"/>
    <w:rsid w:val="00660648"/>
    <w:rsid w:val="00660651"/>
    <w:rsid w:val="0066080D"/>
    <w:rsid w:val="0066083B"/>
    <w:rsid w:val="0066088F"/>
    <w:rsid w:val="00660943"/>
    <w:rsid w:val="006609C4"/>
    <w:rsid w:val="00660AA9"/>
    <w:rsid w:val="00660D2E"/>
    <w:rsid w:val="00660F11"/>
    <w:rsid w:val="00661067"/>
    <w:rsid w:val="0066108B"/>
    <w:rsid w:val="006612C8"/>
    <w:rsid w:val="00661306"/>
    <w:rsid w:val="0066135B"/>
    <w:rsid w:val="0066142A"/>
    <w:rsid w:val="006614E3"/>
    <w:rsid w:val="0066172B"/>
    <w:rsid w:val="006617B9"/>
    <w:rsid w:val="00661810"/>
    <w:rsid w:val="006618E6"/>
    <w:rsid w:val="00661916"/>
    <w:rsid w:val="00661953"/>
    <w:rsid w:val="00661A18"/>
    <w:rsid w:val="00661AA7"/>
    <w:rsid w:val="00661B22"/>
    <w:rsid w:val="00661C36"/>
    <w:rsid w:val="00661C3C"/>
    <w:rsid w:val="00661CF5"/>
    <w:rsid w:val="00661E05"/>
    <w:rsid w:val="00661F0A"/>
    <w:rsid w:val="0066201F"/>
    <w:rsid w:val="00662027"/>
    <w:rsid w:val="0066205C"/>
    <w:rsid w:val="006620BC"/>
    <w:rsid w:val="006620CB"/>
    <w:rsid w:val="00662170"/>
    <w:rsid w:val="00662289"/>
    <w:rsid w:val="0066230E"/>
    <w:rsid w:val="0066251D"/>
    <w:rsid w:val="006625B7"/>
    <w:rsid w:val="006625C1"/>
    <w:rsid w:val="006626D0"/>
    <w:rsid w:val="006626E4"/>
    <w:rsid w:val="0066273B"/>
    <w:rsid w:val="00662AF6"/>
    <w:rsid w:val="00662D24"/>
    <w:rsid w:val="00662D25"/>
    <w:rsid w:val="00662D5A"/>
    <w:rsid w:val="00662DA2"/>
    <w:rsid w:val="00662F3E"/>
    <w:rsid w:val="00662F45"/>
    <w:rsid w:val="0066304C"/>
    <w:rsid w:val="006630C1"/>
    <w:rsid w:val="00663152"/>
    <w:rsid w:val="0066316C"/>
    <w:rsid w:val="00663227"/>
    <w:rsid w:val="00663345"/>
    <w:rsid w:val="0066345A"/>
    <w:rsid w:val="00663508"/>
    <w:rsid w:val="0066352B"/>
    <w:rsid w:val="006635B4"/>
    <w:rsid w:val="0066360F"/>
    <w:rsid w:val="00663668"/>
    <w:rsid w:val="0066366E"/>
    <w:rsid w:val="006636E1"/>
    <w:rsid w:val="006636ED"/>
    <w:rsid w:val="006636F3"/>
    <w:rsid w:val="00663800"/>
    <w:rsid w:val="0066388C"/>
    <w:rsid w:val="0066393E"/>
    <w:rsid w:val="006639B3"/>
    <w:rsid w:val="006639BD"/>
    <w:rsid w:val="00663A15"/>
    <w:rsid w:val="00663A58"/>
    <w:rsid w:val="00663A82"/>
    <w:rsid w:val="00663AAD"/>
    <w:rsid w:val="00663B76"/>
    <w:rsid w:val="00663C40"/>
    <w:rsid w:val="00663DB8"/>
    <w:rsid w:val="00663EDD"/>
    <w:rsid w:val="00664056"/>
    <w:rsid w:val="00664125"/>
    <w:rsid w:val="0066413E"/>
    <w:rsid w:val="00664140"/>
    <w:rsid w:val="00664145"/>
    <w:rsid w:val="0066414D"/>
    <w:rsid w:val="00664167"/>
    <w:rsid w:val="0066426A"/>
    <w:rsid w:val="006642A5"/>
    <w:rsid w:val="006646E1"/>
    <w:rsid w:val="006647D3"/>
    <w:rsid w:val="006647E3"/>
    <w:rsid w:val="00664828"/>
    <w:rsid w:val="006648B9"/>
    <w:rsid w:val="0066493A"/>
    <w:rsid w:val="006649ED"/>
    <w:rsid w:val="00664A39"/>
    <w:rsid w:val="00664BD6"/>
    <w:rsid w:val="00664C3A"/>
    <w:rsid w:val="00664CDD"/>
    <w:rsid w:val="00664DE9"/>
    <w:rsid w:val="00664E67"/>
    <w:rsid w:val="00664F25"/>
    <w:rsid w:val="00664F6F"/>
    <w:rsid w:val="006650AE"/>
    <w:rsid w:val="00665155"/>
    <w:rsid w:val="006651BD"/>
    <w:rsid w:val="006651C3"/>
    <w:rsid w:val="00665225"/>
    <w:rsid w:val="00665253"/>
    <w:rsid w:val="0066544F"/>
    <w:rsid w:val="006656E0"/>
    <w:rsid w:val="006656F4"/>
    <w:rsid w:val="00665744"/>
    <w:rsid w:val="00665793"/>
    <w:rsid w:val="006657B7"/>
    <w:rsid w:val="00665895"/>
    <w:rsid w:val="00665949"/>
    <w:rsid w:val="00665A0D"/>
    <w:rsid w:val="00665B62"/>
    <w:rsid w:val="00665C28"/>
    <w:rsid w:val="00665CEF"/>
    <w:rsid w:val="00665D58"/>
    <w:rsid w:val="00665ECF"/>
    <w:rsid w:val="00665FD7"/>
    <w:rsid w:val="00666071"/>
    <w:rsid w:val="006660A9"/>
    <w:rsid w:val="0066643C"/>
    <w:rsid w:val="00666506"/>
    <w:rsid w:val="006665D1"/>
    <w:rsid w:val="006665DF"/>
    <w:rsid w:val="006665EB"/>
    <w:rsid w:val="006666CE"/>
    <w:rsid w:val="00666832"/>
    <w:rsid w:val="006668CB"/>
    <w:rsid w:val="0066690B"/>
    <w:rsid w:val="00666911"/>
    <w:rsid w:val="0066695B"/>
    <w:rsid w:val="006669BD"/>
    <w:rsid w:val="00666B8C"/>
    <w:rsid w:val="00666B9B"/>
    <w:rsid w:val="00666C01"/>
    <w:rsid w:val="00666C10"/>
    <w:rsid w:val="00666E6D"/>
    <w:rsid w:val="00666E70"/>
    <w:rsid w:val="00666F17"/>
    <w:rsid w:val="00666FF0"/>
    <w:rsid w:val="00667078"/>
    <w:rsid w:val="00667325"/>
    <w:rsid w:val="006673E8"/>
    <w:rsid w:val="00667480"/>
    <w:rsid w:val="006674A5"/>
    <w:rsid w:val="0066750B"/>
    <w:rsid w:val="0066757A"/>
    <w:rsid w:val="006677C7"/>
    <w:rsid w:val="006678B7"/>
    <w:rsid w:val="006679FD"/>
    <w:rsid w:val="00667BA5"/>
    <w:rsid w:val="00667C16"/>
    <w:rsid w:val="00667C2E"/>
    <w:rsid w:val="00667C9D"/>
    <w:rsid w:val="00667D20"/>
    <w:rsid w:val="00667E30"/>
    <w:rsid w:val="00667FD5"/>
    <w:rsid w:val="0067016A"/>
    <w:rsid w:val="00670234"/>
    <w:rsid w:val="0067026F"/>
    <w:rsid w:val="00670450"/>
    <w:rsid w:val="006704BD"/>
    <w:rsid w:val="006704D4"/>
    <w:rsid w:val="006704E1"/>
    <w:rsid w:val="006705E0"/>
    <w:rsid w:val="00670616"/>
    <w:rsid w:val="006706CB"/>
    <w:rsid w:val="006706D8"/>
    <w:rsid w:val="0067074B"/>
    <w:rsid w:val="00670802"/>
    <w:rsid w:val="00670930"/>
    <w:rsid w:val="006709FD"/>
    <w:rsid w:val="00670AB1"/>
    <w:rsid w:val="00670AB2"/>
    <w:rsid w:val="00670ADF"/>
    <w:rsid w:val="00670BCE"/>
    <w:rsid w:val="00670C90"/>
    <w:rsid w:val="00670C9C"/>
    <w:rsid w:val="00670D0D"/>
    <w:rsid w:val="00670D9C"/>
    <w:rsid w:val="00670E06"/>
    <w:rsid w:val="00670E63"/>
    <w:rsid w:val="0067103C"/>
    <w:rsid w:val="006710B5"/>
    <w:rsid w:val="00671159"/>
    <w:rsid w:val="0067120C"/>
    <w:rsid w:val="0067133D"/>
    <w:rsid w:val="006713A0"/>
    <w:rsid w:val="006713DB"/>
    <w:rsid w:val="0067140F"/>
    <w:rsid w:val="00671499"/>
    <w:rsid w:val="006714C5"/>
    <w:rsid w:val="0067157B"/>
    <w:rsid w:val="00671628"/>
    <w:rsid w:val="006717AA"/>
    <w:rsid w:val="00671835"/>
    <w:rsid w:val="006718F8"/>
    <w:rsid w:val="0067196F"/>
    <w:rsid w:val="00671BE5"/>
    <w:rsid w:val="00671C1E"/>
    <w:rsid w:val="00671DE9"/>
    <w:rsid w:val="00671DEE"/>
    <w:rsid w:val="00671EC0"/>
    <w:rsid w:val="00671EF8"/>
    <w:rsid w:val="00671FF6"/>
    <w:rsid w:val="0067202D"/>
    <w:rsid w:val="0067208D"/>
    <w:rsid w:val="006720D6"/>
    <w:rsid w:val="00672183"/>
    <w:rsid w:val="006721E5"/>
    <w:rsid w:val="00672241"/>
    <w:rsid w:val="00672300"/>
    <w:rsid w:val="0067230D"/>
    <w:rsid w:val="00672455"/>
    <w:rsid w:val="006724B6"/>
    <w:rsid w:val="006724E7"/>
    <w:rsid w:val="0067256F"/>
    <w:rsid w:val="00672590"/>
    <w:rsid w:val="006726A8"/>
    <w:rsid w:val="00672715"/>
    <w:rsid w:val="0067277B"/>
    <w:rsid w:val="00672A67"/>
    <w:rsid w:val="00672AAF"/>
    <w:rsid w:val="00672AF2"/>
    <w:rsid w:val="00672AFD"/>
    <w:rsid w:val="00672B17"/>
    <w:rsid w:val="00672BBA"/>
    <w:rsid w:val="00672BF6"/>
    <w:rsid w:val="00672C2B"/>
    <w:rsid w:val="00672CEE"/>
    <w:rsid w:val="00672D48"/>
    <w:rsid w:val="00672D61"/>
    <w:rsid w:val="00672E35"/>
    <w:rsid w:val="00673032"/>
    <w:rsid w:val="0067307E"/>
    <w:rsid w:val="00673085"/>
    <w:rsid w:val="006731B9"/>
    <w:rsid w:val="006731BE"/>
    <w:rsid w:val="006731EB"/>
    <w:rsid w:val="00673307"/>
    <w:rsid w:val="00673309"/>
    <w:rsid w:val="00673390"/>
    <w:rsid w:val="00673398"/>
    <w:rsid w:val="006733F8"/>
    <w:rsid w:val="00673455"/>
    <w:rsid w:val="0067352C"/>
    <w:rsid w:val="0067353B"/>
    <w:rsid w:val="006735CE"/>
    <w:rsid w:val="00673648"/>
    <w:rsid w:val="00673766"/>
    <w:rsid w:val="0067376F"/>
    <w:rsid w:val="00673785"/>
    <w:rsid w:val="00673878"/>
    <w:rsid w:val="006738AE"/>
    <w:rsid w:val="006738E6"/>
    <w:rsid w:val="0067399C"/>
    <w:rsid w:val="00673B14"/>
    <w:rsid w:val="00673B53"/>
    <w:rsid w:val="00673C84"/>
    <w:rsid w:val="00673D4F"/>
    <w:rsid w:val="00674013"/>
    <w:rsid w:val="00674045"/>
    <w:rsid w:val="0067404E"/>
    <w:rsid w:val="006741AA"/>
    <w:rsid w:val="0067428D"/>
    <w:rsid w:val="006742B1"/>
    <w:rsid w:val="006742EE"/>
    <w:rsid w:val="006744AE"/>
    <w:rsid w:val="0067458E"/>
    <w:rsid w:val="006745C1"/>
    <w:rsid w:val="006747BD"/>
    <w:rsid w:val="0067480A"/>
    <w:rsid w:val="00674837"/>
    <w:rsid w:val="00674915"/>
    <w:rsid w:val="00674A5D"/>
    <w:rsid w:val="00674A85"/>
    <w:rsid w:val="00674B83"/>
    <w:rsid w:val="00674BA1"/>
    <w:rsid w:val="00674BA4"/>
    <w:rsid w:val="00674CA1"/>
    <w:rsid w:val="00674CD7"/>
    <w:rsid w:val="00674D8B"/>
    <w:rsid w:val="00674E60"/>
    <w:rsid w:val="00674E8C"/>
    <w:rsid w:val="00674F62"/>
    <w:rsid w:val="00675013"/>
    <w:rsid w:val="006750A8"/>
    <w:rsid w:val="006750E3"/>
    <w:rsid w:val="006750F6"/>
    <w:rsid w:val="00675148"/>
    <w:rsid w:val="006751EA"/>
    <w:rsid w:val="0067526F"/>
    <w:rsid w:val="006752A2"/>
    <w:rsid w:val="00675509"/>
    <w:rsid w:val="00675545"/>
    <w:rsid w:val="006755CF"/>
    <w:rsid w:val="00675844"/>
    <w:rsid w:val="00675A18"/>
    <w:rsid w:val="00675C1E"/>
    <w:rsid w:val="00675C86"/>
    <w:rsid w:val="00675CB9"/>
    <w:rsid w:val="00675D5E"/>
    <w:rsid w:val="00675E12"/>
    <w:rsid w:val="00675EF2"/>
    <w:rsid w:val="00675F79"/>
    <w:rsid w:val="00676010"/>
    <w:rsid w:val="00676030"/>
    <w:rsid w:val="0067605A"/>
    <w:rsid w:val="0067614D"/>
    <w:rsid w:val="00676315"/>
    <w:rsid w:val="0067631A"/>
    <w:rsid w:val="00676340"/>
    <w:rsid w:val="00676390"/>
    <w:rsid w:val="006763EE"/>
    <w:rsid w:val="006766E1"/>
    <w:rsid w:val="00676748"/>
    <w:rsid w:val="00676951"/>
    <w:rsid w:val="00676967"/>
    <w:rsid w:val="00676A2B"/>
    <w:rsid w:val="00676AFA"/>
    <w:rsid w:val="00676B6E"/>
    <w:rsid w:val="00676C2C"/>
    <w:rsid w:val="00676CBD"/>
    <w:rsid w:val="00676DA1"/>
    <w:rsid w:val="00676DB0"/>
    <w:rsid w:val="00676DC6"/>
    <w:rsid w:val="00676E2E"/>
    <w:rsid w:val="00676F48"/>
    <w:rsid w:val="00677124"/>
    <w:rsid w:val="006771EE"/>
    <w:rsid w:val="0067728E"/>
    <w:rsid w:val="006772D9"/>
    <w:rsid w:val="00677416"/>
    <w:rsid w:val="0067770B"/>
    <w:rsid w:val="00677A1F"/>
    <w:rsid w:val="00677AA2"/>
    <w:rsid w:val="00677B5D"/>
    <w:rsid w:val="00677BC2"/>
    <w:rsid w:val="00677C14"/>
    <w:rsid w:val="00677DB4"/>
    <w:rsid w:val="00677DBB"/>
    <w:rsid w:val="00677E5B"/>
    <w:rsid w:val="00677EBF"/>
    <w:rsid w:val="00677FA0"/>
    <w:rsid w:val="00677FBB"/>
    <w:rsid w:val="006801A0"/>
    <w:rsid w:val="006801D7"/>
    <w:rsid w:val="0068023A"/>
    <w:rsid w:val="0068034B"/>
    <w:rsid w:val="00680380"/>
    <w:rsid w:val="006804B3"/>
    <w:rsid w:val="006804F7"/>
    <w:rsid w:val="00680689"/>
    <w:rsid w:val="00680885"/>
    <w:rsid w:val="00680A6B"/>
    <w:rsid w:val="00680ACA"/>
    <w:rsid w:val="00680B2E"/>
    <w:rsid w:val="00680B80"/>
    <w:rsid w:val="00680CE9"/>
    <w:rsid w:val="00680CEC"/>
    <w:rsid w:val="00680E27"/>
    <w:rsid w:val="00680FCC"/>
    <w:rsid w:val="006810E8"/>
    <w:rsid w:val="00681282"/>
    <w:rsid w:val="00681284"/>
    <w:rsid w:val="006813A7"/>
    <w:rsid w:val="00681410"/>
    <w:rsid w:val="00681562"/>
    <w:rsid w:val="00681570"/>
    <w:rsid w:val="006815C3"/>
    <w:rsid w:val="006815E3"/>
    <w:rsid w:val="00681696"/>
    <w:rsid w:val="006816D9"/>
    <w:rsid w:val="006816E6"/>
    <w:rsid w:val="00681718"/>
    <w:rsid w:val="00681766"/>
    <w:rsid w:val="00681901"/>
    <w:rsid w:val="00681915"/>
    <w:rsid w:val="00681932"/>
    <w:rsid w:val="0068196F"/>
    <w:rsid w:val="00681A48"/>
    <w:rsid w:val="00681B05"/>
    <w:rsid w:val="00681B20"/>
    <w:rsid w:val="00681BB2"/>
    <w:rsid w:val="00681C1B"/>
    <w:rsid w:val="00681D8A"/>
    <w:rsid w:val="00681DB2"/>
    <w:rsid w:val="00681E38"/>
    <w:rsid w:val="00681EBE"/>
    <w:rsid w:val="00681EBF"/>
    <w:rsid w:val="00681F14"/>
    <w:rsid w:val="00681F90"/>
    <w:rsid w:val="00682115"/>
    <w:rsid w:val="00682257"/>
    <w:rsid w:val="006822E1"/>
    <w:rsid w:val="0068247F"/>
    <w:rsid w:val="0068250B"/>
    <w:rsid w:val="006825BD"/>
    <w:rsid w:val="006825E8"/>
    <w:rsid w:val="00682667"/>
    <w:rsid w:val="006828B3"/>
    <w:rsid w:val="006829E5"/>
    <w:rsid w:val="00682AB4"/>
    <w:rsid w:val="00682BFF"/>
    <w:rsid w:val="00682C16"/>
    <w:rsid w:val="00682D04"/>
    <w:rsid w:val="00682D29"/>
    <w:rsid w:val="00682D30"/>
    <w:rsid w:val="00682D8D"/>
    <w:rsid w:val="00682DD6"/>
    <w:rsid w:val="00682E23"/>
    <w:rsid w:val="00682E86"/>
    <w:rsid w:val="00682F42"/>
    <w:rsid w:val="00683092"/>
    <w:rsid w:val="006830BC"/>
    <w:rsid w:val="00683100"/>
    <w:rsid w:val="00683109"/>
    <w:rsid w:val="00683193"/>
    <w:rsid w:val="006831F8"/>
    <w:rsid w:val="00683257"/>
    <w:rsid w:val="00683436"/>
    <w:rsid w:val="00683581"/>
    <w:rsid w:val="006835D2"/>
    <w:rsid w:val="0068388D"/>
    <w:rsid w:val="006838AD"/>
    <w:rsid w:val="0068392A"/>
    <w:rsid w:val="006839EF"/>
    <w:rsid w:val="00683B21"/>
    <w:rsid w:val="00683B44"/>
    <w:rsid w:val="00683B89"/>
    <w:rsid w:val="00683CE2"/>
    <w:rsid w:val="00683EA0"/>
    <w:rsid w:val="006840F9"/>
    <w:rsid w:val="006841CB"/>
    <w:rsid w:val="00684297"/>
    <w:rsid w:val="006842D9"/>
    <w:rsid w:val="00684354"/>
    <w:rsid w:val="00684435"/>
    <w:rsid w:val="0068458E"/>
    <w:rsid w:val="006845FD"/>
    <w:rsid w:val="0068467A"/>
    <w:rsid w:val="006847D3"/>
    <w:rsid w:val="0068484B"/>
    <w:rsid w:val="00684BD2"/>
    <w:rsid w:val="00684BDD"/>
    <w:rsid w:val="00684C7D"/>
    <w:rsid w:val="00684D12"/>
    <w:rsid w:val="00684E74"/>
    <w:rsid w:val="00684ED0"/>
    <w:rsid w:val="00685131"/>
    <w:rsid w:val="00685192"/>
    <w:rsid w:val="0068520F"/>
    <w:rsid w:val="00685231"/>
    <w:rsid w:val="0068528A"/>
    <w:rsid w:val="00685315"/>
    <w:rsid w:val="0068548D"/>
    <w:rsid w:val="006854A6"/>
    <w:rsid w:val="006854CE"/>
    <w:rsid w:val="0068555F"/>
    <w:rsid w:val="0068578B"/>
    <w:rsid w:val="00685832"/>
    <w:rsid w:val="0068587B"/>
    <w:rsid w:val="006859F6"/>
    <w:rsid w:val="00685A5A"/>
    <w:rsid w:val="00685B60"/>
    <w:rsid w:val="00685B9D"/>
    <w:rsid w:val="00685C49"/>
    <w:rsid w:val="00685DC9"/>
    <w:rsid w:val="00685DDF"/>
    <w:rsid w:val="00686017"/>
    <w:rsid w:val="0068604F"/>
    <w:rsid w:val="00686056"/>
    <w:rsid w:val="0068616F"/>
    <w:rsid w:val="006861D9"/>
    <w:rsid w:val="0068632E"/>
    <w:rsid w:val="006863C2"/>
    <w:rsid w:val="00686421"/>
    <w:rsid w:val="00686491"/>
    <w:rsid w:val="006865B5"/>
    <w:rsid w:val="006865C5"/>
    <w:rsid w:val="006866FF"/>
    <w:rsid w:val="006867DF"/>
    <w:rsid w:val="00686820"/>
    <w:rsid w:val="00686A2D"/>
    <w:rsid w:val="00686A61"/>
    <w:rsid w:val="00686A7E"/>
    <w:rsid w:val="00686A9D"/>
    <w:rsid w:val="00686AEE"/>
    <w:rsid w:val="00686BEC"/>
    <w:rsid w:val="00686CC7"/>
    <w:rsid w:val="00686D61"/>
    <w:rsid w:val="006871DA"/>
    <w:rsid w:val="006874DE"/>
    <w:rsid w:val="00687505"/>
    <w:rsid w:val="0068756B"/>
    <w:rsid w:val="00687576"/>
    <w:rsid w:val="006875B4"/>
    <w:rsid w:val="006875DC"/>
    <w:rsid w:val="006876B2"/>
    <w:rsid w:val="006876F9"/>
    <w:rsid w:val="0068777A"/>
    <w:rsid w:val="00687913"/>
    <w:rsid w:val="00687A5A"/>
    <w:rsid w:val="00687ACD"/>
    <w:rsid w:val="00687C3E"/>
    <w:rsid w:val="00687DC0"/>
    <w:rsid w:val="00687E1F"/>
    <w:rsid w:val="00687E2C"/>
    <w:rsid w:val="006900E4"/>
    <w:rsid w:val="00690198"/>
    <w:rsid w:val="0069019A"/>
    <w:rsid w:val="006901A9"/>
    <w:rsid w:val="00690256"/>
    <w:rsid w:val="00690311"/>
    <w:rsid w:val="0069031B"/>
    <w:rsid w:val="00690342"/>
    <w:rsid w:val="006903BF"/>
    <w:rsid w:val="006905DF"/>
    <w:rsid w:val="0069062B"/>
    <w:rsid w:val="00690683"/>
    <w:rsid w:val="006907D7"/>
    <w:rsid w:val="006908A8"/>
    <w:rsid w:val="00690BBE"/>
    <w:rsid w:val="00690DB2"/>
    <w:rsid w:val="00690EAA"/>
    <w:rsid w:val="00690F98"/>
    <w:rsid w:val="006911C3"/>
    <w:rsid w:val="00691224"/>
    <w:rsid w:val="006912CD"/>
    <w:rsid w:val="0069134C"/>
    <w:rsid w:val="0069137B"/>
    <w:rsid w:val="00691407"/>
    <w:rsid w:val="00691458"/>
    <w:rsid w:val="00691508"/>
    <w:rsid w:val="00691555"/>
    <w:rsid w:val="00691632"/>
    <w:rsid w:val="006916A1"/>
    <w:rsid w:val="006916CE"/>
    <w:rsid w:val="006918D5"/>
    <w:rsid w:val="00691941"/>
    <w:rsid w:val="00691956"/>
    <w:rsid w:val="00691A6E"/>
    <w:rsid w:val="00691ABC"/>
    <w:rsid w:val="00691B2C"/>
    <w:rsid w:val="00691C26"/>
    <w:rsid w:val="00691C32"/>
    <w:rsid w:val="00691C3D"/>
    <w:rsid w:val="00691D12"/>
    <w:rsid w:val="00691E61"/>
    <w:rsid w:val="00691EAA"/>
    <w:rsid w:val="0069212E"/>
    <w:rsid w:val="00692242"/>
    <w:rsid w:val="0069225B"/>
    <w:rsid w:val="00692398"/>
    <w:rsid w:val="0069264C"/>
    <w:rsid w:val="0069265B"/>
    <w:rsid w:val="0069265E"/>
    <w:rsid w:val="0069271E"/>
    <w:rsid w:val="00692772"/>
    <w:rsid w:val="0069279C"/>
    <w:rsid w:val="00692860"/>
    <w:rsid w:val="006929B2"/>
    <w:rsid w:val="00692AD6"/>
    <w:rsid w:val="00692B10"/>
    <w:rsid w:val="00692D34"/>
    <w:rsid w:val="00692D82"/>
    <w:rsid w:val="00692D85"/>
    <w:rsid w:val="0069310C"/>
    <w:rsid w:val="0069312F"/>
    <w:rsid w:val="00693171"/>
    <w:rsid w:val="0069326B"/>
    <w:rsid w:val="00693285"/>
    <w:rsid w:val="0069328F"/>
    <w:rsid w:val="006932D4"/>
    <w:rsid w:val="006932EF"/>
    <w:rsid w:val="00693305"/>
    <w:rsid w:val="0069331A"/>
    <w:rsid w:val="00693424"/>
    <w:rsid w:val="0069348C"/>
    <w:rsid w:val="0069350F"/>
    <w:rsid w:val="00693526"/>
    <w:rsid w:val="0069357D"/>
    <w:rsid w:val="00693640"/>
    <w:rsid w:val="00693783"/>
    <w:rsid w:val="00693880"/>
    <w:rsid w:val="00693884"/>
    <w:rsid w:val="006938BF"/>
    <w:rsid w:val="00693993"/>
    <w:rsid w:val="00693A78"/>
    <w:rsid w:val="00693A8E"/>
    <w:rsid w:val="00693BA3"/>
    <w:rsid w:val="00693BB8"/>
    <w:rsid w:val="00693C0C"/>
    <w:rsid w:val="00693CAF"/>
    <w:rsid w:val="00693DA5"/>
    <w:rsid w:val="00693DA8"/>
    <w:rsid w:val="00693DBB"/>
    <w:rsid w:val="00693E43"/>
    <w:rsid w:val="00693E77"/>
    <w:rsid w:val="00693F84"/>
    <w:rsid w:val="00693FE2"/>
    <w:rsid w:val="00694014"/>
    <w:rsid w:val="00694022"/>
    <w:rsid w:val="006942D8"/>
    <w:rsid w:val="006942F5"/>
    <w:rsid w:val="006942FE"/>
    <w:rsid w:val="0069453B"/>
    <w:rsid w:val="0069485F"/>
    <w:rsid w:val="006948E0"/>
    <w:rsid w:val="0069494E"/>
    <w:rsid w:val="00694978"/>
    <w:rsid w:val="00694B48"/>
    <w:rsid w:val="00694B68"/>
    <w:rsid w:val="00694CE4"/>
    <w:rsid w:val="00694CE8"/>
    <w:rsid w:val="00694D1D"/>
    <w:rsid w:val="00694D59"/>
    <w:rsid w:val="00694D62"/>
    <w:rsid w:val="00694EC0"/>
    <w:rsid w:val="00694F89"/>
    <w:rsid w:val="00694FEB"/>
    <w:rsid w:val="00694FF6"/>
    <w:rsid w:val="00695143"/>
    <w:rsid w:val="00695177"/>
    <w:rsid w:val="00695254"/>
    <w:rsid w:val="0069536F"/>
    <w:rsid w:val="006953AB"/>
    <w:rsid w:val="006953D0"/>
    <w:rsid w:val="006954AE"/>
    <w:rsid w:val="006954C4"/>
    <w:rsid w:val="006954EB"/>
    <w:rsid w:val="0069559D"/>
    <w:rsid w:val="00695628"/>
    <w:rsid w:val="00695642"/>
    <w:rsid w:val="00695674"/>
    <w:rsid w:val="006956D6"/>
    <w:rsid w:val="006957A6"/>
    <w:rsid w:val="0069581F"/>
    <w:rsid w:val="006958A1"/>
    <w:rsid w:val="006958D2"/>
    <w:rsid w:val="00695922"/>
    <w:rsid w:val="0069597E"/>
    <w:rsid w:val="00695997"/>
    <w:rsid w:val="006959A9"/>
    <w:rsid w:val="006959DE"/>
    <w:rsid w:val="006959F9"/>
    <w:rsid w:val="00695A17"/>
    <w:rsid w:val="00695A2F"/>
    <w:rsid w:val="00695A3F"/>
    <w:rsid w:val="00695A5C"/>
    <w:rsid w:val="00695ABA"/>
    <w:rsid w:val="00695B1D"/>
    <w:rsid w:val="00695B2B"/>
    <w:rsid w:val="00695C1F"/>
    <w:rsid w:val="00695D06"/>
    <w:rsid w:val="00695D97"/>
    <w:rsid w:val="00695E72"/>
    <w:rsid w:val="00695ED5"/>
    <w:rsid w:val="006960CE"/>
    <w:rsid w:val="00696168"/>
    <w:rsid w:val="00696280"/>
    <w:rsid w:val="00696291"/>
    <w:rsid w:val="006963C8"/>
    <w:rsid w:val="00696433"/>
    <w:rsid w:val="0069645F"/>
    <w:rsid w:val="006964A6"/>
    <w:rsid w:val="00696514"/>
    <w:rsid w:val="006965A0"/>
    <w:rsid w:val="006965C6"/>
    <w:rsid w:val="006965E6"/>
    <w:rsid w:val="006965FC"/>
    <w:rsid w:val="006966B6"/>
    <w:rsid w:val="0069692C"/>
    <w:rsid w:val="00696BAC"/>
    <w:rsid w:val="00696D2C"/>
    <w:rsid w:val="00696D3B"/>
    <w:rsid w:val="00696E93"/>
    <w:rsid w:val="00696FA6"/>
    <w:rsid w:val="00696FDB"/>
    <w:rsid w:val="00697027"/>
    <w:rsid w:val="00697084"/>
    <w:rsid w:val="0069715D"/>
    <w:rsid w:val="006972C0"/>
    <w:rsid w:val="006973B6"/>
    <w:rsid w:val="0069741C"/>
    <w:rsid w:val="006974AF"/>
    <w:rsid w:val="0069763A"/>
    <w:rsid w:val="00697891"/>
    <w:rsid w:val="0069789A"/>
    <w:rsid w:val="00697A07"/>
    <w:rsid w:val="00697A7D"/>
    <w:rsid w:val="00697BA6"/>
    <w:rsid w:val="00697C11"/>
    <w:rsid w:val="00697C3E"/>
    <w:rsid w:val="00697D00"/>
    <w:rsid w:val="00697D76"/>
    <w:rsid w:val="00697D95"/>
    <w:rsid w:val="00697E7F"/>
    <w:rsid w:val="00697EF5"/>
    <w:rsid w:val="00697FE1"/>
    <w:rsid w:val="006A0036"/>
    <w:rsid w:val="006A007C"/>
    <w:rsid w:val="006A0116"/>
    <w:rsid w:val="006A01E6"/>
    <w:rsid w:val="006A0394"/>
    <w:rsid w:val="006A03B2"/>
    <w:rsid w:val="006A0420"/>
    <w:rsid w:val="006A0512"/>
    <w:rsid w:val="006A0524"/>
    <w:rsid w:val="006A0570"/>
    <w:rsid w:val="006A061C"/>
    <w:rsid w:val="006A06B1"/>
    <w:rsid w:val="006A06D2"/>
    <w:rsid w:val="006A0888"/>
    <w:rsid w:val="006A092B"/>
    <w:rsid w:val="006A092E"/>
    <w:rsid w:val="006A0A6C"/>
    <w:rsid w:val="006A0B19"/>
    <w:rsid w:val="006A0B68"/>
    <w:rsid w:val="006A0C39"/>
    <w:rsid w:val="006A0D82"/>
    <w:rsid w:val="006A0D8B"/>
    <w:rsid w:val="006A0DED"/>
    <w:rsid w:val="006A0E0C"/>
    <w:rsid w:val="006A10DA"/>
    <w:rsid w:val="006A1103"/>
    <w:rsid w:val="006A11A3"/>
    <w:rsid w:val="006A12D5"/>
    <w:rsid w:val="006A1328"/>
    <w:rsid w:val="006A135D"/>
    <w:rsid w:val="006A138E"/>
    <w:rsid w:val="006A13D7"/>
    <w:rsid w:val="006A1504"/>
    <w:rsid w:val="006A1655"/>
    <w:rsid w:val="006A1665"/>
    <w:rsid w:val="006A1721"/>
    <w:rsid w:val="006A176A"/>
    <w:rsid w:val="006A1795"/>
    <w:rsid w:val="006A1940"/>
    <w:rsid w:val="006A1965"/>
    <w:rsid w:val="006A1BA1"/>
    <w:rsid w:val="006A1CDE"/>
    <w:rsid w:val="006A1D1B"/>
    <w:rsid w:val="006A1E1E"/>
    <w:rsid w:val="006A1F77"/>
    <w:rsid w:val="006A207F"/>
    <w:rsid w:val="006A21DC"/>
    <w:rsid w:val="006A221A"/>
    <w:rsid w:val="006A251E"/>
    <w:rsid w:val="006A2544"/>
    <w:rsid w:val="006A2604"/>
    <w:rsid w:val="006A261B"/>
    <w:rsid w:val="006A2632"/>
    <w:rsid w:val="006A26AD"/>
    <w:rsid w:val="006A277D"/>
    <w:rsid w:val="006A28D4"/>
    <w:rsid w:val="006A2952"/>
    <w:rsid w:val="006A29E3"/>
    <w:rsid w:val="006A2A64"/>
    <w:rsid w:val="006A2CB3"/>
    <w:rsid w:val="006A2CFB"/>
    <w:rsid w:val="006A2F18"/>
    <w:rsid w:val="006A2FAE"/>
    <w:rsid w:val="006A301E"/>
    <w:rsid w:val="006A3052"/>
    <w:rsid w:val="006A3114"/>
    <w:rsid w:val="006A31D6"/>
    <w:rsid w:val="006A3243"/>
    <w:rsid w:val="006A32EE"/>
    <w:rsid w:val="006A32F9"/>
    <w:rsid w:val="006A335D"/>
    <w:rsid w:val="006A34E4"/>
    <w:rsid w:val="006A3678"/>
    <w:rsid w:val="006A3787"/>
    <w:rsid w:val="006A3791"/>
    <w:rsid w:val="006A39C8"/>
    <w:rsid w:val="006A39F8"/>
    <w:rsid w:val="006A3C74"/>
    <w:rsid w:val="006A3E05"/>
    <w:rsid w:val="006A3E58"/>
    <w:rsid w:val="006A3F41"/>
    <w:rsid w:val="006A40C8"/>
    <w:rsid w:val="006A41B7"/>
    <w:rsid w:val="006A4232"/>
    <w:rsid w:val="006A426F"/>
    <w:rsid w:val="006A4318"/>
    <w:rsid w:val="006A435C"/>
    <w:rsid w:val="006A466F"/>
    <w:rsid w:val="006A46A8"/>
    <w:rsid w:val="006A46BB"/>
    <w:rsid w:val="006A473D"/>
    <w:rsid w:val="006A4802"/>
    <w:rsid w:val="006A4843"/>
    <w:rsid w:val="006A4861"/>
    <w:rsid w:val="006A486B"/>
    <w:rsid w:val="006A48D8"/>
    <w:rsid w:val="006A48F2"/>
    <w:rsid w:val="006A49C7"/>
    <w:rsid w:val="006A49DB"/>
    <w:rsid w:val="006A4ADC"/>
    <w:rsid w:val="006A4D00"/>
    <w:rsid w:val="006A4D7D"/>
    <w:rsid w:val="006A4E08"/>
    <w:rsid w:val="006A4FEB"/>
    <w:rsid w:val="006A5037"/>
    <w:rsid w:val="006A50BB"/>
    <w:rsid w:val="006A51B6"/>
    <w:rsid w:val="006A526F"/>
    <w:rsid w:val="006A527D"/>
    <w:rsid w:val="006A5391"/>
    <w:rsid w:val="006A543F"/>
    <w:rsid w:val="006A5482"/>
    <w:rsid w:val="006A5508"/>
    <w:rsid w:val="006A560B"/>
    <w:rsid w:val="006A5785"/>
    <w:rsid w:val="006A5861"/>
    <w:rsid w:val="006A5956"/>
    <w:rsid w:val="006A597A"/>
    <w:rsid w:val="006A5A40"/>
    <w:rsid w:val="006A5A67"/>
    <w:rsid w:val="006A5B65"/>
    <w:rsid w:val="006A5F06"/>
    <w:rsid w:val="006A6140"/>
    <w:rsid w:val="006A6148"/>
    <w:rsid w:val="006A6174"/>
    <w:rsid w:val="006A61BE"/>
    <w:rsid w:val="006A61C4"/>
    <w:rsid w:val="006A6407"/>
    <w:rsid w:val="006A6633"/>
    <w:rsid w:val="006A6636"/>
    <w:rsid w:val="006A6821"/>
    <w:rsid w:val="006A6834"/>
    <w:rsid w:val="006A689E"/>
    <w:rsid w:val="006A68A4"/>
    <w:rsid w:val="006A68FB"/>
    <w:rsid w:val="006A6930"/>
    <w:rsid w:val="006A6944"/>
    <w:rsid w:val="006A69DC"/>
    <w:rsid w:val="006A6AA9"/>
    <w:rsid w:val="006A6BEE"/>
    <w:rsid w:val="006A6C38"/>
    <w:rsid w:val="006A6C39"/>
    <w:rsid w:val="006A6C67"/>
    <w:rsid w:val="006A6CD1"/>
    <w:rsid w:val="006A6D69"/>
    <w:rsid w:val="006A6DE0"/>
    <w:rsid w:val="006A6EEB"/>
    <w:rsid w:val="006A6EF5"/>
    <w:rsid w:val="006A6F0B"/>
    <w:rsid w:val="006A6F24"/>
    <w:rsid w:val="006A6F25"/>
    <w:rsid w:val="006A6F7E"/>
    <w:rsid w:val="006A723A"/>
    <w:rsid w:val="006A7245"/>
    <w:rsid w:val="006A72BD"/>
    <w:rsid w:val="006A72CF"/>
    <w:rsid w:val="006A7313"/>
    <w:rsid w:val="006A73C6"/>
    <w:rsid w:val="006A7572"/>
    <w:rsid w:val="006A76B8"/>
    <w:rsid w:val="006A7708"/>
    <w:rsid w:val="006A7710"/>
    <w:rsid w:val="006A7736"/>
    <w:rsid w:val="006A783B"/>
    <w:rsid w:val="006A79F1"/>
    <w:rsid w:val="006A7A5F"/>
    <w:rsid w:val="006A7A7C"/>
    <w:rsid w:val="006A7F27"/>
    <w:rsid w:val="006A7F6E"/>
    <w:rsid w:val="006B002D"/>
    <w:rsid w:val="006B00E0"/>
    <w:rsid w:val="006B01F9"/>
    <w:rsid w:val="006B0293"/>
    <w:rsid w:val="006B0376"/>
    <w:rsid w:val="006B03BD"/>
    <w:rsid w:val="006B0513"/>
    <w:rsid w:val="006B052B"/>
    <w:rsid w:val="006B0566"/>
    <w:rsid w:val="006B05B5"/>
    <w:rsid w:val="006B0644"/>
    <w:rsid w:val="006B066D"/>
    <w:rsid w:val="006B0887"/>
    <w:rsid w:val="006B0903"/>
    <w:rsid w:val="006B0921"/>
    <w:rsid w:val="006B09B2"/>
    <w:rsid w:val="006B09E7"/>
    <w:rsid w:val="006B0A63"/>
    <w:rsid w:val="006B0B33"/>
    <w:rsid w:val="006B0D18"/>
    <w:rsid w:val="006B0D96"/>
    <w:rsid w:val="006B0D9B"/>
    <w:rsid w:val="006B0E6B"/>
    <w:rsid w:val="006B0F49"/>
    <w:rsid w:val="006B1121"/>
    <w:rsid w:val="006B15D8"/>
    <w:rsid w:val="006B16E0"/>
    <w:rsid w:val="006B172D"/>
    <w:rsid w:val="006B183E"/>
    <w:rsid w:val="006B1898"/>
    <w:rsid w:val="006B19BE"/>
    <w:rsid w:val="006B19D3"/>
    <w:rsid w:val="006B1A33"/>
    <w:rsid w:val="006B1A70"/>
    <w:rsid w:val="006B1B8C"/>
    <w:rsid w:val="006B1C3B"/>
    <w:rsid w:val="006B1C78"/>
    <w:rsid w:val="006B1C9A"/>
    <w:rsid w:val="006B2003"/>
    <w:rsid w:val="006B206D"/>
    <w:rsid w:val="006B2073"/>
    <w:rsid w:val="006B227C"/>
    <w:rsid w:val="006B23C1"/>
    <w:rsid w:val="006B2419"/>
    <w:rsid w:val="006B241B"/>
    <w:rsid w:val="006B24B4"/>
    <w:rsid w:val="006B24BB"/>
    <w:rsid w:val="006B251D"/>
    <w:rsid w:val="006B253F"/>
    <w:rsid w:val="006B2721"/>
    <w:rsid w:val="006B274E"/>
    <w:rsid w:val="006B276A"/>
    <w:rsid w:val="006B27DC"/>
    <w:rsid w:val="006B27ED"/>
    <w:rsid w:val="006B2802"/>
    <w:rsid w:val="006B2A0E"/>
    <w:rsid w:val="006B2A35"/>
    <w:rsid w:val="006B2B48"/>
    <w:rsid w:val="006B2B7D"/>
    <w:rsid w:val="006B2BF8"/>
    <w:rsid w:val="006B2C2C"/>
    <w:rsid w:val="006B2CC7"/>
    <w:rsid w:val="006B2CE5"/>
    <w:rsid w:val="006B2D18"/>
    <w:rsid w:val="006B2DCE"/>
    <w:rsid w:val="006B2DEF"/>
    <w:rsid w:val="006B2EB2"/>
    <w:rsid w:val="006B2FCF"/>
    <w:rsid w:val="006B302D"/>
    <w:rsid w:val="006B30D1"/>
    <w:rsid w:val="006B3256"/>
    <w:rsid w:val="006B327A"/>
    <w:rsid w:val="006B3305"/>
    <w:rsid w:val="006B3310"/>
    <w:rsid w:val="006B3362"/>
    <w:rsid w:val="006B3403"/>
    <w:rsid w:val="006B34D3"/>
    <w:rsid w:val="006B356D"/>
    <w:rsid w:val="006B35BA"/>
    <w:rsid w:val="006B36A5"/>
    <w:rsid w:val="006B36B2"/>
    <w:rsid w:val="006B37AC"/>
    <w:rsid w:val="006B37AF"/>
    <w:rsid w:val="006B37D4"/>
    <w:rsid w:val="006B383F"/>
    <w:rsid w:val="006B386C"/>
    <w:rsid w:val="006B3888"/>
    <w:rsid w:val="006B38C2"/>
    <w:rsid w:val="006B3A7B"/>
    <w:rsid w:val="006B3AE8"/>
    <w:rsid w:val="006B3B1B"/>
    <w:rsid w:val="006B3B90"/>
    <w:rsid w:val="006B3C0E"/>
    <w:rsid w:val="006B3C31"/>
    <w:rsid w:val="006B3CC9"/>
    <w:rsid w:val="006B3E32"/>
    <w:rsid w:val="006B3F3E"/>
    <w:rsid w:val="006B3F6D"/>
    <w:rsid w:val="006B3FA3"/>
    <w:rsid w:val="006B4088"/>
    <w:rsid w:val="006B4149"/>
    <w:rsid w:val="006B4238"/>
    <w:rsid w:val="006B4277"/>
    <w:rsid w:val="006B42EB"/>
    <w:rsid w:val="006B4469"/>
    <w:rsid w:val="006B4480"/>
    <w:rsid w:val="006B44E3"/>
    <w:rsid w:val="006B44F7"/>
    <w:rsid w:val="006B4519"/>
    <w:rsid w:val="006B455A"/>
    <w:rsid w:val="006B4596"/>
    <w:rsid w:val="006B45CE"/>
    <w:rsid w:val="006B4690"/>
    <w:rsid w:val="006B4816"/>
    <w:rsid w:val="006B488A"/>
    <w:rsid w:val="006B4966"/>
    <w:rsid w:val="006B4994"/>
    <w:rsid w:val="006B4ACC"/>
    <w:rsid w:val="006B4B74"/>
    <w:rsid w:val="006B4BEA"/>
    <w:rsid w:val="006B4EB1"/>
    <w:rsid w:val="006B4EBE"/>
    <w:rsid w:val="006B4ED7"/>
    <w:rsid w:val="006B4F03"/>
    <w:rsid w:val="006B508C"/>
    <w:rsid w:val="006B50CC"/>
    <w:rsid w:val="006B50EB"/>
    <w:rsid w:val="006B50FF"/>
    <w:rsid w:val="006B5118"/>
    <w:rsid w:val="006B511E"/>
    <w:rsid w:val="006B5121"/>
    <w:rsid w:val="006B5155"/>
    <w:rsid w:val="006B5193"/>
    <w:rsid w:val="006B5325"/>
    <w:rsid w:val="006B5603"/>
    <w:rsid w:val="006B5749"/>
    <w:rsid w:val="006B5751"/>
    <w:rsid w:val="006B5800"/>
    <w:rsid w:val="006B58CD"/>
    <w:rsid w:val="006B59F7"/>
    <w:rsid w:val="006B5A0E"/>
    <w:rsid w:val="006B5A1C"/>
    <w:rsid w:val="006B5B39"/>
    <w:rsid w:val="006B5C58"/>
    <w:rsid w:val="006B5C5E"/>
    <w:rsid w:val="006B5CA8"/>
    <w:rsid w:val="006B5D18"/>
    <w:rsid w:val="006B5DFD"/>
    <w:rsid w:val="006B5EC4"/>
    <w:rsid w:val="006B6020"/>
    <w:rsid w:val="006B6148"/>
    <w:rsid w:val="006B6157"/>
    <w:rsid w:val="006B6170"/>
    <w:rsid w:val="006B620B"/>
    <w:rsid w:val="006B62E7"/>
    <w:rsid w:val="006B66FD"/>
    <w:rsid w:val="006B673D"/>
    <w:rsid w:val="006B6788"/>
    <w:rsid w:val="006B682F"/>
    <w:rsid w:val="006B6A1A"/>
    <w:rsid w:val="006B6A31"/>
    <w:rsid w:val="006B6A6F"/>
    <w:rsid w:val="006B6C85"/>
    <w:rsid w:val="006B6C99"/>
    <w:rsid w:val="006B6E91"/>
    <w:rsid w:val="006B6E92"/>
    <w:rsid w:val="006B6F68"/>
    <w:rsid w:val="006B6FA0"/>
    <w:rsid w:val="006B7015"/>
    <w:rsid w:val="006B7041"/>
    <w:rsid w:val="006B7075"/>
    <w:rsid w:val="006B73D6"/>
    <w:rsid w:val="006B744E"/>
    <w:rsid w:val="006B74AE"/>
    <w:rsid w:val="006B753D"/>
    <w:rsid w:val="006B77D7"/>
    <w:rsid w:val="006B7811"/>
    <w:rsid w:val="006B7847"/>
    <w:rsid w:val="006B78A1"/>
    <w:rsid w:val="006B78B4"/>
    <w:rsid w:val="006B7A1D"/>
    <w:rsid w:val="006B7CF6"/>
    <w:rsid w:val="006B7EFA"/>
    <w:rsid w:val="006C0078"/>
    <w:rsid w:val="006C0083"/>
    <w:rsid w:val="006C0105"/>
    <w:rsid w:val="006C0279"/>
    <w:rsid w:val="006C02E4"/>
    <w:rsid w:val="006C035F"/>
    <w:rsid w:val="006C0414"/>
    <w:rsid w:val="006C06B4"/>
    <w:rsid w:val="006C08C6"/>
    <w:rsid w:val="006C0A05"/>
    <w:rsid w:val="006C0A0F"/>
    <w:rsid w:val="006C0A1B"/>
    <w:rsid w:val="006C0A7D"/>
    <w:rsid w:val="006C0B1E"/>
    <w:rsid w:val="006C0CBF"/>
    <w:rsid w:val="006C0D20"/>
    <w:rsid w:val="006C0D70"/>
    <w:rsid w:val="006C0E9B"/>
    <w:rsid w:val="006C0FB8"/>
    <w:rsid w:val="006C119A"/>
    <w:rsid w:val="006C11FD"/>
    <w:rsid w:val="006C127C"/>
    <w:rsid w:val="006C12EA"/>
    <w:rsid w:val="006C1495"/>
    <w:rsid w:val="006C1635"/>
    <w:rsid w:val="006C171B"/>
    <w:rsid w:val="006C17D4"/>
    <w:rsid w:val="006C17F3"/>
    <w:rsid w:val="006C1829"/>
    <w:rsid w:val="006C186E"/>
    <w:rsid w:val="006C1AC7"/>
    <w:rsid w:val="006C1B6E"/>
    <w:rsid w:val="006C1B7D"/>
    <w:rsid w:val="006C1B91"/>
    <w:rsid w:val="006C1D1E"/>
    <w:rsid w:val="006C1D5A"/>
    <w:rsid w:val="006C1D6D"/>
    <w:rsid w:val="006C1ED9"/>
    <w:rsid w:val="006C2039"/>
    <w:rsid w:val="006C2093"/>
    <w:rsid w:val="006C20A6"/>
    <w:rsid w:val="006C2170"/>
    <w:rsid w:val="006C2216"/>
    <w:rsid w:val="006C224B"/>
    <w:rsid w:val="006C2275"/>
    <w:rsid w:val="006C2341"/>
    <w:rsid w:val="006C236A"/>
    <w:rsid w:val="006C24F9"/>
    <w:rsid w:val="006C25B1"/>
    <w:rsid w:val="006C25D6"/>
    <w:rsid w:val="006C262C"/>
    <w:rsid w:val="006C26B4"/>
    <w:rsid w:val="006C26CB"/>
    <w:rsid w:val="006C26EF"/>
    <w:rsid w:val="006C2716"/>
    <w:rsid w:val="006C28EA"/>
    <w:rsid w:val="006C2ACE"/>
    <w:rsid w:val="006C2C89"/>
    <w:rsid w:val="006C2CB5"/>
    <w:rsid w:val="006C2FD5"/>
    <w:rsid w:val="006C31CC"/>
    <w:rsid w:val="006C31F9"/>
    <w:rsid w:val="006C3242"/>
    <w:rsid w:val="006C32BD"/>
    <w:rsid w:val="006C33A1"/>
    <w:rsid w:val="006C34A9"/>
    <w:rsid w:val="006C34CF"/>
    <w:rsid w:val="006C3753"/>
    <w:rsid w:val="006C39A9"/>
    <w:rsid w:val="006C409F"/>
    <w:rsid w:val="006C40E0"/>
    <w:rsid w:val="006C40EA"/>
    <w:rsid w:val="006C43DE"/>
    <w:rsid w:val="006C4427"/>
    <w:rsid w:val="006C4487"/>
    <w:rsid w:val="006C449E"/>
    <w:rsid w:val="006C4597"/>
    <w:rsid w:val="006C45A7"/>
    <w:rsid w:val="006C47C1"/>
    <w:rsid w:val="006C4832"/>
    <w:rsid w:val="006C48CE"/>
    <w:rsid w:val="006C49F7"/>
    <w:rsid w:val="006C4A09"/>
    <w:rsid w:val="006C4AF4"/>
    <w:rsid w:val="006C4AFE"/>
    <w:rsid w:val="006C4B4E"/>
    <w:rsid w:val="006C4BC7"/>
    <w:rsid w:val="006C4BE6"/>
    <w:rsid w:val="006C4CDC"/>
    <w:rsid w:val="006C4D1E"/>
    <w:rsid w:val="006C4DEC"/>
    <w:rsid w:val="006C5000"/>
    <w:rsid w:val="006C500A"/>
    <w:rsid w:val="006C518B"/>
    <w:rsid w:val="006C51AA"/>
    <w:rsid w:val="006C5294"/>
    <w:rsid w:val="006C5320"/>
    <w:rsid w:val="006C5322"/>
    <w:rsid w:val="006C5344"/>
    <w:rsid w:val="006C53DC"/>
    <w:rsid w:val="006C547C"/>
    <w:rsid w:val="006C54B5"/>
    <w:rsid w:val="006C5558"/>
    <w:rsid w:val="006C5625"/>
    <w:rsid w:val="006C5647"/>
    <w:rsid w:val="006C5689"/>
    <w:rsid w:val="006C56CA"/>
    <w:rsid w:val="006C574D"/>
    <w:rsid w:val="006C57A0"/>
    <w:rsid w:val="006C5823"/>
    <w:rsid w:val="006C582F"/>
    <w:rsid w:val="006C583D"/>
    <w:rsid w:val="006C58D3"/>
    <w:rsid w:val="006C58D6"/>
    <w:rsid w:val="006C58EA"/>
    <w:rsid w:val="006C5920"/>
    <w:rsid w:val="006C5A0C"/>
    <w:rsid w:val="006C5A68"/>
    <w:rsid w:val="006C5AD3"/>
    <w:rsid w:val="006C5B19"/>
    <w:rsid w:val="006C5BCA"/>
    <w:rsid w:val="006C5BFB"/>
    <w:rsid w:val="006C5C7F"/>
    <w:rsid w:val="006C5D41"/>
    <w:rsid w:val="006C5E89"/>
    <w:rsid w:val="006C607C"/>
    <w:rsid w:val="006C6101"/>
    <w:rsid w:val="006C617F"/>
    <w:rsid w:val="006C61A4"/>
    <w:rsid w:val="006C62BA"/>
    <w:rsid w:val="006C632B"/>
    <w:rsid w:val="006C6341"/>
    <w:rsid w:val="006C63F2"/>
    <w:rsid w:val="006C6438"/>
    <w:rsid w:val="006C645F"/>
    <w:rsid w:val="006C658B"/>
    <w:rsid w:val="006C65EB"/>
    <w:rsid w:val="006C667D"/>
    <w:rsid w:val="006C6712"/>
    <w:rsid w:val="006C67DC"/>
    <w:rsid w:val="006C67FB"/>
    <w:rsid w:val="006C687E"/>
    <w:rsid w:val="006C691C"/>
    <w:rsid w:val="006C693E"/>
    <w:rsid w:val="006C69E6"/>
    <w:rsid w:val="006C6B94"/>
    <w:rsid w:val="006C6B98"/>
    <w:rsid w:val="006C6D2F"/>
    <w:rsid w:val="006C6DC4"/>
    <w:rsid w:val="006C6E1F"/>
    <w:rsid w:val="006C6E3E"/>
    <w:rsid w:val="006C6E5E"/>
    <w:rsid w:val="006C6ECE"/>
    <w:rsid w:val="006C6F00"/>
    <w:rsid w:val="006C6F3E"/>
    <w:rsid w:val="006C6F54"/>
    <w:rsid w:val="006C71E5"/>
    <w:rsid w:val="006C7251"/>
    <w:rsid w:val="006C740D"/>
    <w:rsid w:val="006C747E"/>
    <w:rsid w:val="006C74B8"/>
    <w:rsid w:val="006C752D"/>
    <w:rsid w:val="006C75D8"/>
    <w:rsid w:val="006C75E9"/>
    <w:rsid w:val="006C762E"/>
    <w:rsid w:val="006C76CF"/>
    <w:rsid w:val="006C77ED"/>
    <w:rsid w:val="006C77F5"/>
    <w:rsid w:val="006C7A4C"/>
    <w:rsid w:val="006C7B05"/>
    <w:rsid w:val="006C7B8A"/>
    <w:rsid w:val="006C7BC8"/>
    <w:rsid w:val="006C7C1D"/>
    <w:rsid w:val="006C7C2A"/>
    <w:rsid w:val="006C7D59"/>
    <w:rsid w:val="006C7DD6"/>
    <w:rsid w:val="006C7E3B"/>
    <w:rsid w:val="006C7FCB"/>
    <w:rsid w:val="006D00FD"/>
    <w:rsid w:val="006D025F"/>
    <w:rsid w:val="006D0317"/>
    <w:rsid w:val="006D032E"/>
    <w:rsid w:val="006D0374"/>
    <w:rsid w:val="006D0447"/>
    <w:rsid w:val="006D0490"/>
    <w:rsid w:val="006D049D"/>
    <w:rsid w:val="006D050B"/>
    <w:rsid w:val="006D0515"/>
    <w:rsid w:val="006D053F"/>
    <w:rsid w:val="006D057E"/>
    <w:rsid w:val="006D062D"/>
    <w:rsid w:val="006D066E"/>
    <w:rsid w:val="006D068F"/>
    <w:rsid w:val="006D06ED"/>
    <w:rsid w:val="006D0736"/>
    <w:rsid w:val="006D079A"/>
    <w:rsid w:val="006D08B4"/>
    <w:rsid w:val="006D0968"/>
    <w:rsid w:val="006D0B83"/>
    <w:rsid w:val="006D0B85"/>
    <w:rsid w:val="006D0D06"/>
    <w:rsid w:val="006D0D9A"/>
    <w:rsid w:val="006D0DA2"/>
    <w:rsid w:val="006D0DDD"/>
    <w:rsid w:val="006D0EB0"/>
    <w:rsid w:val="006D0FA1"/>
    <w:rsid w:val="006D10A0"/>
    <w:rsid w:val="006D11F9"/>
    <w:rsid w:val="006D1220"/>
    <w:rsid w:val="006D13E1"/>
    <w:rsid w:val="006D1467"/>
    <w:rsid w:val="006D1510"/>
    <w:rsid w:val="006D154A"/>
    <w:rsid w:val="006D1574"/>
    <w:rsid w:val="006D1598"/>
    <w:rsid w:val="006D15FC"/>
    <w:rsid w:val="006D1697"/>
    <w:rsid w:val="006D16C6"/>
    <w:rsid w:val="006D1745"/>
    <w:rsid w:val="006D1776"/>
    <w:rsid w:val="006D177C"/>
    <w:rsid w:val="006D17FB"/>
    <w:rsid w:val="006D186E"/>
    <w:rsid w:val="006D1AA2"/>
    <w:rsid w:val="006D1B6F"/>
    <w:rsid w:val="006D1BC1"/>
    <w:rsid w:val="006D1C25"/>
    <w:rsid w:val="006D1D94"/>
    <w:rsid w:val="006D1D9A"/>
    <w:rsid w:val="006D1DA0"/>
    <w:rsid w:val="006D1ECA"/>
    <w:rsid w:val="006D1F41"/>
    <w:rsid w:val="006D1FF9"/>
    <w:rsid w:val="006D2016"/>
    <w:rsid w:val="006D2094"/>
    <w:rsid w:val="006D20A3"/>
    <w:rsid w:val="006D2154"/>
    <w:rsid w:val="006D2221"/>
    <w:rsid w:val="006D22EC"/>
    <w:rsid w:val="006D2369"/>
    <w:rsid w:val="006D239F"/>
    <w:rsid w:val="006D2493"/>
    <w:rsid w:val="006D24B5"/>
    <w:rsid w:val="006D2571"/>
    <w:rsid w:val="006D2588"/>
    <w:rsid w:val="006D25DC"/>
    <w:rsid w:val="006D2666"/>
    <w:rsid w:val="006D26F6"/>
    <w:rsid w:val="006D2721"/>
    <w:rsid w:val="006D2748"/>
    <w:rsid w:val="006D2845"/>
    <w:rsid w:val="006D29F1"/>
    <w:rsid w:val="006D2A09"/>
    <w:rsid w:val="006D2A19"/>
    <w:rsid w:val="006D2A72"/>
    <w:rsid w:val="006D2B02"/>
    <w:rsid w:val="006D2D30"/>
    <w:rsid w:val="006D2D60"/>
    <w:rsid w:val="006D2DD9"/>
    <w:rsid w:val="006D2E62"/>
    <w:rsid w:val="006D2FD5"/>
    <w:rsid w:val="006D304E"/>
    <w:rsid w:val="006D30FA"/>
    <w:rsid w:val="006D3122"/>
    <w:rsid w:val="006D31C4"/>
    <w:rsid w:val="006D322E"/>
    <w:rsid w:val="006D32EC"/>
    <w:rsid w:val="006D337F"/>
    <w:rsid w:val="006D33BC"/>
    <w:rsid w:val="006D3432"/>
    <w:rsid w:val="006D3465"/>
    <w:rsid w:val="006D34B7"/>
    <w:rsid w:val="006D34F7"/>
    <w:rsid w:val="006D3577"/>
    <w:rsid w:val="006D35D1"/>
    <w:rsid w:val="006D3651"/>
    <w:rsid w:val="006D36DF"/>
    <w:rsid w:val="006D37FB"/>
    <w:rsid w:val="006D3B88"/>
    <w:rsid w:val="006D3BE6"/>
    <w:rsid w:val="006D3C6E"/>
    <w:rsid w:val="006D3C86"/>
    <w:rsid w:val="006D3CD1"/>
    <w:rsid w:val="006D3DCE"/>
    <w:rsid w:val="006D3DE5"/>
    <w:rsid w:val="006D3E1A"/>
    <w:rsid w:val="006D3EE0"/>
    <w:rsid w:val="006D3F15"/>
    <w:rsid w:val="006D40BF"/>
    <w:rsid w:val="006D413B"/>
    <w:rsid w:val="006D416A"/>
    <w:rsid w:val="006D42D2"/>
    <w:rsid w:val="006D45D5"/>
    <w:rsid w:val="006D4602"/>
    <w:rsid w:val="006D4756"/>
    <w:rsid w:val="006D48BC"/>
    <w:rsid w:val="006D496F"/>
    <w:rsid w:val="006D4987"/>
    <w:rsid w:val="006D49E1"/>
    <w:rsid w:val="006D4C33"/>
    <w:rsid w:val="006D4CB5"/>
    <w:rsid w:val="006D4E84"/>
    <w:rsid w:val="006D4ED0"/>
    <w:rsid w:val="006D4F41"/>
    <w:rsid w:val="006D4F5C"/>
    <w:rsid w:val="006D502C"/>
    <w:rsid w:val="006D503C"/>
    <w:rsid w:val="006D51A6"/>
    <w:rsid w:val="006D5229"/>
    <w:rsid w:val="006D5288"/>
    <w:rsid w:val="006D52E8"/>
    <w:rsid w:val="006D532F"/>
    <w:rsid w:val="006D5356"/>
    <w:rsid w:val="006D5481"/>
    <w:rsid w:val="006D54FA"/>
    <w:rsid w:val="006D557D"/>
    <w:rsid w:val="006D5650"/>
    <w:rsid w:val="006D565E"/>
    <w:rsid w:val="006D586F"/>
    <w:rsid w:val="006D58BE"/>
    <w:rsid w:val="006D5922"/>
    <w:rsid w:val="006D595D"/>
    <w:rsid w:val="006D5A05"/>
    <w:rsid w:val="006D5A3F"/>
    <w:rsid w:val="006D5AC7"/>
    <w:rsid w:val="006D5BA1"/>
    <w:rsid w:val="006D5C0D"/>
    <w:rsid w:val="006D5CBA"/>
    <w:rsid w:val="006D5CD5"/>
    <w:rsid w:val="006D5CE4"/>
    <w:rsid w:val="006D5D85"/>
    <w:rsid w:val="006D5E70"/>
    <w:rsid w:val="006D5F03"/>
    <w:rsid w:val="006D5F77"/>
    <w:rsid w:val="006D5FEA"/>
    <w:rsid w:val="006D6017"/>
    <w:rsid w:val="006D6022"/>
    <w:rsid w:val="006D60D7"/>
    <w:rsid w:val="006D60E6"/>
    <w:rsid w:val="006D6175"/>
    <w:rsid w:val="006D618F"/>
    <w:rsid w:val="006D62D1"/>
    <w:rsid w:val="006D6484"/>
    <w:rsid w:val="006D6499"/>
    <w:rsid w:val="006D667B"/>
    <w:rsid w:val="006D67D3"/>
    <w:rsid w:val="006D6856"/>
    <w:rsid w:val="006D6898"/>
    <w:rsid w:val="006D6908"/>
    <w:rsid w:val="006D69FE"/>
    <w:rsid w:val="006D6A17"/>
    <w:rsid w:val="006D6A5F"/>
    <w:rsid w:val="006D6ADC"/>
    <w:rsid w:val="006D6C93"/>
    <w:rsid w:val="006D6E13"/>
    <w:rsid w:val="006D6F12"/>
    <w:rsid w:val="006D6FC2"/>
    <w:rsid w:val="006D71DE"/>
    <w:rsid w:val="006D73F9"/>
    <w:rsid w:val="006D770E"/>
    <w:rsid w:val="006D7712"/>
    <w:rsid w:val="006D7748"/>
    <w:rsid w:val="006D77F8"/>
    <w:rsid w:val="006D7810"/>
    <w:rsid w:val="006D783F"/>
    <w:rsid w:val="006D7ADB"/>
    <w:rsid w:val="006D7AF2"/>
    <w:rsid w:val="006D7BA1"/>
    <w:rsid w:val="006D7C92"/>
    <w:rsid w:val="006D7CC7"/>
    <w:rsid w:val="006D7D16"/>
    <w:rsid w:val="006D7D7F"/>
    <w:rsid w:val="006D7EA1"/>
    <w:rsid w:val="006D7EF7"/>
    <w:rsid w:val="006E00C8"/>
    <w:rsid w:val="006E02F5"/>
    <w:rsid w:val="006E0348"/>
    <w:rsid w:val="006E0448"/>
    <w:rsid w:val="006E052D"/>
    <w:rsid w:val="006E059E"/>
    <w:rsid w:val="006E07E5"/>
    <w:rsid w:val="006E07F8"/>
    <w:rsid w:val="006E089A"/>
    <w:rsid w:val="006E0907"/>
    <w:rsid w:val="006E0909"/>
    <w:rsid w:val="006E0BB3"/>
    <w:rsid w:val="006E0BDD"/>
    <w:rsid w:val="006E0CC8"/>
    <w:rsid w:val="006E0D4D"/>
    <w:rsid w:val="006E0E39"/>
    <w:rsid w:val="006E0E79"/>
    <w:rsid w:val="006E0E7E"/>
    <w:rsid w:val="006E1097"/>
    <w:rsid w:val="006E1167"/>
    <w:rsid w:val="006E120C"/>
    <w:rsid w:val="006E124D"/>
    <w:rsid w:val="006E1301"/>
    <w:rsid w:val="006E138E"/>
    <w:rsid w:val="006E1517"/>
    <w:rsid w:val="006E1683"/>
    <w:rsid w:val="006E16C3"/>
    <w:rsid w:val="006E16D6"/>
    <w:rsid w:val="006E178E"/>
    <w:rsid w:val="006E18A6"/>
    <w:rsid w:val="006E1910"/>
    <w:rsid w:val="006E1934"/>
    <w:rsid w:val="006E1970"/>
    <w:rsid w:val="006E1A01"/>
    <w:rsid w:val="006E1A8C"/>
    <w:rsid w:val="006E1CEA"/>
    <w:rsid w:val="006E1EE5"/>
    <w:rsid w:val="006E1EEA"/>
    <w:rsid w:val="006E2096"/>
    <w:rsid w:val="006E21AC"/>
    <w:rsid w:val="006E2218"/>
    <w:rsid w:val="006E2277"/>
    <w:rsid w:val="006E2290"/>
    <w:rsid w:val="006E22B9"/>
    <w:rsid w:val="006E22F2"/>
    <w:rsid w:val="006E235F"/>
    <w:rsid w:val="006E23BC"/>
    <w:rsid w:val="006E2414"/>
    <w:rsid w:val="006E25A5"/>
    <w:rsid w:val="006E26F0"/>
    <w:rsid w:val="006E2719"/>
    <w:rsid w:val="006E27F9"/>
    <w:rsid w:val="006E2807"/>
    <w:rsid w:val="006E281C"/>
    <w:rsid w:val="006E2AB5"/>
    <w:rsid w:val="006E2B88"/>
    <w:rsid w:val="006E2C55"/>
    <w:rsid w:val="006E2CBC"/>
    <w:rsid w:val="006E2E3C"/>
    <w:rsid w:val="006E2EF9"/>
    <w:rsid w:val="006E2FF6"/>
    <w:rsid w:val="006E300E"/>
    <w:rsid w:val="006E3067"/>
    <w:rsid w:val="006E30E9"/>
    <w:rsid w:val="006E312A"/>
    <w:rsid w:val="006E312C"/>
    <w:rsid w:val="006E3184"/>
    <w:rsid w:val="006E31EF"/>
    <w:rsid w:val="006E31FD"/>
    <w:rsid w:val="006E3336"/>
    <w:rsid w:val="006E3397"/>
    <w:rsid w:val="006E346A"/>
    <w:rsid w:val="006E35B5"/>
    <w:rsid w:val="006E35DC"/>
    <w:rsid w:val="006E35F9"/>
    <w:rsid w:val="006E3607"/>
    <w:rsid w:val="006E36C5"/>
    <w:rsid w:val="006E371D"/>
    <w:rsid w:val="006E374B"/>
    <w:rsid w:val="006E3869"/>
    <w:rsid w:val="006E3896"/>
    <w:rsid w:val="006E3AD7"/>
    <w:rsid w:val="006E3AF8"/>
    <w:rsid w:val="006E3B18"/>
    <w:rsid w:val="006E3C30"/>
    <w:rsid w:val="006E3D26"/>
    <w:rsid w:val="006E3DB5"/>
    <w:rsid w:val="006E3F8A"/>
    <w:rsid w:val="006E3FA9"/>
    <w:rsid w:val="006E404B"/>
    <w:rsid w:val="006E4072"/>
    <w:rsid w:val="006E40C7"/>
    <w:rsid w:val="006E4346"/>
    <w:rsid w:val="006E4430"/>
    <w:rsid w:val="006E4434"/>
    <w:rsid w:val="006E4463"/>
    <w:rsid w:val="006E4502"/>
    <w:rsid w:val="006E4586"/>
    <w:rsid w:val="006E4788"/>
    <w:rsid w:val="006E47B6"/>
    <w:rsid w:val="006E483B"/>
    <w:rsid w:val="006E48D8"/>
    <w:rsid w:val="006E4ACF"/>
    <w:rsid w:val="006E4B0C"/>
    <w:rsid w:val="006E4CBE"/>
    <w:rsid w:val="006E4D42"/>
    <w:rsid w:val="006E4D5F"/>
    <w:rsid w:val="006E4E3E"/>
    <w:rsid w:val="006E4F40"/>
    <w:rsid w:val="006E4FAC"/>
    <w:rsid w:val="006E4FF1"/>
    <w:rsid w:val="006E503A"/>
    <w:rsid w:val="006E516E"/>
    <w:rsid w:val="006E51DC"/>
    <w:rsid w:val="006E5207"/>
    <w:rsid w:val="006E53AF"/>
    <w:rsid w:val="006E53C8"/>
    <w:rsid w:val="006E5568"/>
    <w:rsid w:val="006E55D5"/>
    <w:rsid w:val="006E564F"/>
    <w:rsid w:val="006E5878"/>
    <w:rsid w:val="006E59BC"/>
    <w:rsid w:val="006E5A7E"/>
    <w:rsid w:val="006E5B2E"/>
    <w:rsid w:val="006E5C88"/>
    <w:rsid w:val="006E5D88"/>
    <w:rsid w:val="006E5DF1"/>
    <w:rsid w:val="006E5F98"/>
    <w:rsid w:val="006E5FE7"/>
    <w:rsid w:val="006E6054"/>
    <w:rsid w:val="006E6086"/>
    <w:rsid w:val="006E6148"/>
    <w:rsid w:val="006E616D"/>
    <w:rsid w:val="006E62A1"/>
    <w:rsid w:val="006E633B"/>
    <w:rsid w:val="006E644A"/>
    <w:rsid w:val="006E649B"/>
    <w:rsid w:val="006E65AA"/>
    <w:rsid w:val="006E66A5"/>
    <w:rsid w:val="006E67B4"/>
    <w:rsid w:val="006E68B3"/>
    <w:rsid w:val="006E6934"/>
    <w:rsid w:val="006E6A98"/>
    <w:rsid w:val="006E6AF4"/>
    <w:rsid w:val="006E6B4C"/>
    <w:rsid w:val="006E6BAB"/>
    <w:rsid w:val="006E6C02"/>
    <w:rsid w:val="006E6C62"/>
    <w:rsid w:val="006E6CF2"/>
    <w:rsid w:val="006E6D09"/>
    <w:rsid w:val="006E6D18"/>
    <w:rsid w:val="006E6E32"/>
    <w:rsid w:val="006E6E41"/>
    <w:rsid w:val="006E6E84"/>
    <w:rsid w:val="006E6E8F"/>
    <w:rsid w:val="006E6ED6"/>
    <w:rsid w:val="006E6F8C"/>
    <w:rsid w:val="006E6FD7"/>
    <w:rsid w:val="006E700D"/>
    <w:rsid w:val="006E7031"/>
    <w:rsid w:val="006E7039"/>
    <w:rsid w:val="006E708B"/>
    <w:rsid w:val="006E70B5"/>
    <w:rsid w:val="006E718A"/>
    <w:rsid w:val="006E7377"/>
    <w:rsid w:val="006E73FB"/>
    <w:rsid w:val="006E7526"/>
    <w:rsid w:val="006E7532"/>
    <w:rsid w:val="006E7577"/>
    <w:rsid w:val="006E767A"/>
    <w:rsid w:val="006E773A"/>
    <w:rsid w:val="006E7990"/>
    <w:rsid w:val="006E7B97"/>
    <w:rsid w:val="006E7BBD"/>
    <w:rsid w:val="006E7BC7"/>
    <w:rsid w:val="006E7BD5"/>
    <w:rsid w:val="006E7CCE"/>
    <w:rsid w:val="006E7CD9"/>
    <w:rsid w:val="006E7DCE"/>
    <w:rsid w:val="006E7FDB"/>
    <w:rsid w:val="006F01B3"/>
    <w:rsid w:val="006F01F0"/>
    <w:rsid w:val="006F02EC"/>
    <w:rsid w:val="006F0330"/>
    <w:rsid w:val="006F04C7"/>
    <w:rsid w:val="006F059A"/>
    <w:rsid w:val="006F06AB"/>
    <w:rsid w:val="006F07B4"/>
    <w:rsid w:val="006F0830"/>
    <w:rsid w:val="006F08AE"/>
    <w:rsid w:val="006F08F0"/>
    <w:rsid w:val="006F09D9"/>
    <w:rsid w:val="006F0A87"/>
    <w:rsid w:val="006F0C82"/>
    <w:rsid w:val="006F0E3F"/>
    <w:rsid w:val="006F0EDB"/>
    <w:rsid w:val="006F0F52"/>
    <w:rsid w:val="006F105B"/>
    <w:rsid w:val="006F10B4"/>
    <w:rsid w:val="006F11AB"/>
    <w:rsid w:val="006F11AC"/>
    <w:rsid w:val="006F12F6"/>
    <w:rsid w:val="006F135C"/>
    <w:rsid w:val="006F1393"/>
    <w:rsid w:val="006F14E1"/>
    <w:rsid w:val="006F15E7"/>
    <w:rsid w:val="006F1670"/>
    <w:rsid w:val="006F1689"/>
    <w:rsid w:val="006F16ED"/>
    <w:rsid w:val="006F17DE"/>
    <w:rsid w:val="006F19F4"/>
    <w:rsid w:val="006F1A5C"/>
    <w:rsid w:val="006F1B23"/>
    <w:rsid w:val="006F1B72"/>
    <w:rsid w:val="006F1C4D"/>
    <w:rsid w:val="006F1DCD"/>
    <w:rsid w:val="006F1E56"/>
    <w:rsid w:val="006F1E80"/>
    <w:rsid w:val="006F1EA9"/>
    <w:rsid w:val="006F1EE8"/>
    <w:rsid w:val="006F2082"/>
    <w:rsid w:val="006F2142"/>
    <w:rsid w:val="006F218F"/>
    <w:rsid w:val="006F2230"/>
    <w:rsid w:val="006F2247"/>
    <w:rsid w:val="006F24A6"/>
    <w:rsid w:val="006F24A7"/>
    <w:rsid w:val="006F251A"/>
    <w:rsid w:val="006F2529"/>
    <w:rsid w:val="006F26C7"/>
    <w:rsid w:val="006F2729"/>
    <w:rsid w:val="006F27AE"/>
    <w:rsid w:val="006F27F5"/>
    <w:rsid w:val="006F2883"/>
    <w:rsid w:val="006F2931"/>
    <w:rsid w:val="006F2974"/>
    <w:rsid w:val="006F2A22"/>
    <w:rsid w:val="006F2BB3"/>
    <w:rsid w:val="006F2C13"/>
    <w:rsid w:val="006F2C1A"/>
    <w:rsid w:val="006F2CD9"/>
    <w:rsid w:val="006F2CF3"/>
    <w:rsid w:val="006F2D54"/>
    <w:rsid w:val="006F2F12"/>
    <w:rsid w:val="006F2F30"/>
    <w:rsid w:val="006F306B"/>
    <w:rsid w:val="006F30C3"/>
    <w:rsid w:val="006F3117"/>
    <w:rsid w:val="006F314C"/>
    <w:rsid w:val="006F332A"/>
    <w:rsid w:val="006F3340"/>
    <w:rsid w:val="006F3383"/>
    <w:rsid w:val="006F33A9"/>
    <w:rsid w:val="006F33F4"/>
    <w:rsid w:val="006F35CA"/>
    <w:rsid w:val="006F371E"/>
    <w:rsid w:val="006F38B5"/>
    <w:rsid w:val="006F3947"/>
    <w:rsid w:val="006F3A10"/>
    <w:rsid w:val="006F3B2B"/>
    <w:rsid w:val="006F3CA8"/>
    <w:rsid w:val="006F3D12"/>
    <w:rsid w:val="006F3ED5"/>
    <w:rsid w:val="006F3F88"/>
    <w:rsid w:val="006F4170"/>
    <w:rsid w:val="006F4253"/>
    <w:rsid w:val="006F4277"/>
    <w:rsid w:val="006F432C"/>
    <w:rsid w:val="006F437B"/>
    <w:rsid w:val="006F45DB"/>
    <w:rsid w:val="006F45DC"/>
    <w:rsid w:val="006F45E7"/>
    <w:rsid w:val="006F4612"/>
    <w:rsid w:val="006F46CF"/>
    <w:rsid w:val="006F47CA"/>
    <w:rsid w:val="006F47FA"/>
    <w:rsid w:val="006F498B"/>
    <w:rsid w:val="006F49C9"/>
    <w:rsid w:val="006F4A24"/>
    <w:rsid w:val="006F4B95"/>
    <w:rsid w:val="006F4C2F"/>
    <w:rsid w:val="006F4C90"/>
    <w:rsid w:val="006F4CBE"/>
    <w:rsid w:val="006F4D59"/>
    <w:rsid w:val="006F4E17"/>
    <w:rsid w:val="006F4E36"/>
    <w:rsid w:val="006F4E6A"/>
    <w:rsid w:val="006F4F70"/>
    <w:rsid w:val="006F4F71"/>
    <w:rsid w:val="006F4FD9"/>
    <w:rsid w:val="006F5033"/>
    <w:rsid w:val="006F524A"/>
    <w:rsid w:val="006F5295"/>
    <w:rsid w:val="006F52B3"/>
    <w:rsid w:val="006F5320"/>
    <w:rsid w:val="006F532A"/>
    <w:rsid w:val="006F533F"/>
    <w:rsid w:val="006F53F4"/>
    <w:rsid w:val="006F5430"/>
    <w:rsid w:val="006F5501"/>
    <w:rsid w:val="006F55D4"/>
    <w:rsid w:val="006F55E0"/>
    <w:rsid w:val="006F596E"/>
    <w:rsid w:val="006F5A40"/>
    <w:rsid w:val="006F5A90"/>
    <w:rsid w:val="006F5C3E"/>
    <w:rsid w:val="006F5C5F"/>
    <w:rsid w:val="006F5D0B"/>
    <w:rsid w:val="006F5E5E"/>
    <w:rsid w:val="006F5EF7"/>
    <w:rsid w:val="006F5F38"/>
    <w:rsid w:val="006F6203"/>
    <w:rsid w:val="006F6229"/>
    <w:rsid w:val="006F6352"/>
    <w:rsid w:val="006F638E"/>
    <w:rsid w:val="006F64BC"/>
    <w:rsid w:val="006F6523"/>
    <w:rsid w:val="006F6549"/>
    <w:rsid w:val="006F664C"/>
    <w:rsid w:val="006F66E0"/>
    <w:rsid w:val="006F6794"/>
    <w:rsid w:val="006F67E6"/>
    <w:rsid w:val="006F688E"/>
    <w:rsid w:val="006F6908"/>
    <w:rsid w:val="006F6974"/>
    <w:rsid w:val="006F6A20"/>
    <w:rsid w:val="006F6C52"/>
    <w:rsid w:val="006F6C78"/>
    <w:rsid w:val="006F6CAB"/>
    <w:rsid w:val="006F6DD0"/>
    <w:rsid w:val="006F6E05"/>
    <w:rsid w:val="006F6F1A"/>
    <w:rsid w:val="006F6F40"/>
    <w:rsid w:val="006F701B"/>
    <w:rsid w:val="006F7116"/>
    <w:rsid w:val="006F717E"/>
    <w:rsid w:val="006F71E0"/>
    <w:rsid w:val="006F7319"/>
    <w:rsid w:val="006F7406"/>
    <w:rsid w:val="006F757D"/>
    <w:rsid w:val="006F7666"/>
    <w:rsid w:val="006F772F"/>
    <w:rsid w:val="006F77A2"/>
    <w:rsid w:val="006F7841"/>
    <w:rsid w:val="006F78DD"/>
    <w:rsid w:val="006F7A73"/>
    <w:rsid w:val="006F7B5A"/>
    <w:rsid w:val="006F7CDF"/>
    <w:rsid w:val="006F7D5D"/>
    <w:rsid w:val="006F7D86"/>
    <w:rsid w:val="006F7D8E"/>
    <w:rsid w:val="006F7EA1"/>
    <w:rsid w:val="006F7FEB"/>
    <w:rsid w:val="00700121"/>
    <w:rsid w:val="00700192"/>
    <w:rsid w:val="0070025A"/>
    <w:rsid w:val="00700297"/>
    <w:rsid w:val="007004C6"/>
    <w:rsid w:val="00700591"/>
    <w:rsid w:val="007005D8"/>
    <w:rsid w:val="00700662"/>
    <w:rsid w:val="007007C1"/>
    <w:rsid w:val="007007F5"/>
    <w:rsid w:val="007008EA"/>
    <w:rsid w:val="0070097B"/>
    <w:rsid w:val="00700A18"/>
    <w:rsid w:val="00700B00"/>
    <w:rsid w:val="00700B2F"/>
    <w:rsid w:val="00700B3B"/>
    <w:rsid w:val="00700B87"/>
    <w:rsid w:val="00700C7D"/>
    <w:rsid w:val="00700D79"/>
    <w:rsid w:val="00700DCB"/>
    <w:rsid w:val="00700EF4"/>
    <w:rsid w:val="00700FD2"/>
    <w:rsid w:val="00701086"/>
    <w:rsid w:val="00701101"/>
    <w:rsid w:val="0070111E"/>
    <w:rsid w:val="00701130"/>
    <w:rsid w:val="0070119D"/>
    <w:rsid w:val="007011B9"/>
    <w:rsid w:val="00701243"/>
    <w:rsid w:val="0070124C"/>
    <w:rsid w:val="00701267"/>
    <w:rsid w:val="00701273"/>
    <w:rsid w:val="00701313"/>
    <w:rsid w:val="00701357"/>
    <w:rsid w:val="007013A3"/>
    <w:rsid w:val="00701402"/>
    <w:rsid w:val="007014C0"/>
    <w:rsid w:val="00701532"/>
    <w:rsid w:val="00701573"/>
    <w:rsid w:val="007015A9"/>
    <w:rsid w:val="00701667"/>
    <w:rsid w:val="007016BD"/>
    <w:rsid w:val="00701749"/>
    <w:rsid w:val="007017FD"/>
    <w:rsid w:val="00701D8C"/>
    <w:rsid w:val="00701E03"/>
    <w:rsid w:val="00701E77"/>
    <w:rsid w:val="00701E82"/>
    <w:rsid w:val="00701EFA"/>
    <w:rsid w:val="00701F0F"/>
    <w:rsid w:val="00701FE6"/>
    <w:rsid w:val="00702054"/>
    <w:rsid w:val="00702085"/>
    <w:rsid w:val="007021EA"/>
    <w:rsid w:val="0070238D"/>
    <w:rsid w:val="007023C9"/>
    <w:rsid w:val="0070240B"/>
    <w:rsid w:val="00702470"/>
    <w:rsid w:val="00702558"/>
    <w:rsid w:val="007025F1"/>
    <w:rsid w:val="00702628"/>
    <w:rsid w:val="007026FF"/>
    <w:rsid w:val="00702955"/>
    <w:rsid w:val="00702984"/>
    <w:rsid w:val="00702A0C"/>
    <w:rsid w:val="00702A55"/>
    <w:rsid w:val="00702A61"/>
    <w:rsid w:val="00702A76"/>
    <w:rsid w:val="00702BDB"/>
    <w:rsid w:val="00702BF5"/>
    <w:rsid w:val="00702CAD"/>
    <w:rsid w:val="00702CDC"/>
    <w:rsid w:val="00702DD7"/>
    <w:rsid w:val="00702FE7"/>
    <w:rsid w:val="0070305D"/>
    <w:rsid w:val="00703090"/>
    <w:rsid w:val="0070317A"/>
    <w:rsid w:val="0070343C"/>
    <w:rsid w:val="0070368A"/>
    <w:rsid w:val="00703729"/>
    <w:rsid w:val="0070372D"/>
    <w:rsid w:val="00703804"/>
    <w:rsid w:val="00703929"/>
    <w:rsid w:val="00703967"/>
    <w:rsid w:val="00703A09"/>
    <w:rsid w:val="00703B74"/>
    <w:rsid w:val="00703BF3"/>
    <w:rsid w:val="00703CC3"/>
    <w:rsid w:val="00703D8A"/>
    <w:rsid w:val="00703E96"/>
    <w:rsid w:val="00703ECC"/>
    <w:rsid w:val="00703F91"/>
    <w:rsid w:val="00704110"/>
    <w:rsid w:val="0070415A"/>
    <w:rsid w:val="007041ED"/>
    <w:rsid w:val="00704385"/>
    <w:rsid w:val="007043A0"/>
    <w:rsid w:val="007044E1"/>
    <w:rsid w:val="0070460A"/>
    <w:rsid w:val="00704826"/>
    <w:rsid w:val="0070483D"/>
    <w:rsid w:val="007048D8"/>
    <w:rsid w:val="007049E6"/>
    <w:rsid w:val="00704AC4"/>
    <w:rsid w:val="00704BA3"/>
    <w:rsid w:val="00704C03"/>
    <w:rsid w:val="00704C2C"/>
    <w:rsid w:val="00704D41"/>
    <w:rsid w:val="00704D4D"/>
    <w:rsid w:val="00704E47"/>
    <w:rsid w:val="00704F2E"/>
    <w:rsid w:val="00705017"/>
    <w:rsid w:val="00705062"/>
    <w:rsid w:val="00705203"/>
    <w:rsid w:val="00705491"/>
    <w:rsid w:val="007054BC"/>
    <w:rsid w:val="0070562F"/>
    <w:rsid w:val="0070563D"/>
    <w:rsid w:val="00705676"/>
    <w:rsid w:val="00705716"/>
    <w:rsid w:val="00705766"/>
    <w:rsid w:val="00705947"/>
    <w:rsid w:val="007059D7"/>
    <w:rsid w:val="00705C0D"/>
    <w:rsid w:val="00705D54"/>
    <w:rsid w:val="00705D9B"/>
    <w:rsid w:val="00705DD1"/>
    <w:rsid w:val="00705E2A"/>
    <w:rsid w:val="00705E71"/>
    <w:rsid w:val="00705F04"/>
    <w:rsid w:val="00705F2C"/>
    <w:rsid w:val="007060CD"/>
    <w:rsid w:val="00706140"/>
    <w:rsid w:val="00706161"/>
    <w:rsid w:val="0070617C"/>
    <w:rsid w:val="007061A3"/>
    <w:rsid w:val="007061BE"/>
    <w:rsid w:val="007061C0"/>
    <w:rsid w:val="00706235"/>
    <w:rsid w:val="0070625C"/>
    <w:rsid w:val="0070630B"/>
    <w:rsid w:val="00706381"/>
    <w:rsid w:val="0070645B"/>
    <w:rsid w:val="00706516"/>
    <w:rsid w:val="007065B4"/>
    <w:rsid w:val="0070660A"/>
    <w:rsid w:val="0070683B"/>
    <w:rsid w:val="007068A9"/>
    <w:rsid w:val="007068CD"/>
    <w:rsid w:val="00706934"/>
    <w:rsid w:val="00706A9A"/>
    <w:rsid w:val="00706B5F"/>
    <w:rsid w:val="00706C29"/>
    <w:rsid w:val="00706CC7"/>
    <w:rsid w:val="00706D36"/>
    <w:rsid w:val="00706FCB"/>
    <w:rsid w:val="0070714B"/>
    <w:rsid w:val="00707151"/>
    <w:rsid w:val="00707275"/>
    <w:rsid w:val="007072C4"/>
    <w:rsid w:val="007072D5"/>
    <w:rsid w:val="00707343"/>
    <w:rsid w:val="007074A8"/>
    <w:rsid w:val="007074C1"/>
    <w:rsid w:val="0070791C"/>
    <w:rsid w:val="007079C5"/>
    <w:rsid w:val="00707A4F"/>
    <w:rsid w:val="00707AFF"/>
    <w:rsid w:val="00707B23"/>
    <w:rsid w:val="00707CD9"/>
    <w:rsid w:val="00707D90"/>
    <w:rsid w:val="00707E29"/>
    <w:rsid w:val="0071000A"/>
    <w:rsid w:val="007100B8"/>
    <w:rsid w:val="00710234"/>
    <w:rsid w:val="0071032E"/>
    <w:rsid w:val="0071034C"/>
    <w:rsid w:val="007104EF"/>
    <w:rsid w:val="007105A7"/>
    <w:rsid w:val="00710664"/>
    <w:rsid w:val="00710709"/>
    <w:rsid w:val="007108E6"/>
    <w:rsid w:val="00710918"/>
    <w:rsid w:val="0071091B"/>
    <w:rsid w:val="0071099A"/>
    <w:rsid w:val="00710AF4"/>
    <w:rsid w:val="00710B0A"/>
    <w:rsid w:val="00710C0B"/>
    <w:rsid w:val="00710CE2"/>
    <w:rsid w:val="00710E81"/>
    <w:rsid w:val="00710E9E"/>
    <w:rsid w:val="00710F1B"/>
    <w:rsid w:val="00710F70"/>
    <w:rsid w:val="0071114A"/>
    <w:rsid w:val="007111C2"/>
    <w:rsid w:val="0071122F"/>
    <w:rsid w:val="007112B2"/>
    <w:rsid w:val="00711325"/>
    <w:rsid w:val="0071134F"/>
    <w:rsid w:val="007114F2"/>
    <w:rsid w:val="0071153B"/>
    <w:rsid w:val="007115A8"/>
    <w:rsid w:val="007115B6"/>
    <w:rsid w:val="00711634"/>
    <w:rsid w:val="0071163B"/>
    <w:rsid w:val="00711692"/>
    <w:rsid w:val="007117D0"/>
    <w:rsid w:val="0071180D"/>
    <w:rsid w:val="00711818"/>
    <w:rsid w:val="00711833"/>
    <w:rsid w:val="007118DB"/>
    <w:rsid w:val="0071190B"/>
    <w:rsid w:val="00711915"/>
    <w:rsid w:val="007119A0"/>
    <w:rsid w:val="007119ED"/>
    <w:rsid w:val="00711BF7"/>
    <w:rsid w:val="00711C84"/>
    <w:rsid w:val="00711F51"/>
    <w:rsid w:val="00712028"/>
    <w:rsid w:val="00712074"/>
    <w:rsid w:val="00712193"/>
    <w:rsid w:val="0071235B"/>
    <w:rsid w:val="007123F0"/>
    <w:rsid w:val="007124B8"/>
    <w:rsid w:val="007124E4"/>
    <w:rsid w:val="00712543"/>
    <w:rsid w:val="00712584"/>
    <w:rsid w:val="007126B6"/>
    <w:rsid w:val="00712768"/>
    <w:rsid w:val="0071278B"/>
    <w:rsid w:val="007127F9"/>
    <w:rsid w:val="0071283E"/>
    <w:rsid w:val="007128AE"/>
    <w:rsid w:val="007128FF"/>
    <w:rsid w:val="007129D0"/>
    <w:rsid w:val="00712A9A"/>
    <w:rsid w:val="00712B7D"/>
    <w:rsid w:val="00712B93"/>
    <w:rsid w:val="00712BCC"/>
    <w:rsid w:val="00712DE6"/>
    <w:rsid w:val="00712DFD"/>
    <w:rsid w:val="00712EBC"/>
    <w:rsid w:val="00712ED1"/>
    <w:rsid w:val="00712EEB"/>
    <w:rsid w:val="00712F05"/>
    <w:rsid w:val="00713118"/>
    <w:rsid w:val="0071312C"/>
    <w:rsid w:val="007133E0"/>
    <w:rsid w:val="007133F7"/>
    <w:rsid w:val="0071340D"/>
    <w:rsid w:val="00713578"/>
    <w:rsid w:val="007136D1"/>
    <w:rsid w:val="00713B20"/>
    <w:rsid w:val="00713B39"/>
    <w:rsid w:val="00713BF0"/>
    <w:rsid w:val="00713CEB"/>
    <w:rsid w:val="00713D44"/>
    <w:rsid w:val="00713DB2"/>
    <w:rsid w:val="00713DEF"/>
    <w:rsid w:val="00713EB0"/>
    <w:rsid w:val="00713EE9"/>
    <w:rsid w:val="0071406A"/>
    <w:rsid w:val="0071408A"/>
    <w:rsid w:val="007140F1"/>
    <w:rsid w:val="0071415E"/>
    <w:rsid w:val="0071416A"/>
    <w:rsid w:val="007141FA"/>
    <w:rsid w:val="0071430F"/>
    <w:rsid w:val="0071445D"/>
    <w:rsid w:val="00714595"/>
    <w:rsid w:val="0071459A"/>
    <w:rsid w:val="0071465D"/>
    <w:rsid w:val="007146D2"/>
    <w:rsid w:val="00714709"/>
    <w:rsid w:val="00714778"/>
    <w:rsid w:val="007147E0"/>
    <w:rsid w:val="00714A37"/>
    <w:rsid w:val="00714A6C"/>
    <w:rsid w:val="00714AF5"/>
    <w:rsid w:val="00714B2D"/>
    <w:rsid w:val="00714B36"/>
    <w:rsid w:val="00714BB3"/>
    <w:rsid w:val="00714C35"/>
    <w:rsid w:val="00714CD6"/>
    <w:rsid w:val="00714CE8"/>
    <w:rsid w:val="00714DD0"/>
    <w:rsid w:val="00714DD9"/>
    <w:rsid w:val="00714DDA"/>
    <w:rsid w:val="00714DED"/>
    <w:rsid w:val="00714F34"/>
    <w:rsid w:val="00714FD0"/>
    <w:rsid w:val="0071516A"/>
    <w:rsid w:val="007151BB"/>
    <w:rsid w:val="00715287"/>
    <w:rsid w:val="00715298"/>
    <w:rsid w:val="007152A8"/>
    <w:rsid w:val="0071530D"/>
    <w:rsid w:val="007153BA"/>
    <w:rsid w:val="007153CF"/>
    <w:rsid w:val="007153ED"/>
    <w:rsid w:val="007154C5"/>
    <w:rsid w:val="00715522"/>
    <w:rsid w:val="00715545"/>
    <w:rsid w:val="00715580"/>
    <w:rsid w:val="0071566E"/>
    <w:rsid w:val="0071571B"/>
    <w:rsid w:val="0071591F"/>
    <w:rsid w:val="00715A08"/>
    <w:rsid w:val="00715A0A"/>
    <w:rsid w:val="00715C53"/>
    <w:rsid w:val="00715D23"/>
    <w:rsid w:val="00715D3B"/>
    <w:rsid w:val="00715DA8"/>
    <w:rsid w:val="00715DD3"/>
    <w:rsid w:val="00716045"/>
    <w:rsid w:val="00716121"/>
    <w:rsid w:val="00716141"/>
    <w:rsid w:val="00716295"/>
    <w:rsid w:val="007162C7"/>
    <w:rsid w:val="00716334"/>
    <w:rsid w:val="00716336"/>
    <w:rsid w:val="00716360"/>
    <w:rsid w:val="007164E0"/>
    <w:rsid w:val="00716557"/>
    <w:rsid w:val="00716574"/>
    <w:rsid w:val="00716618"/>
    <w:rsid w:val="007166BD"/>
    <w:rsid w:val="0071670A"/>
    <w:rsid w:val="00716820"/>
    <w:rsid w:val="00716864"/>
    <w:rsid w:val="00716A25"/>
    <w:rsid w:val="00716BEE"/>
    <w:rsid w:val="00716C4D"/>
    <w:rsid w:val="00717069"/>
    <w:rsid w:val="00717203"/>
    <w:rsid w:val="007172D9"/>
    <w:rsid w:val="007172F7"/>
    <w:rsid w:val="00717461"/>
    <w:rsid w:val="007174FE"/>
    <w:rsid w:val="00717529"/>
    <w:rsid w:val="0071754D"/>
    <w:rsid w:val="007175F6"/>
    <w:rsid w:val="007176DC"/>
    <w:rsid w:val="0071771B"/>
    <w:rsid w:val="00717721"/>
    <w:rsid w:val="0071775D"/>
    <w:rsid w:val="00717782"/>
    <w:rsid w:val="007177A3"/>
    <w:rsid w:val="007177E8"/>
    <w:rsid w:val="00717876"/>
    <w:rsid w:val="00717942"/>
    <w:rsid w:val="00717A47"/>
    <w:rsid w:val="00717AF7"/>
    <w:rsid w:val="00717B49"/>
    <w:rsid w:val="00717B87"/>
    <w:rsid w:val="00717BFC"/>
    <w:rsid w:val="00717DB4"/>
    <w:rsid w:val="00717DD5"/>
    <w:rsid w:val="00717E0D"/>
    <w:rsid w:val="00717E11"/>
    <w:rsid w:val="00717E96"/>
    <w:rsid w:val="00717F23"/>
    <w:rsid w:val="00717FAF"/>
    <w:rsid w:val="007200F4"/>
    <w:rsid w:val="0072012B"/>
    <w:rsid w:val="00720211"/>
    <w:rsid w:val="007202E7"/>
    <w:rsid w:val="007202F2"/>
    <w:rsid w:val="00720317"/>
    <w:rsid w:val="0072031A"/>
    <w:rsid w:val="00720418"/>
    <w:rsid w:val="0072044E"/>
    <w:rsid w:val="0072053D"/>
    <w:rsid w:val="00720573"/>
    <w:rsid w:val="0072068E"/>
    <w:rsid w:val="007206EE"/>
    <w:rsid w:val="00720700"/>
    <w:rsid w:val="007207C1"/>
    <w:rsid w:val="0072082D"/>
    <w:rsid w:val="00720888"/>
    <w:rsid w:val="0072095B"/>
    <w:rsid w:val="00720988"/>
    <w:rsid w:val="00720B0A"/>
    <w:rsid w:val="00720CF6"/>
    <w:rsid w:val="00720DE1"/>
    <w:rsid w:val="00720F9D"/>
    <w:rsid w:val="00720FBA"/>
    <w:rsid w:val="00721036"/>
    <w:rsid w:val="007210DB"/>
    <w:rsid w:val="0072110C"/>
    <w:rsid w:val="0072119D"/>
    <w:rsid w:val="007211DF"/>
    <w:rsid w:val="00721235"/>
    <w:rsid w:val="007212C3"/>
    <w:rsid w:val="007212EF"/>
    <w:rsid w:val="0072131A"/>
    <w:rsid w:val="0072138D"/>
    <w:rsid w:val="00721417"/>
    <w:rsid w:val="0072149C"/>
    <w:rsid w:val="007214A1"/>
    <w:rsid w:val="007214D0"/>
    <w:rsid w:val="007215B8"/>
    <w:rsid w:val="0072161E"/>
    <w:rsid w:val="00721697"/>
    <w:rsid w:val="007216BC"/>
    <w:rsid w:val="007216CD"/>
    <w:rsid w:val="00721759"/>
    <w:rsid w:val="00721760"/>
    <w:rsid w:val="00721821"/>
    <w:rsid w:val="007218ED"/>
    <w:rsid w:val="007218FB"/>
    <w:rsid w:val="00721AED"/>
    <w:rsid w:val="00721AF2"/>
    <w:rsid w:val="00721B05"/>
    <w:rsid w:val="00721B38"/>
    <w:rsid w:val="00721B5C"/>
    <w:rsid w:val="00721B8D"/>
    <w:rsid w:val="00721BA1"/>
    <w:rsid w:val="00721D19"/>
    <w:rsid w:val="00721DFC"/>
    <w:rsid w:val="00721E42"/>
    <w:rsid w:val="00721E88"/>
    <w:rsid w:val="00721EBE"/>
    <w:rsid w:val="00721F01"/>
    <w:rsid w:val="00722200"/>
    <w:rsid w:val="0072220C"/>
    <w:rsid w:val="0072225A"/>
    <w:rsid w:val="0072237E"/>
    <w:rsid w:val="0072240A"/>
    <w:rsid w:val="0072252F"/>
    <w:rsid w:val="007226B6"/>
    <w:rsid w:val="00722820"/>
    <w:rsid w:val="00722834"/>
    <w:rsid w:val="0072292C"/>
    <w:rsid w:val="007229EA"/>
    <w:rsid w:val="00722EC7"/>
    <w:rsid w:val="00723053"/>
    <w:rsid w:val="0072329D"/>
    <w:rsid w:val="007232DB"/>
    <w:rsid w:val="007232F5"/>
    <w:rsid w:val="00723337"/>
    <w:rsid w:val="00723364"/>
    <w:rsid w:val="0072339A"/>
    <w:rsid w:val="00723675"/>
    <w:rsid w:val="007236A9"/>
    <w:rsid w:val="007236EC"/>
    <w:rsid w:val="00723712"/>
    <w:rsid w:val="0072373A"/>
    <w:rsid w:val="0072378B"/>
    <w:rsid w:val="007237C3"/>
    <w:rsid w:val="007238BF"/>
    <w:rsid w:val="007238C8"/>
    <w:rsid w:val="007238F8"/>
    <w:rsid w:val="0072391B"/>
    <w:rsid w:val="007239BC"/>
    <w:rsid w:val="00723B1C"/>
    <w:rsid w:val="00723BCF"/>
    <w:rsid w:val="00723BFB"/>
    <w:rsid w:val="00723D3F"/>
    <w:rsid w:val="00723ECA"/>
    <w:rsid w:val="00723F04"/>
    <w:rsid w:val="00723FBF"/>
    <w:rsid w:val="0072402B"/>
    <w:rsid w:val="00724176"/>
    <w:rsid w:val="007241AC"/>
    <w:rsid w:val="007242B0"/>
    <w:rsid w:val="007243A4"/>
    <w:rsid w:val="0072458C"/>
    <w:rsid w:val="007247D6"/>
    <w:rsid w:val="00724818"/>
    <w:rsid w:val="0072491E"/>
    <w:rsid w:val="00724966"/>
    <w:rsid w:val="007249E1"/>
    <w:rsid w:val="00724B95"/>
    <w:rsid w:val="00724B9C"/>
    <w:rsid w:val="00724C16"/>
    <w:rsid w:val="00724C54"/>
    <w:rsid w:val="00724C64"/>
    <w:rsid w:val="00724C68"/>
    <w:rsid w:val="00724C7D"/>
    <w:rsid w:val="00724DE7"/>
    <w:rsid w:val="00724F0B"/>
    <w:rsid w:val="007250B9"/>
    <w:rsid w:val="0072515B"/>
    <w:rsid w:val="007251F9"/>
    <w:rsid w:val="00725299"/>
    <w:rsid w:val="007253CF"/>
    <w:rsid w:val="007253D4"/>
    <w:rsid w:val="00725460"/>
    <w:rsid w:val="0072548F"/>
    <w:rsid w:val="007254B1"/>
    <w:rsid w:val="00725674"/>
    <w:rsid w:val="0072592E"/>
    <w:rsid w:val="007259BF"/>
    <w:rsid w:val="007259C9"/>
    <w:rsid w:val="00725B25"/>
    <w:rsid w:val="00725B44"/>
    <w:rsid w:val="00725C57"/>
    <w:rsid w:val="00725D00"/>
    <w:rsid w:val="00725E18"/>
    <w:rsid w:val="00725E1D"/>
    <w:rsid w:val="00725E2A"/>
    <w:rsid w:val="00725EB6"/>
    <w:rsid w:val="00725EC0"/>
    <w:rsid w:val="0072602A"/>
    <w:rsid w:val="00726163"/>
    <w:rsid w:val="007262C7"/>
    <w:rsid w:val="00726400"/>
    <w:rsid w:val="007264C5"/>
    <w:rsid w:val="007264F3"/>
    <w:rsid w:val="00726539"/>
    <w:rsid w:val="00726778"/>
    <w:rsid w:val="00726939"/>
    <w:rsid w:val="007269CC"/>
    <w:rsid w:val="007269DA"/>
    <w:rsid w:val="00726B6F"/>
    <w:rsid w:val="00726C5D"/>
    <w:rsid w:val="00726E08"/>
    <w:rsid w:val="00726F8D"/>
    <w:rsid w:val="0072702A"/>
    <w:rsid w:val="007270C2"/>
    <w:rsid w:val="0072713A"/>
    <w:rsid w:val="007272C4"/>
    <w:rsid w:val="007272FA"/>
    <w:rsid w:val="0072731F"/>
    <w:rsid w:val="00727386"/>
    <w:rsid w:val="0072746D"/>
    <w:rsid w:val="007274B0"/>
    <w:rsid w:val="007274CC"/>
    <w:rsid w:val="007275A4"/>
    <w:rsid w:val="007275CE"/>
    <w:rsid w:val="00727690"/>
    <w:rsid w:val="007277AE"/>
    <w:rsid w:val="007279D1"/>
    <w:rsid w:val="00727B68"/>
    <w:rsid w:val="00727BB6"/>
    <w:rsid w:val="00727BFA"/>
    <w:rsid w:val="00727C05"/>
    <w:rsid w:val="00727D6C"/>
    <w:rsid w:val="00727E10"/>
    <w:rsid w:val="00727FBA"/>
    <w:rsid w:val="0073015D"/>
    <w:rsid w:val="0073019B"/>
    <w:rsid w:val="00730276"/>
    <w:rsid w:val="007303FA"/>
    <w:rsid w:val="007305D0"/>
    <w:rsid w:val="00730716"/>
    <w:rsid w:val="00730722"/>
    <w:rsid w:val="00730914"/>
    <w:rsid w:val="0073093A"/>
    <w:rsid w:val="007309A9"/>
    <w:rsid w:val="00730A0B"/>
    <w:rsid w:val="00730B98"/>
    <w:rsid w:val="00730BCF"/>
    <w:rsid w:val="00730D2E"/>
    <w:rsid w:val="00730E07"/>
    <w:rsid w:val="00730E96"/>
    <w:rsid w:val="00730ED3"/>
    <w:rsid w:val="0073117A"/>
    <w:rsid w:val="007312AA"/>
    <w:rsid w:val="007312C5"/>
    <w:rsid w:val="0073131E"/>
    <w:rsid w:val="0073136D"/>
    <w:rsid w:val="0073143B"/>
    <w:rsid w:val="007314AE"/>
    <w:rsid w:val="00731533"/>
    <w:rsid w:val="00731553"/>
    <w:rsid w:val="00731587"/>
    <w:rsid w:val="007317F1"/>
    <w:rsid w:val="00731AAF"/>
    <w:rsid w:val="00731C44"/>
    <w:rsid w:val="00731C9F"/>
    <w:rsid w:val="00731D0B"/>
    <w:rsid w:val="00731D37"/>
    <w:rsid w:val="00731D9C"/>
    <w:rsid w:val="00731E12"/>
    <w:rsid w:val="00731FAD"/>
    <w:rsid w:val="00731FD8"/>
    <w:rsid w:val="00732021"/>
    <w:rsid w:val="007321EB"/>
    <w:rsid w:val="0073220A"/>
    <w:rsid w:val="00732221"/>
    <w:rsid w:val="00732319"/>
    <w:rsid w:val="0073237B"/>
    <w:rsid w:val="007324FC"/>
    <w:rsid w:val="007325F1"/>
    <w:rsid w:val="0073280C"/>
    <w:rsid w:val="00732BD8"/>
    <w:rsid w:val="00732D27"/>
    <w:rsid w:val="00732DFE"/>
    <w:rsid w:val="00732E15"/>
    <w:rsid w:val="00732EC2"/>
    <w:rsid w:val="00732F6B"/>
    <w:rsid w:val="00732F9A"/>
    <w:rsid w:val="00733101"/>
    <w:rsid w:val="007331DA"/>
    <w:rsid w:val="00733271"/>
    <w:rsid w:val="00733278"/>
    <w:rsid w:val="00733374"/>
    <w:rsid w:val="007333B2"/>
    <w:rsid w:val="00733456"/>
    <w:rsid w:val="007334E0"/>
    <w:rsid w:val="00733506"/>
    <w:rsid w:val="00733629"/>
    <w:rsid w:val="00733793"/>
    <w:rsid w:val="00733866"/>
    <w:rsid w:val="00733A52"/>
    <w:rsid w:val="00733ADC"/>
    <w:rsid w:val="00733C23"/>
    <w:rsid w:val="00733C3A"/>
    <w:rsid w:val="00733C93"/>
    <w:rsid w:val="00733CB4"/>
    <w:rsid w:val="00733E7B"/>
    <w:rsid w:val="007340D4"/>
    <w:rsid w:val="00734112"/>
    <w:rsid w:val="0073419B"/>
    <w:rsid w:val="007341CB"/>
    <w:rsid w:val="00734239"/>
    <w:rsid w:val="007342CB"/>
    <w:rsid w:val="007344FC"/>
    <w:rsid w:val="00734586"/>
    <w:rsid w:val="0073465C"/>
    <w:rsid w:val="00734717"/>
    <w:rsid w:val="00734790"/>
    <w:rsid w:val="00734814"/>
    <w:rsid w:val="00734878"/>
    <w:rsid w:val="00734A34"/>
    <w:rsid w:val="00734A74"/>
    <w:rsid w:val="00734BA5"/>
    <w:rsid w:val="00734BC1"/>
    <w:rsid w:val="00734BFE"/>
    <w:rsid w:val="00734C1B"/>
    <w:rsid w:val="00734C2A"/>
    <w:rsid w:val="00734E17"/>
    <w:rsid w:val="00734EA9"/>
    <w:rsid w:val="00734F25"/>
    <w:rsid w:val="00734F30"/>
    <w:rsid w:val="00734F6A"/>
    <w:rsid w:val="0073503E"/>
    <w:rsid w:val="00735047"/>
    <w:rsid w:val="007350C4"/>
    <w:rsid w:val="007350CE"/>
    <w:rsid w:val="00735164"/>
    <w:rsid w:val="007352E9"/>
    <w:rsid w:val="007353EA"/>
    <w:rsid w:val="00735484"/>
    <w:rsid w:val="00735488"/>
    <w:rsid w:val="0073568C"/>
    <w:rsid w:val="00735880"/>
    <w:rsid w:val="007358A8"/>
    <w:rsid w:val="0073599E"/>
    <w:rsid w:val="007359F1"/>
    <w:rsid w:val="00735A39"/>
    <w:rsid w:val="00735A74"/>
    <w:rsid w:val="00735B30"/>
    <w:rsid w:val="00735B45"/>
    <w:rsid w:val="00735B83"/>
    <w:rsid w:val="00735D7C"/>
    <w:rsid w:val="00735FCB"/>
    <w:rsid w:val="00735FD6"/>
    <w:rsid w:val="00735FE2"/>
    <w:rsid w:val="0073611B"/>
    <w:rsid w:val="0073617B"/>
    <w:rsid w:val="007361AB"/>
    <w:rsid w:val="007361B9"/>
    <w:rsid w:val="007361FC"/>
    <w:rsid w:val="00736210"/>
    <w:rsid w:val="00736393"/>
    <w:rsid w:val="007363F4"/>
    <w:rsid w:val="007364BD"/>
    <w:rsid w:val="0073658B"/>
    <w:rsid w:val="007365A5"/>
    <w:rsid w:val="007365A9"/>
    <w:rsid w:val="00736644"/>
    <w:rsid w:val="00736647"/>
    <w:rsid w:val="0073664E"/>
    <w:rsid w:val="00736656"/>
    <w:rsid w:val="007366B7"/>
    <w:rsid w:val="007366FE"/>
    <w:rsid w:val="007367CE"/>
    <w:rsid w:val="007367FF"/>
    <w:rsid w:val="00736998"/>
    <w:rsid w:val="00736A02"/>
    <w:rsid w:val="00736AF0"/>
    <w:rsid w:val="00736B34"/>
    <w:rsid w:val="00736B48"/>
    <w:rsid w:val="00736B65"/>
    <w:rsid w:val="00736BC8"/>
    <w:rsid w:val="00736CCE"/>
    <w:rsid w:val="00736CE7"/>
    <w:rsid w:val="00736CF5"/>
    <w:rsid w:val="00736F24"/>
    <w:rsid w:val="0073713F"/>
    <w:rsid w:val="0073717B"/>
    <w:rsid w:val="00737315"/>
    <w:rsid w:val="007373D1"/>
    <w:rsid w:val="007373EA"/>
    <w:rsid w:val="007374F3"/>
    <w:rsid w:val="007376E4"/>
    <w:rsid w:val="00737933"/>
    <w:rsid w:val="007379C0"/>
    <w:rsid w:val="00737ADB"/>
    <w:rsid w:val="00737C66"/>
    <w:rsid w:val="00737CB6"/>
    <w:rsid w:val="00737D6F"/>
    <w:rsid w:val="00737FDC"/>
    <w:rsid w:val="007402CC"/>
    <w:rsid w:val="007403F0"/>
    <w:rsid w:val="00740541"/>
    <w:rsid w:val="007405A4"/>
    <w:rsid w:val="00740654"/>
    <w:rsid w:val="00740805"/>
    <w:rsid w:val="00740838"/>
    <w:rsid w:val="007408B4"/>
    <w:rsid w:val="00740934"/>
    <w:rsid w:val="007409EC"/>
    <w:rsid w:val="00740AB6"/>
    <w:rsid w:val="00740B8E"/>
    <w:rsid w:val="00740BBD"/>
    <w:rsid w:val="00740C04"/>
    <w:rsid w:val="00740C31"/>
    <w:rsid w:val="00740EB8"/>
    <w:rsid w:val="00741015"/>
    <w:rsid w:val="007410D6"/>
    <w:rsid w:val="00741294"/>
    <w:rsid w:val="007412CD"/>
    <w:rsid w:val="007412E2"/>
    <w:rsid w:val="00741353"/>
    <w:rsid w:val="00741399"/>
    <w:rsid w:val="007413C4"/>
    <w:rsid w:val="007414C2"/>
    <w:rsid w:val="007414EA"/>
    <w:rsid w:val="0074152B"/>
    <w:rsid w:val="0074162B"/>
    <w:rsid w:val="007416FD"/>
    <w:rsid w:val="007418C9"/>
    <w:rsid w:val="0074197B"/>
    <w:rsid w:val="00741991"/>
    <w:rsid w:val="007419CC"/>
    <w:rsid w:val="007419F9"/>
    <w:rsid w:val="00741AD4"/>
    <w:rsid w:val="00741AF7"/>
    <w:rsid w:val="00741B2C"/>
    <w:rsid w:val="00741B46"/>
    <w:rsid w:val="00741BEB"/>
    <w:rsid w:val="00741BFA"/>
    <w:rsid w:val="00741C39"/>
    <w:rsid w:val="00741CAE"/>
    <w:rsid w:val="00741D27"/>
    <w:rsid w:val="00741D74"/>
    <w:rsid w:val="00741E41"/>
    <w:rsid w:val="00741EB7"/>
    <w:rsid w:val="00741FF6"/>
    <w:rsid w:val="0074204C"/>
    <w:rsid w:val="00742082"/>
    <w:rsid w:val="00742158"/>
    <w:rsid w:val="007421B1"/>
    <w:rsid w:val="007421E1"/>
    <w:rsid w:val="00742202"/>
    <w:rsid w:val="00742231"/>
    <w:rsid w:val="00742353"/>
    <w:rsid w:val="007423D7"/>
    <w:rsid w:val="00742483"/>
    <w:rsid w:val="00742B74"/>
    <w:rsid w:val="00742B75"/>
    <w:rsid w:val="00742BC7"/>
    <w:rsid w:val="00742D17"/>
    <w:rsid w:val="00742D6F"/>
    <w:rsid w:val="00742E70"/>
    <w:rsid w:val="00742EA2"/>
    <w:rsid w:val="00742ECD"/>
    <w:rsid w:val="00742F49"/>
    <w:rsid w:val="00742F7A"/>
    <w:rsid w:val="0074307B"/>
    <w:rsid w:val="007430EE"/>
    <w:rsid w:val="00743125"/>
    <w:rsid w:val="0074327F"/>
    <w:rsid w:val="007432AE"/>
    <w:rsid w:val="007432B2"/>
    <w:rsid w:val="007432CE"/>
    <w:rsid w:val="007432E2"/>
    <w:rsid w:val="007433FE"/>
    <w:rsid w:val="00743485"/>
    <w:rsid w:val="007435A3"/>
    <w:rsid w:val="007435F2"/>
    <w:rsid w:val="00743648"/>
    <w:rsid w:val="00743689"/>
    <w:rsid w:val="0074371E"/>
    <w:rsid w:val="007437D8"/>
    <w:rsid w:val="00743822"/>
    <w:rsid w:val="00743863"/>
    <w:rsid w:val="007438EA"/>
    <w:rsid w:val="00743982"/>
    <w:rsid w:val="007439F5"/>
    <w:rsid w:val="00743ABB"/>
    <w:rsid w:val="00743C1B"/>
    <w:rsid w:val="00743D89"/>
    <w:rsid w:val="00743EC3"/>
    <w:rsid w:val="00743F0A"/>
    <w:rsid w:val="00743F16"/>
    <w:rsid w:val="00744050"/>
    <w:rsid w:val="00744057"/>
    <w:rsid w:val="007440D8"/>
    <w:rsid w:val="00744157"/>
    <w:rsid w:val="0074420A"/>
    <w:rsid w:val="00744359"/>
    <w:rsid w:val="0074446B"/>
    <w:rsid w:val="007444B9"/>
    <w:rsid w:val="007444C8"/>
    <w:rsid w:val="007445BC"/>
    <w:rsid w:val="007446BA"/>
    <w:rsid w:val="0074476D"/>
    <w:rsid w:val="00744BCC"/>
    <w:rsid w:val="00744C19"/>
    <w:rsid w:val="00744C82"/>
    <w:rsid w:val="00744DD3"/>
    <w:rsid w:val="00744E7E"/>
    <w:rsid w:val="00744EAC"/>
    <w:rsid w:val="00744F8C"/>
    <w:rsid w:val="00744FB8"/>
    <w:rsid w:val="00745256"/>
    <w:rsid w:val="0074526C"/>
    <w:rsid w:val="007452A4"/>
    <w:rsid w:val="007452C4"/>
    <w:rsid w:val="007452EC"/>
    <w:rsid w:val="00745308"/>
    <w:rsid w:val="0074538F"/>
    <w:rsid w:val="007453E4"/>
    <w:rsid w:val="007453F6"/>
    <w:rsid w:val="00745535"/>
    <w:rsid w:val="0074559A"/>
    <w:rsid w:val="007455E4"/>
    <w:rsid w:val="0074579C"/>
    <w:rsid w:val="007457EB"/>
    <w:rsid w:val="007458EF"/>
    <w:rsid w:val="007458F9"/>
    <w:rsid w:val="00745990"/>
    <w:rsid w:val="00745A40"/>
    <w:rsid w:val="00745A74"/>
    <w:rsid w:val="00745B2F"/>
    <w:rsid w:val="00745C28"/>
    <w:rsid w:val="00745C4D"/>
    <w:rsid w:val="00745DC6"/>
    <w:rsid w:val="00745EBB"/>
    <w:rsid w:val="0074602A"/>
    <w:rsid w:val="00746087"/>
    <w:rsid w:val="007460A4"/>
    <w:rsid w:val="007460BF"/>
    <w:rsid w:val="007461F9"/>
    <w:rsid w:val="00746209"/>
    <w:rsid w:val="00746267"/>
    <w:rsid w:val="007462B2"/>
    <w:rsid w:val="00746334"/>
    <w:rsid w:val="0074633B"/>
    <w:rsid w:val="0074636C"/>
    <w:rsid w:val="007463AD"/>
    <w:rsid w:val="007463E3"/>
    <w:rsid w:val="00746404"/>
    <w:rsid w:val="00746433"/>
    <w:rsid w:val="00746457"/>
    <w:rsid w:val="00746491"/>
    <w:rsid w:val="007466F1"/>
    <w:rsid w:val="00746762"/>
    <w:rsid w:val="00746897"/>
    <w:rsid w:val="007468D8"/>
    <w:rsid w:val="00746980"/>
    <w:rsid w:val="00746BB2"/>
    <w:rsid w:val="00746FBC"/>
    <w:rsid w:val="0074703D"/>
    <w:rsid w:val="00747144"/>
    <w:rsid w:val="007473F4"/>
    <w:rsid w:val="00747600"/>
    <w:rsid w:val="00747768"/>
    <w:rsid w:val="0074786E"/>
    <w:rsid w:val="00747882"/>
    <w:rsid w:val="007478B1"/>
    <w:rsid w:val="00747D65"/>
    <w:rsid w:val="00747E64"/>
    <w:rsid w:val="00747F65"/>
    <w:rsid w:val="00747F6C"/>
    <w:rsid w:val="007500CC"/>
    <w:rsid w:val="00750196"/>
    <w:rsid w:val="0075032D"/>
    <w:rsid w:val="00750357"/>
    <w:rsid w:val="0075035D"/>
    <w:rsid w:val="0075037A"/>
    <w:rsid w:val="00750416"/>
    <w:rsid w:val="00750664"/>
    <w:rsid w:val="007508C3"/>
    <w:rsid w:val="007508FE"/>
    <w:rsid w:val="0075092D"/>
    <w:rsid w:val="0075095F"/>
    <w:rsid w:val="007509EB"/>
    <w:rsid w:val="007509F2"/>
    <w:rsid w:val="00750AC3"/>
    <w:rsid w:val="00750B2B"/>
    <w:rsid w:val="00750B2E"/>
    <w:rsid w:val="00750D3B"/>
    <w:rsid w:val="00750D73"/>
    <w:rsid w:val="00750DD0"/>
    <w:rsid w:val="00751126"/>
    <w:rsid w:val="0075113C"/>
    <w:rsid w:val="00751187"/>
    <w:rsid w:val="00751196"/>
    <w:rsid w:val="0075133D"/>
    <w:rsid w:val="007514E5"/>
    <w:rsid w:val="00751576"/>
    <w:rsid w:val="00751625"/>
    <w:rsid w:val="007516F0"/>
    <w:rsid w:val="00751741"/>
    <w:rsid w:val="007517DC"/>
    <w:rsid w:val="00751880"/>
    <w:rsid w:val="007518BD"/>
    <w:rsid w:val="00751914"/>
    <w:rsid w:val="0075191B"/>
    <w:rsid w:val="00751992"/>
    <w:rsid w:val="00751A5F"/>
    <w:rsid w:val="00751A7B"/>
    <w:rsid w:val="00751B7A"/>
    <w:rsid w:val="00751C05"/>
    <w:rsid w:val="00751D36"/>
    <w:rsid w:val="00751E61"/>
    <w:rsid w:val="00751E8E"/>
    <w:rsid w:val="00751EC3"/>
    <w:rsid w:val="00751EE5"/>
    <w:rsid w:val="00751F1F"/>
    <w:rsid w:val="00751FD4"/>
    <w:rsid w:val="0075217F"/>
    <w:rsid w:val="0075219D"/>
    <w:rsid w:val="00752259"/>
    <w:rsid w:val="007522D2"/>
    <w:rsid w:val="0075254B"/>
    <w:rsid w:val="007525C5"/>
    <w:rsid w:val="0075269F"/>
    <w:rsid w:val="007526A5"/>
    <w:rsid w:val="007526CB"/>
    <w:rsid w:val="00752751"/>
    <w:rsid w:val="0075279F"/>
    <w:rsid w:val="00752AA5"/>
    <w:rsid w:val="00752B00"/>
    <w:rsid w:val="00752CF0"/>
    <w:rsid w:val="00752D60"/>
    <w:rsid w:val="00752DA7"/>
    <w:rsid w:val="00752DD3"/>
    <w:rsid w:val="00752E14"/>
    <w:rsid w:val="00752FCD"/>
    <w:rsid w:val="00753035"/>
    <w:rsid w:val="0075305F"/>
    <w:rsid w:val="007530CD"/>
    <w:rsid w:val="00753110"/>
    <w:rsid w:val="0075311A"/>
    <w:rsid w:val="00753317"/>
    <w:rsid w:val="0075336E"/>
    <w:rsid w:val="00753381"/>
    <w:rsid w:val="00753460"/>
    <w:rsid w:val="00753487"/>
    <w:rsid w:val="0075358A"/>
    <w:rsid w:val="007535D3"/>
    <w:rsid w:val="00753625"/>
    <w:rsid w:val="007537F8"/>
    <w:rsid w:val="00753808"/>
    <w:rsid w:val="00753848"/>
    <w:rsid w:val="0075384F"/>
    <w:rsid w:val="00753891"/>
    <w:rsid w:val="00753894"/>
    <w:rsid w:val="00753903"/>
    <w:rsid w:val="007539D6"/>
    <w:rsid w:val="007539EE"/>
    <w:rsid w:val="00753A14"/>
    <w:rsid w:val="00753A99"/>
    <w:rsid w:val="00753AC5"/>
    <w:rsid w:val="00753CA2"/>
    <w:rsid w:val="00753D26"/>
    <w:rsid w:val="00753D4D"/>
    <w:rsid w:val="00753D8E"/>
    <w:rsid w:val="00753F02"/>
    <w:rsid w:val="007540AB"/>
    <w:rsid w:val="007541CE"/>
    <w:rsid w:val="00754207"/>
    <w:rsid w:val="0075422F"/>
    <w:rsid w:val="00754308"/>
    <w:rsid w:val="00754399"/>
    <w:rsid w:val="007543C9"/>
    <w:rsid w:val="007544CD"/>
    <w:rsid w:val="007544F7"/>
    <w:rsid w:val="0075459D"/>
    <w:rsid w:val="0075466C"/>
    <w:rsid w:val="007548DA"/>
    <w:rsid w:val="00754924"/>
    <w:rsid w:val="00754954"/>
    <w:rsid w:val="00754964"/>
    <w:rsid w:val="00754AC4"/>
    <w:rsid w:val="00754ACA"/>
    <w:rsid w:val="00754AE5"/>
    <w:rsid w:val="00754B25"/>
    <w:rsid w:val="00754C0D"/>
    <w:rsid w:val="00754C28"/>
    <w:rsid w:val="00754CBB"/>
    <w:rsid w:val="00754CC0"/>
    <w:rsid w:val="00754D29"/>
    <w:rsid w:val="00754E62"/>
    <w:rsid w:val="00754E75"/>
    <w:rsid w:val="007550AB"/>
    <w:rsid w:val="007550FA"/>
    <w:rsid w:val="00755103"/>
    <w:rsid w:val="00755211"/>
    <w:rsid w:val="007552AF"/>
    <w:rsid w:val="007552DF"/>
    <w:rsid w:val="007552E0"/>
    <w:rsid w:val="0075552A"/>
    <w:rsid w:val="0075563F"/>
    <w:rsid w:val="007559AA"/>
    <w:rsid w:val="00755A6F"/>
    <w:rsid w:val="00755B4D"/>
    <w:rsid w:val="00755B64"/>
    <w:rsid w:val="00755BB9"/>
    <w:rsid w:val="00755EAA"/>
    <w:rsid w:val="0075600C"/>
    <w:rsid w:val="0075604C"/>
    <w:rsid w:val="007560BA"/>
    <w:rsid w:val="007560D7"/>
    <w:rsid w:val="0075614F"/>
    <w:rsid w:val="00756204"/>
    <w:rsid w:val="00756248"/>
    <w:rsid w:val="007562AD"/>
    <w:rsid w:val="007562D7"/>
    <w:rsid w:val="007563E1"/>
    <w:rsid w:val="00756417"/>
    <w:rsid w:val="00756620"/>
    <w:rsid w:val="00756859"/>
    <w:rsid w:val="00756A46"/>
    <w:rsid w:val="00756B21"/>
    <w:rsid w:val="00756BD1"/>
    <w:rsid w:val="00756C15"/>
    <w:rsid w:val="00756E93"/>
    <w:rsid w:val="00756F9F"/>
    <w:rsid w:val="00756FE9"/>
    <w:rsid w:val="0075725F"/>
    <w:rsid w:val="00757407"/>
    <w:rsid w:val="0075740D"/>
    <w:rsid w:val="00757444"/>
    <w:rsid w:val="0075744F"/>
    <w:rsid w:val="00757502"/>
    <w:rsid w:val="00757608"/>
    <w:rsid w:val="0075765F"/>
    <w:rsid w:val="007576F1"/>
    <w:rsid w:val="007577A0"/>
    <w:rsid w:val="0075780D"/>
    <w:rsid w:val="00757878"/>
    <w:rsid w:val="00757974"/>
    <w:rsid w:val="00757993"/>
    <w:rsid w:val="00757B29"/>
    <w:rsid w:val="00757BF4"/>
    <w:rsid w:val="00757C9E"/>
    <w:rsid w:val="00757E75"/>
    <w:rsid w:val="00757E85"/>
    <w:rsid w:val="00757E99"/>
    <w:rsid w:val="00757F6F"/>
    <w:rsid w:val="00757F8E"/>
    <w:rsid w:val="00757FD9"/>
    <w:rsid w:val="00760038"/>
    <w:rsid w:val="00760079"/>
    <w:rsid w:val="00760116"/>
    <w:rsid w:val="0076019E"/>
    <w:rsid w:val="007601FA"/>
    <w:rsid w:val="00760287"/>
    <w:rsid w:val="007602A7"/>
    <w:rsid w:val="00760304"/>
    <w:rsid w:val="00760396"/>
    <w:rsid w:val="007603C2"/>
    <w:rsid w:val="00760417"/>
    <w:rsid w:val="007604DC"/>
    <w:rsid w:val="007604F2"/>
    <w:rsid w:val="00760532"/>
    <w:rsid w:val="00760574"/>
    <w:rsid w:val="0076066B"/>
    <w:rsid w:val="007606A2"/>
    <w:rsid w:val="007606A7"/>
    <w:rsid w:val="0076083D"/>
    <w:rsid w:val="00760861"/>
    <w:rsid w:val="00760876"/>
    <w:rsid w:val="007608AF"/>
    <w:rsid w:val="00760905"/>
    <w:rsid w:val="0076096A"/>
    <w:rsid w:val="00760982"/>
    <w:rsid w:val="00760A02"/>
    <w:rsid w:val="00760A0E"/>
    <w:rsid w:val="00760C4D"/>
    <w:rsid w:val="00760E30"/>
    <w:rsid w:val="00760FA1"/>
    <w:rsid w:val="007610D5"/>
    <w:rsid w:val="007611C7"/>
    <w:rsid w:val="007611D4"/>
    <w:rsid w:val="00761233"/>
    <w:rsid w:val="0076126E"/>
    <w:rsid w:val="007613AF"/>
    <w:rsid w:val="007614C7"/>
    <w:rsid w:val="007616B4"/>
    <w:rsid w:val="00761878"/>
    <w:rsid w:val="0076191F"/>
    <w:rsid w:val="00761A31"/>
    <w:rsid w:val="00761A40"/>
    <w:rsid w:val="00761A55"/>
    <w:rsid w:val="00761BC0"/>
    <w:rsid w:val="00761C93"/>
    <w:rsid w:val="00761D31"/>
    <w:rsid w:val="00761DD1"/>
    <w:rsid w:val="00761E24"/>
    <w:rsid w:val="00761E82"/>
    <w:rsid w:val="00761EF9"/>
    <w:rsid w:val="00761F57"/>
    <w:rsid w:val="0076202C"/>
    <w:rsid w:val="00762170"/>
    <w:rsid w:val="00762179"/>
    <w:rsid w:val="00762253"/>
    <w:rsid w:val="00762260"/>
    <w:rsid w:val="00762297"/>
    <w:rsid w:val="00762359"/>
    <w:rsid w:val="007623D6"/>
    <w:rsid w:val="007624C7"/>
    <w:rsid w:val="00762506"/>
    <w:rsid w:val="0076269E"/>
    <w:rsid w:val="0076276D"/>
    <w:rsid w:val="0076283A"/>
    <w:rsid w:val="007628F0"/>
    <w:rsid w:val="00762924"/>
    <w:rsid w:val="0076293B"/>
    <w:rsid w:val="007629C6"/>
    <w:rsid w:val="00762A33"/>
    <w:rsid w:val="00762A5E"/>
    <w:rsid w:val="00762BA3"/>
    <w:rsid w:val="00762C3D"/>
    <w:rsid w:val="00762CA2"/>
    <w:rsid w:val="00762CAD"/>
    <w:rsid w:val="00762E21"/>
    <w:rsid w:val="00762E6E"/>
    <w:rsid w:val="00763191"/>
    <w:rsid w:val="007633A7"/>
    <w:rsid w:val="00763402"/>
    <w:rsid w:val="007634A9"/>
    <w:rsid w:val="00763556"/>
    <w:rsid w:val="00763702"/>
    <w:rsid w:val="0076381E"/>
    <w:rsid w:val="00763828"/>
    <w:rsid w:val="00763877"/>
    <w:rsid w:val="0076395D"/>
    <w:rsid w:val="00763960"/>
    <w:rsid w:val="00763AC2"/>
    <w:rsid w:val="00763B36"/>
    <w:rsid w:val="00763BEA"/>
    <w:rsid w:val="00763BEB"/>
    <w:rsid w:val="00763DC4"/>
    <w:rsid w:val="00763DD4"/>
    <w:rsid w:val="00763E4E"/>
    <w:rsid w:val="00763E57"/>
    <w:rsid w:val="00763F04"/>
    <w:rsid w:val="00763F0F"/>
    <w:rsid w:val="007640C8"/>
    <w:rsid w:val="007640FE"/>
    <w:rsid w:val="0076412A"/>
    <w:rsid w:val="0076417C"/>
    <w:rsid w:val="007641CA"/>
    <w:rsid w:val="0076421E"/>
    <w:rsid w:val="0076433A"/>
    <w:rsid w:val="007643B1"/>
    <w:rsid w:val="007643FB"/>
    <w:rsid w:val="00764429"/>
    <w:rsid w:val="007644A4"/>
    <w:rsid w:val="00764574"/>
    <w:rsid w:val="007649C4"/>
    <w:rsid w:val="007649DB"/>
    <w:rsid w:val="00764B0D"/>
    <w:rsid w:val="00764BFC"/>
    <w:rsid w:val="00764C5A"/>
    <w:rsid w:val="00764C73"/>
    <w:rsid w:val="00764C79"/>
    <w:rsid w:val="00764CA6"/>
    <w:rsid w:val="00764D2C"/>
    <w:rsid w:val="00764D47"/>
    <w:rsid w:val="00764D89"/>
    <w:rsid w:val="00765071"/>
    <w:rsid w:val="0076518B"/>
    <w:rsid w:val="007651B4"/>
    <w:rsid w:val="00765242"/>
    <w:rsid w:val="007653D4"/>
    <w:rsid w:val="007653DA"/>
    <w:rsid w:val="00765408"/>
    <w:rsid w:val="00765452"/>
    <w:rsid w:val="00765468"/>
    <w:rsid w:val="0076567E"/>
    <w:rsid w:val="0076569B"/>
    <w:rsid w:val="0076571A"/>
    <w:rsid w:val="00765846"/>
    <w:rsid w:val="00765894"/>
    <w:rsid w:val="0076590A"/>
    <w:rsid w:val="007659FF"/>
    <w:rsid w:val="00765A83"/>
    <w:rsid w:val="00765B44"/>
    <w:rsid w:val="00765B96"/>
    <w:rsid w:val="00765C18"/>
    <w:rsid w:val="00765C2F"/>
    <w:rsid w:val="00765DE7"/>
    <w:rsid w:val="00765EA3"/>
    <w:rsid w:val="00765EC6"/>
    <w:rsid w:val="00765F0C"/>
    <w:rsid w:val="00765F3A"/>
    <w:rsid w:val="00765FF0"/>
    <w:rsid w:val="00766064"/>
    <w:rsid w:val="007660C2"/>
    <w:rsid w:val="0076610B"/>
    <w:rsid w:val="0076614E"/>
    <w:rsid w:val="007662E9"/>
    <w:rsid w:val="007665EB"/>
    <w:rsid w:val="0076663E"/>
    <w:rsid w:val="007666E4"/>
    <w:rsid w:val="007666F4"/>
    <w:rsid w:val="0076673F"/>
    <w:rsid w:val="007667B4"/>
    <w:rsid w:val="007667EC"/>
    <w:rsid w:val="007668AA"/>
    <w:rsid w:val="00766951"/>
    <w:rsid w:val="00766962"/>
    <w:rsid w:val="00766A58"/>
    <w:rsid w:val="00766AD5"/>
    <w:rsid w:val="00766C3A"/>
    <w:rsid w:val="00766CD5"/>
    <w:rsid w:val="00766DBF"/>
    <w:rsid w:val="00766E3F"/>
    <w:rsid w:val="00766EB1"/>
    <w:rsid w:val="00766F0E"/>
    <w:rsid w:val="00766FF7"/>
    <w:rsid w:val="00767041"/>
    <w:rsid w:val="007670DC"/>
    <w:rsid w:val="00767185"/>
    <w:rsid w:val="007671C7"/>
    <w:rsid w:val="007672BA"/>
    <w:rsid w:val="00767481"/>
    <w:rsid w:val="00767584"/>
    <w:rsid w:val="00767946"/>
    <w:rsid w:val="007679D8"/>
    <w:rsid w:val="007679EF"/>
    <w:rsid w:val="00767B44"/>
    <w:rsid w:val="00767B52"/>
    <w:rsid w:val="00767B53"/>
    <w:rsid w:val="00767BAB"/>
    <w:rsid w:val="00767C2A"/>
    <w:rsid w:val="00767D1C"/>
    <w:rsid w:val="00767DB3"/>
    <w:rsid w:val="00767E44"/>
    <w:rsid w:val="00767EC8"/>
    <w:rsid w:val="00767F45"/>
    <w:rsid w:val="00767F87"/>
    <w:rsid w:val="00767FC7"/>
    <w:rsid w:val="00770001"/>
    <w:rsid w:val="007700BF"/>
    <w:rsid w:val="0077020A"/>
    <w:rsid w:val="0077022C"/>
    <w:rsid w:val="0077027B"/>
    <w:rsid w:val="007702B2"/>
    <w:rsid w:val="007702B9"/>
    <w:rsid w:val="0077035C"/>
    <w:rsid w:val="0077036A"/>
    <w:rsid w:val="00770424"/>
    <w:rsid w:val="00770536"/>
    <w:rsid w:val="007705E4"/>
    <w:rsid w:val="007705E7"/>
    <w:rsid w:val="0077061D"/>
    <w:rsid w:val="007708DA"/>
    <w:rsid w:val="00770AF5"/>
    <w:rsid w:val="00770BD0"/>
    <w:rsid w:val="00770CF0"/>
    <w:rsid w:val="00770E81"/>
    <w:rsid w:val="00770ECC"/>
    <w:rsid w:val="00770F15"/>
    <w:rsid w:val="00770F17"/>
    <w:rsid w:val="00770F5E"/>
    <w:rsid w:val="00770FD1"/>
    <w:rsid w:val="0077117E"/>
    <w:rsid w:val="00771198"/>
    <w:rsid w:val="00771228"/>
    <w:rsid w:val="007712D3"/>
    <w:rsid w:val="00771332"/>
    <w:rsid w:val="0077143D"/>
    <w:rsid w:val="0077148A"/>
    <w:rsid w:val="00771509"/>
    <w:rsid w:val="007715C2"/>
    <w:rsid w:val="0077167D"/>
    <w:rsid w:val="0077170D"/>
    <w:rsid w:val="007717A6"/>
    <w:rsid w:val="00771927"/>
    <w:rsid w:val="007719A9"/>
    <w:rsid w:val="00771A62"/>
    <w:rsid w:val="00771C06"/>
    <w:rsid w:val="00771D0C"/>
    <w:rsid w:val="00771D59"/>
    <w:rsid w:val="00771E75"/>
    <w:rsid w:val="00771EB8"/>
    <w:rsid w:val="00771F2F"/>
    <w:rsid w:val="00771F7F"/>
    <w:rsid w:val="00772142"/>
    <w:rsid w:val="00772156"/>
    <w:rsid w:val="007721FC"/>
    <w:rsid w:val="00772270"/>
    <w:rsid w:val="007722FF"/>
    <w:rsid w:val="00772364"/>
    <w:rsid w:val="00772486"/>
    <w:rsid w:val="0077251B"/>
    <w:rsid w:val="0077253C"/>
    <w:rsid w:val="00772583"/>
    <w:rsid w:val="007725F6"/>
    <w:rsid w:val="007726F2"/>
    <w:rsid w:val="00772716"/>
    <w:rsid w:val="00772809"/>
    <w:rsid w:val="007728D6"/>
    <w:rsid w:val="00772978"/>
    <w:rsid w:val="00772980"/>
    <w:rsid w:val="007729A2"/>
    <w:rsid w:val="00772A24"/>
    <w:rsid w:val="00772C6E"/>
    <w:rsid w:val="00772CB2"/>
    <w:rsid w:val="00772DA0"/>
    <w:rsid w:val="00772DC9"/>
    <w:rsid w:val="00772DED"/>
    <w:rsid w:val="00772E64"/>
    <w:rsid w:val="00772EE9"/>
    <w:rsid w:val="00772F3C"/>
    <w:rsid w:val="00772FEA"/>
    <w:rsid w:val="00773014"/>
    <w:rsid w:val="0077312B"/>
    <w:rsid w:val="007731EE"/>
    <w:rsid w:val="00773245"/>
    <w:rsid w:val="00773269"/>
    <w:rsid w:val="0077327E"/>
    <w:rsid w:val="00773280"/>
    <w:rsid w:val="0077329C"/>
    <w:rsid w:val="007732D8"/>
    <w:rsid w:val="00773332"/>
    <w:rsid w:val="0077355D"/>
    <w:rsid w:val="007735E2"/>
    <w:rsid w:val="00773610"/>
    <w:rsid w:val="00773636"/>
    <w:rsid w:val="00773640"/>
    <w:rsid w:val="007736A9"/>
    <w:rsid w:val="00773713"/>
    <w:rsid w:val="00773725"/>
    <w:rsid w:val="007737A7"/>
    <w:rsid w:val="00773835"/>
    <w:rsid w:val="00773A03"/>
    <w:rsid w:val="00773A83"/>
    <w:rsid w:val="00773A85"/>
    <w:rsid w:val="00773ADD"/>
    <w:rsid w:val="00773AFA"/>
    <w:rsid w:val="00773B89"/>
    <w:rsid w:val="00773B9A"/>
    <w:rsid w:val="00773C0C"/>
    <w:rsid w:val="00773C2A"/>
    <w:rsid w:val="00773C79"/>
    <w:rsid w:val="00773C7A"/>
    <w:rsid w:val="00773D3D"/>
    <w:rsid w:val="00773D6D"/>
    <w:rsid w:val="00773D94"/>
    <w:rsid w:val="00774156"/>
    <w:rsid w:val="00774222"/>
    <w:rsid w:val="007742E0"/>
    <w:rsid w:val="00774348"/>
    <w:rsid w:val="00774393"/>
    <w:rsid w:val="0077439E"/>
    <w:rsid w:val="007744A2"/>
    <w:rsid w:val="0077455E"/>
    <w:rsid w:val="007745A8"/>
    <w:rsid w:val="00774601"/>
    <w:rsid w:val="0077463D"/>
    <w:rsid w:val="00774682"/>
    <w:rsid w:val="00774867"/>
    <w:rsid w:val="007748FD"/>
    <w:rsid w:val="00774901"/>
    <w:rsid w:val="007749C5"/>
    <w:rsid w:val="00774AAC"/>
    <w:rsid w:val="00774ABF"/>
    <w:rsid w:val="00774D7B"/>
    <w:rsid w:val="00774DF4"/>
    <w:rsid w:val="00774E86"/>
    <w:rsid w:val="00774EB8"/>
    <w:rsid w:val="00774F6C"/>
    <w:rsid w:val="00775065"/>
    <w:rsid w:val="00775084"/>
    <w:rsid w:val="00775094"/>
    <w:rsid w:val="00775151"/>
    <w:rsid w:val="0077526E"/>
    <w:rsid w:val="007752A5"/>
    <w:rsid w:val="00775336"/>
    <w:rsid w:val="00775362"/>
    <w:rsid w:val="007754DF"/>
    <w:rsid w:val="007754E2"/>
    <w:rsid w:val="00775696"/>
    <w:rsid w:val="0077574B"/>
    <w:rsid w:val="007757F6"/>
    <w:rsid w:val="0077594B"/>
    <w:rsid w:val="0077597B"/>
    <w:rsid w:val="007759CF"/>
    <w:rsid w:val="00775A02"/>
    <w:rsid w:val="00775AD7"/>
    <w:rsid w:val="00775B67"/>
    <w:rsid w:val="00775B78"/>
    <w:rsid w:val="00775C26"/>
    <w:rsid w:val="00775C78"/>
    <w:rsid w:val="00775C98"/>
    <w:rsid w:val="00775D09"/>
    <w:rsid w:val="00775D12"/>
    <w:rsid w:val="00775D68"/>
    <w:rsid w:val="00775DD8"/>
    <w:rsid w:val="00775E1A"/>
    <w:rsid w:val="00775E73"/>
    <w:rsid w:val="007760EB"/>
    <w:rsid w:val="00776368"/>
    <w:rsid w:val="00776388"/>
    <w:rsid w:val="00776399"/>
    <w:rsid w:val="007764E7"/>
    <w:rsid w:val="00776640"/>
    <w:rsid w:val="00776692"/>
    <w:rsid w:val="00776A34"/>
    <w:rsid w:val="00776A36"/>
    <w:rsid w:val="00776ABD"/>
    <w:rsid w:val="00776AF2"/>
    <w:rsid w:val="00776B91"/>
    <w:rsid w:val="00776BA8"/>
    <w:rsid w:val="00776CB8"/>
    <w:rsid w:val="00776CC6"/>
    <w:rsid w:val="00776F69"/>
    <w:rsid w:val="00776FA8"/>
    <w:rsid w:val="007770FD"/>
    <w:rsid w:val="00777136"/>
    <w:rsid w:val="00777286"/>
    <w:rsid w:val="007772F2"/>
    <w:rsid w:val="007773D6"/>
    <w:rsid w:val="007773F2"/>
    <w:rsid w:val="00777466"/>
    <w:rsid w:val="00777656"/>
    <w:rsid w:val="00777751"/>
    <w:rsid w:val="00777798"/>
    <w:rsid w:val="00777845"/>
    <w:rsid w:val="00777A1A"/>
    <w:rsid w:val="00777A5C"/>
    <w:rsid w:val="00777A9E"/>
    <w:rsid w:val="00777BA4"/>
    <w:rsid w:val="00777D6C"/>
    <w:rsid w:val="00777DE6"/>
    <w:rsid w:val="00777F1F"/>
    <w:rsid w:val="007800A7"/>
    <w:rsid w:val="007800B5"/>
    <w:rsid w:val="0078016C"/>
    <w:rsid w:val="007801CC"/>
    <w:rsid w:val="0078035B"/>
    <w:rsid w:val="007804DB"/>
    <w:rsid w:val="00780529"/>
    <w:rsid w:val="007805E6"/>
    <w:rsid w:val="00780698"/>
    <w:rsid w:val="0078069B"/>
    <w:rsid w:val="007807E9"/>
    <w:rsid w:val="00780859"/>
    <w:rsid w:val="007808AC"/>
    <w:rsid w:val="007808C5"/>
    <w:rsid w:val="007808DF"/>
    <w:rsid w:val="0078097B"/>
    <w:rsid w:val="00780A14"/>
    <w:rsid w:val="00780A15"/>
    <w:rsid w:val="00780AAD"/>
    <w:rsid w:val="00780CBF"/>
    <w:rsid w:val="00780E85"/>
    <w:rsid w:val="00780F83"/>
    <w:rsid w:val="007811C4"/>
    <w:rsid w:val="007813A1"/>
    <w:rsid w:val="007814E8"/>
    <w:rsid w:val="00781550"/>
    <w:rsid w:val="0078176F"/>
    <w:rsid w:val="0078192E"/>
    <w:rsid w:val="00781AC0"/>
    <w:rsid w:val="00781B5D"/>
    <w:rsid w:val="00781BAE"/>
    <w:rsid w:val="00781C7F"/>
    <w:rsid w:val="00781E17"/>
    <w:rsid w:val="00781E21"/>
    <w:rsid w:val="00781E59"/>
    <w:rsid w:val="00781F25"/>
    <w:rsid w:val="00781F48"/>
    <w:rsid w:val="007820EF"/>
    <w:rsid w:val="0078214E"/>
    <w:rsid w:val="007822D4"/>
    <w:rsid w:val="007822DD"/>
    <w:rsid w:val="007825A3"/>
    <w:rsid w:val="007825AA"/>
    <w:rsid w:val="007825BB"/>
    <w:rsid w:val="0078262F"/>
    <w:rsid w:val="0078273B"/>
    <w:rsid w:val="00782759"/>
    <w:rsid w:val="007828BA"/>
    <w:rsid w:val="00782975"/>
    <w:rsid w:val="00782A70"/>
    <w:rsid w:val="00782B39"/>
    <w:rsid w:val="00782B72"/>
    <w:rsid w:val="00782B99"/>
    <w:rsid w:val="00782BBB"/>
    <w:rsid w:val="00782BDC"/>
    <w:rsid w:val="00782BF7"/>
    <w:rsid w:val="00782C0F"/>
    <w:rsid w:val="00782C19"/>
    <w:rsid w:val="00782C1E"/>
    <w:rsid w:val="00782C7E"/>
    <w:rsid w:val="00782DC2"/>
    <w:rsid w:val="00782DF3"/>
    <w:rsid w:val="00782EC8"/>
    <w:rsid w:val="00782F0C"/>
    <w:rsid w:val="0078304B"/>
    <w:rsid w:val="00783063"/>
    <w:rsid w:val="00783096"/>
    <w:rsid w:val="007831BF"/>
    <w:rsid w:val="00783233"/>
    <w:rsid w:val="007832DB"/>
    <w:rsid w:val="007833CB"/>
    <w:rsid w:val="007833D0"/>
    <w:rsid w:val="007833EE"/>
    <w:rsid w:val="007834C1"/>
    <w:rsid w:val="007834CD"/>
    <w:rsid w:val="0078351A"/>
    <w:rsid w:val="00783544"/>
    <w:rsid w:val="0078358E"/>
    <w:rsid w:val="007835A9"/>
    <w:rsid w:val="0078385E"/>
    <w:rsid w:val="0078386F"/>
    <w:rsid w:val="007838CE"/>
    <w:rsid w:val="00783B06"/>
    <w:rsid w:val="00783BFE"/>
    <w:rsid w:val="00783C70"/>
    <w:rsid w:val="00783D19"/>
    <w:rsid w:val="00783D9D"/>
    <w:rsid w:val="00783E00"/>
    <w:rsid w:val="00783F42"/>
    <w:rsid w:val="00783F76"/>
    <w:rsid w:val="00783F99"/>
    <w:rsid w:val="00783FA9"/>
    <w:rsid w:val="00784053"/>
    <w:rsid w:val="0078431F"/>
    <w:rsid w:val="00784376"/>
    <w:rsid w:val="0078437A"/>
    <w:rsid w:val="0078448F"/>
    <w:rsid w:val="00784590"/>
    <w:rsid w:val="0078472D"/>
    <w:rsid w:val="00784751"/>
    <w:rsid w:val="00784781"/>
    <w:rsid w:val="00784925"/>
    <w:rsid w:val="0078497A"/>
    <w:rsid w:val="00784AFF"/>
    <w:rsid w:val="00784B10"/>
    <w:rsid w:val="00784B23"/>
    <w:rsid w:val="00784B2D"/>
    <w:rsid w:val="00784B3E"/>
    <w:rsid w:val="00784BC5"/>
    <w:rsid w:val="00784CC6"/>
    <w:rsid w:val="00784EA2"/>
    <w:rsid w:val="00784FD7"/>
    <w:rsid w:val="00784FE3"/>
    <w:rsid w:val="00785085"/>
    <w:rsid w:val="007850E2"/>
    <w:rsid w:val="0078518D"/>
    <w:rsid w:val="007851D4"/>
    <w:rsid w:val="00785374"/>
    <w:rsid w:val="007854F9"/>
    <w:rsid w:val="00785526"/>
    <w:rsid w:val="00785535"/>
    <w:rsid w:val="00785751"/>
    <w:rsid w:val="0078585E"/>
    <w:rsid w:val="00785A9A"/>
    <w:rsid w:val="00785ADE"/>
    <w:rsid w:val="00785B18"/>
    <w:rsid w:val="00785BA1"/>
    <w:rsid w:val="00785EC2"/>
    <w:rsid w:val="00785EE3"/>
    <w:rsid w:val="00786035"/>
    <w:rsid w:val="007860EA"/>
    <w:rsid w:val="0078616D"/>
    <w:rsid w:val="00786175"/>
    <w:rsid w:val="00786179"/>
    <w:rsid w:val="007862DE"/>
    <w:rsid w:val="00786320"/>
    <w:rsid w:val="0078642C"/>
    <w:rsid w:val="00786431"/>
    <w:rsid w:val="00786491"/>
    <w:rsid w:val="007865AE"/>
    <w:rsid w:val="007865DB"/>
    <w:rsid w:val="0078668C"/>
    <w:rsid w:val="0078687A"/>
    <w:rsid w:val="00786994"/>
    <w:rsid w:val="007869F7"/>
    <w:rsid w:val="00786A27"/>
    <w:rsid w:val="00786A3E"/>
    <w:rsid w:val="00786ADB"/>
    <w:rsid w:val="00786B4D"/>
    <w:rsid w:val="00786C3E"/>
    <w:rsid w:val="00786C51"/>
    <w:rsid w:val="00786CC2"/>
    <w:rsid w:val="00786D00"/>
    <w:rsid w:val="00786D4F"/>
    <w:rsid w:val="00786D6A"/>
    <w:rsid w:val="00786D7B"/>
    <w:rsid w:val="00786DBB"/>
    <w:rsid w:val="00786DEF"/>
    <w:rsid w:val="00786E29"/>
    <w:rsid w:val="00786E79"/>
    <w:rsid w:val="007872B7"/>
    <w:rsid w:val="00787367"/>
    <w:rsid w:val="00787444"/>
    <w:rsid w:val="007875D3"/>
    <w:rsid w:val="007875EB"/>
    <w:rsid w:val="00787613"/>
    <w:rsid w:val="0078766B"/>
    <w:rsid w:val="007876BE"/>
    <w:rsid w:val="0078775C"/>
    <w:rsid w:val="0078793D"/>
    <w:rsid w:val="00787A02"/>
    <w:rsid w:val="00787B8A"/>
    <w:rsid w:val="00787B93"/>
    <w:rsid w:val="00787BBF"/>
    <w:rsid w:val="00787C37"/>
    <w:rsid w:val="00787C55"/>
    <w:rsid w:val="00787D41"/>
    <w:rsid w:val="00787DE5"/>
    <w:rsid w:val="00787E74"/>
    <w:rsid w:val="00787FDF"/>
    <w:rsid w:val="00790036"/>
    <w:rsid w:val="007900A2"/>
    <w:rsid w:val="00790133"/>
    <w:rsid w:val="00790178"/>
    <w:rsid w:val="007902B3"/>
    <w:rsid w:val="00790326"/>
    <w:rsid w:val="0079040F"/>
    <w:rsid w:val="0079081F"/>
    <w:rsid w:val="007908C6"/>
    <w:rsid w:val="00790911"/>
    <w:rsid w:val="0079093C"/>
    <w:rsid w:val="007909C1"/>
    <w:rsid w:val="00790A29"/>
    <w:rsid w:val="00790C08"/>
    <w:rsid w:val="00790D2B"/>
    <w:rsid w:val="00790DA2"/>
    <w:rsid w:val="00790DC2"/>
    <w:rsid w:val="00790E53"/>
    <w:rsid w:val="00790EDE"/>
    <w:rsid w:val="00790F58"/>
    <w:rsid w:val="00791012"/>
    <w:rsid w:val="0079114C"/>
    <w:rsid w:val="00791197"/>
    <w:rsid w:val="007912D7"/>
    <w:rsid w:val="007912F1"/>
    <w:rsid w:val="0079131A"/>
    <w:rsid w:val="007914F4"/>
    <w:rsid w:val="007915AC"/>
    <w:rsid w:val="00791690"/>
    <w:rsid w:val="00791A68"/>
    <w:rsid w:val="00791A8A"/>
    <w:rsid w:val="00791AEE"/>
    <w:rsid w:val="00791B80"/>
    <w:rsid w:val="00791BF0"/>
    <w:rsid w:val="00791BFC"/>
    <w:rsid w:val="00791CEB"/>
    <w:rsid w:val="00791CFB"/>
    <w:rsid w:val="00791DB1"/>
    <w:rsid w:val="00791F69"/>
    <w:rsid w:val="0079207A"/>
    <w:rsid w:val="007921B5"/>
    <w:rsid w:val="00792297"/>
    <w:rsid w:val="00792308"/>
    <w:rsid w:val="00792389"/>
    <w:rsid w:val="00792392"/>
    <w:rsid w:val="007925C5"/>
    <w:rsid w:val="0079268D"/>
    <w:rsid w:val="007926AA"/>
    <w:rsid w:val="00792703"/>
    <w:rsid w:val="00792786"/>
    <w:rsid w:val="007928FB"/>
    <w:rsid w:val="0079290B"/>
    <w:rsid w:val="00792944"/>
    <w:rsid w:val="0079297E"/>
    <w:rsid w:val="007929E9"/>
    <w:rsid w:val="00792A7E"/>
    <w:rsid w:val="00792BC5"/>
    <w:rsid w:val="00792C7A"/>
    <w:rsid w:val="00792D34"/>
    <w:rsid w:val="00792DDB"/>
    <w:rsid w:val="00792E00"/>
    <w:rsid w:val="00792E60"/>
    <w:rsid w:val="00792EC0"/>
    <w:rsid w:val="00792F35"/>
    <w:rsid w:val="00792F59"/>
    <w:rsid w:val="0079305A"/>
    <w:rsid w:val="0079307B"/>
    <w:rsid w:val="007930CD"/>
    <w:rsid w:val="0079313B"/>
    <w:rsid w:val="00793196"/>
    <w:rsid w:val="007932FD"/>
    <w:rsid w:val="00793460"/>
    <w:rsid w:val="00793468"/>
    <w:rsid w:val="0079350E"/>
    <w:rsid w:val="007935E6"/>
    <w:rsid w:val="007936B8"/>
    <w:rsid w:val="007936D5"/>
    <w:rsid w:val="0079372C"/>
    <w:rsid w:val="00793784"/>
    <w:rsid w:val="007939FF"/>
    <w:rsid w:val="00793B29"/>
    <w:rsid w:val="00793B57"/>
    <w:rsid w:val="00793C3B"/>
    <w:rsid w:val="00793CB9"/>
    <w:rsid w:val="00793EE1"/>
    <w:rsid w:val="00793F45"/>
    <w:rsid w:val="00793FAD"/>
    <w:rsid w:val="00794226"/>
    <w:rsid w:val="0079427E"/>
    <w:rsid w:val="00794399"/>
    <w:rsid w:val="00794496"/>
    <w:rsid w:val="00794675"/>
    <w:rsid w:val="00794699"/>
    <w:rsid w:val="007946FE"/>
    <w:rsid w:val="00794797"/>
    <w:rsid w:val="007947A7"/>
    <w:rsid w:val="007948B2"/>
    <w:rsid w:val="00794900"/>
    <w:rsid w:val="007949E8"/>
    <w:rsid w:val="00794AC6"/>
    <w:rsid w:val="00794B36"/>
    <w:rsid w:val="00794D25"/>
    <w:rsid w:val="00794E1D"/>
    <w:rsid w:val="00795006"/>
    <w:rsid w:val="00795299"/>
    <w:rsid w:val="00795368"/>
    <w:rsid w:val="007953E6"/>
    <w:rsid w:val="00795438"/>
    <w:rsid w:val="0079544D"/>
    <w:rsid w:val="007954AC"/>
    <w:rsid w:val="00795567"/>
    <w:rsid w:val="00795655"/>
    <w:rsid w:val="007956C8"/>
    <w:rsid w:val="007958B5"/>
    <w:rsid w:val="00795946"/>
    <w:rsid w:val="007959A0"/>
    <w:rsid w:val="00795C39"/>
    <w:rsid w:val="00795CA6"/>
    <w:rsid w:val="00795D15"/>
    <w:rsid w:val="00795E14"/>
    <w:rsid w:val="00795E88"/>
    <w:rsid w:val="00795F14"/>
    <w:rsid w:val="00796055"/>
    <w:rsid w:val="007960AD"/>
    <w:rsid w:val="007960BF"/>
    <w:rsid w:val="007960D6"/>
    <w:rsid w:val="00796352"/>
    <w:rsid w:val="007963C2"/>
    <w:rsid w:val="007963DB"/>
    <w:rsid w:val="007964A1"/>
    <w:rsid w:val="00796511"/>
    <w:rsid w:val="00796849"/>
    <w:rsid w:val="007968A3"/>
    <w:rsid w:val="007968D2"/>
    <w:rsid w:val="007969C2"/>
    <w:rsid w:val="00796A7E"/>
    <w:rsid w:val="00796A88"/>
    <w:rsid w:val="00796A9A"/>
    <w:rsid w:val="00796ADD"/>
    <w:rsid w:val="00796B0D"/>
    <w:rsid w:val="00796B24"/>
    <w:rsid w:val="00796B4B"/>
    <w:rsid w:val="00796C60"/>
    <w:rsid w:val="00796CAE"/>
    <w:rsid w:val="00796D2E"/>
    <w:rsid w:val="00796D3C"/>
    <w:rsid w:val="00796D84"/>
    <w:rsid w:val="00796D8B"/>
    <w:rsid w:val="00796E0D"/>
    <w:rsid w:val="00796F65"/>
    <w:rsid w:val="00796F94"/>
    <w:rsid w:val="007970B0"/>
    <w:rsid w:val="00797175"/>
    <w:rsid w:val="0079721C"/>
    <w:rsid w:val="00797280"/>
    <w:rsid w:val="007973EE"/>
    <w:rsid w:val="007974B0"/>
    <w:rsid w:val="007974D4"/>
    <w:rsid w:val="007974E5"/>
    <w:rsid w:val="0079756C"/>
    <w:rsid w:val="007975AB"/>
    <w:rsid w:val="007976DB"/>
    <w:rsid w:val="00797766"/>
    <w:rsid w:val="0079776A"/>
    <w:rsid w:val="007979D2"/>
    <w:rsid w:val="00797A82"/>
    <w:rsid w:val="00797C2A"/>
    <w:rsid w:val="00797D3C"/>
    <w:rsid w:val="00797D62"/>
    <w:rsid w:val="00797E86"/>
    <w:rsid w:val="00797ECC"/>
    <w:rsid w:val="00797F66"/>
    <w:rsid w:val="007A00D3"/>
    <w:rsid w:val="007A01FE"/>
    <w:rsid w:val="007A01FF"/>
    <w:rsid w:val="007A0271"/>
    <w:rsid w:val="007A028A"/>
    <w:rsid w:val="007A028F"/>
    <w:rsid w:val="007A0295"/>
    <w:rsid w:val="007A02C3"/>
    <w:rsid w:val="007A031B"/>
    <w:rsid w:val="007A0361"/>
    <w:rsid w:val="007A03C9"/>
    <w:rsid w:val="007A03F8"/>
    <w:rsid w:val="007A0497"/>
    <w:rsid w:val="007A05E4"/>
    <w:rsid w:val="007A07C4"/>
    <w:rsid w:val="007A07F3"/>
    <w:rsid w:val="007A0818"/>
    <w:rsid w:val="007A0850"/>
    <w:rsid w:val="007A08BD"/>
    <w:rsid w:val="007A096F"/>
    <w:rsid w:val="007A0AB4"/>
    <w:rsid w:val="007A0B38"/>
    <w:rsid w:val="007A0B5A"/>
    <w:rsid w:val="007A0CEC"/>
    <w:rsid w:val="007A0E1D"/>
    <w:rsid w:val="007A0F46"/>
    <w:rsid w:val="007A10EE"/>
    <w:rsid w:val="007A1126"/>
    <w:rsid w:val="007A1131"/>
    <w:rsid w:val="007A1187"/>
    <w:rsid w:val="007A12C1"/>
    <w:rsid w:val="007A1421"/>
    <w:rsid w:val="007A14E5"/>
    <w:rsid w:val="007A1654"/>
    <w:rsid w:val="007A1831"/>
    <w:rsid w:val="007A18BE"/>
    <w:rsid w:val="007A1917"/>
    <w:rsid w:val="007A1922"/>
    <w:rsid w:val="007A1A05"/>
    <w:rsid w:val="007A1BAB"/>
    <w:rsid w:val="007A1BCC"/>
    <w:rsid w:val="007A1C95"/>
    <w:rsid w:val="007A1CA8"/>
    <w:rsid w:val="007A1CE3"/>
    <w:rsid w:val="007A1D7E"/>
    <w:rsid w:val="007A1DFD"/>
    <w:rsid w:val="007A1E38"/>
    <w:rsid w:val="007A1F87"/>
    <w:rsid w:val="007A20B2"/>
    <w:rsid w:val="007A2148"/>
    <w:rsid w:val="007A23E0"/>
    <w:rsid w:val="007A242A"/>
    <w:rsid w:val="007A24DB"/>
    <w:rsid w:val="007A265C"/>
    <w:rsid w:val="007A276A"/>
    <w:rsid w:val="007A27C2"/>
    <w:rsid w:val="007A287A"/>
    <w:rsid w:val="007A2898"/>
    <w:rsid w:val="007A2999"/>
    <w:rsid w:val="007A29B0"/>
    <w:rsid w:val="007A29DC"/>
    <w:rsid w:val="007A2A55"/>
    <w:rsid w:val="007A2A67"/>
    <w:rsid w:val="007A2B87"/>
    <w:rsid w:val="007A2B8F"/>
    <w:rsid w:val="007A2BED"/>
    <w:rsid w:val="007A2C02"/>
    <w:rsid w:val="007A30E1"/>
    <w:rsid w:val="007A3147"/>
    <w:rsid w:val="007A3313"/>
    <w:rsid w:val="007A335B"/>
    <w:rsid w:val="007A341C"/>
    <w:rsid w:val="007A36CF"/>
    <w:rsid w:val="007A37A4"/>
    <w:rsid w:val="007A395D"/>
    <w:rsid w:val="007A3982"/>
    <w:rsid w:val="007A3A74"/>
    <w:rsid w:val="007A3BD1"/>
    <w:rsid w:val="007A3C11"/>
    <w:rsid w:val="007A3C43"/>
    <w:rsid w:val="007A3DDF"/>
    <w:rsid w:val="007A3E01"/>
    <w:rsid w:val="007A3F71"/>
    <w:rsid w:val="007A419B"/>
    <w:rsid w:val="007A430C"/>
    <w:rsid w:val="007A439D"/>
    <w:rsid w:val="007A43E9"/>
    <w:rsid w:val="007A4447"/>
    <w:rsid w:val="007A4510"/>
    <w:rsid w:val="007A45E5"/>
    <w:rsid w:val="007A4616"/>
    <w:rsid w:val="007A46D6"/>
    <w:rsid w:val="007A46E7"/>
    <w:rsid w:val="007A47DB"/>
    <w:rsid w:val="007A47DE"/>
    <w:rsid w:val="007A484A"/>
    <w:rsid w:val="007A484B"/>
    <w:rsid w:val="007A492C"/>
    <w:rsid w:val="007A4956"/>
    <w:rsid w:val="007A49CD"/>
    <w:rsid w:val="007A49E2"/>
    <w:rsid w:val="007A4A54"/>
    <w:rsid w:val="007A4A88"/>
    <w:rsid w:val="007A4AEB"/>
    <w:rsid w:val="007A4C75"/>
    <w:rsid w:val="007A4D9C"/>
    <w:rsid w:val="007A4E92"/>
    <w:rsid w:val="007A4EC4"/>
    <w:rsid w:val="007A4EE8"/>
    <w:rsid w:val="007A4F43"/>
    <w:rsid w:val="007A5068"/>
    <w:rsid w:val="007A527A"/>
    <w:rsid w:val="007A53B0"/>
    <w:rsid w:val="007A54E8"/>
    <w:rsid w:val="007A567F"/>
    <w:rsid w:val="007A571C"/>
    <w:rsid w:val="007A577D"/>
    <w:rsid w:val="007A5969"/>
    <w:rsid w:val="007A5A0F"/>
    <w:rsid w:val="007A5A37"/>
    <w:rsid w:val="007A5A4D"/>
    <w:rsid w:val="007A5ADC"/>
    <w:rsid w:val="007A5B29"/>
    <w:rsid w:val="007A5B8A"/>
    <w:rsid w:val="007A5BE2"/>
    <w:rsid w:val="007A5BF4"/>
    <w:rsid w:val="007A5BFD"/>
    <w:rsid w:val="007A5C5E"/>
    <w:rsid w:val="007A5ED4"/>
    <w:rsid w:val="007A60DD"/>
    <w:rsid w:val="007A610A"/>
    <w:rsid w:val="007A614F"/>
    <w:rsid w:val="007A6191"/>
    <w:rsid w:val="007A63B5"/>
    <w:rsid w:val="007A63ED"/>
    <w:rsid w:val="007A6406"/>
    <w:rsid w:val="007A6436"/>
    <w:rsid w:val="007A6457"/>
    <w:rsid w:val="007A65F0"/>
    <w:rsid w:val="007A66C2"/>
    <w:rsid w:val="007A6764"/>
    <w:rsid w:val="007A688D"/>
    <w:rsid w:val="007A693D"/>
    <w:rsid w:val="007A69C1"/>
    <w:rsid w:val="007A6A94"/>
    <w:rsid w:val="007A6C84"/>
    <w:rsid w:val="007A6C8E"/>
    <w:rsid w:val="007A6CA8"/>
    <w:rsid w:val="007A6CDA"/>
    <w:rsid w:val="007A6D1D"/>
    <w:rsid w:val="007A6E54"/>
    <w:rsid w:val="007A6EEC"/>
    <w:rsid w:val="007A6F29"/>
    <w:rsid w:val="007A6F3F"/>
    <w:rsid w:val="007A7067"/>
    <w:rsid w:val="007A7068"/>
    <w:rsid w:val="007A70DD"/>
    <w:rsid w:val="007A73E9"/>
    <w:rsid w:val="007A73F6"/>
    <w:rsid w:val="007A7531"/>
    <w:rsid w:val="007A7802"/>
    <w:rsid w:val="007A7942"/>
    <w:rsid w:val="007A7A04"/>
    <w:rsid w:val="007A7C8E"/>
    <w:rsid w:val="007A7CA4"/>
    <w:rsid w:val="007A7D5F"/>
    <w:rsid w:val="007A7D6E"/>
    <w:rsid w:val="007A7E64"/>
    <w:rsid w:val="007A7F03"/>
    <w:rsid w:val="007B0039"/>
    <w:rsid w:val="007B0197"/>
    <w:rsid w:val="007B0267"/>
    <w:rsid w:val="007B0298"/>
    <w:rsid w:val="007B02C4"/>
    <w:rsid w:val="007B0430"/>
    <w:rsid w:val="007B059A"/>
    <w:rsid w:val="007B05D1"/>
    <w:rsid w:val="007B0611"/>
    <w:rsid w:val="007B07A6"/>
    <w:rsid w:val="007B082C"/>
    <w:rsid w:val="007B0921"/>
    <w:rsid w:val="007B0A3E"/>
    <w:rsid w:val="007B0A43"/>
    <w:rsid w:val="007B0B66"/>
    <w:rsid w:val="007B0EBA"/>
    <w:rsid w:val="007B0F9D"/>
    <w:rsid w:val="007B0FD1"/>
    <w:rsid w:val="007B115B"/>
    <w:rsid w:val="007B1238"/>
    <w:rsid w:val="007B1274"/>
    <w:rsid w:val="007B12EC"/>
    <w:rsid w:val="007B1367"/>
    <w:rsid w:val="007B13F0"/>
    <w:rsid w:val="007B15CB"/>
    <w:rsid w:val="007B15ED"/>
    <w:rsid w:val="007B15F6"/>
    <w:rsid w:val="007B15F9"/>
    <w:rsid w:val="007B15FA"/>
    <w:rsid w:val="007B176A"/>
    <w:rsid w:val="007B17CA"/>
    <w:rsid w:val="007B1814"/>
    <w:rsid w:val="007B19BB"/>
    <w:rsid w:val="007B19E1"/>
    <w:rsid w:val="007B1C91"/>
    <w:rsid w:val="007B1CBF"/>
    <w:rsid w:val="007B1CD5"/>
    <w:rsid w:val="007B1F70"/>
    <w:rsid w:val="007B1FD6"/>
    <w:rsid w:val="007B2104"/>
    <w:rsid w:val="007B214E"/>
    <w:rsid w:val="007B2249"/>
    <w:rsid w:val="007B2262"/>
    <w:rsid w:val="007B22DB"/>
    <w:rsid w:val="007B2314"/>
    <w:rsid w:val="007B250B"/>
    <w:rsid w:val="007B2603"/>
    <w:rsid w:val="007B2605"/>
    <w:rsid w:val="007B2662"/>
    <w:rsid w:val="007B2745"/>
    <w:rsid w:val="007B2796"/>
    <w:rsid w:val="007B27EC"/>
    <w:rsid w:val="007B2801"/>
    <w:rsid w:val="007B2864"/>
    <w:rsid w:val="007B28AA"/>
    <w:rsid w:val="007B29A6"/>
    <w:rsid w:val="007B29C4"/>
    <w:rsid w:val="007B2A43"/>
    <w:rsid w:val="007B2AC2"/>
    <w:rsid w:val="007B2ADF"/>
    <w:rsid w:val="007B2D7F"/>
    <w:rsid w:val="007B2DE3"/>
    <w:rsid w:val="007B2FB1"/>
    <w:rsid w:val="007B3197"/>
    <w:rsid w:val="007B31F9"/>
    <w:rsid w:val="007B3229"/>
    <w:rsid w:val="007B324B"/>
    <w:rsid w:val="007B32D7"/>
    <w:rsid w:val="007B32F8"/>
    <w:rsid w:val="007B332F"/>
    <w:rsid w:val="007B33BE"/>
    <w:rsid w:val="007B34E8"/>
    <w:rsid w:val="007B36AF"/>
    <w:rsid w:val="007B39B1"/>
    <w:rsid w:val="007B39D7"/>
    <w:rsid w:val="007B3A2E"/>
    <w:rsid w:val="007B3ACD"/>
    <w:rsid w:val="007B3BA0"/>
    <w:rsid w:val="007B3F87"/>
    <w:rsid w:val="007B4261"/>
    <w:rsid w:val="007B4280"/>
    <w:rsid w:val="007B432F"/>
    <w:rsid w:val="007B43C4"/>
    <w:rsid w:val="007B4569"/>
    <w:rsid w:val="007B45C9"/>
    <w:rsid w:val="007B4762"/>
    <w:rsid w:val="007B48DA"/>
    <w:rsid w:val="007B4A2E"/>
    <w:rsid w:val="007B4A6E"/>
    <w:rsid w:val="007B4AF3"/>
    <w:rsid w:val="007B4BB5"/>
    <w:rsid w:val="007B4C12"/>
    <w:rsid w:val="007B4DD5"/>
    <w:rsid w:val="007B4E05"/>
    <w:rsid w:val="007B4F3B"/>
    <w:rsid w:val="007B4FC5"/>
    <w:rsid w:val="007B500A"/>
    <w:rsid w:val="007B5065"/>
    <w:rsid w:val="007B51BB"/>
    <w:rsid w:val="007B523B"/>
    <w:rsid w:val="007B5329"/>
    <w:rsid w:val="007B543F"/>
    <w:rsid w:val="007B5486"/>
    <w:rsid w:val="007B555B"/>
    <w:rsid w:val="007B55AE"/>
    <w:rsid w:val="007B5654"/>
    <w:rsid w:val="007B5700"/>
    <w:rsid w:val="007B570D"/>
    <w:rsid w:val="007B5728"/>
    <w:rsid w:val="007B58B9"/>
    <w:rsid w:val="007B59B9"/>
    <w:rsid w:val="007B5A5A"/>
    <w:rsid w:val="007B5A83"/>
    <w:rsid w:val="007B5B90"/>
    <w:rsid w:val="007B5BBB"/>
    <w:rsid w:val="007B5BDB"/>
    <w:rsid w:val="007B5CE6"/>
    <w:rsid w:val="007B5E41"/>
    <w:rsid w:val="007B5F91"/>
    <w:rsid w:val="007B5FB1"/>
    <w:rsid w:val="007B61E1"/>
    <w:rsid w:val="007B6366"/>
    <w:rsid w:val="007B637E"/>
    <w:rsid w:val="007B642C"/>
    <w:rsid w:val="007B64A2"/>
    <w:rsid w:val="007B6552"/>
    <w:rsid w:val="007B67C7"/>
    <w:rsid w:val="007B6817"/>
    <w:rsid w:val="007B683E"/>
    <w:rsid w:val="007B6881"/>
    <w:rsid w:val="007B68F8"/>
    <w:rsid w:val="007B694A"/>
    <w:rsid w:val="007B6A65"/>
    <w:rsid w:val="007B6B4F"/>
    <w:rsid w:val="007B6CE3"/>
    <w:rsid w:val="007B6DCF"/>
    <w:rsid w:val="007B6F29"/>
    <w:rsid w:val="007B6F44"/>
    <w:rsid w:val="007B7076"/>
    <w:rsid w:val="007B71DD"/>
    <w:rsid w:val="007B72D2"/>
    <w:rsid w:val="007B7301"/>
    <w:rsid w:val="007B7359"/>
    <w:rsid w:val="007B75A4"/>
    <w:rsid w:val="007B7688"/>
    <w:rsid w:val="007B7702"/>
    <w:rsid w:val="007B776F"/>
    <w:rsid w:val="007B77B5"/>
    <w:rsid w:val="007B7873"/>
    <w:rsid w:val="007B7964"/>
    <w:rsid w:val="007B79E6"/>
    <w:rsid w:val="007B7CFA"/>
    <w:rsid w:val="007B7F50"/>
    <w:rsid w:val="007C004C"/>
    <w:rsid w:val="007C007E"/>
    <w:rsid w:val="007C008A"/>
    <w:rsid w:val="007C00F0"/>
    <w:rsid w:val="007C00F6"/>
    <w:rsid w:val="007C0260"/>
    <w:rsid w:val="007C0268"/>
    <w:rsid w:val="007C03E3"/>
    <w:rsid w:val="007C0460"/>
    <w:rsid w:val="007C0489"/>
    <w:rsid w:val="007C063C"/>
    <w:rsid w:val="007C0656"/>
    <w:rsid w:val="007C06AB"/>
    <w:rsid w:val="007C073A"/>
    <w:rsid w:val="007C0746"/>
    <w:rsid w:val="007C07FA"/>
    <w:rsid w:val="007C08F6"/>
    <w:rsid w:val="007C0AC6"/>
    <w:rsid w:val="007C0C20"/>
    <w:rsid w:val="007C0C36"/>
    <w:rsid w:val="007C0DD4"/>
    <w:rsid w:val="007C0E4B"/>
    <w:rsid w:val="007C0FE0"/>
    <w:rsid w:val="007C124C"/>
    <w:rsid w:val="007C1272"/>
    <w:rsid w:val="007C127A"/>
    <w:rsid w:val="007C13B3"/>
    <w:rsid w:val="007C13C1"/>
    <w:rsid w:val="007C14AD"/>
    <w:rsid w:val="007C157E"/>
    <w:rsid w:val="007C15D9"/>
    <w:rsid w:val="007C15F4"/>
    <w:rsid w:val="007C16A1"/>
    <w:rsid w:val="007C16F0"/>
    <w:rsid w:val="007C1760"/>
    <w:rsid w:val="007C1762"/>
    <w:rsid w:val="007C17A5"/>
    <w:rsid w:val="007C17DD"/>
    <w:rsid w:val="007C185A"/>
    <w:rsid w:val="007C18D9"/>
    <w:rsid w:val="007C1A3B"/>
    <w:rsid w:val="007C1A48"/>
    <w:rsid w:val="007C1AA6"/>
    <w:rsid w:val="007C1B26"/>
    <w:rsid w:val="007C1B60"/>
    <w:rsid w:val="007C1BD2"/>
    <w:rsid w:val="007C1D53"/>
    <w:rsid w:val="007C1DCB"/>
    <w:rsid w:val="007C1DFF"/>
    <w:rsid w:val="007C1FF7"/>
    <w:rsid w:val="007C218E"/>
    <w:rsid w:val="007C21A5"/>
    <w:rsid w:val="007C21A9"/>
    <w:rsid w:val="007C2200"/>
    <w:rsid w:val="007C2281"/>
    <w:rsid w:val="007C22DF"/>
    <w:rsid w:val="007C2321"/>
    <w:rsid w:val="007C2340"/>
    <w:rsid w:val="007C238A"/>
    <w:rsid w:val="007C2431"/>
    <w:rsid w:val="007C2469"/>
    <w:rsid w:val="007C24C8"/>
    <w:rsid w:val="007C25E9"/>
    <w:rsid w:val="007C25ED"/>
    <w:rsid w:val="007C2893"/>
    <w:rsid w:val="007C2AA1"/>
    <w:rsid w:val="007C2AFE"/>
    <w:rsid w:val="007C2B0B"/>
    <w:rsid w:val="007C2B35"/>
    <w:rsid w:val="007C2BAD"/>
    <w:rsid w:val="007C2BC6"/>
    <w:rsid w:val="007C2C5F"/>
    <w:rsid w:val="007C2C7D"/>
    <w:rsid w:val="007C2CA9"/>
    <w:rsid w:val="007C2D44"/>
    <w:rsid w:val="007C2E18"/>
    <w:rsid w:val="007C2E7A"/>
    <w:rsid w:val="007C2EBE"/>
    <w:rsid w:val="007C30B8"/>
    <w:rsid w:val="007C311C"/>
    <w:rsid w:val="007C31A9"/>
    <w:rsid w:val="007C3277"/>
    <w:rsid w:val="007C327C"/>
    <w:rsid w:val="007C34EF"/>
    <w:rsid w:val="007C3608"/>
    <w:rsid w:val="007C3679"/>
    <w:rsid w:val="007C3A2A"/>
    <w:rsid w:val="007C3A2B"/>
    <w:rsid w:val="007C3A51"/>
    <w:rsid w:val="007C3BFC"/>
    <w:rsid w:val="007C3D80"/>
    <w:rsid w:val="007C3DF6"/>
    <w:rsid w:val="007C3F3B"/>
    <w:rsid w:val="007C3F9E"/>
    <w:rsid w:val="007C4127"/>
    <w:rsid w:val="007C4146"/>
    <w:rsid w:val="007C41FD"/>
    <w:rsid w:val="007C444D"/>
    <w:rsid w:val="007C48B0"/>
    <w:rsid w:val="007C4A51"/>
    <w:rsid w:val="007C4A82"/>
    <w:rsid w:val="007C4B0F"/>
    <w:rsid w:val="007C4B95"/>
    <w:rsid w:val="007C4CEF"/>
    <w:rsid w:val="007C4E3D"/>
    <w:rsid w:val="007C4EAB"/>
    <w:rsid w:val="007C508F"/>
    <w:rsid w:val="007C5189"/>
    <w:rsid w:val="007C518F"/>
    <w:rsid w:val="007C5298"/>
    <w:rsid w:val="007C52B9"/>
    <w:rsid w:val="007C544C"/>
    <w:rsid w:val="007C566A"/>
    <w:rsid w:val="007C58B1"/>
    <w:rsid w:val="007C596C"/>
    <w:rsid w:val="007C5982"/>
    <w:rsid w:val="007C5B0D"/>
    <w:rsid w:val="007C5B4E"/>
    <w:rsid w:val="007C5BCA"/>
    <w:rsid w:val="007C5D22"/>
    <w:rsid w:val="007C5D2B"/>
    <w:rsid w:val="007C5DE5"/>
    <w:rsid w:val="007C5EA3"/>
    <w:rsid w:val="007C5EDE"/>
    <w:rsid w:val="007C5EFC"/>
    <w:rsid w:val="007C600F"/>
    <w:rsid w:val="007C6097"/>
    <w:rsid w:val="007C60D8"/>
    <w:rsid w:val="007C62FD"/>
    <w:rsid w:val="007C6440"/>
    <w:rsid w:val="007C6488"/>
    <w:rsid w:val="007C6553"/>
    <w:rsid w:val="007C66EA"/>
    <w:rsid w:val="007C680E"/>
    <w:rsid w:val="007C6899"/>
    <w:rsid w:val="007C698D"/>
    <w:rsid w:val="007C6ABE"/>
    <w:rsid w:val="007C6B52"/>
    <w:rsid w:val="007C6CFE"/>
    <w:rsid w:val="007C6D00"/>
    <w:rsid w:val="007C6DB7"/>
    <w:rsid w:val="007C7009"/>
    <w:rsid w:val="007C703C"/>
    <w:rsid w:val="007C7065"/>
    <w:rsid w:val="007C70FB"/>
    <w:rsid w:val="007C7117"/>
    <w:rsid w:val="007C72AD"/>
    <w:rsid w:val="007C72E6"/>
    <w:rsid w:val="007C7354"/>
    <w:rsid w:val="007C735C"/>
    <w:rsid w:val="007C757A"/>
    <w:rsid w:val="007C7599"/>
    <w:rsid w:val="007C75AF"/>
    <w:rsid w:val="007C7665"/>
    <w:rsid w:val="007C76B3"/>
    <w:rsid w:val="007C76C2"/>
    <w:rsid w:val="007C76E7"/>
    <w:rsid w:val="007C77A6"/>
    <w:rsid w:val="007C78B3"/>
    <w:rsid w:val="007C78E7"/>
    <w:rsid w:val="007C7944"/>
    <w:rsid w:val="007C7958"/>
    <w:rsid w:val="007C7998"/>
    <w:rsid w:val="007C7A1F"/>
    <w:rsid w:val="007C7ABA"/>
    <w:rsid w:val="007C7ABD"/>
    <w:rsid w:val="007C7AEE"/>
    <w:rsid w:val="007C7AF4"/>
    <w:rsid w:val="007C7C4E"/>
    <w:rsid w:val="007C7C55"/>
    <w:rsid w:val="007C7D2F"/>
    <w:rsid w:val="007C7D81"/>
    <w:rsid w:val="007C7DB6"/>
    <w:rsid w:val="007C7DF5"/>
    <w:rsid w:val="007C7E2A"/>
    <w:rsid w:val="007C7EC4"/>
    <w:rsid w:val="007C7F98"/>
    <w:rsid w:val="007D001B"/>
    <w:rsid w:val="007D00A7"/>
    <w:rsid w:val="007D0241"/>
    <w:rsid w:val="007D0282"/>
    <w:rsid w:val="007D0343"/>
    <w:rsid w:val="007D0352"/>
    <w:rsid w:val="007D04AA"/>
    <w:rsid w:val="007D05D1"/>
    <w:rsid w:val="007D0737"/>
    <w:rsid w:val="007D08CC"/>
    <w:rsid w:val="007D0946"/>
    <w:rsid w:val="007D09BA"/>
    <w:rsid w:val="007D0A57"/>
    <w:rsid w:val="007D0B08"/>
    <w:rsid w:val="007D0B28"/>
    <w:rsid w:val="007D0BA3"/>
    <w:rsid w:val="007D0CC3"/>
    <w:rsid w:val="007D0CF3"/>
    <w:rsid w:val="007D0DAD"/>
    <w:rsid w:val="007D0EA0"/>
    <w:rsid w:val="007D0FA9"/>
    <w:rsid w:val="007D0FBD"/>
    <w:rsid w:val="007D0FDE"/>
    <w:rsid w:val="007D106F"/>
    <w:rsid w:val="007D1081"/>
    <w:rsid w:val="007D10AD"/>
    <w:rsid w:val="007D1123"/>
    <w:rsid w:val="007D1137"/>
    <w:rsid w:val="007D1166"/>
    <w:rsid w:val="007D120D"/>
    <w:rsid w:val="007D123A"/>
    <w:rsid w:val="007D1297"/>
    <w:rsid w:val="007D12C0"/>
    <w:rsid w:val="007D1475"/>
    <w:rsid w:val="007D14B6"/>
    <w:rsid w:val="007D155D"/>
    <w:rsid w:val="007D1583"/>
    <w:rsid w:val="007D15AA"/>
    <w:rsid w:val="007D15BA"/>
    <w:rsid w:val="007D16B5"/>
    <w:rsid w:val="007D1810"/>
    <w:rsid w:val="007D18AC"/>
    <w:rsid w:val="007D1A9B"/>
    <w:rsid w:val="007D1B93"/>
    <w:rsid w:val="007D1C72"/>
    <w:rsid w:val="007D1C87"/>
    <w:rsid w:val="007D1EE7"/>
    <w:rsid w:val="007D1FE5"/>
    <w:rsid w:val="007D202B"/>
    <w:rsid w:val="007D203B"/>
    <w:rsid w:val="007D2097"/>
    <w:rsid w:val="007D2104"/>
    <w:rsid w:val="007D2199"/>
    <w:rsid w:val="007D21E1"/>
    <w:rsid w:val="007D21FB"/>
    <w:rsid w:val="007D220A"/>
    <w:rsid w:val="007D221B"/>
    <w:rsid w:val="007D2279"/>
    <w:rsid w:val="007D22BC"/>
    <w:rsid w:val="007D233B"/>
    <w:rsid w:val="007D2356"/>
    <w:rsid w:val="007D237D"/>
    <w:rsid w:val="007D23F6"/>
    <w:rsid w:val="007D2401"/>
    <w:rsid w:val="007D2411"/>
    <w:rsid w:val="007D255C"/>
    <w:rsid w:val="007D2580"/>
    <w:rsid w:val="007D2705"/>
    <w:rsid w:val="007D271E"/>
    <w:rsid w:val="007D2721"/>
    <w:rsid w:val="007D27B5"/>
    <w:rsid w:val="007D280A"/>
    <w:rsid w:val="007D2863"/>
    <w:rsid w:val="007D2911"/>
    <w:rsid w:val="007D29C8"/>
    <w:rsid w:val="007D2A1F"/>
    <w:rsid w:val="007D2B20"/>
    <w:rsid w:val="007D2B4C"/>
    <w:rsid w:val="007D2C40"/>
    <w:rsid w:val="007D2D37"/>
    <w:rsid w:val="007D2D43"/>
    <w:rsid w:val="007D2D46"/>
    <w:rsid w:val="007D2D4D"/>
    <w:rsid w:val="007D2DC4"/>
    <w:rsid w:val="007D2DFF"/>
    <w:rsid w:val="007D2E0E"/>
    <w:rsid w:val="007D2E0F"/>
    <w:rsid w:val="007D2E3B"/>
    <w:rsid w:val="007D2E87"/>
    <w:rsid w:val="007D30D2"/>
    <w:rsid w:val="007D310C"/>
    <w:rsid w:val="007D3126"/>
    <w:rsid w:val="007D31C0"/>
    <w:rsid w:val="007D3242"/>
    <w:rsid w:val="007D3270"/>
    <w:rsid w:val="007D3346"/>
    <w:rsid w:val="007D3378"/>
    <w:rsid w:val="007D33CC"/>
    <w:rsid w:val="007D3508"/>
    <w:rsid w:val="007D371F"/>
    <w:rsid w:val="007D3749"/>
    <w:rsid w:val="007D37B9"/>
    <w:rsid w:val="007D3818"/>
    <w:rsid w:val="007D382F"/>
    <w:rsid w:val="007D385D"/>
    <w:rsid w:val="007D38A9"/>
    <w:rsid w:val="007D3918"/>
    <w:rsid w:val="007D3928"/>
    <w:rsid w:val="007D3A30"/>
    <w:rsid w:val="007D3C8D"/>
    <w:rsid w:val="007D3C8F"/>
    <w:rsid w:val="007D3D37"/>
    <w:rsid w:val="007D3DAC"/>
    <w:rsid w:val="007D3DD5"/>
    <w:rsid w:val="007D3E93"/>
    <w:rsid w:val="007D3F36"/>
    <w:rsid w:val="007D3F9D"/>
    <w:rsid w:val="007D3FA0"/>
    <w:rsid w:val="007D3FF2"/>
    <w:rsid w:val="007D4145"/>
    <w:rsid w:val="007D421F"/>
    <w:rsid w:val="007D425A"/>
    <w:rsid w:val="007D42E4"/>
    <w:rsid w:val="007D444C"/>
    <w:rsid w:val="007D4494"/>
    <w:rsid w:val="007D456E"/>
    <w:rsid w:val="007D47DC"/>
    <w:rsid w:val="007D48A8"/>
    <w:rsid w:val="007D493B"/>
    <w:rsid w:val="007D49C0"/>
    <w:rsid w:val="007D4A07"/>
    <w:rsid w:val="007D4B78"/>
    <w:rsid w:val="007D4BE5"/>
    <w:rsid w:val="007D4DD8"/>
    <w:rsid w:val="007D4E53"/>
    <w:rsid w:val="007D4F3A"/>
    <w:rsid w:val="007D5001"/>
    <w:rsid w:val="007D5076"/>
    <w:rsid w:val="007D527D"/>
    <w:rsid w:val="007D52E1"/>
    <w:rsid w:val="007D5324"/>
    <w:rsid w:val="007D5342"/>
    <w:rsid w:val="007D5403"/>
    <w:rsid w:val="007D5499"/>
    <w:rsid w:val="007D54DE"/>
    <w:rsid w:val="007D556E"/>
    <w:rsid w:val="007D5730"/>
    <w:rsid w:val="007D5873"/>
    <w:rsid w:val="007D5899"/>
    <w:rsid w:val="007D5949"/>
    <w:rsid w:val="007D595F"/>
    <w:rsid w:val="007D5B53"/>
    <w:rsid w:val="007D5B76"/>
    <w:rsid w:val="007D5C0A"/>
    <w:rsid w:val="007D5DA7"/>
    <w:rsid w:val="007D5DD3"/>
    <w:rsid w:val="007D5E87"/>
    <w:rsid w:val="007D5EBE"/>
    <w:rsid w:val="007D5F77"/>
    <w:rsid w:val="007D609E"/>
    <w:rsid w:val="007D61C4"/>
    <w:rsid w:val="007D6223"/>
    <w:rsid w:val="007D62B8"/>
    <w:rsid w:val="007D63AB"/>
    <w:rsid w:val="007D6479"/>
    <w:rsid w:val="007D6501"/>
    <w:rsid w:val="007D6560"/>
    <w:rsid w:val="007D65A2"/>
    <w:rsid w:val="007D65C3"/>
    <w:rsid w:val="007D6636"/>
    <w:rsid w:val="007D67F7"/>
    <w:rsid w:val="007D6834"/>
    <w:rsid w:val="007D68E0"/>
    <w:rsid w:val="007D69BF"/>
    <w:rsid w:val="007D6A0A"/>
    <w:rsid w:val="007D6A53"/>
    <w:rsid w:val="007D6D99"/>
    <w:rsid w:val="007D6E50"/>
    <w:rsid w:val="007D6EF5"/>
    <w:rsid w:val="007D6FA8"/>
    <w:rsid w:val="007D6FC0"/>
    <w:rsid w:val="007D7034"/>
    <w:rsid w:val="007D709C"/>
    <w:rsid w:val="007D709F"/>
    <w:rsid w:val="007D70BB"/>
    <w:rsid w:val="007D7132"/>
    <w:rsid w:val="007D71A5"/>
    <w:rsid w:val="007D71BF"/>
    <w:rsid w:val="007D71DE"/>
    <w:rsid w:val="007D7203"/>
    <w:rsid w:val="007D724A"/>
    <w:rsid w:val="007D7267"/>
    <w:rsid w:val="007D72FF"/>
    <w:rsid w:val="007D7314"/>
    <w:rsid w:val="007D731C"/>
    <w:rsid w:val="007D7356"/>
    <w:rsid w:val="007D73B8"/>
    <w:rsid w:val="007D73BA"/>
    <w:rsid w:val="007D741F"/>
    <w:rsid w:val="007D75E0"/>
    <w:rsid w:val="007D76CF"/>
    <w:rsid w:val="007D76D4"/>
    <w:rsid w:val="007D76E7"/>
    <w:rsid w:val="007D7915"/>
    <w:rsid w:val="007D7921"/>
    <w:rsid w:val="007D7A37"/>
    <w:rsid w:val="007D7A4E"/>
    <w:rsid w:val="007D7B7D"/>
    <w:rsid w:val="007D7CB2"/>
    <w:rsid w:val="007D7E32"/>
    <w:rsid w:val="007D7F2C"/>
    <w:rsid w:val="007E037E"/>
    <w:rsid w:val="007E03C0"/>
    <w:rsid w:val="007E03E7"/>
    <w:rsid w:val="007E0526"/>
    <w:rsid w:val="007E0601"/>
    <w:rsid w:val="007E06AB"/>
    <w:rsid w:val="007E0A25"/>
    <w:rsid w:val="007E0B01"/>
    <w:rsid w:val="007E0B07"/>
    <w:rsid w:val="007E0BF7"/>
    <w:rsid w:val="007E0CD4"/>
    <w:rsid w:val="007E0FAF"/>
    <w:rsid w:val="007E103D"/>
    <w:rsid w:val="007E10CF"/>
    <w:rsid w:val="007E1129"/>
    <w:rsid w:val="007E11A7"/>
    <w:rsid w:val="007E12C0"/>
    <w:rsid w:val="007E12F9"/>
    <w:rsid w:val="007E1391"/>
    <w:rsid w:val="007E13B2"/>
    <w:rsid w:val="007E1486"/>
    <w:rsid w:val="007E1499"/>
    <w:rsid w:val="007E14D0"/>
    <w:rsid w:val="007E14F1"/>
    <w:rsid w:val="007E1524"/>
    <w:rsid w:val="007E1588"/>
    <w:rsid w:val="007E16EC"/>
    <w:rsid w:val="007E1898"/>
    <w:rsid w:val="007E193C"/>
    <w:rsid w:val="007E1A33"/>
    <w:rsid w:val="007E1A4B"/>
    <w:rsid w:val="007E1AEF"/>
    <w:rsid w:val="007E1B2F"/>
    <w:rsid w:val="007E1C76"/>
    <w:rsid w:val="007E1D1E"/>
    <w:rsid w:val="007E1DE1"/>
    <w:rsid w:val="007E1E2C"/>
    <w:rsid w:val="007E1E2E"/>
    <w:rsid w:val="007E1E69"/>
    <w:rsid w:val="007E1EFE"/>
    <w:rsid w:val="007E2034"/>
    <w:rsid w:val="007E2177"/>
    <w:rsid w:val="007E2298"/>
    <w:rsid w:val="007E2435"/>
    <w:rsid w:val="007E258E"/>
    <w:rsid w:val="007E27AB"/>
    <w:rsid w:val="007E2836"/>
    <w:rsid w:val="007E29DB"/>
    <w:rsid w:val="007E29F6"/>
    <w:rsid w:val="007E2C27"/>
    <w:rsid w:val="007E2C2F"/>
    <w:rsid w:val="007E2C3A"/>
    <w:rsid w:val="007E2D0C"/>
    <w:rsid w:val="007E2D12"/>
    <w:rsid w:val="007E2DE4"/>
    <w:rsid w:val="007E2DEF"/>
    <w:rsid w:val="007E2E35"/>
    <w:rsid w:val="007E2F36"/>
    <w:rsid w:val="007E300F"/>
    <w:rsid w:val="007E309D"/>
    <w:rsid w:val="007E30B5"/>
    <w:rsid w:val="007E3138"/>
    <w:rsid w:val="007E3221"/>
    <w:rsid w:val="007E3250"/>
    <w:rsid w:val="007E3306"/>
    <w:rsid w:val="007E3463"/>
    <w:rsid w:val="007E3506"/>
    <w:rsid w:val="007E368C"/>
    <w:rsid w:val="007E36B3"/>
    <w:rsid w:val="007E38BB"/>
    <w:rsid w:val="007E38EF"/>
    <w:rsid w:val="007E3948"/>
    <w:rsid w:val="007E3ABF"/>
    <w:rsid w:val="007E3ADD"/>
    <w:rsid w:val="007E3AED"/>
    <w:rsid w:val="007E3C33"/>
    <w:rsid w:val="007E3D77"/>
    <w:rsid w:val="007E3E40"/>
    <w:rsid w:val="007E3E69"/>
    <w:rsid w:val="007E3ECE"/>
    <w:rsid w:val="007E3FAB"/>
    <w:rsid w:val="007E404F"/>
    <w:rsid w:val="007E4128"/>
    <w:rsid w:val="007E42BD"/>
    <w:rsid w:val="007E42C4"/>
    <w:rsid w:val="007E43A8"/>
    <w:rsid w:val="007E43AF"/>
    <w:rsid w:val="007E449B"/>
    <w:rsid w:val="007E44B2"/>
    <w:rsid w:val="007E452B"/>
    <w:rsid w:val="007E4594"/>
    <w:rsid w:val="007E45A5"/>
    <w:rsid w:val="007E45D3"/>
    <w:rsid w:val="007E45D6"/>
    <w:rsid w:val="007E4728"/>
    <w:rsid w:val="007E4749"/>
    <w:rsid w:val="007E4882"/>
    <w:rsid w:val="007E48BC"/>
    <w:rsid w:val="007E494E"/>
    <w:rsid w:val="007E49B1"/>
    <w:rsid w:val="007E4BBA"/>
    <w:rsid w:val="007E4BD9"/>
    <w:rsid w:val="007E4C65"/>
    <w:rsid w:val="007E4CCC"/>
    <w:rsid w:val="007E4D42"/>
    <w:rsid w:val="007E4DBA"/>
    <w:rsid w:val="007E4DE2"/>
    <w:rsid w:val="007E4E71"/>
    <w:rsid w:val="007E4E76"/>
    <w:rsid w:val="007E5081"/>
    <w:rsid w:val="007E50C5"/>
    <w:rsid w:val="007E524B"/>
    <w:rsid w:val="007E527D"/>
    <w:rsid w:val="007E539C"/>
    <w:rsid w:val="007E53E2"/>
    <w:rsid w:val="007E5540"/>
    <w:rsid w:val="007E5619"/>
    <w:rsid w:val="007E562B"/>
    <w:rsid w:val="007E568A"/>
    <w:rsid w:val="007E56F7"/>
    <w:rsid w:val="007E594B"/>
    <w:rsid w:val="007E59B2"/>
    <w:rsid w:val="007E5A48"/>
    <w:rsid w:val="007E5A90"/>
    <w:rsid w:val="007E5AFD"/>
    <w:rsid w:val="007E5CFC"/>
    <w:rsid w:val="007E5D89"/>
    <w:rsid w:val="007E5DCA"/>
    <w:rsid w:val="007E5E56"/>
    <w:rsid w:val="007E5E8F"/>
    <w:rsid w:val="007E6004"/>
    <w:rsid w:val="007E60CF"/>
    <w:rsid w:val="007E6102"/>
    <w:rsid w:val="007E6216"/>
    <w:rsid w:val="007E6224"/>
    <w:rsid w:val="007E6370"/>
    <w:rsid w:val="007E6417"/>
    <w:rsid w:val="007E647A"/>
    <w:rsid w:val="007E67EC"/>
    <w:rsid w:val="007E685A"/>
    <w:rsid w:val="007E6914"/>
    <w:rsid w:val="007E6933"/>
    <w:rsid w:val="007E69A5"/>
    <w:rsid w:val="007E69DA"/>
    <w:rsid w:val="007E6AB5"/>
    <w:rsid w:val="007E6B82"/>
    <w:rsid w:val="007E6BEA"/>
    <w:rsid w:val="007E6CCA"/>
    <w:rsid w:val="007E6D3B"/>
    <w:rsid w:val="007E6DAB"/>
    <w:rsid w:val="007E6E3C"/>
    <w:rsid w:val="007E6FBC"/>
    <w:rsid w:val="007E6FFF"/>
    <w:rsid w:val="007E70D2"/>
    <w:rsid w:val="007E7100"/>
    <w:rsid w:val="007E7241"/>
    <w:rsid w:val="007E7253"/>
    <w:rsid w:val="007E72A9"/>
    <w:rsid w:val="007E73AE"/>
    <w:rsid w:val="007E741D"/>
    <w:rsid w:val="007E7495"/>
    <w:rsid w:val="007E7512"/>
    <w:rsid w:val="007E751D"/>
    <w:rsid w:val="007E75C2"/>
    <w:rsid w:val="007E75FE"/>
    <w:rsid w:val="007E7658"/>
    <w:rsid w:val="007E7708"/>
    <w:rsid w:val="007E776B"/>
    <w:rsid w:val="007E77F2"/>
    <w:rsid w:val="007E7807"/>
    <w:rsid w:val="007E7965"/>
    <w:rsid w:val="007E799D"/>
    <w:rsid w:val="007E79B2"/>
    <w:rsid w:val="007E7A92"/>
    <w:rsid w:val="007E7B73"/>
    <w:rsid w:val="007E7CA0"/>
    <w:rsid w:val="007E7D06"/>
    <w:rsid w:val="007E7D63"/>
    <w:rsid w:val="007E7D93"/>
    <w:rsid w:val="007E7DF9"/>
    <w:rsid w:val="007E7F7C"/>
    <w:rsid w:val="007E7FB3"/>
    <w:rsid w:val="007E7FE9"/>
    <w:rsid w:val="007F0085"/>
    <w:rsid w:val="007F01A3"/>
    <w:rsid w:val="007F03FD"/>
    <w:rsid w:val="007F0487"/>
    <w:rsid w:val="007F0523"/>
    <w:rsid w:val="007F05F3"/>
    <w:rsid w:val="007F066F"/>
    <w:rsid w:val="007F0723"/>
    <w:rsid w:val="007F0A1C"/>
    <w:rsid w:val="007F0B41"/>
    <w:rsid w:val="007F0B4E"/>
    <w:rsid w:val="007F0BF4"/>
    <w:rsid w:val="007F0D03"/>
    <w:rsid w:val="007F0D2A"/>
    <w:rsid w:val="007F0DC2"/>
    <w:rsid w:val="007F0E07"/>
    <w:rsid w:val="007F0E95"/>
    <w:rsid w:val="007F0EB0"/>
    <w:rsid w:val="007F0F5D"/>
    <w:rsid w:val="007F15EF"/>
    <w:rsid w:val="007F166C"/>
    <w:rsid w:val="007F16D4"/>
    <w:rsid w:val="007F1799"/>
    <w:rsid w:val="007F1876"/>
    <w:rsid w:val="007F1899"/>
    <w:rsid w:val="007F18E8"/>
    <w:rsid w:val="007F18EF"/>
    <w:rsid w:val="007F1900"/>
    <w:rsid w:val="007F1935"/>
    <w:rsid w:val="007F1A8B"/>
    <w:rsid w:val="007F1AF7"/>
    <w:rsid w:val="007F1B9D"/>
    <w:rsid w:val="007F1C9A"/>
    <w:rsid w:val="007F202A"/>
    <w:rsid w:val="007F20B6"/>
    <w:rsid w:val="007F22FB"/>
    <w:rsid w:val="007F2350"/>
    <w:rsid w:val="007F236D"/>
    <w:rsid w:val="007F239A"/>
    <w:rsid w:val="007F2647"/>
    <w:rsid w:val="007F264F"/>
    <w:rsid w:val="007F26D4"/>
    <w:rsid w:val="007F2712"/>
    <w:rsid w:val="007F276A"/>
    <w:rsid w:val="007F282F"/>
    <w:rsid w:val="007F28CD"/>
    <w:rsid w:val="007F293D"/>
    <w:rsid w:val="007F295B"/>
    <w:rsid w:val="007F29DE"/>
    <w:rsid w:val="007F2A51"/>
    <w:rsid w:val="007F2BEA"/>
    <w:rsid w:val="007F2C04"/>
    <w:rsid w:val="007F2CC9"/>
    <w:rsid w:val="007F2CEA"/>
    <w:rsid w:val="007F2D12"/>
    <w:rsid w:val="007F2F58"/>
    <w:rsid w:val="007F2FD4"/>
    <w:rsid w:val="007F3004"/>
    <w:rsid w:val="007F30AE"/>
    <w:rsid w:val="007F3113"/>
    <w:rsid w:val="007F3237"/>
    <w:rsid w:val="007F3573"/>
    <w:rsid w:val="007F3608"/>
    <w:rsid w:val="007F3692"/>
    <w:rsid w:val="007F374F"/>
    <w:rsid w:val="007F391F"/>
    <w:rsid w:val="007F399F"/>
    <w:rsid w:val="007F3B85"/>
    <w:rsid w:val="007F3BDB"/>
    <w:rsid w:val="007F3C1F"/>
    <w:rsid w:val="007F3CEB"/>
    <w:rsid w:val="007F3EB3"/>
    <w:rsid w:val="007F4015"/>
    <w:rsid w:val="007F4017"/>
    <w:rsid w:val="007F403A"/>
    <w:rsid w:val="007F40C2"/>
    <w:rsid w:val="007F40D3"/>
    <w:rsid w:val="007F4133"/>
    <w:rsid w:val="007F414B"/>
    <w:rsid w:val="007F42BF"/>
    <w:rsid w:val="007F42F8"/>
    <w:rsid w:val="007F43CE"/>
    <w:rsid w:val="007F4483"/>
    <w:rsid w:val="007F4758"/>
    <w:rsid w:val="007F4788"/>
    <w:rsid w:val="007F479A"/>
    <w:rsid w:val="007F4828"/>
    <w:rsid w:val="007F4875"/>
    <w:rsid w:val="007F48C7"/>
    <w:rsid w:val="007F48CE"/>
    <w:rsid w:val="007F494A"/>
    <w:rsid w:val="007F4950"/>
    <w:rsid w:val="007F4A62"/>
    <w:rsid w:val="007F4BA9"/>
    <w:rsid w:val="007F4BBE"/>
    <w:rsid w:val="007F4C8F"/>
    <w:rsid w:val="007F4CD9"/>
    <w:rsid w:val="007F4D7F"/>
    <w:rsid w:val="007F5078"/>
    <w:rsid w:val="007F507D"/>
    <w:rsid w:val="007F50D3"/>
    <w:rsid w:val="007F511F"/>
    <w:rsid w:val="007F5240"/>
    <w:rsid w:val="007F5255"/>
    <w:rsid w:val="007F52C9"/>
    <w:rsid w:val="007F53AC"/>
    <w:rsid w:val="007F54DF"/>
    <w:rsid w:val="007F5835"/>
    <w:rsid w:val="007F5888"/>
    <w:rsid w:val="007F58BF"/>
    <w:rsid w:val="007F58ED"/>
    <w:rsid w:val="007F59BA"/>
    <w:rsid w:val="007F5B8A"/>
    <w:rsid w:val="007F5C13"/>
    <w:rsid w:val="007F5C20"/>
    <w:rsid w:val="007F5C53"/>
    <w:rsid w:val="007F5CA4"/>
    <w:rsid w:val="007F5CD3"/>
    <w:rsid w:val="007F5CFD"/>
    <w:rsid w:val="007F5D0C"/>
    <w:rsid w:val="007F5E20"/>
    <w:rsid w:val="007F5E73"/>
    <w:rsid w:val="007F60BD"/>
    <w:rsid w:val="007F610C"/>
    <w:rsid w:val="007F6187"/>
    <w:rsid w:val="007F624B"/>
    <w:rsid w:val="007F6269"/>
    <w:rsid w:val="007F6392"/>
    <w:rsid w:val="007F6464"/>
    <w:rsid w:val="007F6546"/>
    <w:rsid w:val="007F66B3"/>
    <w:rsid w:val="007F6704"/>
    <w:rsid w:val="007F6739"/>
    <w:rsid w:val="007F678E"/>
    <w:rsid w:val="007F67FA"/>
    <w:rsid w:val="007F6A56"/>
    <w:rsid w:val="007F6C10"/>
    <w:rsid w:val="007F6D14"/>
    <w:rsid w:val="007F6EBF"/>
    <w:rsid w:val="007F6F3E"/>
    <w:rsid w:val="007F6FED"/>
    <w:rsid w:val="007F6FFE"/>
    <w:rsid w:val="007F7060"/>
    <w:rsid w:val="007F70D4"/>
    <w:rsid w:val="007F720C"/>
    <w:rsid w:val="007F72F8"/>
    <w:rsid w:val="007F7378"/>
    <w:rsid w:val="007F73FB"/>
    <w:rsid w:val="007F7425"/>
    <w:rsid w:val="007F744D"/>
    <w:rsid w:val="007F74D1"/>
    <w:rsid w:val="007F75F1"/>
    <w:rsid w:val="007F7642"/>
    <w:rsid w:val="007F7784"/>
    <w:rsid w:val="007F7A8C"/>
    <w:rsid w:val="0080001F"/>
    <w:rsid w:val="00800126"/>
    <w:rsid w:val="00800130"/>
    <w:rsid w:val="00800190"/>
    <w:rsid w:val="008001B9"/>
    <w:rsid w:val="00800380"/>
    <w:rsid w:val="0080046A"/>
    <w:rsid w:val="008005BB"/>
    <w:rsid w:val="008005C8"/>
    <w:rsid w:val="008005EE"/>
    <w:rsid w:val="008006BE"/>
    <w:rsid w:val="00800737"/>
    <w:rsid w:val="008007F8"/>
    <w:rsid w:val="008007F9"/>
    <w:rsid w:val="0080093D"/>
    <w:rsid w:val="008009AA"/>
    <w:rsid w:val="00800A92"/>
    <w:rsid w:val="00800AB0"/>
    <w:rsid w:val="00800CE0"/>
    <w:rsid w:val="00800D45"/>
    <w:rsid w:val="00800D7B"/>
    <w:rsid w:val="00800F1D"/>
    <w:rsid w:val="00800F70"/>
    <w:rsid w:val="0080112A"/>
    <w:rsid w:val="00801181"/>
    <w:rsid w:val="00801231"/>
    <w:rsid w:val="00801259"/>
    <w:rsid w:val="0080126F"/>
    <w:rsid w:val="00801355"/>
    <w:rsid w:val="00801418"/>
    <w:rsid w:val="00801506"/>
    <w:rsid w:val="0080150D"/>
    <w:rsid w:val="00801557"/>
    <w:rsid w:val="00801746"/>
    <w:rsid w:val="0080177A"/>
    <w:rsid w:val="00801840"/>
    <w:rsid w:val="008018BF"/>
    <w:rsid w:val="008018C1"/>
    <w:rsid w:val="008019C0"/>
    <w:rsid w:val="008019FC"/>
    <w:rsid w:val="00801A36"/>
    <w:rsid w:val="00801B12"/>
    <w:rsid w:val="00801B25"/>
    <w:rsid w:val="00801BCB"/>
    <w:rsid w:val="00801C5B"/>
    <w:rsid w:val="00801CC8"/>
    <w:rsid w:val="00801EC6"/>
    <w:rsid w:val="00801F56"/>
    <w:rsid w:val="00801F90"/>
    <w:rsid w:val="00801FD0"/>
    <w:rsid w:val="00802073"/>
    <w:rsid w:val="008022C4"/>
    <w:rsid w:val="008022CD"/>
    <w:rsid w:val="008023DB"/>
    <w:rsid w:val="008024A8"/>
    <w:rsid w:val="00802542"/>
    <w:rsid w:val="008026F0"/>
    <w:rsid w:val="008027D1"/>
    <w:rsid w:val="008027ED"/>
    <w:rsid w:val="00802890"/>
    <w:rsid w:val="008028B8"/>
    <w:rsid w:val="008028CC"/>
    <w:rsid w:val="008029DD"/>
    <w:rsid w:val="00802A21"/>
    <w:rsid w:val="00802AF7"/>
    <w:rsid w:val="00802B29"/>
    <w:rsid w:val="00802C95"/>
    <w:rsid w:val="00802D4F"/>
    <w:rsid w:val="00802D84"/>
    <w:rsid w:val="00802D8C"/>
    <w:rsid w:val="00802DF7"/>
    <w:rsid w:val="00802F2A"/>
    <w:rsid w:val="008030A6"/>
    <w:rsid w:val="008030EF"/>
    <w:rsid w:val="008030FC"/>
    <w:rsid w:val="00803146"/>
    <w:rsid w:val="008031C0"/>
    <w:rsid w:val="008032EE"/>
    <w:rsid w:val="0080332B"/>
    <w:rsid w:val="0080334E"/>
    <w:rsid w:val="0080337B"/>
    <w:rsid w:val="0080363A"/>
    <w:rsid w:val="00803692"/>
    <w:rsid w:val="008036E9"/>
    <w:rsid w:val="0080371B"/>
    <w:rsid w:val="00803889"/>
    <w:rsid w:val="0080397A"/>
    <w:rsid w:val="0080398B"/>
    <w:rsid w:val="008039AB"/>
    <w:rsid w:val="00803A2D"/>
    <w:rsid w:val="00803B10"/>
    <w:rsid w:val="00803BFA"/>
    <w:rsid w:val="00803CE3"/>
    <w:rsid w:val="00803D3B"/>
    <w:rsid w:val="00803D6A"/>
    <w:rsid w:val="00803F85"/>
    <w:rsid w:val="00803FD8"/>
    <w:rsid w:val="00804082"/>
    <w:rsid w:val="0080418F"/>
    <w:rsid w:val="008041BF"/>
    <w:rsid w:val="00804315"/>
    <w:rsid w:val="00804328"/>
    <w:rsid w:val="00804578"/>
    <w:rsid w:val="008045CF"/>
    <w:rsid w:val="008046AB"/>
    <w:rsid w:val="00804729"/>
    <w:rsid w:val="008047BD"/>
    <w:rsid w:val="00804811"/>
    <w:rsid w:val="0080483F"/>
    <w:rsid w:val="0080485B"/>
    <w:rsid w:val="00804912"/>
    <w:rsid w:val="00804ABD"/>
    <w:rsid w:val="00804AE2"/>
    <w:rsid w:val="00804AFA"/>
    <w:rsid w:val="00804B24"/>
    <w:rsid w:val="00804B8B"/>
    <w:rsid w:val="00804BF3"/>
    <w:rsid w:val="00804CB5"/>
    <w:rsid w:val="00804CE0"/>
    <w:rsid w:val="00804E46"/>
    <w:rsid w:val="00804E98"/>
    <w:rsid w:val="00804F74"/>
    <w:rsid w:val="0080509F"/>
    <w:rsid w:val="008050AF"/>
    <w:rsid w:val="00805269"/>
    <w:rsid w:val="00805275"/>
    <w:rsid w:val="008052D7"/>
    <w:rsid w:val="00805396"/>
    <w:rsid w:val="00805471"/>
    <w:rsid w:val="0080552B"/>
    <w:rsid w:val="008055EE"/>
    <w:rsid w:val="0080565E"/>
    <w:rsid w:val="008058AE"/>
    <w:rsid w:val="008059B6"/>
    <w:rsid w:val="00805AF4"/>
    <w:rsid w:val="00805B02"/>
    <w:rsid w:val="00805B60"/>
    <w:rsid w:val="00805BA7"/>
    <w:rsid w:val="00805C3F"/>
    <w:rsid w:val="00805CA6"/>
    <w:rsid w:val="00805CC3"/>
    <w:rsid w:val="00805D67"/>
    <w:rsid w:val="00805EE6"/>
    <w:rsid w:val="00805F57"/>
    <w:rsid w:val="00806124"/>
    <w:rsid w:val="0080612D"/>
    <w:rsid w:val="0080622C"/>
    <w:rsid w:val="00806357"/>
    <w:rsid w:val="008063CB"/>
    <w:rsid w:val="008064AC"/>
    <w:rsid w:val="00806518"/>
    <w:rsid w:val="008065EB"/>
    <w:rsid w:val="00806614"/>
    <w:rsid w:val="00806619"/>
    <w:rsid w:val="008066A4"/>
    <w:rsid w:val="008066CC"/>
    <w:rsid w:val="0080692B"/>
    <w:rsid w:val="00806940"/>
    <w:rsid w:val="00806986"/>
    <w:rsid w:val="008069E4"/>
    <w:rsid w:val="008069F6"/>
    <w:rsid w:val="00806BA5"/>
    <w:rsid w:val="00806C3D"/>
    <w:rsid w:val="00806C6C"/>
    <w:rsid w:val="00806CB8"/>
    <w:rsid w:val="00806CD2"/>
    <w:rsid w:val="00806D57"/>
    <w:rsid w:val="00806E23"/>
    <w:rsid w:val="00806E98"/>
    <w:rsid w:val="00806F6A"/>
    <w:rsid w:val="00806FD4"/>
    <w:rsid w:val="0080700C"/>
    <w:rsid w:val="00807054"/>
    <w:rsid w:val="00807086"/>
    <w:rsid w:val="00807095"/>
    <w:rsid w:val="008070B7"/>
    <w:rsid w:val="008070C4"/>
    <w:rsid w:val="0080710D"/>
    <w:rsid w:val="0080716F"/>
    <w:rsid w:val="00807198"/>
    <w:rsid w:val="0080728A"/>
    <w:rsid w:val="00807320"/>
    <w:rsid w:val="008073EC"/>
    <w:rsid w:val="0080741F"/>
    <w:rsid w:val="0080746C"/>
    <w:rsid w:val="0080757F"/>
    <w:rsid w:val="008075FB"/>
    <w:rsid w:val="00807683"/>
    <w:rsid w:val="008076A8"/>
    <w:rsid w:val="0080777B"/>
    <w:rsid w:val="0080793E"/>
    <w:rsid w:val="0080794A"/>
    <w:rsid w:val="008079B3"/>
    <w:rsid w:val="00807A0A"/>
    <w:rsid w:val="00807A40"/>
    <w:rsid w:val="00807A57"/>
    <w:rsid w:val="00807A8B"/>
    <w:rsid w:val="00807AD2"/>
    <w:rsid w:val="00807AF2"/>
    <w:rsid w:val="00807B98"/>
    <w:rsid w:val="00807C38"/>
    <w:rsid w:val="00807C99"/>
    <w:rsid w:val="00807CB2"/>
    <w:rsid w:val="00807CBE"/>
    <w:rsid w:val="00807DC0"/>
    <w:rsid w:val="00807E08"/>
    <w:rsid w:val="00807E7D"/>
    <w:rsid w:val="00807F5C"/>
    <w:rsid w:val="0081000B"/>
    <w:rsid w:val="00810039"/>
    <w:rsid w:val="00810083"/>
    <w:rsid w:val="00810159"/>
    <w:rsid w:val="008102E0"/>
    <w:rsid w:val="008104C7"/>
    <w:rsid w:val="008108AD"/>
    <w:rsid w:val="008108AE"/>
    <w:rsid w:val="00810CAF"/>
    <w:rsid w:val="00810CB6"/>
    <w:rsid w:val="00810CCF"/>
    <w:rsid w:val="00810DC7"/>
    <w:rsid w:val="00810E85"/>
    <w:rsid w:val="00810E8F"/>
    <w:rsid w:val="00810EA1"/>
    <w:rsid w:val="00810EFA"/>
    <w:rsid w:val="00810F41"/>
    <w:rsid w:val="00810FA6"/>
    <w:rsid w:val="00811096"/>
    <w:rsid w:val="008110CE"/>
    <w:rsid w:val="008111BD"/>
    <w:rsid w:val="00811360"/>
    <w:rsid w:val="008113D6"/>
    <w:rsid w:val="008113DD"/>
    <w:rsid w:val="0081141F"/>
    <w:rsid w:val="00811443"/>
    <w:rsid w:val="008114B6"/>
    <w:rsid w:val="00811512"/>
    <w:rsid w:val="00811527"/>
    <w:rsid w:val="0081162C"/>
    <w:rsid w:val="0081168D"/>
    <w:rsid w:val="008116EB"/>
    <w:rsid w:val="008116F2"/>
    <w:rsid w:val="00811846"/>
    <w:rsid w:val="0081187A"/>
    <w:rsid w:val="00811AB0"/>
    <w:rsid w:val="00811B7F"/>
    <w:rsid w:val="00811CD3"/>
    <w:rsid w:val="00811EA9"/>
    <w:rsid w:val="00811ED5"/>
    <w:rsid w:val="00811F4D"/>
    <w:rsid w:val="00811F51"/>
    <w:rsid w:val="008120B1"/>
    <w:rsid w:val="008120C1"/>
    <w:rsid w:val="00812112"/>
    <w:rsid w:val="008121E0"/>
    <w:rsid w:val="00812255"/>
    <w:rsid w:val="0081227D"/>
    <w:rsid w:val="00812292"/>
    <w:rsid w:val="0081242D"/>
    <w:rsid w:val="00812456"/>
    <w:rsid w:val="0081254B"/>
    <w:rsid w:val="00812550"/>
    <w:rsid w:val="008125B6"/>
    <w:rsid w:val="008126EB"/>
    <w:rsid w:val="0081285A"/>
    <w:rsid w:val="00812889"/>
    <w:rsid w:val="0081294D"/>
    <w:rsid w:val="008129C3"/>
    <w:rsid w:val="00812B2E"/>
    <w:rsid w:val="00812D52"/>
    <w:rsid w:val="00812DCD"/>
    <w:rsid w:val="00812E38"/>
    <w:rsid w:val="00812E80"/>
    <w:rsid w:val="00812FA1"/>
    <w:rsid w:val="00812FDE"/>
    <w:rsid w:val="008130D7"/>
    <w:rsid w:val="00813203"/>
    <w:rsid w:val="00813229"/>
    <w:rsid w:val="008132FD"/>
    <w:rsid w:val="0081340A"/>
    <w:rsid w:val="00813411"/>
    <w:rsid w:val="00813436"/>
    <w:rsid w:val="008136A7"/>
    <w:rsid w:val="008136BF"/>
    <w:rsid w:val="00813824"/>
    <w:rsid w:val="00813853"/>
    <w:rsid w:val="00813901"/>
    <w:rsid w:val="0081392F"/>
    <w:rsid w:val="008139AE"/>
    <w:rsid w:val="008139B7"/>
    <w:rsid w:val="008139E0"/>
    <w:rsid w:val="00813AC2"/>
    <w:rsid w:val="00813C22"/>
    <w:rsid w:val="00813CC1"/>
    <w:rsid w:val="00813D75"/>
    <w:rsid w:val="00813D97"/>
    <w:rsid w:val="00813DBC"/>
    <w:rsid w:val="00813E38"/>
    <w:rsid w:val="00813ECE"/>
    <w:rsid w:val="00813F33"/>
    <w:rsid w:val="00813F4D"/>
    <w:rsid w:val="00813F51"/>
    <w:rsid w:val="00813F7A"/>
    <w:rsid w:val="00814013"/>
    <w:rsid w:val="0081402F"/>
    <w:rsid w:val="0081404B"/>
    <w:rsid w:val="0081411E"/>
    <w:rsid w:val="00814388"/>
    <w:rsid w:val="0081443B"/>
    <w:rsid w:val="00814467"/>
    <w:rsid w:val="008144FD"/>
    <w:rsid w:val="00814595"/>
    <w:rsid w:val="0081468C"/>
    <w:rsid w:val="0081475E"/>
    <w:rsid w:val="00814852"/>
    <w:rsid w:val="00814877"/>
    <w:rsid w:val="008148B5"/>
    <w:rsid w:val="008148C8"/>
    <w:rsid w:val="008149A9"/>
    <w:rsid w:val="00814A2B"/>
    <w:rsid w:val="00814A95"/>
    <w:rsid w:val="00814AAB"/>
    <w:rsid w:val="00814D59"/>
    <w:rsid w:val="00814D61"/>
    <w:rsid w:val="00814D7E"/>
    <w:rsid w:val="00814DE0"/>
    <w:rsid w:val="00814E03"/>
    <w:rsid w:val="00814E8B"/>
    <w:rsid w:val="00814F7F"/>
    <w:rsid w:val="00814FA0"/>
    <w:rsid w:val="00815118"/>
    <w:rsid w:val="00815160"/>
    <w:rsid w:val="00815188"/>
    <w:rsid w:val="008151C1"/>
    <w:rsid w:val="00815259"/>
    <w:rsid w:val="00815359"/>
    <w:rsid w:val="0081553E"/>
    <w:rsid w:val="00815616"/>
    <w:rsid w:val="008156FA"/>
    <w:rsid w:val="0081575E"/>
    <w:rsid w:val="00815765"/>
    <w:rsid w:val="008157B1"/>
    <w:rsid w:val="0081592B"/>
    <w:rsid w:val="00815A32"/>
    <w:rsid w:val="00815ABA"/>
    <w:rsid w:val="00815B70"/>
    <w:rsid w:val="00815B71"/>
    <w:rsid w:val="00815BC7"/>
    <w:rsid w:val="00815BD1"/>
    <w:rsid w:val="00815BFB"/>
    <w:rsid w:val="00815C41"/>
    <w:rsid w:val="00815CC1"/>
    <w:rsid w:val="00815D1B"/>
    <w:rsid w:val="00815D4C"/>
    <w:rsid w:val="00815DE9"/>
    <w:rsid w:val="00815E4E"/>
    <w:rsid w:val="008161B9"/>
    <w:rsid w:val="008161DF"/>
    <w:rsid w:val="008161F3"/>
    <w:rsid w:val="00816232"/>
    <w:rsid w:val="0081627D"/>
    <w:rsid w:val="008162EA"/>
    <w:rsid w:val="0081656A"/>
    <w:rsid w:val="00816620"/>
    <w:rsid w:val="00816677"/>
    <w:rsid w:val="008166B5"/>
    <w:rsid w:val="00816713"/>
    <w:rsid w:val="00816767"/>
    <w:rsid w:val="00816775"/>
    <w:rsid w:val="008167DF"/>
    <w:rsid w:val="008168C4"/>
    <w:rsid w:val="00816971"/>
    <w:rsid w:val="00816A43"/>
    <w:rsid w:val="00816CC5"/>
    <w:rsid w:val="00816E8A"/>
    <w:rsid w:val="00816F59"/>
    <w:rsid w:val="00816F5A"/>
    <w:rsid w:val="00816FB8"/>
    <w:rsid w:val="00816FDF"/>
    <w:rsid w:val="0081703C"/>
    <w:rsid w:val="00817098"/>
    <w:rsid w:val="008170F8"/>
    <w:rsid w:val="00817132"/>
    <w:rsid w:val="00817522"/>
    <w:rsid w:val="00817542"/>
    <w:rsid w:val="0081756B"/>
    <w:rsid w:val="008176ED"/>
    <w:rsid w:val="00817719"/>
    <w:rsid w:val="0081781F"/>
    <w:rsid w:val="00817851"/>
    <w:rsid w:val="008179EA"/>
    <w:rsid w:val="008179FF"/>
    <w:rsid w:val="00817AB5"/>
    <w:rsid w:val="00817B9C"/>
    <w:rsid w:val="00817C1E"/>
    <w:rsid w:val="00817E3F"/>
    <w:rsid w:val="00817E89"/>
    <w:rsid w:val="00817FE4"/>
    <w:rsid w:val="0082009C"/>
    <w:rsid w:val="00820283"/>
    <w:rsid w:val="008202C6"/>
    <w:rsid w:val="0082037F"/>
    <w:rsid w:val="008204D0"/>
    <w:rsid w:val="0082053F"/>
    <w:rsid w:val="00820654"/>
    <w:rsid w:val="008206AC"/>
    <w:rsid w:val="0082076F"/>
    <w:rsid w:val="0082099A"/>
    <w:rsid w:val="0082099F"/>
    <w:rsid w:val="00820A96"/>
    <w:rsid w:val="00820B23"/>
    <w:rsid w:val="00820B69"/>
    <w:rsid w:val="00820CAE"/>
    <w:rsid w:val="00820CEC"/>
    <w:rsid w:val="00820D4C"/>
    <w:rsid w:val="00820E9A"/>
    <w:rsid w:val="0082102D"/>
    <w:rsid w:val="00821114"/>
    <w:rsid w:val="0082111A"/>
    <w:rsid w:val="008211E6"/>
    <w:rsid w:val="00821233"/>
    <w:rsid w:val="0082129B"/>
    <w:rsid w:val="008212FA"/>
    <w:rsid w:val="00821331"/>
    <w:rsid w:val="00821364"/>
    <w:rsid w:val="0082149A"/>
    <w:rsid w:val="008216C9"/>
    <w:rsid w:val="008217E9"/>
    <w:rsid w:val="008218DE"/>
    <w:rsid w:val="00821939"/>
    <w:rsid w:val="00821974"/>
    <w:rsid w:val="0082197E"/>
    <w:rsid w:val="008219B7"/>
    <w:rsid w:val="008219E6"/>
    <w:rsid w:val="00821B7B"/>
    <w:rsid w:val="00821B8C"/>
    <w:rsid w:val="00821C38"/>
    <w:rsid w:val="00821CCE"/>
    <w:rsid w:val="00821CDD"/>
    <w:rsid w:val="00821D71"/>
    <w:rsid w:val="00821E49"/>
    <w:rsid w:val="00821E52"/>
    <w:rsid w:val="00821F18"/>
    <w:rsid w:val="00821FD8"/>
    <w:rsid w:val="008223C3"/>
    <w:rsid w:val="00822548"/>
    <w:rsid w:val="008225AD"/>
    <w:rsid w:val="00822673"/>
    <w:rsid w:val="00822771"/>
    <w:rsid w:val="008227E6"/>
    <w:rsid w:val="0082285D"/>
    <w:rsid w:val="00822995"/>
    <w:rsid w:val="008229A4"/>
    <w:rsid w:val="008229EE"/>
    <w:rsid w:val="00822A38"/>
    <w:rsid w:val="00822ACE"/>
    <w:rsid w:val="00822B1B"/>
    <w:rsid w:val="00822BF5"/>
    <w:rsid w:val="00822C6B"/>
    <w:rsid w:val="00822CC3"/>
    <w:rsid w:val="00822DE8"/>
    <w:rsid w:val="00822E68"/>
    <w:rsid w:val="00822F1D"/>
    <w:rsid w:val="00822FC7"/>
    <w:rsid w:val="008230E1"/>
    <w:rsid w:val="00823139"/>
    <w:rsid w:val="00823197"/>
    <w:rsid w:val="008231A8"/>
    <w:rsid w:val="008232E5"/>
    <w:rsid w:val="00823391"/>
    <w:rsid w:val="008234BA"/>
    <w:rsid w:val="00823511"/>
    <w:rsid w:val="008235A5"/>
    <w:rsid w:val="0082382F"/>
    <w:rsid w:val="008238EE"/>
    <w:rsid w:val="00823A59"/>
    <w:rsid w:val="00823BF7"/>
    <w:rsid w:val="00823CC1"/>
    <w:rsid w:val="00823D62"/>
    <w:rsid w:val="00823DF9"/>
    <w:rsid w:val="00823EDF"/>
    <w:rsid w:val="00823FF1"/>
    <w:rsid w:val="0082414C"/>
    <w:rsid w:val="008241BE"/>
    <w:rsid w:val="0082428F"/>
    <w:rsid w:val="008242BD"/>
    <w:rsid w:val="0082434E"/>
    <w:rsid w:val="0082448F"/>
    <w:rsid w:val="008244DA"/>
    <w:rsid w:val="0082460B"/>
    <w:rsid w:val="0082465A"/>
    <w:rsid w:val="008247C1"/>
    <w:rsid w:val="00824821"/>
    <w:rsid w:val="0082494C"/>
    <w:rsid w:val="00824A3A"/>
    <w:rsid w:val="00824C50"/>
    <w:rsid w:val="00824C56"/>
    <w:rsid w:val="00824D16"/>
    <w:rsid w:val="00824D1D"/>
    <w:rsid w:val="00824FDB"/>
    <w:rsid w:val="00825041"/>
    <w:rsid w:val="00825070"/>
    <w:rsid w:val="00825181"/>
    <w:rsid w:val="00825197"/>
    <w:rsid w:val="008251A2"/>
    <w:rsid w:val="0082523A"/>
    <w:rsid w:val="00825249"/>
    <w:rsid w:val="008252EB"/>
    <w:rsid w:val="008253B1"/>
    <w:rsid w:val="00825422"/>
    <w:rsid w:val="008255CA"/>
    <w:rsid w:val="0082566A"/>
    <w:rsid w:val="00825799"/>
    <w:rsid w:val="008257FE"/>
    <w:rsid w:val="00825885"/>
    <w:rsid w:val="008258D0"/>
    <w:rsid w:val="008258D8"/>
    <w:rsid w:val="008259B1"/>
    <w:rsid w:val="00825B72"/>
    <w:rsid w:val="00825CB7"/>
    <w:rsid w:val="00825CB9"/>
    <w:rsid w:val="00825DAD"/>
    <w:rsid w:val="00825E65"/>
    <w:rsid w:val="00825F2C"/>
    <w:rsid w:val="008261C4"/>
    <w:rsid w:val="008261C7"/>
    <w:rsid w:val="00826344"/>
    <w:rsid w:val="008264F2"/>
    <w:rsid w:val="008265B1"/>
    <w:rsid w:val="008265C4"/>
    <w:rsid w:val="00826732"/>
    <w:rsid w:val="00826791"/>
    <w:rsid w:val="00826894"/>
    <w:rsid w:val="00826951"/>
    <w:rsid w:val="00826A02"/>
    <w:rsid w:val="00826B91"/>
    <w:rsid w:val="00826C59"/>
    <w:rsid w:val="00826CCD"/>
    <w:rsid w:val="00826CD0"/>
    <w:rsid w:val="00826D12"/>
    <w:rsid w:val="00826D23"/>
    <w:rsid w:val="00826DB0"/>
    <w:rsid w:val="00826E38"/>
    <w:rsid w:val="00827073"/>
    <w:rsid w:val="00827208"/>
    <w:rsid w:val="00827277"/>
    <w:rsid w:val="008273A7"/>
    <w:rsid w:val="0082740D"/>
    <w:rsid w:val="00827580"/>
    <w:rsid w:val="008276CF"/>
    <w:rsid w:val="008276DD"/>
    <w:rsid w:val="00827803"/>
    <w:rsid w:val="00827810"/>
    <w:rsid w:val="00827884"/>
    <w:rsid w:val="0082796D"/>
    <w:rsid w:val="00827A0A"/>
    <w:rsid w:val="00827A10"/>
    <w:rsid w:val="00827A8C"/>
    <w:rsid w:val="00827AC1"/>
    <w:rsid w:val="00827AEE"/>
    <w:rsid w:val="00827B20"/>
    <w:rsid w:val="00827C39"/>
    <w:rsid w:val="00827D4A"/>
    <w:rsid w:val="00827E51"/>
    <w:rsid w:val="00827E97"/>
    <w:rsid w:val="00827EEC"/>
    <w:rsid w:val="00827F08"/>
    <w:rsid w:val="00827F20"/>
    <w:rsid w:val="00827F7D"/>
    <w:rsid w:val="00827FB3"/>
    <w:rsid w:val="00827FD6"/>
    <w:rsid w:val="00827FF8"/>
    <w:rsid w:val="00830034"/>
    <w:rsid w:val="00830039"/>
    <w:rsid w:val="0083007F"/>
    <w:rsid w:val="008302C3"/>
    <w:rsid w:val="008303F8"/>
    <w:rsid w:val="00830509"/>
    <w:rsid w:val="00830572"/>
    <w:rsid w:val="008305C2"/>
    <w:rsid w:val="008305DC"/>
    <w:rsid w:val="00830607"/>
    <w:rsid w:val="0083074B"/>
    <w:rsid w:val="00830781"/>
    <w:rsid w:val="008307BE"/>
    <w:rsid w:val="0083083B"/>
    <w:rsid w:val="0083084C"/>
    <w:rsid w:val="008308AD"/>
    <w:rsid w:val="008308FB"/>
    <w:rsid w:val="00830B32"/>
    <w:rsid w:val="00830BA4"/>
    <w:rsid w:val="00830BA7"/>
    <w:rsid w:val="00830C93"/>
    <w:rsid w:val="00830D34"/>
    <w:rsid w:val="00830DD6"/>
    <w:rsid w:val="00830E6C"/>
    <w:rsid w:val="00830E77"/>
    <w:rsid w:val="00831042"/>
    <w:rsid w:val="008310E8"/>
    <w:rsid w:val="00831169"/>
    <w:rsid w:val="00831186"/>
    <w:rsid w:val="008311BF"/>
    <w:rsid w:val="00831215"/>
    <w:rsid w:val="00831233"/>
    <w:rsid w:val="0083131D"/>
    <w:rsid w:val="0083137A"/>
    <w:rsid w:val="008313F8"/>
    <w:rsid w:val="0083143A"/>
    <w:rsid w:val="00831538"/>
    <w:rsid w:val="00831581"/>
    <w:rsid w:val="00831582"/>
    <w:rsid w:val="008315D7"/>
    <w:rsid w:val="0083163D"/>
    <w:rsid w:val="00831763"/>
    <w:rsid w:val="0083189F"/>
    <w:rsid w:val="0083192C"/>
    <w:rsid w:val="0083196E"/>
    <w:rsid w:val="008319D0"/>
    <w:rsid w:val="00831BBA"/>
    <w:rsid w:val="00831C30"/>
    <w:rsid w:val="00831E45"/>
    <w:rsid w:val="00831EDA"/>
    <w:rsid w:val="00831EF0"/>
    <w:rsid w:val="00831F16"/>
    <w:rsid w:val="0083226F"/>
    <w:rsid w:val="00832283"/>
    <w:rsid w:val="0083233B"/>
    <w:rsid w:val="008324CD"/>
    <w:rsid w:val="00832600"/>
    <w:rsid w:val="00832762"/>
    <w:rsid w:val="0083279F"/>
    <w:rsid w:val="008327A8"/>
    <w:rsid w:val="00832920"/>
    <w:rsid w:val="0083292F"/>
    <w:rsid w:val="00832A49"/>
    <w:rsid w:val="00832B59"/>
    <w:rsid w:val="00832BD8"/>
    <w:rsid w:val="00832C70"/>
    <w:rsid w:val="00832E94"/>
    <w:rsid w:val="00832F1F"/>
    <w:rsid w:val="008330BB"/>
    <w:rsid w:val="008331E2"/>
    <w:rsid w:val="00833203"/>
    <w:rsid w:val="00833241"/>
    <w:rsid w:val="00833266"/>
    <w:rsid w:val="008332C0"/>
    <w:rsid w:val="008332C8"/>
    <w:rsid w:val="00833370"/>
    <w:rsid w:val="008333DD"/>
    <w:rsid w:val="0083346B"/>
    <w:rsid w:val="008334BB"/>
    <w:rsid w:val="008335E9"/>
    <w:rsid w:val="0083373D"/>
    <w:rsid w:val="00833813"/>
    <w:rsid w:val="00833915"/>
    <w:rsid w:val="00833B5C"/>
    <w:rsid w:val="00833D48"/>
    <w:rsid w:val="00833DC1"/>
    <w:rsid w:val="00834068"/>
    <w:rsid w:val="0083407C"/>
    <w:rsid w:val="0083410A"/>
    <w:rsid w:val="0083416B"/>
    <w:rsid w:val="00834269"/>
    <w:rsid w:val="008343BD"/>
    <w:rsid w:val="008343C9"/>
    <w:rsid w:val="00834528"/>
    <w:rsid w:val="008345C7"/>
    <w:rsid w:val="008345FA"/>
    <w:rsid w:val="0083466A"/>
    <w:rsid w:val="0083473B"/>
    <w:rsid w:val="00834918"/>
    <w:rsid w:val="00834981"/>
    <w:rsid w:val="00834B08"/>
    <w:rsid w:val="00834B17"/>
    <w:rsid w:val="00834C5B"/>
    <w:rsid w:val="00834CAE"/>
    <w:rsid w:val="00834CEA"/>
    <w:rsid w:val="00834D27"/>
    <w:rsid w:val="00834FC4"/>
    <w:rsid w:val="0083509E"/>
    <w:rsid w:val="008350A2"/>
    <w:rsid w:val="008350BA"/>
    <w:rsid w:val="00835130"/>
    <w:rsid w:val="00835254"/>
    <w:rsid w:val="00835291"/>
    <w:rsid w:val="008352C7"/>
    <w:rsid w:val="008354FF"/>
    <w:rsid w:val="0083551B"/>
    <w:rsid w:val="0083574F"/>
    <w:rsid w:val="0083581D"/>
    <w:rsid w:val="00835861"/>
    <w:rsid w:val="00835900"/>
    <w:rsid w:val="00835933"/>
    <w:rsid w:val="00835A69"/>
    <w:rsid w:val="00835A7E"/>
    <w:rsid w:val="00835ACB"/>
    <w:rsid w:val="00835B9E"/>
    <w:rsid w:val="00835C53"/>
    <w:rsid w:val="00835C6A"/>
    <w:rsid w:val="00835D0E"/>
    <w:rsid w:val="00835D1F"/>
    <w:rsid w:val="00835D59"/>
    <w:rsid w:val="00835F32"/>
    <w:rsid w:val="00835F49"/>
    <w:rsid w:val="00835F66"/>
    <w:rsid w:val="00835FF3"/>
    <w:rsid w:val="00836040"/>
    <w:rsid w:val="00836059"/>
    <w:rsid w:val="008361A3"/>
    <w:rsid w:val="008361E1"/>
    <w:rsid w:val="0083621E"/>
    <w:rsid w:val="0083627A"/>
    <w:rsid w:val="008362AA"/>
    <w:rsid w:val="0083630B"/>
    <w:rsid w:val="00836311"/>
    <w:rsid w:val="008363B6"/>
    <w:rsid w:val="00836443"/>
    <w:rsid w:val="00836496"/>
    <w:rsid w:val="008364E6"/>
    <w:rsid w:val="00836593"/>
    <w:rsid w:val="00836620"/>
    <w:rsid w:val="008366B3"/>
    <w:rsid w:val="00836767"/>
    <w:rsid w:val="00836921"/>
    <w:rsid w:val="00836943"/>
    <w:rsid w:val="008369E1"/>
    <w:rsid w:val="00836AE8"/>
    <w:rsid w:val="00836B16"/>
    <w:rsid w:val="00836BFB"/>
    <w:rsid w:val="00836CAF"/>
    <w:rsid w:val="00836F5D"/>
    <w:rsid w:val="00836F67"/>
    <w:rsid w:val="00836FA6"/>
    <w:rsid w:val="0083701B"/>
    <w:rsid w:val="00837069"/>
    <w:rsid w:val="0083715A"/>
    <w:rsid w:val="0083722D"/>
    <w:rsid w:val="00837253"/>
    <w:rsid w:val="008372A4"/>
    <w:rsid w:val="008372DA"/>
    <w:rsid w:val="00837394"/>
    <w:rsid w:val="00837396"/>
    <w:rsid w:val="0083739A"/>
    <w:rsid w:val="00837560"/>
    <w:rsid w:val="008375D4"/>
    <w:rsid w:val="008376E0"/>
    <w:rsid w:val="00837776"/>
    <w:rsid w:val="00837807"/>
    <w:rsid w:val="0083782A"/>
    <w:rsid w:val="00837911"/>
    <w:rsid w:val="00837A06"/>
    <w:rsid w:val="00837D74"/>
    <w:rsid w:val="00837E77"/>
    <w:rsid w:val="00840097"/>
    <w:rsid w:val="00840134"/>
    <w:rsid w:val="00840166"/>
    <w:rsid w:val="008401BB"/>
    <w:rsid w:val="00840210"/>
    <w:rsid w:val="00840248"/>
    <w:rsid w:val="008403EC"/>
    <w:rsid w:val="0084055B"/>
    <w:rsid w:val="0084059A"/>
    <w:rsid w:val="008405C6"/>
    <w:rsid w:val="008406C2"/>
    <w:rsid w:val="0084071E"/>
    <w:rsid w:val="00840751"/>
    <w:rsid w:val="00840827"/>
    <w:rsid w:val="0084085E"/>
    <w:rsid w:val="008408F6"/>
    <w:rsid w:val="00840945"/>
    <w:rsid w:val="00840985"/>
    <w:rsid w:val="008409E1"/>
    <w:rsid w:val="00840A28"/>
    <w:rsid w:val="00840ACD"/>
    <w:rsid w:val="00840AE1"/>
    <w:rsid w:val="00840B6B"/>
    <w:rsid w:val="00840BB3"/>
    <w:rsid w:val="00840D0D"/>
    <w:rsid w:val="00840DF1"/>
    <w:rsid w:val="00840DF9"/>
    <w:rsid w:val="00840DFD"/>
    <w:rsid w:val="00840E6F"/>
    <w:rsid w:val="00840EC6"/>
    <w:rsid w:val="00840F5D"/>
    <w:rsid w:val="0084113C"/>
    <w:rsid w:val="00841231"/>
    <w:rsid w:val="0084129A"/>
    <w:rsid w:val="008412D1"/>
    <w:rsid w:val="008412DE"/>
    <w:rsid w:val="0084131E"/>
    <w:rsid w:val="00841477"/>
    <w:rsid w:val="008415EF"/>
    <w:rsid w:val="00841779"/>
    <w:rsid w:val="00841787"/>
    <w:rsid w:val="008417C9"/>
    <w:rsid w:val="008417EF"/>
    <w:rsid w:val="00841885"/>
    <w:rsid w:val="008419A8"/>
    <w:rsid w:val="008419E3"/>
    <w:rsid w:val="00841A01"/>
    <w:rsid w:val="00841A0A"/>
    <w:rsid w:val="00841A3F"/>
    <w:rsid w:val="00841B33"/>
    <w:rsid w:val="00841B5F"/>
    <w:rsid w:val="00841BFB"/>
    <w:rsid w:val="00841C77"/>
    <w:rsid w:val="00841C85"/>
    <w:rsid w:val="00841CDA"/>
    <w:rsid w:val="00841CDC"/>
    <w:rsid w:val="00841CFC"/>
    <w:rsid w:val="00841D10"/>
    <w:rsid w:val="00841D14"/>
    <w:rsid w:val="00841ECB"/>
    <w:rsid w:val="00841EDA"/>
    <w:rsid w:val="00841F43"/>
    <w:rsid w:val="00842195"/>
    <w:rsid w:val="008421D0"/>
    <w:rsid w:val="008423E5"/>
    <w:rsid w:val="0084250C"/>
    <w:rsid w:val="00842858"/>
    <w:rsid w:val="008428A9"/>
    <w:rsid w:val="00842A03"/>
    <w:rsid w:val="00842B83"/>
    <w:rsid w:val="00842C05"/>
    <w:rsid w:val="00842C3C"/>
    <w:rsid w:val="00842C54"/>
    <w:rsid w:val="00842C94"/>
    <w:rsid w:val="00842F64"/>
    <w:rsid w:val="00842FAD"/>
    <w:rsid w:val="00842FE3"/>
    <w:rsid w:val="00843166"/>
    <w:rsid w:val="008431A8"/>
    <w:rsid w:val="0084324D"/>
    <w:rsid w:val="00843314"/>
    <w:rsid w:val="008434D6"/>
    <w:rsid w:val="008434F7"/>
    <w:rsid w:val="008435E9"/>
    <w:rsid w:val="00843803"/>
    <w:rsid w:val="0084389C"/>
    <w:rsid w:val="00843925"/>
    <w:rsid w:val="00843971"/>
    <w:rsid w:val="00843980"/>
    <w:rsid w:val="008439AA"/>
    <w:rsid w:val="008439B9"/>
    <w:rsid w:val="00843A1D"/>
    <w:rsid w:val="00843A74"/>
    <w:rsid w:val="00843B12"/>
    <w:rsid w:val="00843B26"/>
    <w:rsid w:val="00843B5C"/>
    <w:rsid w:val="00843CEC"/>
    <w:rsid w:val="00843D3C"/>
    <w:rsid w:val="00843F6D"/>
    <w:rsid w:val="00843FBA"/>
    <w:rsid w:val="00843FBE"/>
    <w:rsid w:val="0084400F"/>
    <w:rsid w:val="00844052"/>
    <w:rsid w:val="00844135"/>
    <w:rsid w:val="00844148"/>
    <w:rsid w:val="008441D6"/>
    <w:rsid w:val="00844212"/>
    <w:rsid w:val="00844280"/>
    <w:rsid w:val="008442D8"/>
    <w:rsid w:val="0084456A"/>
    <w:rsid w:val="00844723"/>
    <w:rsid w:val="00844752"/>
    <w:rsid w:val="0084476A"/>
    <w:rsid w:val="00844782"/>
    <w:rsid w:val="00844826"/>
    <w:rsid w:val="0084482C"/>
    <w:rsid w:val="008448A9"/>
    <w:rsid w:val="00844973"/>
    <w:rsid w:val="008449F5"/>
    <w:rsid w:val="00844A08"/>
    <w:rsid w:val="00844A16"/>
    <w:rsid w:val="00844A5F"/>
    <w:rsid w:val="00844AC4"/>
    <w:rsid w:val="00844B24"/>
    <w:rsid w:val="00844B27"/>
    <w:rsid w:val="00844BD7"/>
    <w:rsid w:val="00844EF8"/>
    <w:rsid w:val="008450B1"/>
    <w:rsid w:val="008450B8"/>
    <w:rsid w:val="00845158"/>
    <w:rsid w:val="0084524D"/>
    <w:rsid w:val="0084544C"/>
    <w:rsid w:val="00845466"/>
    <w:rsid w:val="00845519"/>
    <w:rsid w:val="0084555F"/>
    <w:rsid w:val="0084556B"/>
    <w:rsid w:val="0084574F"/>
    <w:rsid w:val="008458DC"/>
    <w:rsid w:val="008459AC"/>
    <w:rsid w:val="008459BB"/>
    <w:rsid w:val="00845A18"/>
    <w:rsid w:val="00845A29"/>
    <w:rsid w:val="00845A34"/>
    <w:rsid w:val="00845A4F"/>
    <w:rsid w:val="00845BF9"/>
    <w:rsid w:val="00845E45"/>
    <w:rsid w:val="00845EDC"/>
    <w:rsid w:val="00845EDE"/>
    <w:rsid w:val="008460DB"/>
    <w:rsid w:val="00846105"/>
    <w:rsid w:val="00846144"/>
    <w:rsid w:val="00846265"/>
    <w:rsid w:val="008462A5"/>
    <w:rsid w:val="008462E2"/>
    <w:rsid w:val="00846486"/>
    <w:rsid w:val="008464CE"/>
    <w:rsid w:val="008465F7"/>
    <w:rsid w:val="00846633"/>
    <w:rsid w:val="008466F7"/>
    <w:rsid w:val="0084672D"/>
    <w:rsid w:val="00846783"/>
    <w:rsid w:val="0084678B"/>
    <w:rsid w:val="008468E3"/>
    <w:rsid w:val="00846912"/>
    <w:rsid w:val="00846A47"/>
    <w:rsid w:val="00846B78"/>
    <w:rsid w:val="00846C4A"/>
    <w:rsid w:val="00846F98"/>
    <w:rsid w:val="00846FA5"/>
    <w:rsid w:val="00847029"/>
    <w:rsid w:val="00847219"/>
    <w:rsid w:val="0084721A"/>
    <w:rsid w:val="00847234"/>
    <w:rsid w:val="008472AA"/>
    <w:rsid w:val="008472D4"/>
    <w:rsid w:val="008473E5"/>
    <w:rsid w:val="008473FA"/>
    <w:rsid w:val="0084745B"/>
    <w:rsid w:val="00847472"/>
    <w:rsid w:val="008474F8"/>
    <w:rsid w:val="0084752E"/>
    <w:rsid w:val="00847735"/>
    <w:rsid w:val="00847736"/>
    <w:rsid w:val="008477E9"/>
    <w:rsid w:val="008478F8"/>
    <w:rsid w:val="008478FA"/>
    <w:rsid w:val="00847B48"/>
    <w:rsid w:val="00847B98"/>
    <w:rsid w:val="00847C04"/>
    <w:rsid w:val="00847C5B"/>
    <w:rsid w:val="00847D0C"/>
    <w:rsid w:val="00847E16"/>
    <w:rsid w:val="00847E2B"/>
    <w:rsid w:val="0085001F"/>
    <w:rsid w:val="0085005B"/>
    <w:rsid w:val="008500EA"/>
    <w:rsid w:val="008502A6"/>
    <w:rsid w:val="008503DA"/>
    <w:rsid w:val="008504BB"/>
    <w:rsid w:val="008504EF"/>
    <w:rsid w:val="00850588"/>
    <w:rsid w:val="0085089A"/>
    <w:rsid w:val="00850A69"/>
    <w:rsid w:val="00850A70"/>
    <w:rsid w:val="00850ABF"/>
    <w:rsid w:val="00850AE4"/>
    <w:rsid w:val="00850B0C"/>
    <w:rsid w:val="00850B18"/>
    <w:rsid w:val="00850B6A"/>
    <w:rsid w:val="00850EEE"/>
    <w:rsid w:val="00851153"/>
    <w:rsid w:val="00851201"/>
    <w:rsid w:val="00851245"/>
    <w:rsid w:val="0085126B"/>
    <w:rsid w:val="008512BD"/>
    <w:rsid w:val="008513AF"/>
    <w:rsid w:val="0085142D"/>
    <w:rsid w:val="00851468"/>
    <w:rsid w:val="008515B8"/>
    <w:rsid w:val="008516E5"/>
    <w:rsid w:val="0085171D"/>
    <w:rsid w:val="00851816"/>
    <w:rsid w:val="008519A2"/>
    <w:rsid w:val="00851A0E"/>
    <w:rsid w:val="00851ACF"/>
    <w:rsid w:val="00851B90"/>
    <w:rsid w:val="00851BB6"/>
    <w:rsid w:val="00851CC8"/>
    <w:rsid w:val="00851CF3"/>
    <w:rsid w:val="00851D0B"/>
    <w:rsid w:val="00851D5B"/>
    <w:rsid w:val="00851D70"/>
    <w:rsid w:val="00851D71"/>
    <w:rsid w:val="00851D74"/>
    <w:rsid w:val="00851D7D"/>
    <w:rsid w:val="00851DAA"/>
    <w:rsid w:val="00851DF0"/>
    <w:rsid w:val="00851E35"/>
    <w:rsid w:val="00851EBD"/>
    <w:rsid w:val="00851EFA"/>
    <w:rsid w:val="008520EB"/>
    <w:rsid w:val="00852292"/>
    <w:rsid w:val="00852308"/>
    <w:rsid w:val="00852359"/>
    <w:rsid w:val="00852366"/>
    <w:rsid w:val="008523B4"/>
    <w:rsid w:val="008523D4"/>
    <w:rsid w:val="0085246B"/>
    <w:rsid w:val="008525AF"/>
    <w:rsid w:val="00852674"/>
    <w:rsid w:val="008528C6"/>
    <w:rsid w:val="0085295D"/>
    <w:rsid w:val="008529F3"/>
    <w:rsid w:val="00852A5D"/>
    <w:rsid w:val="00852A99"/>
    <w:rsid w:val="00852B1F"/>
    <w:rsid w:val="00852C39"/>
    <w:rsid w:val="00852CD2"/>
    <w:rsid w:val="00852E3A"/>
    <w:rsid w:val="00852EBD"/>
    <w:rsid w:val="00852EC4"/>
    <w:rsid w:val="00852F73"/>
    <w:rsid w:val="00853184"/>
    <w:rsid w:val="008531BB"/>
    <w:rsid w:val="00853291"/>
    <w:rsid w:val="008532A0"/>
    <w:rsid w:val="008532D7"/>
    <w:rsid w:val="008532FC"/>
    <w:rsid w:val="00853346"/>
    <w:rsid w:val="0085337E"/>
    <w:rsid w:val="0085338D"/>
    <w:rsid w:val="008533BA"/>
    <w:rsid w:val="008533F1"/>
    <w:rsid w:val="00853493"/>
    <w:rsid w:val="008534B3"/>
    <w:rsid w:val="00853568"/>
    <w:rsid w:val="00853593"/>
    <w:rsid w:val="00853673"/>
    <w:rsid w:val="0085367A"/>
    <w:rsid w:val="0085378F"/>
    <w:rsid w:val="00853A37"/>
    <w:rsid w:val="00853B0C"/>
    <w:rsid w:val="00853B65"/>
    <w:rsid w:val="00853BE5"/>
    <w:rsid w:val="00853BF5"/>
    <w:rsid w:val="00853C47"/>
    <w:rsid w:val="00853C7E"/>
    <w:rsid w:val="00853CD3"/>
    <w:rsid w:val="00853D56"/>
    <w:rsid w:val="00853DC0"/>
    <w:rsid w:val="00853E6E"/>
    <w:rsid w:val="00853EA2"/>
    <w:rsid w:val="00853F23"/>
    <w:rsid w:val="00853FC5"/>
    <w:rsid w:val="00853FE8"/>
    <w:rsid w:val="008540A6"/>
    <w:rsid w:val="008540E2"/>
    <w:rsid w:val="00854142"/>
    <w:rsid w:val="00854187"/>
    <w:rsid w:val="00854204"/>
    <w:rsid w:val="00854226"/>
    <w:rsid w:val="00854374"/>
    <w:rsid w:val="008543F8"/>
    <w:rsid w:val="00854411"/>
    <w:rsid w:val="008544F7"/>
    <w:rsid w:val="0085454E"/>
    <w:rsid w:val="008545D2"/>
    <w:rsid w:val="008546F3"/>
    <w:rsid w:val="0085471A"/>
    <w:rsid w:val="00854761"/>
    <w:rsid w:val="008547E4"/>
    <w:rsid w:val="008547F3"/>
    <w:rsid w:val="00854B01"/>
    <w:rsid w:val="00854B64"/>
    <w:rsid w:val="00854D1E"/>
    <w:rsid w:val="00854E62"/>
    <w:rsid w:val="00854EAE"/>
    <w:rsid w:val="00854EB7"/>
    <w:rsid w:val="00854EE8"/>
    <w:rsid w:val="00854EE9"/>
    <w:rsid w:val="00854F41"/>
    <w:rsid w:val="00854F84"/>
    <w:rsid w:val="00854FCA"/>
    <w:rsid w:val="0085506F"/>
    <w:rsid w:val="0085507F"/>
    <w:rsid w:val="0085516A"/>
    <w:rsid w:val="00855293"/>
    <w:rsid w:val="008553F8"/>
    <w:rsid w:val="00855441"/>
    <w:rsid w:val="0085554A"/>
    <w:rsid w:val="0085555D"/>
    <w:rsid w:val="0085568C"/>
    <w:rsid w:val="00855696"/>
    <w:rsid w:val="008556B9"/>
    <w:rsid w:val="008556D5"/>
    <w:rsid w:val="00855762"/>
    <w:rsid w:val="00855820"/>
    <w:rsid w:val="008558C1"/>
    <w:rsid w:val="00855A9A"/>
    <w:rsid w:val="00855B03"/>
    <w:rsid w:val="00855B13"/>
    <w:rsid w:val="00855C6D"/>
    <w:rsid w:val="00856034"/>
    <w:rsid w:val="00856146"/>
    <w:rsid w:val="008561AB"/>
    <w:rsid w:val="008562FF"/>
    <w:rsid w:val="00856511"/>
    <w:rsid w:val="00856513"/>
    <w:rsid w:val="00856532"/>
    <w:rsid w:val="00856581"/>
    <w:rsid w:val="008565FF"/>
    <w:rsid w:val="008566D2"/>
    <w:rsid w:val="008568CD"/>
    <w:rsid w:val="00856923"/>
    <w:rsid w:val="00856A0E"/>
    <w:rsid w:val="00856A3D"/>
    <w:rsid w:val="00856ADF"/>
    <w:rsid w:val="00856CE1"/>
    <w:rsid w:val="00856D2C"/>
    <w:rsid w:val="008570E7"/>
    <w:rsid w:val="0085717A"/>
    <w:rsid w:val="00857293"/>
    <w:rsid w:val="008572A4"/>
    <w:rsid w:val="008575DB"/>
    <w:rsid w:val="008576B0"/>
    <w:rsid w:val="0085770B"/>
    <w:rsid w:val="0085773D"/>
    <w:rsid w:val="008577F7"/>
    <w:rsid w:val="0085795C"/>
    <w:rsid w:val="008579BF"/>
    <w:rsid w:val="00857BB8"/>
    <w:rsid w:val="00857BE0"/>
    <w:rsid w:val="00857BF2"/>
    <w:rsid w:val="00857C24"/>
    <w:rsid w:val="00857DE3"/>
    <w:rsid w:val="00857F2D"/>
    <w:rsid w:val="00857FEA"/>
    <w:rsid w:val="00860316"/>
    <w:rsid w:val="00860359"/>
    <w:rsid w:val="0086038C"/>
    <w:rsid w:val="00860433"/>
    <w:rsid w:val="008607E6"/>
    <w:rsid w:val="0086084A"/>
    <w:rsid w:val="0086084B"/>
    <w:rsid w:val="008609C4"/>
    <w:rsid w:val="00860A60"/>
    <w:rsid w:val="00860AB3"/>
    <w:rsid w:val="00860B6D"/>
    <w:rsid w:val="00860BB4"/>
    <w:rsid w:val="00860BC6"/>
    <w:rsid w:val="00860C58"/>
    <w:rsid w:val="00860CB0"/>
    <w:rsid w:val="008610AE"/>
    <w:rsid w:val="008611AA"/>
    <w:rsid w:val="008612D3"/>
    <w:rsid w:val="00861331"/>
    <w:rsid w:val="008613D4"/>
    <w:rsid w:val="00861476"/>
    <w:rsid w:val="008614C9"/>
    <w:rsid w:val="00861556"/>
    <w:rsid w:val="008617A3"/>
    <w:rsid w:val="00861813"/>
    <w:rsid w:val="00861922"/>
    <w:rsid w:val="0086194F"/>
    <w:rsid w:val="00861A3B"/>
    <w:rsid w:val="00861BA4"/>
    <w:rsid w:val="00861C1E"/>
    <w:rsid w:val="00861C4B"/>
    <w:rsid w:val="00861DB1"/>
    <w:rsid w:val="00861E28"/>
    <w:rsid w:val="00861F6D"/>
    <w:rsid w:val="00861F8E"/>
    <w:rsid w:val="0086208D"/>
    <w:rsid w:val="008620E7"/>
    <w:rsid w:val="0086219A"/>
    <w:rsid w:val="0086224D"/>
    <w:rsid w:val="008622CA"/>
    <w:rsid w:val="008623E0"/>
    <w:rsid w:val="00862553"/>
    <w:rsid w:val="00862564"/>
    <w:rsid w:val="0086258D"/>
    <w:rsid w:val="0086260F"/>
    <w:rsid w:val="00862621"/>
    <w:rsid w:val="00862715"/>
    <w:rsid w:val="0086282B"/>
    <w:rsid w:val="00862844"/>
    <w:rsid w:val="00862847"/>
    <w:rsid w:val="00862A07"/>
    <w:rsid w:val="00862A6A"/>
    <w:rsid w:val="00862A71"/>
    <w:rsid w:val="00862C8D"/>
    <w:rsid w:val="00862CD9"/>
    <w:rsid w:val="00862DD4"/>
    <w:rsid w:val="00862F6D"/>
    <w:rsid w:val="00863045"/>
    <w:rsid w:val="00863062"/>
    <w:rsid w:val="0086309D"/>
    <w:rsid w:val="00863132"/>
    <w:rsid w:val="008631A7"/>
    <w:rsid w:val="008631CE"/>
    <w:rsid w:val="00863319"/>
    <w:rsid w:val="008634C7"/>
    <w:rsid w:val="008635B9"/>
    <w:rsid w:val="0086366F"/>
    <w:rsid w:val="00863673"/>
    <w:rsid w:val="008636BE"/>
    <w:rsid w:val="0086385C"/>
    <w:rsid w:val="008638A2"/>
    <w:rsid w:val="008638C8"/>
    <w:rsid w:val="00863903"/>
    <w:rsid w:val="00863AFD"/>
    <w:rsid w:val="00863E63"/>
    <w:rsid w:val="00863EB5"/>
    <w:rsid w:val="00863EFC"/>
    <w:rsid w:val="00863FDA"/>
    <w:rsid w:val="00864075"/>
    <w:rsid w:val="0086407D"/>
    <w:rsid w:val="0086419B"/>
    <w:rsid w:val="008641AB"/>
    <w:rsid w:val="00864220"/>
    <w:rsid w:val="00864238"/>
    <w:rsid w:val="0086428F"/>
    <w:rsid w:val="00864326"/>
    <w:rsid w:val="0086443E"/>
    <w:rsid w:val="008644FD"/>
    <w:rsid w:val="00864514"/>
    <w:rsid w:val="0086452E"/>
    <w:rsid w:val="008645D6"/>
    <w:rsid w:val="008647AA"/>
    <w:rsid w:val="00864803"/>
    <w:rsid w:val="00864865"/>
    <w:rsid w:val="00864AA1"/>
    <w:rsid w:val="00864C03"/>
    <w:rsid w:val="00864C25"/>
    <w:rsid w:val="00864C8F"/>
    <w:rsid w:val="00864DE4"/>
    <w:rsid w:val="00864E80"/>
    <w:rsid w:val="00864F03"/>
    <w:rsid w:val="00864F41"/>
    <w:rsid w:val="00864F89"/>
    <w:rsid w:val="00865016"/>
    <w:rsid w:val="0086502A"/>
    <w:rsid w:val="00865098"/>
    <w:rsid w:val="00865195"/>
    <w:rsid w:val="00865200"/>
    <w:rsid w:val="00865344"/>
    <w:rsid w:val="008654D5"/>
    <w:rsid w:val="008654F0"/>
    <w:rsid w:val="0086552D"/>
    <w:rsid w:val="008655D0"/>
    <w:rsid w:val="00865626"/>
    <w:rsid w:val="00865664"/>
    <w:rsid w:val="00865668"/>
    <w:rsid w:val="0086567E"/>
    <w:rsid w:val="0086571A"/>
    <w:rsid w:val="008658D9"/>
    <w:rsid w:val="00865992"/>
    <w:rsid w:val="00865995"/>
    <w:rsid w:val="008659D0"/>
    <w:rsid w:val="00865A89"/>
    <w:rsid w:val="00865B14"/>
    <w:rsid w:val="00865B7F"/>
    <w:rsid w:val="00865D8B"/>
    <w:rsid w:val="00865DD4"/>
    <w:rsid w:val="00865DFB"/>
    <w:rsid w:val="00865E65"/>
    <w:rsid w:val="00865E8B"/>
    <w:rsid w:val="00865EAE"/>
    <w:rsid w:val="00865F1E"/>
    <w:rsid w:val="00865F43"/>
    <w:rsid w:val="00866058"/>
    <w:rsid w:val="00866076"/>
    <w:rsid w:val="0086609B"/>
    <w:rsid w:val="008661DC"/>
    <w:rsid w:val="0086628E"/>
    <w:rsid w:val="00866455"/>
    <w:rsid w:val="00866513"/>
    <w:rsid w:val="008666A3"/>
    <w:rsid w:val="008666E0"/>
    <w:rsid w:val="008667DE"/>
    <w:rsid w:val="008668E0"/>
    <w:rsid w:val="00866BD8"/>
    <w:rsid w:val="00866C3A"/>
    <w:rsid w:val="00866C87"/>
    <w:rsid w:val="00866D68"/>
    <w:rsid w:val="00866D74"/>
    <w:rsid w:val="00866F6F"/>
    <w:rsid w:val="00866F92"/>
    <w:rsid w:val="00867136"/>
    <w:rsid w:val="008671C6"/>
    <w:rsid w:val="00867200"/>
    <w:rsid w:val="0086728D"/>
    <w:rsid w:val="0086736D"/>
    <w:rsid w:val="00867409"/>
    <w:rsid w:val="00867437"/>
    <w:rsid w:val="0086760E"/>
    <w:rsid w:val="008678B1"/>
    <w:rsid w:val="00867903"/>
    <w:rsid w:val="008679E0"/>
    <w:rsid w:val="00867A4D"/>
    <w:rsid w:val="00867AAA"/>
    <w:rsid w:val="00867AE8"/>
    <w:rsid w:val="00867B35"/>
    <w:rsid w:val="00867B89"/>
    <w:rsid w:val="00867D31"/>
    <w:rsid w:val="00867D81"/>
    <w:rsid w:val="00867E23"/>
    <w:rsid w:val="00867E9D"/>
    <w:rsid w:val="00867EB1"/>
    <w:rsid w:val="00867F7E"/>
    <w:rsid w:val="00867FCE"/>
    <w:rsid w:val="0087000A"/>
    <w:rsid w:val="00870065"/>
    <w:rsid w:val="008700AF"/>
    <w:rsid w:val="008700D0"/>
    <w:rsid w:val="008700D3"/>
    <w:rsid w:val="008701DE"/>
    <w:rsid w:val="00870210"/>
    <w:rsid w:val="00870395"/>
    <w:rsid w:val="0087045C"/>
    <w:rsid w:val="008704A4"/>
    <w:rsid w:val="00870655"/>
    <w:rsid w:val="00870695"/>
    <w:rsid w:val="00870889"/>
    <w:rsid w:val="008708E2"/>
    <w:rsid w:val="00870912"/>
    <w:rsid w:val="008709F7"/>
    <w:rsid w:val="00870D41"/>
    <w:rsid w:val="00870E24"/>
    <w:rsid w:val="00870E56"/>
    <w:rsid w:val="00870E68"/>
    <w:rsid w:val="00870FD2"/>
    <w:rsid w:val="00871037"/>
    <w:rsid w:val="008710D5"/>
    <w:rsid w:val="008710EF"/>
    <w:rsid w:val="008711E4"/>
    <w:rsid w:val="00871259"/>
    <w:rsid w:val="00871276"/>
    <w:rsid w:val="008712F6"/>
    <w:rsid w:val="00871308"/>
    <w:rsid w:val="008713BC"/>
    <w:rsid w:val="008713EC"/>
    <w:rsid w:val="00871517"/>
    <w:rsid w:val="0087158A"/>
    <w:rsid w:val="008715A7"/>
    <w:rsid w:val="008715E0"/>
    <w:rsid w:val="0087167D"/>
    <w:rsid w:val="00871812"/>
    <w:rsid w:val="00871892"/>
    <w:rsid w:val="008718DF"/>
    <w:rsid w:val="00871A77"/>
    <w:rsid w:val="00871A91"/>
    <w:rsid w:val="00871BB8"/>
    <w:rsid w:val="00871F90"/>
    <w:rsid w:val="0087202B"/>
    <w:rsid w:val="00872110"/>
    <w:rsid w:val="00872155"/>
    <w:rsid w:val="008721C9"/>
    <w:rsid w:val="00872338"/>
    <w:rsid w:val="0087236A"/>
    <w:rsid w:val="00872549"/>
    <w:rsid w:val="008726DF"/>
    <w:rsid w:val="00872744"/>
    <w:rsid w:val="0087279B"/>
    <w:rsid w:val="00872942"/>
    <w:rsid w:val="0087294C"/>
    <w:rsid w:val="008729BA"/>
    <w:rsid w:val="00872A14"/>
    <w:rsid w:val="00872B0C"/>
    <w:rsid w:val="00872BA2"/>
    <w:rsid w:val="00872BB2"/>
    <w:rsid w:val="00872BC3"/>
    <w:rsid w:val="00872BE4"/>
    <w:rsid w:val="00872C09"/>
    <w:rsid w:val="00872C4C"/>
    <w:rsid w:val="00872CDE"/>
    <w:rsid w:val="00872FD2"/>
    <w:rsid w:val="00872FEA"/>
    <w:rsid w:val="00872FF6"/>
    <w:rsid w:val="008730C2"/>
    <w:rsid w:val="00873370"/>
    <w:rsid w:val="00873482"/>
    <w:rsid w:val="0087359C"/>
    <w:rsid w:val="008736B9"/>
    <w:rsid w:val="0087374B"/>
    <w:rsid w:val="008738A1"/>
    <w:rsid w:val="0087393E"/>
    <w:rsid w:val="00873959"/>
    <w:rsid w:val="00873A73"/>
    <w:rsid w:val="00873C27"/>
    <w:rsid w:val="00873C3D"/>
    <w:rsid w:val="00873C9C"/>
    <w:rsid w:val="00873D35"/>
    <w:rsid w:val="00873D4B"/>
    <w:rsid w:val="00873E85"/>
    <w:rsid w:val="00873ED4"/>
    <w:rsid w:val="00873F14"/>
    <w:rsid w:val="00873FC1"/>
    <w:rsid w:val="00874063"/>
    <w:rsid w:val="0087406F"/>
    <w:rsid w:val="008741CF"/>
    <w:rsid w:val="008741D6"/>
    <w:rsid w:val="0087422D"/>
    <w:rsid w:val="00874268"/>
    <w:rsid w:val="00874286"/>
    <w:rsid w:val="00874324"/>
    <w:rsid w:val="008743E3"/>
    <w:rsid w:val="00874489"/>
    <w:rsid w:val="008744F5"/>
    <w:rsid w:val="0087456C"/>
    <w:rsid w:val="0087458D"/>
    <w:rsid w:val="00874618"/>
    <w:rsid w:val="008746D8"/>
    <w:rsid w:val="008747FD"/>
    <w:rsid w:val="008749A3"/>
    <w:rsid w:val="008749B6"/>
    <w:rsid w:val="008749EC"/>
    <w:rsid w:val="00874A23"/>
    <w:rsid w:val="00874A41"/>
    <w:rsid w:val="00874A5F"/>
    <w:rsid w:val="00874A86"/>
    <w:rsid w:val="00874AB1"/>
    <w:rsid w:val="00874AC8"/>
    <w:rsid w:val="00874AD3"/>
    <w:rsid w:val="00874B02"/>
    <w:rsid w:val="00874B8C"/>
    <w:rsid w:val="00874DA6"/>
    <w:rsid w:val="00874EB2"/>
    <w:rsid w:val="00874F13"/>
    <w:rsid w:val="00875087"/>
    <w:rsid w:val="008750E7"/>
    <w:rsid w:val="0087527F"/>
    <w:rsid w:val="008752B6"/>
    <w:rsid w:val="0087532B"/>
    <w:rsid w:val="00875440"/>
    <w:rsid w:val="0087544F"/>
    <w:rsid w:val="008754D2"/>
    <w:rsid w:val="00875538"/>
    <w:rsid w:val="00875634"/>
    <w:rsid w:val="00875773"/>
    <w:rsid w:val="008758B4"/>
    <w:rsid w:val="008758E2"/>
    <w:rsid w:val="008758EE"/>
    <w:rsid w:val="00875902"/>
    <w:rsid w:val="00875A9C"/>
    <w:rsid w:val="00875B14"/>
    <w:rsid w:val="00875BB0"/>
    <w:rsid w:val="00875D60"/>
    <w:rsid w:val="00875DC1"/>
    <w:rsid w:val="00875DDD"/>
    <w:rsid w:val="00875EEE"/>
    <w:rsid w:val="00875F04"/>
    <w:rsid w:val="0087601F"/>
    <w:rsid w:val="00876110"/>
    <w:rsid w:val="00876341"/>
    <w:rsid w:val="00876429"/>
    <w:rsid w:val="00876559"/>
    <w:rsid w:val="008765BC"/>
    <w:rsid w:val="008766EF"/>
    <w:rsid w:val="008767CB"/>
    <w:rsid w:val="008767D0"/>
    <w:rsid w:val="008767F5"/>
    <w:rsid w:val="00876850"/>
    <w:rsid w:val="00876869"/>
    <w:rsid w:val="008768F4"/>
    <w:rsid w:val="0087696E"/>
    <w:rsid w:val="00876A49"/>
    <w:rsid w:val="00876BB2"/>
    <w:rsid w:val="00876BE8"/>
    <w:rsid w:val="00876C3A"/>
    <w:rsid w:val="00876D5D"/>
    <w:rsid w:val="00876D96"/>
    <w:rsid w:val="00876E4A"/>
    <w:rsid w:val="00876E77"/>
    <w:rsid w:val="00877039"/>
    <w:rsid w:val="0087704E"/>
    <w:rsid w:val="008770C3"/>
    <w:rsid w:val="008770D4"/>
    <w:rsid w:val="00877184"/>
    <w:rsid w:val="0087718A"/>
    <w:rsid w:val="0087722A"/>
    <w:rsid w:val="008772B0"/>
    <w:rsid w:val="0087734B"/>
    <w:rsid w:val="008773AA"/>
    <w:rsid w:val="008773D4"/>
    <w:rsid w:val="008773E8"/>
    <w:rsid w:val="00877496"/>
    <w:rsid w:val="008774D6"/>
    <w:rsid w:val="00877649"/>
    <w:rsid w:val="00877774"/>
    <w:rsid w:val="008778B7"/>
    <w:rsid w:val="00877915"/>
    <w:rsid w:val="00877B74"/>
    <w:rsid w:val="00877BA8"/>
    <w:rsid w:val="00877BBE"/>
    <w:rsid w:val="00877BFE"/>
    <w:rsid w:val="00877C2B"/>
    <w:rsid w:val="00877DAB"/>
    <w:rsid w:val="00877EB0"/>
    <w:rsid w:val="00880016"/>
    <w:rsid w:val="00880025"/>
    <w:rsid w:val="0088005E"/>
    <w:rsid w:val="0088018B"/>
    <w:rsid w:val="008802F5"/>
    <w:rsid w:val="00880345"/>
    <w:rsid w:val="008803AA"/>
    <w:rsid w:val="008803FC"/>
    <w:rsid w:val="00880418"/>
    <w:rsid w:val="0088041D"/>
    <w:rsid w:val="00880467"/>
    <w:rsid w:val="00880747"/>
    <w:rsid w:val="008807AF"/>
    <w:rsid w:val="00880856"/>
    <w:rsid w:val="00880907"/>
    <w:rsid w:val="008809C3"/>
    <w:rsid w:val="00880A0F"/>
    <w:rsid w:val="00880B54"/>
    <w:rsid w:val="00880BA0"/>
    <w:rsid w:val="00880C7D"/>
    <w:rsid w:val="00880C7E"/>
    <w:rsid w:val="00880D2F"/>
    <w:rsid w:val="00880D63"/>
    <w:rsid w:val="00880DAB"/>
    <w:rsid w:val="00880DB3"/>
    <w:rsid w:val="00881014"/>
    <w:rsid w:val="0088101E"/>
    <w:rsid w:val="00881089"/>
    <w:rsid w:val="0088109C"/>
    <w:rsid w:val="008810EC"/>
    <w:rsid w:val="00881171"/>
    <w:rsid w:val="008811C8"/>
    <w:rsid w:val="00881226"/>
    <w:rsid w:val="0088127F"/>
    <w:rsid w:val="00881365"/>
    <w:rsid w:val="00881517"/>
    <w:rsid w:val="0088160F"/>
    <w:rsid w:val="00881745"/>
    <w:rsid w:val="0088179F"/>
    <w:rsid w:val="008817A4"/>
    <w:rsid w:val="00881805"/>
    <w:rsid w:val="00881835"/>
    <w:rsid w:val="0088187F"/>
    <w:rsid w:val="008819C7"/>
    <w:rsid w:val="00881B3F"/>
    <w:rsid w:val="00881B8D"/>
    <w:rsid w:val="00881C67"/>
    <w:rsid w:val="00881CE3"/>
    <w:rsid w:val="00881E26"/>
    <w:rsid w:val="00881E4C"/>
    <w:rsid w:val="00881F40"/>
    <w:rsid w:val="00881F9F"/>
    <w:rsid w:val="00881FBA"/>
    <w:rsid w:val="0088202F"/>
    <w:rsid w:val="00882254"/>
    <w:rsid w:val="00882268"/>
    <w:rsid w:val="008822FA"/>
    <w:rsid w:val="00882487"/>
    <w:rsid w:val="008825F8"/>
    <w:rsid w:val="0088264F"/>
    <w:rsid w:val="008826A7"/>
    <w:rsid w:val="008826E4"/>
    <w:rsid w:val="00882743"/>
    <w:rsid w:val="008827E6"/>
    <w:rsid w:val="008827E8"/>
    <w:rsid w:val="0088281F"/>
    <w:rsid w:val="00882877"/>
    <w:rsid w:val="00882AA9"/>
    <w:rsid w:val="00882AC1"/>
    <w:rsid w:val="00882D3D"/>
    <w:rsid w:val="00882D66"/>
    <w:rsid w:val="00882E81"/>
    <w:rsid w:val="00882EB5"/>
    <w:rsid w:val="00883047"/>
    <w:rsid w:val="008830C5"/>
    <w:rsid w:val="00883188"/>
    <w:rsid w:val="008831E7"/>
    <w:rsid w:val="008832B0"/>
    <w:rsid w:val="00883337"/>
    <w:rsid w:val="00883475"/>
    <w:rsid w:val="0088348D"/>
    <w:rsid w:val="008834BE"/>
    <w:rsid w:val="008835E5"/>
    <w:rsid w:val="008835F3"/>
    <w:rsid w:val="0088365C"/>
    <w:rsid w:val="0088367D"/>
    <w:rsid w:val="0088369E"/>
    <w:rsid w:val="00883789"/>
    <w:rsid w:val="0088385E"/>
    <w:rsid w:val="008838A5"/>
    <w:rsid w:val="00883A3B"/>
    <w:rsid w:val="00883B09"/>
    <w:rsid w:val="00883BED"/>
    <w:rsid w:val="00883DC0"/>
    <w:rsid w:val="00883EAB"/>
    <w:rsid w:val="00883F19"/>
    <w:rsid w:val="00883F41"/>
    <w:rsid w:val="0088418E"/>
    <w:rsid w:val="008841FC"/>
    <w:rsid w:val="008842A5"/>
    <w:rsid w:val="008842C0"/>
    <w:rsid w:val="008842D0"/>
    <w:rsid w:val="00884304"/>
    <w:rsid w:val="008845AD"/>
    <w:rsid w:val="008845F6"/>
    <w:rsid w:val="00884819"/>
    <w:rsid w:val="0088487A"/>
    <w:rsid w:val="00884925"/>
    <w:rsid w:val="0088497F"/>
    <w:rsid w:val="0088499D"/>
    <w:rsid w:val="008849F6"/>
    <w:rsid w:val="00884A2C"/>
    <w:rsid w:val="00884AE8"/>
    <w:rsid w:val="00884BFE"/>
    <w:rsid w:val="00884DF1"/>
    <w:rsid w:val="00884E61"/>
    <w:rsid w:val="00884EB7"/>
    <w:rsid w:val="00884EF7"/>
    <w:rsid w:val="00884F43"/>
    <w:rsid w:val="00885139"/>
    <w:rsid w:val="00885399"/>
    <w:rsid w:val="00885447"/>
    <w:rsid w:val="00885585"/>
    <w:rsid w:val="00885816"/>
    <w:rsid w:val="00885875"/>
    <w:rsid w:val="0088589E"/>
    <w:rsid w:val="008858B0"/>
    <w:rsid w:val="0088594D"/>
    <w:rsid w:val="0088596B"/>
    <w:rsid w:val="00885996"/>
    <w:rsid w:val="008859AC"/>
    <w:rsid w:val="00885A2C"/>
    <w:rsid w:val="00885B9C"/>
    <w:rsid w:val="00885BE8"/>
    <w:rsid w:val="00885C1D"/>
    <w:rsid w:val="00885CD1"/>
    <w:rsid w:val="00885D0B"/>
    <w:rsid w:val="00885D4F"/>
    <w:rsid w:val="00885D87"/>
    <w:rsid w:val="00885D91"/>
    <w:rsid w:val="00885DB8"/>
    <w:rsid w:val="00885E16"/>
    <w:rsid w:val="00885E33"/>
    <w:rsid w:val="00885EB7"/>
    <w:rsid w:val="00885F13"/>
    <w:rsid w:val="00885F82"/>
    <w:rsid w:val="00885FDF"/>
    <w:rsid w:val="00886027"/>
    <w:rsid w:val="00886167"/>
    <w:rsid w:val="008861D0"/>
    <w:rsid w:val="00886285"/>
    <w:rsid w:val="008862C8"/>
    <w:rsid w:val="00886464"/>
    <w:rsid w:val="008864B4"/>
    <w:rsid w:val="008865BD"/>
    <w:rsid w:val="00886651"/>
    <w:rsid w:val="008866A8"/>
    <w:rsid w:val="008867A3"/>
    <w:rsid w:val="00886AD6"/>
    <w:rsid w:val="00886B46"/>
    <w:rsid w:val="00886C1B"/>
    <w:rsid w:val="00886D3C"/>
    <w:rsid w:val="00886D7C"/>
    <w:rsid w:val="00886F96"/>
    <w:rsid w:val="00886FDD"/>
    <w:rsid w:val="008870EA"/>
    <w:rsid w:val="00887118"/>
    <w:rsid w:val="008871BA"/>
    <w:rsid w:val="008872C0"/>
    <w:rsid w:val="00887345"/>
    <w:rsid w:val="00887377"/>
    <w:rsid w:val="008873F6"/>
    <w:rsid w:val="008873FD"/>
    <w:rsid w:val="0088747C"/>
    <w:rsid w:val="00887510"/>
    <w:rsid w:val="00887546"/>
    <w:rsid w:val="008877DF"/>
    <w:rsid w:val="0088780B"/>
    <w:rsid w:val="0088787B"/>
    <w:rsid w:val="008878AB"/>
    <w:rsid w:val="00887905"/>
    <w:rsid w:val="008879F2"/>
    <w:rsid w:val="00887A7E"/>
    <w:rsid w:val="00887A86"/>
    <w:rsid w:val="00887CB6"/>
    <w:rsid w:val="00887D99"/>
    <w:rsid w:val="00887DBD"/>
    <w:rsid w:val="00887E24"/>
    <w:rsid w:val="00887E75"/>
    <w:rsid w:val="00887EE8"/>
    <w:rsid w:val="00887F15"/>
    <w:rsid w:val="00890009"/>
    <w:rsid w:val="0089004B"/>
    <w:rsid w:val="00890146"/>
    <w:rsid w:val="008901C2"/>
    <w:rsid w:val="008901D1"/>
    <w:rsid w:val="008901FC"/>
    <w:rsid w:val="0089026E"/>
    <w:rsid w:val="008907C0"/>
    <w:rsid w:val="00890929"/>
    <w:rsid w:val="0089097C"/>
    <w:rsid w:val="00890AC2"/>
    <w:rsid w:val="00890ACF"/>
    <w:rsid w:val="00890B5E"/>
    <w:rsid w:val="00890B76"/>
    <w:rsid w:val="00890BB8"/>
    <w:rsid w:val="00890BCE"/>
    <w:rsid w:val="00890C51"/>
    <w:rsid w:val="00890D6B"/>
    <w:rsid w:val="00890DF9"/>
    <w:rsid w:val="00890EA7"/>
    <w:rsid w:val="00890EC7"/>
    <w:rsid w:val="00890EFF"/>
    <w:rsid w:val="00890F1F"/>
    <w:rsid w:val="008911C8"/>
    <w:rsid w:val="00891310"/>
    <w:rsid w:val="0089131F"/>
    <w:rsid w:val="00891357"/>
    <w:rsid w:val="008913C6"/>
    <w:rsid w:val="0089141E"/>
    <w:rsid w:val="008915FF"/>
    <w:rsid w:val="008916F6"/>
    <w:rsid w:val="00891808"/>
    <w:rsid w:val="00891914"/>
    <w:rsid w:val="00891958"/>
    <w:rsid w:val="00891A39"/>
    <w:rsid w:val="00891A4F"/>
    <w:rsid w:val="00891CC1"/>
    <w:rsid w:val="00891CED"/>
    <w:rsid w:val="00891D14"/>
    <w:rsid w:val="00891D24"/>
    <w:rsid w:val="00891F58"/>
    <w:rsid w:val="00891FD7"/>
    <w:rsid w:val="0089220F"/>
    <w:rsid w:val="0089224B"/>
    <w:rsid w:val="00892413"/>
    <w:rsid w:val="00892565"/>
    <w:rsid w:val="0089259C"/>
    <w:rsid w:val="0089259F"/>
    <w:rsid w:val="008925F8"/>
    <w:rsid w:val="00892877"/>
    <w:rsid w:val="00892BCD"/>
    <w:rsid w:val="00892CCF"/>
    <w:rsid w:val="00892DA2"/>
    <w:rsid w:val="00892DA3"/>
    <w:rsid w:val="00892E65"/>
    <w:rsid w:val="00892F09"/>
    <w:rsid w:val="00892F97"/>
    <w:rsid w:val="00893225"/>
    <w:rsid w:val="00893244"/>
    <w:rsid w:val="00893280"/>
    <w:rsid w:val="008932DE"/>
    <w:rsid w:val="00893386"/>
    <w:rsid w:val="008933DA"/>
    <w:rsid w:val="0089343D"/>
    <w:rsid w:val="008934D6"/>
    <w:rsid w:val="00893757"/>
    <w:rsid w:val="008937FD"/>
    <w:rsid w:val="00893867"/>
    <w:rsid w:val="0089386D"/>
    <w:rsid w:val="00893951"/>
    <w:rsid w:val="008939B9"/>
    <w:rsid w:val="00893A17"/>
    <w:rsid w:val="00893A4F"/>
    <w:rsid w:val="00893A72"/>
    <w:rsid w:val="00893AAD"/>
    <w:rsid w:val="00893B4B"/>
    <w:rsid w:val="00893B86"/>
    <w:rsid w:val="00893D6A"/>
    <w:rsid w:val="0089408F"/>
    <w:rsid w:val="00894093"/>
    <w:rsid w:val="008940CD"/>
    <w:rsid w:val="00894201"/>
    <w:rsid w:val="0089428B"/>
    <w:rsid w:val="008942C7"/>
    <w:rsid w:val="008942D6"/>
    <w:rsid w:val="008942E3"/>
    <w:rsid w:val="0089435F"/>
    <w:rsid w:val="0089438C"/>
    <w:rsid w:val="008946A6"/>
    <w:rsid w:val="008946AA"/>
    <w:rsid w:val="0089477B"/>
    <w:rsid w:val="0089478F"/>
    <w:rsid w:val="00894790"/>
    <w:rsid w:val="0089482A"/>
    <w:rsid w:val="00894848"/>
    <w:rsid w:val="0089486F"/>
    <w:rsid w:val="0089492C"/>
    <w:rsid w:val="008949B0"/>
    <w:rsid w:val="00894B1B"/>
    <w:rsid w:val="00894F29"/>
    <w:rsid w:val="00894F5B"/>
    <w:rsid w:val="00894F83"/>
    <w:rsid w:val="00894F9A"/>
    <w:rsid w:val="00894FBC"/>
    <w:rsid w:val="0089504E"/>
    <w:rsid w:val="008950A8"/>
    <w:rsid w:val="008950AB"/>
    <w:rsid w:val="0089518F"/>
    <w:rsid w:val="00895277"/>
    <w:rsid w:val="008952A2"/>
    <w:rsid w:val="0089531B"/>
    <w:rsid w:val="008958B1"/>
    <w:rsid w:val="008958D4"/>
    <w:rsid w:val="008958FB"/>
    <w:rsid w:val="008958FC"/>
    <w:rsid w:val="0089595B"/>
    <w:rsid w:val="00895CD0"/>
    <w:rsid w:val="00895EA7"/>
    <w:rsid w:val="00895EC4"/>
    <w:rsid w:val="00895FA2"/>
    <w:rsid w:val="00895FDF"/>
    <w:rsid w:val="0089611A"/>
    <w:rsid w:val="0089614B"/>
    <w:rsid w:val="00896160"/>
    <w:rsid w:val="00896252"/>
    <w:rsid w:val="00896285"/>
    <w:rsid w:val="00896291"/>
    <w:rsid w:val="008962E4"/>
    <w:rsid w:val="00896364"/>
    <w:rsid w:val="00896567"/>
    <w:rsid w:val="0089664B"/>
    <w:rsid w:val="00896959"/>
    <w:rsid w:val="00896A8A"/>
    <w:rsid w:val="00896AD7"/>
    <w:rsid w:val="00896B6C"/>
    <w:rsid w:val="00896BD0"/>
    <w:rsid w:val="00896BF3"/>
    <w:rsid w:val="00896C1E"/>
    <w:rsid w:val="00896C5C"/>
    <w:rsid w:val="00896C70"/>
    <w:rsid w:val="00896D99"/>
    <w:rsid w:val="00896E93"/>
    <w:rsid w:val="00896FB7"/>
    <w:rsid w:val="00896FFB"/>
    <w:rsid w:val="008970C9"/>
    <w:rsid w:val="00897145"/>
    <w:rsid w:val="008972A5"/>
    <w:rsid w:val="008972C8"/>
    <w:rsid w:val="0089733F"/>
    <w:rsid w:val="00897364"/>
    <w:rsid w:val="0089741F"/>
    <w:rsid w:val="008974CB"/>
    <w:rsid w:val="0089756C"/>
    <w:rsid w:val="008976F1"/>
    <w:rsid w:val="008976F3"/>
    <w:rsid w:val="00897945"/>
    <w:rsid w:val="00897A1A"/>
    <w:rsid w:val="00897A88"/>
    <w:rsid w:val="00897ADB"/>
    <w:rsid w:val="00897BCE"/>
    <w:rsid w:val="00897CDF"/>
    <w:rsid w:val="00897D21"/>
    <w:rsid w:val="00897D52"/>
    <w:rsid w:val="00897E70"/>
    <w:rsid w:val="008A00FF"/>
    <w:rsid w:val="008A0115"/>
    <w:rsid w:val="008A0150"/>
    <w:rsid w:val="008A02BF"/>
    <w:rsid w:val="008A035C"/>
    <w:rsid w:val="008A039B"/>
    <w:rsid w:val="008A0419"/>
    <w:rsid w:val="008A0636"/>
    <w:rsid w:val="008A06FA"/>
    <w:rsid w:val="008A07D5"/>
    <w:rsid w:val="008A07D6"/>
    <w:rsid w:val="008A080D"/>
    <w:rsid w:val="008A0BB7"/>
    <w:rsid w:val="008A0BCC"/>
    <w:rsid w:val="008A0BFB"/>
    <w:rsid w:val="008A0CB2"/>
    <w:rsid w:val="008A0DCC"/>
    <w:rsid w:val="008A0E05"/>
    <w:rsid w:val="008A0F97"/>
    <w:rsid w:val="008A0FEA"/>
    <w:rsid w:val="008A111B"/>
    <w:rsid w:val="008A117E"/>
    <w:rsid w:val="008A1189"/>
    <w:rsid w:val="008A120D"/>
    <w:rsid w:val="008A139E"/>
    <w:rsid w:val="008A1438"/>
    <w:rsid w:val="008A14AE"/>
    <w:rsid w:val="008A150C"/>
    <w:rsid w:val="008A1512"/>
    <w:rsid w:val="008A15EA"/>
    <w:rsid w:val="008A1630"/>
    <w:rsid w:val="008A16FA"/>
    <w:rsid w:val="008A173B"/>
    <w:rsid w:val="008A181B"/>
    <w:rsid w:val="008A1980"/>
    <w:rsid w:val="008A1C14"/>
    <w:rsid w:val="008A1C32"/>
    <w:rsid w:val="008A1C80"/>
    <w:rsid w:val="008A1E0E"/>
    <w:rsid w:val="008A1F47"/>
    <w:rsid w:val="008A1F56"/>
    <w:rsid w:val="008A1F6F"/>
    <w:rsid w:val="008A1FCF"/>
    <w:rsid w:val="008A207F"/>
    <w:rsid w:val="008A20C3"/>
    <w:rsid w:val="008A20C7"/>
    <w:rsid w:val="008A2166"/>
    <w:rsid w:val="008A2184"/>
    <w:rsid w:val="008A2203"/>
    <w:rsid w:val="008A232D"/>
    <w:rsid w:val="008A243B"/>
    <w:rsid w:val="008A2498"/>
    <w:rsid w:val="008A24D9"/>
    <w:rsid w:val="008A24DF"/>
    <w:rsid w:val="008A252B"/>
    <w:rsid w:val="008A2674"/>
    <w:rsid w:val="008A26CA"/>
    <w:rsid w:val="008A2728"/>
    <w:rsid w:val="008A2745"/>
    <w:rsid w:val="008A29DA"/>
    <w:rsid w:val="008A2A4E"/>
    <w:rsid w:val="008A2AAA"/>
    <w:rsid w:val="008A2C4B"/>
    <w:rsid w:val="008A2D84"/>
    <w:rsid w:val="008A2E65"/>
    <w:rsid w:val="008A2F23"/>
    <w:rsid w:val="008A3067"/>
    <w:rsid w:val="008A3113"/>
    <w:rsid w:val="008A31FC"/>
    <w:rsid w:val="008A3246"/>
    <w:rsid w:val="008A32F6"/>
    <w:rsid w:val="008A3365"/>
    <w:rsid w:val="008A33EA"/>
    <w:rsid w:val="008A3435"/>
    <w:rsid w:val="008A347D"/>
    <w:rsid w:val="008A354C"/>
    <w:rsid w:val="008A35D2"/>
    <w:rsid w:val="008A3610"/>
    <w:rsid w:val="008A363E"/>
    <w:rsid w:val="008A3826"/>
    <w:rsid w:val="008A3861"/>
    <w:rsid w:val="008A38B4"/>
    <w:rsid w:val="008A38D7"/>
    <w:rsid w:val="008A38D9"/>
    <w:rsid w:val="008A3936"/>
    <w:rsid w:val="008A39F3"/>
    <w:rsid w:val="008A3A44"/>
    <w:rsid w:val="008A3B53"/>
    <w:rsid w:val="008A3B80"/>
    <w:rsid w:val="008A3BBA"/>
    <w:rsid w:val="008A3C04"/>
    <w:rsid w:val="008A3DB9"/>
    <w:rsid w:val="008A3DE1"/>
    <w:rsid w:val="008A3F87"/>
    <w:rsid w:val="008A400D"/>
    <w:rsid w:val="008A4100"/>
    <w:rsid w:val="008A43CD"/>
    <w:rsid w:val="008A4430"/>
    <w:rsid w:val="008A4464"/>
    <w:rsid w:val="008A4482"/>
    <w:rsid w:val="008A44B7"/>
    <w:rsid w:val="008A463A"/>
    <w:rsid w:val="008A4765"/>
    <w:rsid w:val="008A4845"/>
    <w:rsid w:val="008A4851"/>
    <w:rsid w:val="008A48D3"/>
    <w:rsid w:val="008A494D"/>
    <w:rsid w:val="008A498C"/>
    <w:rsid w:val="008A49F2"/>
    <w:rsid w:val="008A4A58"/>
    <w:rsid w:val="008A4A9D"/>
    <w:rsid w:val="008A4B1F"/>
    <w:rsid w:val="008A4E62"/>
    <w:rsid w:val="008A5023"/>
    <w:rsid w:val="008A5055"/>
    <w:rsid w:val="008A50F5"/>
    <w:rsid w:val="008A5256"/>
    <w:rsid w:val="008A52E0"/>
    <w:rsid w:val="008A531B"/>
    <w:rsid w:val="008A5338"/>
    <w:rsid w:val="008A5403"/>
    <w:rsid w:val="008A5502"/>
    <w:rsid w:val="008A55B3"/>
    <w:rsid w:val="008A5694"/>
    <w:rsid w:val="008A56C9"/>
    <w:rsid w:val="008A573E"/>
    <w:rsid w:val="008A579A"/>
    <w:rsid w:val="008A57DC"/>
    <w:rsid w:val="008A5890"/>
    <w:rsid w:val="008A5903"/>
    <w:rsid w:val="008A599D"/>
    <w:rsid w:val="008A5A3B"/>
    <w:rsid w:val="008A5AC3"/>
    <w:rsid w:val="008A5C01"/>
    <w:rsid w:val="008A5C38"/>
    <w:rsid w:val="008A5C51"/>
    <w:rsid w:val="008A5C78"/>
    <w:rsid w:val="008A5CE0"/>
    <w:rsid w:val="008A5D22"/>
    <w:rsid w:val="008A5D9B"/>
    <w:rsid w:val="008A5F74"/>
    <w:rsid w:val="008A5FE7"/>
    <w:rsid w:val="008A6237"/>
    <w:rsid w:val="008A6325"/>
    <w:rsid w:val="008A6347"/>
    <w:rsid w:val="008A635E"/>
    <w:rsid w:val="008A6379"/>
    <w:rsid w:val="008A63FD"/>
    <w:rsid w:val="008A6433"/>
    <w:rsid w:val="008A64BE"/>
    <w:rsid w:val="008A66EE"/>
    <w:rsid w:val="008A6A3E"/>
    <w:rsid w:val="008A6A70"/>
    <w:rsid w:val="008A6B79"/>
    <w:rsid w:val="008A6B97"/>
    <w:rsid w:val="008A6C6E"/>
    <w:rsid w:val="008A6D60"/>
    <w:rsid w:val="008A6EF2"/>
    <w:rsid w:val="008A6F10"/>
    <w:rsid w:val="008A6F1C"/>
    <w:rsid w:val="008A6F68"/>
    <w:rsid w:val="008A6FFE"/>
    <w:rsid w:val="008A705B"/>
    <w:rsid w:val="008A707C"/>
    <w:rsid w:val="008A70F3"/>
    <w:rsid w:val="008A71F5"/>
    <w:rsid w:val="008A72B8"/>
    <w:rsid w:val="008A72F2"/>
    <w:rsid w:val="008A7409"/>
    <w:rsid w:val="008A745C"/>
    <w:rsid w:val="008A7474"/>
    <w:rsid w:val="008A7495"/>
    <w:rsid w:val="008A7548"/>
    <w:rsid w:val="008A76B5"/>
    <w:rsid w:val="008A76C5"/>
    <w:rsid w:val="008A7785"/>
    <w:rsid w:val="008A79D4"/>
    <w:rsid w:val="008A7A97"/>
    <w:rsid w:val="008A7BD3"/>
    <w:rsid w:val="008A7BE4"/>
    <w:rsid w:val="008A7C14"/>
    <w:rsid w:val="008A7CDF"/>
    <w:rsid w:val="008A7D11"/>
    <w:rsid w:val="008B0194"/>
    <w:rsid w:val="008B01BE"/>
    <w:rsid w:val="008B0271"/>
    <w:rsid w:val="008B0469"/>
    <w:rsid w:val="008B0772"/>
    <w:rsid w:val="008B07D3"/>
    <w:rsid w:val="008B0842"/>
    <w:rsid w:val="008B099D"/>
    <w:rsid w:val="008B0A67"/>
    <w:rsid w:val="008B0AE9"/>
    <w:rsid w:val="008B0BA4"/>
    <w:rsid w:val="008B0C19"/>
    <w:rsid w:val="008B0E05"/>
    <w:rsid w:val="008B0E55"/>
    <w:rsid w:val="008B0F8B"/>
    <w:rsid w:val="008B0FC6"/>
    <w:rsid w:val="008B0FD7"/>
    <w:rsid w:val="008B109D"/>
    <w:rsid w:val="008B11FB"/>
    <w:rsid w:val="008B13CA"/>
    <w:rsid w:val="008B145B"/>
    <w:rsid w:val="008B1489"/>
    <w:rsid w:val="008B16B2"/>
    <w:rsid w:val="008B1745"/>
    <w:rsid w:val="008B18CE"/>
    <w:rsid w:val="008B1908"/>
    <w:rsid w:val="008B19DA"/>
    <w:rsid w:val="008B1A6A"/>
    <w:rsid w:val="008B1B2E"/>
    <w:rsid w:val="008B1B88"/>
    <w:rsid w:val="008B1BA6"/>
    <w:rsid w:val="008B1BF6"/>
    <w:rsid w:val="008B1CF2"/>
    <w:rsid w:val="008B1DEE"/>
    <w:rsid w:val="008B1E1B"/>
    <w:rsid w:val="008B1EC7"/>
    <w:rsid w:val="008B1FD6"/>
    <w:rsid w:val="008B2076"/>
    <w:rsid w:val="008B20E8"/>
    <w:rsid w:val="008B217C"/>
    <w:rsid w:val="008B21C0"/>
    <w:rsid w:val="008B22B1"/>
    <w:rsid w:val="008B2303"/>
    <w:rsid w:val="008B239A"/>
    <w:rsid w:val="008B25DB"/>
    <w:rsid w:val="008B2665"/>
    <w:rsid w:val="008B26FD"/>
    <w:rsid w:val="008B2716"/>
    <w:rsid w:val="008B2834"/>
    <w:rsid w:val="008B287B"/>
    <w:rsid w:val="008B28BD"/>
    <w:rsid w:val="008B28C7"/>
    <w:rsid w:val="008B2926"/>
    <w:rsid w:val="008B2AB0"/>
    <w:rsid w:val="008B2B42"/>
    <w:rsid w:val="008B2C12"/>
    <w:rsid w:val="008B2C74"/>
    <w:rsid w:val="008B2D1C"/>
    <w:rsid w:val="008B2E86"/>
    <w:rsid w:val="008B2FC9"/>
    <w:rsid w:val="008B2FD6"/>
    <w:rsid w:val="008B2FDE"/>
    <w:rsid w:val="008B2FDF"/>
    <w:rsid w:val="008B301D"/>
    <w:rsid w:val="008B30F8"/>
    <w:rsid w:val="008B3108"/>
    <w:rsid w:val="008B3157"/>
    <w:rsid w:val="008B3190"/>
    <w:rsid w:val="008B31D6"/>
    <w:rsid w:val="008B329C"/>
    <w:rsid w:val="008B3312"/>
    <w:rsid w:val="008B3467"/>
    <w:rsid w:val="008B3474"/>
    <w:rsid w:val="008B35D7"/>
    <w:rsid w:val="008B364D"/>
    <w:rsid w:val="008B36B2"/>
    <w:rsid w:val="008B36ED"/>
    <w:rsid w:val="008B3892"/>
    <w:rsid w:val="008B3948"/>
    <w:rsid w:val="008B3A7A"/>
    <w:rsid w:val="008B3A87"/>
    <w:rsid w:val="008B3B60"/>
    <w:rsid w:val="008B3BF8"/>
    <w:rsid w:val="008B3C5B"/>
    <w:rsid w:val="008B4035"/>
    <w:rsid w:val="008B4169"/>
    <w:rsid w:val="008B41AB"/>
    <w:rsid w:val="008B42B5"/>
    <w:rsid w:val="008B42E0"/>
    <w:rsid w:val="008B432C"/>
    <w:rsid w:val="008B43C0"/>
    <w:rsid w:val="008B440C"/>
    <w:rsid w:val="008B440D"/>
    <w:rsid w:val="008B44B9"/>
    <w:rsid w:val="008B44DD"/>
    <w:rsid w:val="008B44F9"/>
    <w:rsid w:val="008B4625"/>
    <w:rsid w:val="008B4665"/>
    <w:rsid w:val="008B466C"/>
    <w:rsid w:val="008B47C2"/>
    <w:rsid w:val="008B47EA"/>
    <w:rsid w:val="008B4A0C"/>
    <w:rsid w:val="008B4AE5"/>
    <w:rsid w:val="008B4B2E"/>
    <w:rsid w:val="008B4BA1"/>
    <w:rsid w:val="008B4E48"/>
    <w:rsid w:val="008B4FF0"/>
    <w:rsid w:val="008B51B3"/>
    <w:rsid w:val="008B51C0"/>
    <w:rsid w:val="008B528C"/>
    <w:rsid w:val="008B53B0"/>
    <w:rsid w:val="008B54F4"/>
    <w:rsid w:val="008B553C"/>
    <w:rsid w:val="008B5637"/>
    <w:rsid w:val="008B5736"/>
    <w:rsid w:val="008B5789"/>
    <w:rsid w:val="008B58B0"/>
    <w:rsid w:val="008B5AAC"/>
    <w:rsid w:val="008B5C39"/>
    <w:rsid w:val="008B5C9B"/>
    <w:rsid w:val="008B5D7F"/>
    <w:rsid w:val="008B5DF8"/>
    <w:rsid w:val="008B5F75"/>
    <w:rsid w:val="008B60F9"/>
    <w:rsid w:val="008B610B"/>
    <w:rsid w:val="008B61EA"/>
    <w:rsid w:val="008B62AE"/>
    <w:rsid w:val="008B62E8"/>
    <w:rsid w:val="008B63D7"/>
    <w:rsid w:val="008B63F0"/>
    <w:rsid w:val="008B6493"/>
    <w:rsid w:val="008B64E4"/>
    <w:rsid w:val="008B65E0"/>
    <w:rsid w:val="008B65E4"/>
    <w:rsid w:val="008B6649"/>
    <w:rsid w:val="008B6781"/>
    <w:rsid w:val="008B67A9"/>
    <w:rsid w:val="008B68D1"/>
    <w:rsid w:val="008B697F"/>
    <w:rsid w:val="008B6986"/>
    <w:rsid w:val="008B6A28"/>
    <w:rsid w:val="008B6AD4"/>
    <w:rsid w:val="008B6B05"/>
    <w:rsid w:val="008B6B09"/>
    <w:rsid w:val="008B6BD4"/>
    <w:rsid w:val="008B6C21"/>
    <w:rsid w:val="008B6C70"/>
    <w:rsid w:val="008B6CE1"/>
    <w:rsid w:val="008B6D0B"/>
    <w:rsid w:val="008B6D96"/>
    <w:rsid w:val="008B6E3F"/>
    <w:rsid w:val="008B6ED9"/>
    <w:rsid w:val="008B6F8C"/>
    <w:rsid w:val="008B6F93"/>
    <w:rsid w:val="008B7029"/>
    <w:rsid w:val="008B7068"/>
    <w:rsid w:val="008B71C7"/>
    <w:rsid w:val="008B71DB"/>
    <w:rsid w:val="008B7285"/>
    <w:rsid w:val="008B73BF"/>
    <w:rsid w:val="008B752F"/>
    <w:rsid w:val="008B7610"/>
    <w:rsid w:val="008B7959"/>
    <w:rsid w:val="008B79CC"/>
    <w:rsid w:val="008B7C03"/>
    <w:rsid w:val="008B7C0E"/>
    <w:rsid w:val="008B7E0C"/>
    <w:rsid w:val="008B7F2F"/>
    <w:rsid w:val="008B7F93"/>
    <w:rsid w:val="008C0053"/>
    <w:rsid w:val="008C01D4"/>
    <w:rsid w:val="008C026D"/>
    <w:rsid w:val="008C0313"/>
    <w:rsid w:val="008C0390"/>
    <w:rsid w:val="008C0694"/>
    <w:rsid w:val="008C06BE"/>
    <w:rsid w:val="008C06F0"/>
    <w:rsid w:val="008C0A4D"/>
    <w:rsid w:val="008C0AD4"/>
    <w:rsid w:val="008C0B99"/>
    <w:rsid w:val="008C0BB7"/>
    <w:rsid w:val="008C0C29"/>
    <w:rsid w:val="008C0DB7"/>
    <w:rsid w:val="008C0DB8"/>
    <w:rsid w:val="008C0E1C"/>
    <w:rsid w:val="008C0EAA"/>
    <w:rsid w:val="008C0F56"/>
    <w:rsid w:val="008C0F75"/>
    <w:rsid w:val="008C119E"/>
    <w:rsid w:val="008C146C"/>
    <w:rsid w:val="008C16C2"/>
    <w:rsid w:val="008C16DC"/>
    <w:rsid w:val="008C1716"/>
    <w:rsid w:val="008C17C4"/>
    <w:rsid w:val="008C18DD"/>
    <w:rsid w:val="008C18E9"/>
    <w:rsid w:val="008C18F3"/>
    <w:rsid w:val="008C197F"/>
    <w:rsid w:val="008C199C"/>
    <w:rsid w:val="008C1ACD"/>
    <w:rsid w:val="008C1AFB"/>
    <w:rsid w:val="008C1B49"/>
    <w:rsid w:val="008C1BAA"/>
    <w:rsid w:val="008C1BCE"/>
    <w:rsid w:val="008C1BD9"/>
    <w:rsid w:val="008C1C4C"/>
    <w:rsid w:val="008C1CDC"/>
    <w:rsid w:val="008C1D31"/>
    <w:rsid w:val="008C1D55"/>
    <w:rsid w:val="008C1DE4"/>
    <w:rsid w:val="008C1E60"/>
    <w:rsid w:val="008C1F45"/>
    <w:rsid w:val="008C22B9"/>
    <w:rsid w:val="008C2319"/>
    <w:rsid w:val="008C233B"/>
    <w:rsid w:val="008C2387"/>
    <w:rsid w:val="008C24BA"/>
    <w:rsid w:val="008C24E4"/>
    <w:rsid w:val="008C250C"/>
    <w:rsid w:val="008C2511"/>
    <w:rsid w:val="008C25EB"/>
    <w:rsid w:val="008C2644"/>
    <w:rsid w:val="008C2841"/>
    <w:rsid w:val="008C28B2"/>
    <w:rsid w:val="008C292D"/>
    <w:rsid w:val="008C299A"/>
    <w:rsid w:val="008C29B9"/>
    <w:rsid w:val="008C29C8"/>
    <w:rsid w:val="008C2B39"/>
    <w:rsid w:val="008C2D21"/>
    <w:rsid w:val="008C2D4E"/>
    <w:rsid w:val="008C2D7E"/>
    <w:rsid w:val="008C2E4D"/>
    <w:rsid w:val="008C2F27"/>
    <w:rsid w:val="008C2F38"/>
    <w:rsid w:val="008C300A"/>
    <w:rsid w:val="008C3098"/>
    <w:rsid w:val="008C3106"/>
    <w:rsid w:val="008C31E4"/>
    <w:rsid w:val="008C3255"/>
    <w:rsid w:val="008C3327"/>
    <w:rsid w:val="008C332D"/>
    <w:rsid w:val="008C3342"/>
    <w:rsid w:val="008C3380"/>
    <w:rsid w:val="008C33BA"/>
    <w:rsid w:val="008C342A"/>
    <w:rsid w:val="008C34B1"/>
    <w:rsid w:val="008C3582"/>
    <w:rsid w:val="008C3711"/>
    <w:rsid w:val="008C3722"/>
    <w:rsid w:val="008C3918"/>
    <w:rsid w:val="008C39F8"/>
    <w:rsid w:val="008C3A38"/>
    <w:rsid w:val="008C3B30"/>
    <w:rsid w:val="008C3E96"/>
    <w:rsid w:val="008C3F4E"/>
    <w:rsid w:val="008C3F88"/>
    <w:rsid w:val="008C400D"/>
    <w:rsid w:val="008C414C"/>
    <w:rsid w:val="008C41BD"/>
    <w:rsid w:val="008C41C5"/>
    <w:rsid w:val="008C421C"/>
    <w:rsid w:val="008C421F"/>
    <w:rsid w:val="008C439D"/>
    <w:rsid w:val="008C4448"/>
    <w:rsid w:val="008C4493"/>
    <w:rsid w:val="008C4500"/>
    <w:rsid w:val="008C4602"/>
    <w:rsid w:val="008C4682"/>
    <w:rsid w:val="008C46F1"/>
    <w:rsid w:val="008C4724"/>
    <w:rsid w:val="008C47C2"/>
    <w:rsid w:val="008C49E8"/>
    <w:rsid w:val="008C4AFB"/>
    <w:rsid w:val="008C4AFE"/>
    <w:rsid w:val="008C4B37"/>
    <w:rsid w:val="008C4B53"/>
    <w:rsid w:val="008C4C89"/>
    <w:rsid w:val="008C4C95"/>
    <w:rsid w:val="008C4CD5"/>
    <w:rsid w:val="008C4D5E"/>
    <w:rsid w:val="008C4DDA"/>
    <w:rsid w:val="008C4E02"/>
    <w:rsid w:val="008C4E8A"/>
    <w:rsid w:val="008C4FD0"/>
    <w:rsid w:val="008C5030"/>
    <w:rsid w:val="008C5203"/>
    <w:rsid w:val="008C52AB"/>
    <w:rsid w:val="008C52C6"/>
    <w:rsid w:val="008C531F"/>
    <w:rsid w:val="008C533B"/>
    <w:rsid w:val="008C5394"/>
    <w:rsid w:val="008C54D8"/>
    <w:rsid w:val="008C54F4"/>
    <w:rsid w:val="008C590B"/>
    <w:rsid w:val="008C5961"/>
    <w:rsid w:val="008C5A91"/>
    <w:rsid w:val="008C5AA6"/>
    <w:rsid w:val="008C5C11"/>
    <w:rsid w:val="008C5C2F"/>
    <w:rsid w:val="008C5EFF"/>
    <w:rsid w:val="008C5FDE"/>
    <w:rsid w:val="008C607E"/>
    <w:rsid w:val="008C6089"/>
    <w:rsid w:val="008C61E3"/>
    <w:rsid w:val="008C627A"/>
    <w:rsid w:val="008C62C7"/>
    <w:rsid w:val="008C636D"/>
    <w:rsid w:val="008C6413"/>
    <w:rsid w:val="008C649B"/>
    <w:rsid w:val="008C6524"/>
    <w:rsid w:val="008C65AC"/>
    <w:rsid w:val="008C6673"/>
    <w:rsid w:val="008C672E"/>
    <w:rsid w:val="008C67F4"/>
    <w:rsid w:val="008C6A86"/>
    <w:rsid w:val="008C6C7F"/>
    <w:rsid w:val="008C6D81"/>
    <w:rsid w:val="008C6DA1"/>
    <w:rsid w:val="008C6DB6"/>
    <w:rsid w:val="008C6F16"/>
    <w:rsid w:val="008C6F3D"/>
    <w:rsid w:val="008C6F95"/>
    <w:rsid w:val="008C6FBF"/>
    <w:rsid w:val="008C6FFB"/>
    <w:rsid w:val="008C7092"/>
    <w:rsid w:val="008C709F"/>
    <w:rsid w:val="008C7186"/>
    <w:rsid w:val="008C7242"/>
    <w:rsid w:val="008C729C"/>
    <w:rsid w:val="008C729E"/>
    <w:rsid w:val="008C72B0"/>
    <w:rsid w:val="008C74F8"/>
    <w:rsid w:val="008C750C"/>
    <w:rsid w:val="008C75BC"/>
    <w:rsid w:val="008C75C5"/>
    <w:rsid w:val="008C772B"/>
    <w:rsid w:val="008C7836"/>
    <w:rsid w:val="008C783D"/>
    <w:rsid w:val="008C78A5"/>
    <w:rsid w:val="008C78DB"/>
    <w:rsid w:val="008C79BA"/>
    <w:rsid w:val="008C7A00"/>
    <w:rsid w:val="008C7ADD"/>
    <w:rsid w:val="008C7CEB"/>
    <w:rsid w:val="008C7D5C"/>
    <w:rsid w:val="008C7EDE"/>
    <w:rsid w:val="008C7F3C"/>
    <w:rsid w:val="008C7FE5"/>
    <w:rsid w:val="008D002F"/>
    <w:rsid w:val="008D003A"/>
    <w:rsid w:val="008D014F"/>
    <w:rsid w:val="008D01E4"/>
    <w:rsid w:val="008D028F"/>
    <w:rsid w:val="008D02F3"/>
    <w:rsid w:val="008D03B3"/>
    <w:rsid w:val="008D042F"/>
    <w:rsid w:val="008D04E1"/>
    <w:rsid w:val="008D050E"/>
    <w:rsid w:val="008D063A"/>
    <w:rsid w:val="008D08D2"/>
    <w:rsid w:val="008D08ED"/>
    <w:rsid w:val="008D091F"/>
    <w:rsid w:val="008D0994"/>
    <w:rsid w:val="008D0A97"/>
    <w:rsid w:val="008D0B05"/>
    <w:rsid w:val="008D0CE2"/>
    <w:rsid w:val="008D0D42"/>
    <w:rsid w:val="008D0E2D"/>
    <w:rsid w:val="008D0E3F"/>
    <w:rsid w:val="008D102D"/>
    <w:rsid w:val="008D1440"/>
    <w:rsid w:val="008D1662"/>
    <w:rsid w:val="008D1801"/>
    <w:rsid w:val="008D182C"/>
    <w:rsid w:val="008D18FC"/>
    <w:rsid w:val="008D1969"/>
    <w:rsid w:val="008D19AC"/>
    <w:rsid w:val="008D1B62"/>
    <w:rsid w:val="008D1D80"/>
    <w:rsid w:val="008D1D95"/>
    <w:rsid w:val="008D1EAB"/>
    <w:rsid w:val="008D1F50"/>
    <w:rsid w:val="008D2014"/>
    <w:rsid w:val="008D217E"/>
    <w:rsid w:val="008D21AE"/>
    <w:rsid w:val="008D21FB"/>
    <w:rsid w:val="008D22BC"/>
    <w:rsid w:val="008D232B"/>
    <w:rsid w:val="008D24E1"/>
    <w:rsid w:val="008D2583"/>
    <w:rsid w:val="008D2598"/>
    <w:rsid w:val="008D2738"/>
    <w:rsid w:val="008D2869"/>
    <w:rsid w:val="008D2A75"/>
    <w:rsid w:val="008D2B09"/>
    <w:rsid w:val="008D2B1C"/>
    <w:rsid w:val="008D2C05"/>
    <w:rsid w:val="008D2C6D"/>
    <w:rsid w:val="008D2C6F"/>
    <w:rsid w:val="008D2DC6"/>
    <w:rsid w:val="008D2E88"/>
    <w:rsid w:val="008D2F18"/>
    <w:rsid w:val="008D2F28"/>
    <w:rsid w:val="008D2F66"/>
    <w:rsid w:val="008D3055"/>
    <w:rsid w:val="008D30A4"/>
    <w:rsid w:val="008D3112"/>
    <w:rsid w:val="008D31F6"/>
    <w:rsid w:val="008D3226"/>
    <w:rsid w:val="008D328D"/>
    <w:rsid w:val="008D33BE"/>
    <w:rsid w:val="008D341E"/>
    <w:rsid w:val="008D343F"/>
    <w:rsid w:val="008D35D4"/>
    <w:rsid w:val="008D35ED"/>
    <w:rsid w:val="008D375B"/>
    <w:rsid w:val="008D3893"/>
    <w:rsid w:val="008D3919"/>
    <w:rsid w:val="008D3963"/>
    <w:rsid w:val="008D39E2"/>
    <w:rsid w:val="008D39F6"/>
    <w:rsid w:val="008D3A05"/>
    <w:rsid w:val="008D3CA1"/>
    <w:rsid w:val="008D3D55"/>
    <w:rsid w:val="008D3E5D"/>
    <w:rsid w:val="008D3F7F"/>
    <w:rsid w:val="008D3FE7"/>
    <w:rsid w:val="008D40A4"/>
    <w:rsid w:val="008D4197"/>
    <w:rsid w:val="008D41FC"/>
    <w:rsid w:val="008D4203"/>
    <w:rsid w:val="008D43A9"/>
    <w:rsid w:val="008D4435"/>
    <w:rsid w:val="008D44EB"/>
    <w:rsid w:val="008D467F"/>
    <w:rsid w:val="008D46C5"/>
    <w:rsid w:val="008D46F7"/>
    <w:rsid w:val="008D4755"/>
    <w:rsid w:val="008D484B"/>
    <w:rsid w:val="008D487D"/>
    <w:rsid w:val="008D499D"/>
    <w:rsid w:val="008D49D8"/>
    <w:rsid w:val="008D4A3F"/>
    <w:rsid w:val="008D4A8A"/>
    <w:rsid w:val="008D4B71"/>
    <w:rsid w:val="008D4BA9"/>
    <w:rsid w:val="008D4C3B"/>
    <w:rsid w:val="008D4C7E"/>
    <w:rsid w:val="008D4C9A"/>
    <w:rsid w:val="008D4CA8"/>
    <w:rsid w:val="008D4D2E"/>
    <w:rsid w:val="008D4E78"/>
    <w:rsid w:val="008D4E9B"/>
    <w:rsid w:val="008D4F27"/>
    <w:rsid w:val="008D4F39"/>
    <w:rsid w:val="008D4F59"/>
    <w:rsid w:val="008D4FB7"/>
    <w:rsid w:val="008D503F"/>
    <w:rsid w:val="008D5153"/>
    <w:rsid w:val="008D5253"/>
    <w:rsid w:val="008D5384"/>
    <w:rsid w:val="008D53E2"/>
    <w:rsid w:val="008D54B2"/>
    <w:rsid w:val="008D56BE"/>
    <w:rsid w:val="008D56F5"/>
    <w:rsid w:val="008D57BF"/>
    <w:rsid w:val="008D58E0"/>
    <w:rsid w:val="008D58F3"/>
    <w:rsid w:val="008D5951"/>
    <w:rsid w:val="008D59AF"/>
    <w:rsid w:val="008D59EE"/>
    <w:rsid w:val="008D5A57"/>
    <w:rsid w:val="008D5A6E"/>
    <w:rsid w:val="008D5B89"/>
    <w:rsid w:val="008D5BAD"/>
    <w:rsid w:val="008D5C19"/>
    <w:rsid w:val="008D5DBB"/>
    <w:rsid w:val="008D5DEC"/>
    <w:rsid w:val="008D5E21"/>
    <w:rsid w:val="008D5EEA"/>
    <w:rsid w:val="008D5F0C"/>
    <w:rsid w:val="008D5FE7"/>
    <w:rsid w:val="008D6166"/>
    <w:rsid w:val="008D618A"/>
    <w:rsid w:val="008D6219"/>
    <w:rsid w:val="008D62D5"/>
    <w:rsid w:val="008D635D"/>
    <w:rsid w:val="008D64B3"/>
    <w:rsid w:val="008D6504"/>
    <w:rsid w:val="008D65BB"/>
    <w:rsid w:val="008D6720"/>
    <w:rsid w:val="008D691F"/>
    <w:rsid w:val="008D692B"/>
    <w:rsid w:val="008D69C2"/>
    <w:rsid w:val="008D6B4E"/>
    <w:rsid w:val="008D6B69"/>
    <w:rsid w:val="008D6C8D"/>
    <w:rsid w:val="008D6CC7"/>
    <w:rsid w:val="008D6CD0"/>
    <w:rsid w:val="008D6D54"/>
    <w:rsid w:val="008D6E08"/>
    <w:rsid w:val="008D6EA6"/>
    <w:rsid w:val="008D6EAF"/>
    <w:rsid w:val="008D6ED6"/>
    <w:rsid w:val="008D6EDE"/>
    <w:rsid w:val="008D6F09"/>
    <w:rsid w:val="008D7027"/>
    <w:rsid w:val="008D7044"/>
    <w:rsid w:val="008D7149"/>
    <w:rsid w:val="008D729C"/>
    <w:rsid w:val="008D72D6"/>
    <w:rsid w:val="008D7323"/>
    <w:rsid w:val="008D7468"/>
    <w:rsid w:val="008D7524"/>
    <w:rsid w:val="008D75B3"/>
    <w:rsid w:val="008D76C7"/>
    <w:rsid w:val="008D773A"/>
    <w:rsid w:val="008D7783"/>
    <w:rsid w:val="008D7840"/>
    <w:rsid w:val="008D7950"/>
    <w:rsid w:val="008D7955"/>
    <w:rsid w:val="008D7B46"/>
    <w:rsid w:val="008D7B4D"/>
    <w:rsid w:val="008D7B88"/>
    <w:rsid w:val="008D7C66"/>
    <w:rsid w:val="008D7CC1"/>
    <w:rsid w:val="008D7CD2"/>
    <w:rsid w:val="008D7D04"/>
    <w:rsid w:val="008D7D48"/>
    <w:rsid w:val="008D7E8B"/>
    <w:rsid w:val="008E009A"/>
    <w:rsid w:val="008E01AE"/>
    <w:rsid w:val="008E0349"/>
    <w:rsid w:val="008E03F5"/>
    <w:rsid w:val="008E04A9"/>
    <w:rsid w:val="008E067F"/>
    <w:rsid w:val="008E0745"/>
    <w:rsid w:val="008E076B"/>
    <w:rsid w:val="008E077F"/>
    <w:rsid w:val="008E080A"/>
    <w:rsid w:val="008E089C"/>
    <w:rsid w:val="008E0995"/>
    <w:rsid w:val="008E0B75"/>
    <w:rsid w:val="008E0C6B"/>
    <w:rsid w:val="008E0D33"/>
    <w:rsid w:val="008E0D92"/>
    <w:rsid w:val="008E0E2F"/>
    <w:rsid w:val="008E0E61"/>
    <w:rsid w:val="008E0EB9"/>
    <w:rsid w:val="008E0FFE"/>
    <w:rsid w:val="008E10A0"/>
    <w:rsid w:val="008E1136"/>
    <w:rsid w:val="008E12A5"/>
    <w:rsid w:val="008E12CC"/>
    <w:rsid w:val="008E12D5"/>
    <w:rsid w:val="008E13A6"/>
    <w:rsid w:val="008E13D9"/>
    <w:rsid w:val="008E150E"/>
    <w:rsid w:val="008E1637"/>
    <w:rsid w:val="008E16A7"/>
    <w:rsid w:val="008E16B9"/>
    <w:rsid w:val="008E1764"/>
    <w:rsid w:val="008E18BA"/>
    <w:rsid w:val="008E1967"/>
    <w:rsid w:val="008E1A60"/>
    <w:rsid w:val="008E1ADE"/>
    <w:rsid w:val="008E1BBB"/>
    <w:rsid w:val="008E1D3B"/>
    <w:rsid w:val="008E1E0B"/>
    <w:rsid w:val="008E1EC8"/>
    <w:rsid w:val="008E1F9F"/>
    <w:rsid w:val="008E2014"/>
    <w:rsid w:val="008E2086"/>
    <w:rsid w:val="008E2136"/>
    <w:rsid w:val="008E21A0"/>
    <w:rsid w:val="008E21D7"/>
    <w:rsid w:val="008E21E7"/>
    <w:rsid w:val="008E221C"/>
    <w:rsid w:val="008E22D2"/>
    <w:rsid w:val="008E231E"/>
    <w:rsid w:val="008E23E1"/>
    <w:rsid w:val="008E2436"/>
    <w:rsid w:val="008E247D"/>
    <w:rsid w:val="008E24F4"/>
    <w:rsid w:val="008E254B"/>
    <w:rsid w:val="008E2590"/>
    <w:rsid w:val="008E25C5"/>
    <w:rsid w:val="008E2626"/>
    <w:rsid w:val="008E2646"/>
    <w:rsid w:val="008E2647"/>
    <w:rsid w:val="008E27D5"/>
    <w:rsid w:val="008E28E6"/>
    <w:rsid w:val="008E2917"/>
    <w:rsid w:val="008E2A52"/>
    <w:rsid w:val="008E2ADF"/>
    <w:rsid w:val="008E2BAF"/>
    <w:rsid w:val="008E2C23"/>
    <w:rsid w:val="008E2DB7"/>
    <w:rsid w:val="008E2E2B"/>
    <w:rsid w:val="008E2E2C"/>
    <w:rsid w:val="008E2F32"/>
    <w:rsid w:val="008E2FDA"/>
    <w:rsid w:val="008E2FDC"/>
    <w:rsid w:val="008E356E"/>
    <w:rsid w:val="008E35BD"/>
    <w:rsid w:val="008E362D"/>
    <w:rsid w:val="008E3741"/>
    <w:rsid w:val="008E3798"/>
    <w:rsid w:val="008E37F4"/>
    <w:rsid w:val="008E3865"/>
    <w:rsid w:val="008E391E"/>
    <w:rsid w:val="008E3A21"/>
    <w:rsid w:val="008E3A5E"/>
    <w:rsid w:val="008E3B0A"/>
    <w:rsid w:val="008E3B7E"/>
    <w:rsid w:val="008E3BA7"/>
    <w:rsid w:val="008E3BEB"/>
    <w:rsid w:val="008E3DCB"/>
    <w:rsid w:val="008E3DFB"/>
    <w:rsid w:val="008E3E51"/>
    <w:rsid w:val="008E3E5D"/>
    <w:rsid w:val="008E3F13"/>
    <w:rsid w:val="008E3F3A"/>
    <w:rsid w:val="008E4062"/>
    <w:rsid w:val="008E412E"/>
    <w:rsid w:val="008E41B7"/>
    <w:rsid w:val="008E431A"/>
    <w:rsid w:val="008E4352"/>
    <w:rsid w:val="008E441A"/>
    <w:rsid w:val="008E443F"/>
    <w:rsid w:val="008E45DF"/>
    <w:rsid w:val="008E470A"/>
    <w:rsid w:val="008E48DF"/>
    <w:rsid w:val="008E48FE"/>
    <w:rsid w:val="008E4920"/>
    <w:rsid w:val="008E49D4"/>
    <w:rsid w:val="008E4A70"/>
    <w:rsid w:val="008E4B7C"/>
    <w:rsid w:val="008E4B86"/>
    <w:rsid w:val="008E4BB9"/>
    <w:rsid w:val="008E4C5F"/>
    <w:rsid w:val="008E4C9F"/>
    <w:rsid w:val="008E4D11"/>
    <w:rsid w:val="008E4D3A"/>
    <w:rsid w:val="008E4DA4"/>
    <w:rsid w:val="008E4E21"/>
    <w:rsid w:val="008E4F0E"/>
    <w:rsid w:val="008E517D"/>
    <w:rsid w:val="008E518E"/>
    <w:rsid w:val="008E521F"/>
    <w:rsid w:val="008E530F"/>
    <w:rsid w:val="008E54B6"/>
    <w:rsid w:val="008E5579"/>
    <w:rsid w:val="008E55DF"/>
    <w:rsid w:val="008E55F3"/>
    <w:rsid w:val="008E5672"/>
    <w:rsid w:val="008E584B"/>
    <w:rsid w:val="008E5871"/>
    <w:rsid w:val="008E5960"/>
    <w:rsid w:val="008E5993"/>
    <w:rsid w:val="008E59A8"/>
    <w:rsid w:val="008E5A2C"/>
    <w:rsid w:val="008E5A83"/>
    <w:rsid w:val="008E5B86"/>
    <w:rsid w:val="008E5C82"/>
    <w:rsid w:val="008E5F61"/>
    <w:rsid w:val="008E6189"/>
    <w:rsid w:val="008E61DB"/>
    <w:rsid w:val="008E62BC"/>
    <w:rsid w:val="008E6301"/>
    <w:rsid w:val="008E6485"/>
    <w:rsid w:val="008E6542"/>
    <w:rsid w:val="008E6633"/>
    <w:rsid w:val="008E6683"/>
    <w:rsid w:val="008E670A"/>
    <w:rsid w:val="008E6761"/>
    <w:rsid w:val="008E67F9"/>
    <w:rsid w:val="008E6830"/>
    <w:rsid w:val="008E689A"/>
    <w:rsid w:val="008E6927"/>
    <w:rsid w:val="008E6A36"/>
    <w:rsid w:val="008E6B13"/>
    <w:rsid w:val="008E6B50"/>
    <w:rsid w:val="008E6F2C"/>
    <w:rsid w:val="008E6F53"/>
    <w:rsid w:val="008E708A"/>
    <w:rsid w:val="008E70B8"/>
    <w:rsid w:val="008E71B8"/>
    <w:rsid w:val="008E7210"/>
    <w:rsid w:val="008E7519"/>
    <w:rsid w:val="008E756E"/>
    <w:rsid w:val="008E75AB"/>
    <w:rsid w:val="008E765C"/>
    <w:rsid w:val="008E7680"/>
    <w:rsid w:val="008E784F"/>
    <w:rsid w:val="008E78A1"/>
    <w:rsid w:val="008E78BC"/>
    <w:rsid w:val="008E78D2"/>
    <w:rsid w:val="008E7924"/>
    <w:rsid w:val="008E7A3D"/>
    <w:rsid w:val="008E7A6E"/>
    <w:rsid w:val="008E7B18"/>
    <w:rsid w:val="008E7B8E"/>
    <w:rsid w:val="008E7BA1"/>
    <w:rsid w:val="008E7DA9"/>
    <w:rsid w:val="008E7DD5"/>
    <w:rsid w:val="008E7DEE"/>
    <w:rsid w:val="008E7EA7"/>
    <w:rsid w:val="008E7ED3"/>
    <w:rsid w:val="008E7EF3"/>
    <w:rsid w:val="008E7FC3"/>
    <w:rsid w:val="008F00C7"/>
    <w:rsid w:val="008F00D6"/>
    <w:rsid w:val="008F014F"/>
    <w:rsid w:val="008F02C4"/>
    <w:rsid w:val="008F037F"/>
    <w:rsid w:val="008F04C2"/>
    <w:rsid w:val="008F05AD"/>
    <w:rsid w:val="008F05CA"/>
    <w:rsid w:val="008F05CF"/>
    <w:rsid w:val="008F06D5"/>
    <w:rsid w:val="008F084E"/>
    <w:rsid w:val="008F0896"/>
    <w:rsid w:val="008F0919"/>
    <w:rsid w:val="008F0B14"/>
    <w:rsid w:val="008F0B18"/>
    <w:rsid w:val="008F0B1B"/>
    <w:rsid w:val="008F0BC3"/>
    <w:rsid w:val="008F0BE0"/>
    <w:rsid w:val="008F0C77"/>
    <w:rsid w:val="008F0CDF"/>
    <w:rsid w:val="008F0D2A"/>
    <w:rsid w:val="008F0D5C"/>
    <w:rsid w:val="008F0D77"/>
    <w:rsid w:val="008F0DD6"/>
    <w:rsid w:val="008F0DF0"/>
    <w:rsid w:val="008F0E18"/>
    <w:rsid w:val="008F0E53"/>
    <w:rsid w:val="008F0E8C"/>
    <w:rsid w:val="008F0F00"/>
    <w:rsid w:val="008F1169"/>
    <w:rsid w:val="008F11B8"/>
    <w:rsid w:val="008F137B"/>
    <w:rsid w:val="008F13FD"/>
    <w:rsid w:val="008F15AA"/>
    <w:rsid w:val="008F1614"/>
    <w:rsid w:val="008F171F"/>
    <w:rsid w:val="008F1872"/>
    <w:rsid w:val="008F18C4"/>
    <w:rsid w:val="008F18FF"/>
    <w:rsid w:val="008F1965"/>
    <w:rsid w:val="008F1989"/>
    <w:rsid w:val="008F1A2E"/>
    <w:rsid w:val="008F1F0E"/>
    <w:rsid w:val="008F1F15"/>
    <w:rsid w:val="008F1F5D"/>
    <w:rsid w:val="008F1FE5"/>
    <w:rsid w:val="008F2009"/>
    <w:rsid w:val="008F2044"/>
    <w:rsid w:val="008F218F"/>
    <w:rsid w:val="008F220B"/>
    <w:rsid w:val="008F2358"/>
    <w:rsid w:val="008F235E"/>
    <w:rsid w:val="008F2381"/>
    <w:rsid w:val="008F2413"/>
    <w:rsid w:val="008F25DE"/>
    <w:rsid w:val="008F27D1"/>
    <w:rsid w:val="008F2885"/>
    <w:rsid w:val="008F2AEC"/>
    <w:rsid w:val="008F2C05"/>
    <w:rsid w:val="008F2C78"/>
    <w:rsid w:val="008F2D7C"/>
    <w:rsid w:val="008F2DDF"/>
    <w:rsid w:val="008F2E88"/>
    <w:rsid w:val="008F2EAF"/>
    <w:rsid w:val="008F2F05"/>
    <w:rsid w:val="008F2F3E"/>
    <w:rsid w:val="008F2FED"/>
    <w:rsid w:val="008F30D1"/>
    <w:rsid w:val="008F316E"/>
    <w:rsid w:val="008F3171"/>
    <w:rsid w:val="008F31BA"/>
    <w:rsid w:val="008F32BD"/>
    <w:rsid w:val="008F3327"/>
    <w:rsid w:val="008F33EB"/>
    <w:rsid w:val="008F362D"/>
    <w:rsid w:val="008F3839"/>
    <w:rsid w:val="008F3860"/>
    <w:rsid w:val="008F38EA"/>
    <w:rsid w:val="008F3911"/>
    <w:rsid w:val="008F3A4C"/>
    <w:rsid w:val="008F3A89"/>
    <w:rsid w:val="008F3B1C"/>
    <w:rsid w:val="008F3C24"/>
    <w:rsid w:val="008F3DEE"/>
    <w:rsid w:val="008F3E9D"/>
    <w:rsid w:val="008F3EF8"/>
    <w:rsid w:val="008F4043"/>
    <w:rsid w:val="008F4067"/>
    <w:rsid w:val="008F408C"/>
    <w:rsid w:val="008F41EF"/>
    <w:rsid w:val="008F426B"/>
    <w:rsid w:val="008F42BF"/>
    <w:rsid w:val="008F42F1"/>
    <w:rsid w:val="008F43D1"/>
    <w:rsid w:val="008F441B"/>
    <w:rsid w:val="008F4479"/>
    <w:rsid w:val="008F44C2"/>
    <w:rsid w:val="008F4511"/>
    <w:rsid w:val="008F454A"/>
    <w:rsid w:val="008F4721"/>
    <w:rsid w:val="008F483D"/>
    <w:rsid w:val="008F4A1B"/>
    <w:rsid w:val="008F4A59"/>
    <w:rsid w:val="008F4B31"/>
    <w:rsid w:val="008F4BA8"/>
    <w:rsid w:val="008F4DE9"/>
    <w:rsid w:val="008F4E68"/>
    <w:rsid w:val="008F4E80"/>
    <w:rsid w:val="008F4EA8"/>
    <w:rsid w:val="008F4EB8"/>
    <w:rsid w:val="008F5141"/>
    <w:rsid w:val="008F51A7"/>
    <w:rsid w:val="008F522E"/>
    <w:rsid w:val="008F5309"/>
    <w:rsid w:val="008F549C"/>
    <w:rsid w:val="008F56D3"/>
    <w:rsid w:val="008F573D"/>
    <w:rsid w:val="008F5758"/>
    <w:rsid w:val="008F5765"/>
    <w:rsid w:val="008F576D"/>
    <w:rsid w:val="008F578A"/>
    <w:rsid w:val="008F5834"/>
    <w:rsid w:val="008F5836"/>
    <w:rsid w:val="008F5927"/>
    <w:rsid w:val="008F5A2C"/>
    <w:rsid w:val="008F5AF2"/>
    <w:rsid w:val="008F5B01"/>
    <w:rsid w:val="008F5B86"/>
    <w:rsid w:val="008F5BBA"/>
    <w:rsid w:val="008F5BBC"/>
    <w:rsid w:val="008F5BDC"/>
    <w:rsid w:val="008F5C0A"/>
    <w:rsid w:val="008F5C51"/>
    <w:rsid w:val="008F5C63"/>
    <w:rsid w:val="008F5C6A"/>
    <w:rsid w:val="008F5CD7"/>
    <w:rsid w:val="008F5D08"/>
    <w:rsid w:val="008F5EB6"/>
    <w:rsid w:val="008F5F0F"/>
    <w:rsid w:val="008F5F26"/>
    <w:rsid w:val="008F5FBD"/>
    <w:rsid w:val="008F6027"/>
    <w:rsid w:val="008F6042"/>
    <w:rsid w:val="008F60BB"/>
    <w:rsid w:val="008F616D"/>
    <w:rsid w:val="008F6180"/>
    <w:rsid w:val="008F61B6"/>
    <w:rsid w:val="008F61E8"/>
    <w:rsid w:val="008F6304"/>
    <w:rsid w:val="008F63D5"/>
    <w:rsid w:val="008F656B"/>
    <w:rsid w:val="008F659F"/>
    <w:rsid w:val="008F6817"/>
    <w:rsid w:val="008F6841"/>
    <w:rsid w:val="008F68FB"/>
    <w:rsid w:val="008F6A1D"/>
    <w:rsid w:val="008F6B4A"/>
    <w:rsid w:val="008F6C9E"/>
    <w:rsid w:val="008F6CC1"/>
    <w:rsid w:val="008F6CE7"/>
    <w:rsid w:val="008F6D06"/>
    <w:rsid w:val="008F6D37"/>
    <w:rsid w:val="008F6D96"/>
    <w:rsid w:val="008F6DDC"/>
    <w:rsid w:val="008F6E67"/>
    <w:rsid w:val="008F712D"/>
    <w:rsid w:val="008F713A"/>
    <w:rsid w:val="008F715E"/>
    <w:rsid w:val="008F719E"/>
    <w:rsid w:val="008F71FD"/>
    <w:rsid w:val="008F73AC"/>
    <w:rsid w:val="008F7425"/>
    <w:rsid w:val="008F748C"/>
    <w:rsid w:val="008F7544"/>
    <w:rsid w:val="008F760C"/>
    <w:rsid w:val="008F764B"/>
    <w:rsid w:val="008F77D4"/>
    <w:rsid w:val="008F7806"/>
    <w:rsid w:val="008F7941"/>
    <w:rsid w:val="008F7AC5"/>
    <w:rsid w:val="008F7B51"/>
    <w:rsid w:val="008F7D1F"/>
    <w:rsid w:val="008F7D8B"/>
    <w:rsid w:val="0090002D"/>
    <w:rsid w:val="009000C9"/>
    <w:rsid w:val="0090010A"/>
    <w:rsid w:val="00900298"/>
    <w:rsid w:val="0090034C"/>
    <w:rsid w:val="00900503"/>
    <w:rsid w:val="00900572"/>
    <w:rsid w:val="009005A0"/>
    <w:rsid w:val="009005F3"/>
    <w:rsid w:val="0090092C"/>
    <w:rsid w:val="00900998"/>
    <w:rsid w:val="00900B39"/>
    <w:rsid w:val="00900C71"/>
    <w:rsid w:val="00900D4C"/>
    <w:rsid w:val="00900DB3"/>
    <w:rsid w:val="00900E23"/>
    <w:rsid w:val="00900F01"/>
    <w:rsid w:val="00900FF8"/>
    <w:rsid w:val="009010B7"/>
    <w:rsid w:val="00901160"/>
    <w:rsid w:val="00901244"/>
    <w:rsid w:val="0090129A"/>
    <w:rsid w:val="009012D9"/>
    <w:rsid w:val="00901351"/>
    <w:rsid w:val="0090139A"/>
    <w:rsid w:val="009015B9"/>
    <w:rsid w:val="00901692"/>
    <w:rsid w:val="00901797"/>
    <w:rsid w:val="009019BE"/>
    <w:rsid w:val="009019CD"/>
    <w:rsid w:val="00901A3C"/>
    <w:rsid w:val="00901A95"/>
    <w:rsid w:val="00901AB1"/>
    <w:rsid w:val="00901BE9"/>
    <w:rsid w:val="00901C2E"/>
    <w:rsid w:val="00901D02"/>
    <w:rsid w:val="00901DB8"/>
    <w:rsid w:val="00901EF0"/>
    <w:rsid w:val="00901FE2"/>
    <w:rsid w:val="00902045"/>
    <w:rsid w:val="009021DC"/>
    <w:rsid w:val="00902266"/>
    <w:rsid w:val="009022C2"/>
    <w:rsid w:val="00902313"/>
    <w:rsid w:val="0090235F"/>
    <w:rsid w:val="009023EE"/>
    <w:rsid w:val="0090247A"/>
    <w:rsid w:val="00902501"/>
    <w:rsid w:val="00902629"/>
    <w:rsid w:val="0090266E"/>
    <w:rsid w:val="00902716"/>
    <w:rsid w:val="009028ED"/>
    <w:rsid w:val="00902995"/>
    <w:rsid w:val="00902C46"/>
    <w:rsid w:val="00902CC5"/>
    <w:rsid w:val="00902DE2"/>
    <w:rsid w:val="00902F12"/>
    <w:rsid w:val="00902F1A"/>
    <w:rsid w:val="0090306F"/>
    <w:rsid w:val="00903148"/>
    <w:rsid w:val="00903162"/>
    <w:rsid w:val="00903228"/>
    <w:rsid w:val="00903325"/>
    <w:rsid w:val="00903345"/>
    <w:rsid w:val="00903474"/>
    <w:rsid w:val="0090353C"/>
    <w:rsid w:val="00903565"/>
    <w:rsid w:val="009035BA"/>
    <w:rsid w:val="00903718"/>
    <w:rsid w:val="009037A8"/>
    <w:rsid w:val="0090388D"/>
    <w:rsid w:val="009039D3"/>
    <w:rsid w:val="00903A94"/>
    <w:rsid w:val="00903C69"/>
    <w:rsid w:val="00903D17"/>
    <w:rsid w:val="00903E0D"/>
    <w:rsid w:val="00903E3C"/>
    <w:rsid w:val="00904029"/>
    <w:rsid w:val="00904097"/>
    <w:rsid w:val="00904121"/>
    <w:rsid w:val="009041EF"/>
    <w:rsid w:val="00904286"/>
    <w:rsid w:val="009042C6"/>
    <w:rsid w:val="0090431A"/>
    <w:rsid w:val="00904330"/>
    <w:rsid w:val="0090476B"/>
    <w:rsid w:val="0090481C"/>
    <w:rsid w:val="0090491B"/>
    <w:rsid w:val="00904927"/>
    <w:rsid w:val="0090494D"/>
    <w:rsid w:val="0090496F"/>
    <w:rsid w:val="009049B6"/>
    <w:rsid w:val="00904C05"/>
    <w:rsid w:val="00904D43"/>
    <w:rsid w:val="00904D54"/>
    <w:rsid w:val="00904D8E"/>
    <w:rsid w:val="0090511C"/>
    <w:rsid w:val="00905169"/>
    <w:rsid w:val="009051A2"/>
    <w:rsid w:val="00905274"/>
    <w:rsid w:val="00905308"/>
    <w:rsid w:val="00905356"/>
    <w:rsid w:val="009053C9"/>
    <w:rsid w:val="009053F7"/>
    <w:rsid w:val="00905422"/>
    <w:rsid w:val="0090544F"/>
    <w:rsid w:val="009054A6"/>
    <w:rsid w:val="00905503"/>
    <w:rsid w:val="00905685"/>
    <w:rsid w:val="0090568B"/>
    <w:rsid w:val="009057AB"/>
    <w:rsid w:val="00905884"/>
    <w:rsid w:val="009058B1"/>
    <w:rsid w:val="0090590E"/>
    <w:rsid w:val="0090597A"/>
    <w:rsid w:val="00905A41"/>
    <w:rsid w:val="00905B42"/>
    <w:rsid w:val="00905BF6"/>
    <w:rsid w:val="00905DC7"/>
    <w:rsid w:val="00905EA7"/>
    <w:rsid w:val="00905F3D"/>
    <w:rsid w:val="00906044"/>
    <w:rsid w:val="0090605D"/>
    <w:rsid w:val="00906066"/>
    <w:rsid w:val="00906088"/>
    <w:rsid w:val="0090621F"/>
    <w:rsid w:val="00906373"/>
    <w:rsid w:val="00906402"/>
    <w:rsid w:val="00906413"/>
    <w:rsid w:val="009064E8"/>
    <w:rsid w:val="00906512"/>
    <w:rsid w:val="0090665C"/>
    <w:rsid w:val="009066AC"/>
    <w:rsid w:val="009066D4"/>
    <w:rsid w:val="009066E1"/>
    <w:rsid w:val="00906723"/>
    <w:rsid w:val="0090674E"/>
    <w:rsid w:val="009067CD"/>
    <w:rsid w:val="00906998"/>
    <w:rsid w:val="009069F9"/>
    <w:rsid w:val="00906AE2"/>
    <w:rsid w:val="00906BC9"/>
    <w:rsid w:val="00906C2F"/>
    <w:rsid w:val="00906D20"/>
    <w:rsid w:val="00906D69"/>
    <w:rsid w:val="00906E31"/>
    <w:rsid w:val="00906E75"/>
    <w:rsid w:val="00906F43"/>
    <w:rsid w:val="00906F68"/>
    <w:rsid w:val="00906FD6"/>
    <w:rsid w:val="009070B2"/>
    <w:rsid w:val="009070E8"/>
    <w:rsid w:val="0090711F"/>
    <w:rsid w:val="0090716E"/>
    <w:rsid w:val="00907205"/>
    <w:rsid w:val="009072E6"/>
    <w:rsid w:val="00907334"/>
    <w:rsid w:val="00907774"/>
    <w:rsid w:val="009077EC"/>
    <w:rsid w:val="00907812"/>
    <w:rsid w:val="00907959"/>
    <w:rsid w:val="0090796C"/>
    <w:rsid w:val="00907A0D"/>
    <w:rsid w:val="00907A6F"/>
    <w:rsid w:val="00907BBD"/>
    <w:rsid w:val="00907BC5"/>
    <w:rsid w:val="00907CFB"/>
    <w:rsid w:val="00907DD5"/>
    <w:rsid w:val="00907EBF"/>
    <w:rsid w:val="00910006"/>
    <w:rsid w:val="00910095"/>
    <w:rsid w:val="009101F7"/>
    <w:rsid w:val="009101FB"/>
    <w:rsid w:val="00910283"/>
    <w:rsid w:val="00910321"/>
    <w:rsid w:val="009103AF"/>
    <w:rsid w:val="00910411"/>
    <w:rsid w:val="00910461"/>
    <w:rsid w:val="009104CB"/>
    <w:rsid w:val="00910578"/>
    <w:rsid w:val="00910688"/>
    <w:rsid w:val="0091071F"/>
    <w:rsid w:val="00910825"/>
    <w:rsid w:val="009108F5"/>
    <w:rsid w:val="00910964"/>
    <w:rsid w:val="009109AD"/>
    <w:rsid w:val="00910B6A"/>
    <w:rsid w:val="00910B8D"/>
    <w:rsid w:val="00910BD0"/>
    <w:rsid w:val="00910C32"/>
    <w:rsid w:val="00910C5A"/>
    <w:rsid w:val="00910E07"/>
    <w:rsid w:val="009110A1"/>
    <w:rsid w:val="009110B6"/>
    <w:rsid w:val="009110F5"/>
    <w:rsid w:val="00911114"/>
    <w:rsid w:val="00911194"/>
    <w:rsid w:val="009111FB"/>
    <w:rsid w:val="009112B4"/>
    <w:rsid w:val="0091133A"/>
    <w:rsid w:val="00911371"/>
    <w:rsid w:val="009113B3"/>
    <w:rsid w:val="009113C3"/>
    <w:rsid w:val="009113E2"/>
    <w:rsid w:val="00911514"/>
    <w:rsid w:val="00911641"/>
    <w:rsid w:val="009116E9"/>
    <w:rsid w:val="009117CB"/>
    <w:rsid w:val="00911A72"/>
    <w:rsid w:val="00911AE0"/>
    <w:rsid w:val="00911B0D"/>
    <w:rsid w:val="00911BC5"/>
    <w:rsid w:val="00911E26"/>
    <w:rsid w:val="00911E3D"/>
    <w:rsid w:val="00911EAA"/>
    <w:rsid w:val="00911F35"/>
    <w:rsid w:val="00912175"/>
    <w:rsid w:val="009121DC"/>
    <w:rsid w:val="00912229"/>
    <w:rsid w:val="00912305"/>
    <w:rsid w:val="0091238C"/>
    <w:rsid w:val="0091244F"/>
    <w:rsid w:val="00912628"/>
    <w:rsid w:val="00912715"/>
    <w:rsid w:val="00912754"/>
    <w:rsid w:val="0091280A"/>
    <w:rsid w:val="00912BA4"/>
    <w:rsid w:val="00912BCD"/>
    <w:rsid w:val="00912CFD"/>
    <w:rsid w:val="00912DC8"/>
    <w:rsid w:val="00912E2E"/>
    <w:rsid w:val="00913043"/>
    <w:rsid w:val="009130A8"/>
    <w:rsid w:val="009130D0"/>
    <w:rsid w:val="00913130"/>
    <w:rsid w:val="00913131"/>
    <w:rsid w:val="00913214"/>
    <w:rsid w:val="00913238"/>
    <w:rsid w:val="009133BF"/>
    <w:rsid w:val="00913443"/>
    <w:rsid w:val="0091353A"/>
    <w:rsid w:val="009135D4"/>
    <w:rsid w:val="00913618"/>
    <w:rsid w:val="009136AE"/>
    <w:rsid w:val="00913702"/>
    <w:rsid w:val="0091378C"/>
    <w:rsid w:val="00913AAB"/>
    <w:rsid w:val="00913B2F"/>
    <w:rsid w:val="00913B76"/>
    <w:rsid w:val="00913C49"/>
    <w:rsid w:val="00913CE6"/>
    <w:rsid w:val="00913DAC"/>
    <w:rsid w:val="00913DD0"/>
    <w:rsid w:val="00913DEB"/>
    <w:rsid w:val="00913DF3"/>
    <w:rsid w:val="00913E79"/>
    <w:rsid w:val="00913F01"/>
    <w:rsid w:val="00913F74"/>
    <w:rsid w:val="00914056"/>
    <w:rsid w:val="009140A5"/>
    <w:rsid w:val="009140C8"/>
    <w:rsid w:val="009140D6"/>
    <w:rsid w:val="00914133"/>
    <w:rsid w:val="0091417D"/>
    <w:rsid w:val="0091417F"/>
    <w:rsid w:val="00914191"/>
    <w:rsid w:val="00914200"/>
    <w:rsid w:val="00914213"/>
    <w:rsid w:val="0091429F"/>
    <w:rsid w:val="0091439C"/>
    <w:rsid w:val="009143E2"/>
    <w:rsid w:val="00914407"/>
    <w:rsid w:val="0091448B"/>
    <w:rsid w:val="009146CC"/>
    <w:rsid w:val="009146CF"/>
    <w:rsid w:val="00914776"/>
    <w:rsid w:val="0091481A"/>
    <w:rsid w:val="00914820"/>
    <w:rsid w:val="0091487E"/>
    <w:rsid w:val="00914942"/>
    <w:rsid w:val="00914981"/>
    <w:rsid w:val="009149A7"/>
    <w:rsid w:val="00914A06"/>
    <w:rsid w:val="00914A2F"/>
    <w:rsid w:val="00914A64"/>
    <w:rsid w:val="00914B6F"/>
    <w:rsid w:val="00914BF8"/>
    <w:rsid w:val="00914D6B"/>
    <w:rsid w:val="00914ECF"/>
    <w:rsid w:val="00914EDC"/>
    <w:rsid w:val="00914F57"/>
    <w:rsid w:val="00915078"/>
    <w:rsid w:val="009150B4"/>
    <w:rsid w:val="0091537B"/>
    <w:rsid w:val="009153FF"/>
    <w:rsid w:val="00915426"/>
    <w:rsid w:val="009154E9"/>
    <w:rsid w:val="0091566F"/>
    <w:rsid w:val="00915765"/>
    <w:rsid w:val="009157DF"/>
    <w:rsid w:val="00915812"/>
    <w:rsid w:val="009158AB"/>
    <w:rsid w:val="00915A34"/>
    <w:rsid w:val="00915AA7"/>
    <w:rsid w:val="00915AEC"/>
    <w:rsid w:val="00915C67"/>
    <w:rsid w:val="00915C7B"/>
    <w:rsid w:val="00915DEA"/>
    <w:rsid w:val="00915F17"/>
    <w:rsid w:val="00915F64"/>
    <w:rsid w:val="0091615F"/>
    <w:rsid w:val="0091622F"/>
    <w:rsid w:val="00916232"/>
    <w:rsid w:val="009162C1"/>
    <w:rsid w:val="009162FD"/>
    <w:rsid w:val="0091640D"/>
    <w:rsid w:val="0091640F"/>
    <w:rsid w:val="00916437"/>
    <w:rsid w:val="00916559"/>
    <w:rsid w:val="0091655D"/>
    <w:rsid w:val="00916654"/>
    <w:rsid w:val="00916726"/>
    <w:rsid w:val="0091674F"/>
    <w:rsid w:val="0091685F"/>
    <w:rsid w:val="0091691E"/>
    <w:rsid w:val="0091699F"/>
    <w:rsid w:val="00916A06"/>
    <w:rsid w:val="00916C0A"/>
    <w:rsid w:val="00916C32"/>
    <w:rsid w:val="00916C4F"/>
    <w:rsid w:val="00916CAD"/>
    <w:rsid w:val="00916CF8"/>
    <w:rsid w:val="00916F51"/>
    <w:rsid w:val="00916F7B"/>
    <w:rsid w:val="00916FE2"/>
    <w:rsid w:val="009170F8"/>
    <w:rsid w:val="00917117"/>
    <w:rsid w:val="00917146"/>
    <w:rsid w:val="00917349"/>
    <w:rsid w:val="00917643"/>
    <w:rsid w:val="009177BF"/>
    <w:rsid w:val="009179BE"/>
    <w:rsid w:val="00917A1E"/>
    <w:rsid w:val="00917A7E"/>
    <w:rsid w:val="00917AEF"/>
    <w:rsid w:val="00917B3A"/>
    <w:rsid w:val="00917BF6"/>
    <w:rsid w:val="00917C54"/>
    <w:rsid w:val="00917CDB"/>
    <w:rsid w:val="00917CE6"/>
    <w:rsid w:val="00917D1F"/>
    <w:rsid w:val="00917DD7"/>
    <w:rsid w:val="00920017"/>
    <w:rsid w:val="00920081"/>
    <w:rsid w:val="00920094"/>
    <w:rsid w:val="00920114"/>
    <w:rsid w:val="00920278"/>
    <w:rsid w:val="0092041D"/>
    <w:rsid w:val="0092042D"/>
    <w:rsid w:val="009204CB"/>
    <w:rsid w:val="009207E6"/>
    <w:rsid w:val="00920839"/>
    <w:rsid w:val="0092086E"/>
    <w:rsid w:val="009208AB"/>
    <w:rsid w:val="009208F8"/>
    <w:rsid w:val="00920926"/>
    <w:rsid w:val="009209F4"/>
    <w:rsid w:val="00920A86"/>
    <w:rsid w:val="00920AA0"/>
    <w:rsid w:val="00920ADC"/>
    <w:rsid w:val="00920B32"/>
    <w:rsid w:val="00920B6F"/>
    <w:rsid w:val="00920B79"/>
    <w:rsid w:val="00920B9E"/>
    <w:rsid w:val="00920BA0"/>
    <w:rsid w:val="00920DBC"/>
    <w:rsid w:val="00920DCC"/>
    <w:rsid w:val="00920FF4"/>
    <w:rsid w:val="0092108A"/>
    <w:rsid w:val="009210C4"/>
    <w:rsid w:val="00921181"/>
    <w:rsid w:val="009211ED"/>
    <w:rsid w:val="0092120E"/>
    <w:rsid w:val="009212AD"/>
    <w:rsid w:val="009212F0"/>
    <w:rsid w:val="00921554"/>
    <w:rsid w:val="009215B3"/>
    <w:rsid w:val="00921700"/>
    <w:rsid w:val="00921772"/>
    <w:rsid w:val="00921958"/>
    <w:rsid w:val="009219C8"/>
    <w:rsid w:val="00921ACB"/>
    <w:rsid w:val="00921AE3"/>
    <w:rsid w:val="00921B10"/>
    <w:rsid w:val="00921BB7"/>
    <w:rsid w:val="00921C27"/>
    <w:rsid w:val="00921C6C"/>
    <w:rsid w:val="00921C88"/>
    <w:rsid w:val="00921D3B"/>
    <w:rsid w:val="00921DCF"/>
    <w:rsid w:val="00921E9C"/>
    <w:rsid w:val="00921ECA"/>
    <w:rsid w:val="00921ED6"/>
    <w:rsid w:val="00921EEF"/>
    <w:rsid w:val="00921FFE"/>
    <w:rsid w:val="00922119"/>
    <w:rsid w:val="009221DC"/>
    <w:rsid w:val="0092221F"/>
    <w:rsid w:val="0092225B"/>
    <w:rsid w:val="00922347"/>
    <w:rsid w:val="00922505"/>
    <w:rsid w:val="00922875"/>
    <w:rsid w:val="009228DC"/>
    <w:rsid w:val="00922946"/>
    <w:rsid w:val="00922A91"/>
    <w:rsid w:val="00922B69"/>
    <w:rsid w:val="00922C1F"/>
    <w:rsid w:val="00922DB0"/>
    <w:rsid w:val="00922DDA"/>
    <w:rsid w:val="00922E36"/>
    <w:rsid w:val="00922EF8"/>
    <w:rsid w:val="00922FAF"/>
    <w:rsid w:val="0092306B"/>
    <w:rsid w:val="009230E4"/>
    <w:rsid w:val="0092310A"/>
    <w:rsid w:val="009232DC"/>
    <w:rsid w:val="00923365"/>
    <w:rsid w:val="00923379"/>
    <w:rsid w:val="0092337A"/>
    <w:rsid w:val="00923421"/>
    <w:rsid w:val="0092351F"/>
    <w:rsid w:val="0092353B"/>
    <w:rsid w:val="00923615"/>
    <w:rsid w:val="00923668"/>
    <w:rsid w:val="0092367E"/>
    <w:rsid w:val="0092371F"/>
    <w:rsid w:val="0092373C"/>
    <w:rsid w:val="0092373F"/>
    <w:rsid w:val="0092380F"/>
    <w:rsid w:val="00923819"/>
    <w:rsid w:val="009238C6"/>
    <w:rsid w:val="009239C6"/>
    <w:rsid w:val="00923A2C"/>
    <w:rsid w:val="00923A9F"/>
    <w:rsid w:val="00923BA3"/>
    <w:rsid w:val="00923BB1"/>
    <w:rsid w:val="00923BD4"/>
    <w:rsid w:val="00923E74"/>
    <w:rsid w:val="00923EC0"/>
    <w:rsid w:val="00923F65"/>
    <w:rsid w:val="00923FE6"/>
    <w:rsid w:val="009240F9"/>
    <w:rsid w:val="009241AD"/>
    <w:rsid w:val="00924271"/>
    <w:rsid w:val="009242E0"/>
    <w:rsid w:val="0092435A"/>
    <w:rsid w:val="009243BB"/>
    <w:rsid w:val="00924533"/>
    <w:rsid w:val="0092461C"/>
    <w:rsid w:val="00924695"/>
    <w:rsid w:val="009246E8"/>
    <w:rsid w:val="009247F7"/>
    <w:rsid w:val="0092488C"/>
    <w:rsid w:val="00924916"/>
    <w:rsid w:val="009249B6"/>
    <w:rsid w:val="00924A61"/>
    <w:rsid w:val="00924C89"/>
    <w:rsid w:val="00924CEA"/>
    <w:rsid w:val="00924D34"/>
    <w:rsid w:val="00924F10"/>
    <w:rsid w:val="00924F27"/>
    <w:rsid w:val="0092505E"/>
    <w:rsid w:val="0092506E"/>
    <w:rsid w:val="0092509F"/>
    <w:rsid w:val="009251AF"/>
    <w:rsid w:val="00925204"/>
    <w:rsid w:val="0092524C"/>
    <w:rsid w:val="009253B2"/>
    <w:rsid w:val="00925411"/>
    <w:rsid w:val="009254FB"/>
    <w:rsid w:val="00925669"/>
    <w:rsid w:val="00925672"/>
    <w:rsid w:val="00925679"/>
    <w:rsid w:val="00925701"/>
    <w:rsid w:val="0092579D"/>
    <w:rsid w:val="009257A3"/>
    <w:rsid w:val="009258B6"/>
    <w:rsid w:val="00925A6E"/>
    <w:rsid w:val="00925C39"/>
    <w:rsid w:val="00925D7C"/>
    <w:rsid w:val="00925E3A"/>
    <w:rsid w:val="00925E3C"/>
    <w:rsid w:val="00925E6B"/>
    <w:rsid w:val="00925E6F"/>
    <w:rsid w:val="00925EA3"/>
    <w:rsid w:val="00925FE6"/>
    <w:rsid w:val="0092602B"/>
    <w:rsid w:val="00926268"/>
    <w:rsid w:val="0092632C"/>
    <w:rsid w:val="009266AC"/>
    <w:rsid w:val="009266D0"/>
    <w:rsid w:val="0092677D"/>
    <w:rsid w:val="009268FB"/>
    <w:rsid w:val="00926953"/>
    <w:rsid w:val="0092695A"/>
    <w:rsid w:val="00926974"/>
    <w:rsid w:val="00926A87"/>
    <w:rsid w:val="00926CA9"/>
    <w:rsid w:val="00926CC8"/>
    <w:rsid w:val="00926CE5"/>
    <w:rsid w:val="00926E31"/>
    <w:rsid w:val="00926E46"/>
    <w:rsid w:val="00926F11"/>
    <w:rsid w:val="00926F3D"/>
    <w:rsid w:val="00926F86"/>
    <w:rsid w:val="00926FAF"/>
    <w:rsid w:val="00926FD6"/>
    <w:rsid w:val="009270C5"/>
    <w:rsid w:val="009270E9"/>
    <w:rsid w:val="0092712C"/>
    <w:rsid w:val="00927157"/>
    <w:rsid w:val="0092728E"/>
    <w:rsid w:val="00927342"/>
    <w:rsid w:val="00927353"/>
    <w:rsid w:val="009273C8"/>
    <w:rsid w:val="00927438"/>
    <w:rsid w:val="00927520"/>
    <w:rsid w:val="0092767A"/>
    <w:rsid w:val="009277CB"/>
    <w:rsid w:val="009277CF"/>
    <w:rsid w:val="009278C9"/>
    <w:rsid w:val="0092791D"/>
    <w:rsid w:val="00927A2B"/>
    <w:rsid w:val="00927B5D"/>
    <w:rsid w:val="00927B83"/>
    <w:rsid w:val="00927C2A"/>
    <w:rsid w:val="00927CD4"/>
    <w:rsid w:val="00927D30"/>
    <w:rsid w:val="00927ED9"/>
    <w:rsid w:val="00927F12"/>
    <w:rsid w:val="00927F7C"/>
    <w:rsid w:val="00927F8B"/>
    <w:rsid w:val="00930007"/>
    <w:rsid w:val="009301B7"/>
    <w:rsid w:val="009301D8"/>
    <w:rsid w:val="00930258"/>
    <w:rsid w:val="00930487"/>
    <w:rsid w:val="00930539"/>
    <w:rsid w:val="0093067F"/>
    <w:rsid w:val="009306A7"/>
    <w:rsid w:val="00930741"/>
    <w:rsid w:val="00930801"/>
    <w:rsid w:val="00930891"/>
    <w:rsid w:val="009308B0"/>
    <w:rsid w:val="00930992"/>
    <w:rsid w:val="00930A39"/>
    <w:rsid w:val="00930B1B"/>
    <w:rsid w:val="00930B2C"/>
    <w:rsid w:val="00930D68"/>
    <w:rsid w:val="00930F48"/>
    <w:rsid w:val="009311C3"/>
    <w:rsid w:val="00931203"/>
    <w:rsid w:val="0093121E"/>
    <w:rsid w:val="00931241"/>
    <w:rsid w:val="00931356"/>
    <w:rsid w:val="009313BC"/>
    <w:rsid w:val="009314A5"/>
    <w:rsid w:val="0093153C"/>
    <w:rsid w:val="009315CD"/>
    <w:rsid w:val="0093167E"/>
    <w:rsid w:val="0093175C"/>
    <w:rsid w:val="0093179A"/>
    <w:rsid w:val="009317FC"/>
    <w:rsid w:val="00931836"/>
    <w:rsid w:val="00931CD8"/>
    <w:rsid w:val="00931D37"/>
    <w:rsid w:val="00931DE9"/>
    <w:rsid w:val="00932099"/>
    <w:rsid w:val="00932123"/>
    <w:rsid w:val="009323DA"/>
    <w:rsid w:val="00932440"/>
    <w:rsid w:val="009326A0"/>
    <w:rsid w:val="009326DC"/>
    <w:rsid w:val="009327D3"/>
    <w:rsid w:val="00932839"/>
    <w:rsid w:val="00932A57"/>
    <w:rsid w:val="00932A81"/>
    <w:rsid w:val="00932A88"/>
    <w:rsid w:val="00932B3D"/>
    <w:rsid w:val="00932B41"/>
    <w:rsid w:val="00932BE3"/>
    <w:rsid w:val="00932C3E"/>
    <w:rsid w:val="00932CBB"/>
    <w:rsid w:val="00932CCB"/>
    <w:rsid w:val="00932D16"/>
    <w:rsid w:val="00932DD1"/>
    <w:rsid w:val="00932E0A"/>
    <w:rsid w:val="00932F89"/>
    <w:rsid w:val="00933018"/>
    <w:rsid w:val="0093339C"/>
    <w:rsid w:val="0093340C"/>
    <w:rsid w:val="0093358B"/>
    <w:rsid w:val="00933614"/>
    <w:rsid w:val="0093367F"/>
    <w:rsid w:val="0093375A"/>
    <w:rsid w:val="009337E4"/>
    <w:rsid w:val="00933A3E"/>
    <w:rsid w:val="00933B17"/>
    <w:rsid w:val="00933B84"/>
    <w:rsid w:val="00933BC2"/>
    <w:rsid w:val="00933BDE"/>
    <w:rsid w:val="00933C22"/>
    <w:rsid w:val="00933DA9"/>
    <w:rsid w:val="00933E01"/>
    <w:rsid w:val="00933E81"/>
    <w:rsid w:val="00933F91"/>
    <w:rsid w:val="00933FCB"/>
    <w:rsid w:val="00934044"/>
    <w:rsid w:val="009340E8"/>
    <w:rsid w:val="00934432"/>
    <w:rsid w:val="009344DD"/>
    <w:rsid w:val="009345F2"/>
    <w:rsid w:val="00934606"/>
    <w:rsid w:val="00934694"/>
    <w:rsid w:val="009346F9"/>
    <w:rsid w:val="00934702"/>
    <w:rsid w:val="009348B4"/>
    <w:rsid w:val="00934900"/>
    <w:rsid w:val="00934A64"/>
    <w:rsid w:val="00934B9A"/>
    <w:rsid w:val="00934CE7"/>
    <w:rsid w:val="00934D10"/>
    <w:rsid w:val="00934D16"/>
    <w:rsid w:val="00934D97"/>
    <w:rsid w:val="00934DBB"/>
    <w:rsid w:val="00934E7E"/>
    <w:rsid w:val="009350F0"/>
    <w:rsid w:val="0093510F"/>
    <w:rsid w:val="0093521A"/>
    <w:rsid w:val="009353F3"/>
    <w:rsid w:val="00935469"/>
    <w:rsid w:val="00935505"/>
    <w:rsid w:val="00935538"/>
    <w:rsid w:val="00935572"/>
    <w:rsid w:val="0093589F"/>
    <w:rsid w:val="009358C3"/>
    <w:rsid w:val="009358DB"/>
    <w:rsid w:val="00935938"/>
    <w:rsid w:val="00935955"/>
    <w:rsid w:val="009359B6"/>
    <w:rsid w:val="009359E0"/>
    <w:rsid w:val="00935ABE"/>
    <w:rsid w:val="00935C1A"/>
    <w:rsid w:val="00935C46"/>
    <w:rsid w:val="00935C6A"/>
    <w:rsid w:val="00935D97"/>
    <w:rsid w:val="00935D98"/>
    <w:rsid w:val="00935EC1"/>
    <w:rsid w:val="00935F4D"/>
    <w:rsid w:val="00935FDF"/>
    <w:rsid w:val="0093625D"/>
    <w:rsid w:val="00936324"/>
    <w:rsid w:val="00936348"/>
    <w:rsid w:val="00936372"/>
    <w:rsid w:val="009363E4"/>
    <w:rsid w:val="009363E5"/>
    <w:rsid w:val="0093642B"/>
    <w:rsid w:val="00936485"/>
    <w:rsid w:val="0093653F"/>
    <w:rsid w:val="0093667E"/>
    <w:rsid w:val="00936A0A"/>
    <w:rsid w:val="00936A87"/>
    <w:rsid w:val="00936E1E"/>
    <w:rsid w:val="00936E9D"/>
    <w:rsid w:val="00936F99"/>
    <w:rsid w:val="0093705B"/>
    <w:rsid w:val="009371CF"/>
    <w:rsid w:val="009373C0"/>
    <w:rsid w:val="0093746D"/>
    <w:rsid w:val="00937504"/>
    <w:rsid w:val="00937511"/>
    <w:rsid w:val="0093758D"/>
    <w:rsid w:val="009375A0"/>
    <w:rsid w:val="009375BB"/>
    <w:rsid w:val="009376AF"/>
    <w:rsid w:val="009376E9"/>
    <w:rsid w:val="00937779"/>
    <w:rsid w:val="009377D6"/>
    <w:rsid w:val="00937848"/>
    <w:rsid w:val="009378C6"/>
    <w:rsid w:val="00937945"/>
    <w:rsid w:val="009379C2"/>
    <w:rsid w:val="00937A52"/>
    <w:rsid w:val="00937A57"/>
    <w:rsid w:val="00937ACA"/>
    <w:rsid w:val="00937BE5"/>
    <w:rsid w:val="00937C01"/>
    <w:rsid w:val="00937DCA"/>
    <w:rsid w:val="00937ED3"/>
    <w:rsid w:val="00937ED7"/>
    <w:rsid w:val="00937F4A"/>
    <w:rsid w:val="00937F7D"/>
    <w:rsid w:val="00937FBD"/>
    <w:rsid w:val="0094006C"/>
    <w:rsid w:val="00940141"/>
    <w:rsid w:val="00940176"/>
    <w:rsid w:val="009401F1"/>
    <w:rsid w:val="00940278"/>
    <w:rsid w:val="009403CE"/>
    <w:rsid w:val="00940495"/>
    <w:rsid w:val="009404EF"/>
    <w:rsid w:val="0094052B"/>
    <w:rsid w:val="00940813"/>
    <w:rsid w:val="0094089B"/>
    <w:rsid w:val="0094093C"/>
    <w:rsid w:val="0094096B"/>
    <w:rsid w:val="00940B70"/>
    <w:rsid w:val="00940BC2"/>
    <w:rsid w:val="00940DA8"/>
    <w:rsid w:val="00940E5A"/>
    <w:rsid w:val="00940F35"/>
    <w:rsid w:val="0094104D"/>
    <w:rsid w:val="009410B6"/>
    <w:rsid w:val="009411B5"/>
    <w:rsid w:val="009411ED"/>
    <w:rsid w:val="00941348"/>
    <w:rsid w:val="00941359"/>
    <w:rsid w:val="009414B4"/>
    <w:rsid w:val="0094150D"/>
    <w:rsid w:val="0094176C"/>
    <w:rsid w:val="00941770"/>
    <w:rsid w:val="009417FF"/>
    <w:rsid w:val="0094180C"/>
    <w:rsid w:val="00941831"/>
    <w:rsid w:val="009419A4"/>
    <w:rsid w:val="009419AE"/>
    <w:rsid w:val="009419CC"/>
    <w:rsid w:val="00941A30"/>
    <w:rsid w:val="00941A8C"/>
    <w:rsid w:val="00941B65"/>
    <w:rsid w:val="00941B97"/>
    <w:rsid w:val="00941C34"/>
    <w:rsid w:val="00941CB9"/>
    <w:rsid w:val="00941CF0"/>
    <w:rsid w:val="00941D06"/>
    <w:rsid w:val="00941D25"/>
    <w:rsid w:val="00941D57"/>
    <w:rsid w:val="00942050"/>
    <w:rsid w:val="009420F0"/>
    <w:rsid w:val="0094212A"/>
    <w:rsid w:val="00942279"/>
    <w:rsid w:val="00942299"/>
    <w:rsid w:val="00942310"/>
    <w:rsid w:val="00942340"/>
    <w:rsid w:val="00942400"/>
    <w:rsid w:val="0094242E"/>
    <w:rsid w:val="009424E3"/>
    <w:rsid w:val="009425E9"/>
    <w:rsid w:val="0094261E"/>
    <w:rsid w:val="009426ED"/>
    <w:rsid w:val="00942756"/>
    <w:rsid w:val="0094277F"/>
    <w:rsid w:val="00942887"/>
    <w:rsid w:val="0094291C"/>
    <w:rsid w:val="00942942"/>
    <w:rsid w:val="00942BA9"/>
    <w:rsid w:val="00942BB8"/>
    <w:rsid w:val="00942C80"/>
    <w:rsid w:val="00942CE5"/>
    <w:rsid w:val="00942E33"/>
    <w:rsid w:val="00942EAE"/>
    <w:rsid w:val="00942EE7"/>
    <w:rsid w:val="00942F0F"/>
    <w:rsid w:val="0094311D"/>
    <w:rsid w:val="0094334D"/>
    <w:rsid w:val="00943362"/>
    <w:rsid w:val="00943376"/>
    <w:rsid w:val="009434B1"/>
    <w:rsid w:val="009434DE"/>
    <w:rsid w:val="00943576"/>
    <w:rsid w:val="009435E7"/>
    <w:rsid w:val="009436D3"/>
    <w:rsid w:val="009436E9"/>
    <w:rsid w:val="0094378C"/>
    <w:rsid w:val="009437AC"/>
    <w:rsid w:val="00943A83"/>
    <w:rsid w:val="00943A93"/>
    <w:rsid w:val="00943AD3"/>
    <w:rsid w:val="00943B2D"/>
    <w:rsid w:val="00943BCE"/>
    <w:rsid w:val="00943CBA"/>
    <w:rsid w:val="00943E15"/>
    <w:rsid w:val="00943E85"/>
    <w:rsid w:val="00943EF0"/>
    <w:rsid w:val="00943F2B"/>
    <w:rsid w:val="0094412D"/>
    <w:rsid w:val="0094422C"/>
    <w:rsid w:val="0094423D"/>
    <w:rsid w:val="0094429F"/>
    <w:rsid w:val="009442F3"/>
    <w:rsid w:val="009444E1"/>
    <w:rsid w:val="00944502"/>
    <w:rsid w:val="00944515"/>
    <w:rsid w:val="00944561"/>
    <w:rsid w:val="0094459F"/>
    <w:rsid w:val="009445B5"/>
    <w:rsid w:val="0094469C"/>
    <w:rsid w:val="009446EF"/>
    <w:rsid w:val="00944839"/>
    <w:rsid w:val="009448EA"/>
    <w:rsid w:val="00944997"/>
    <w:rsid w:val="009449A5"/>
    <w:rsid w:val="009449B1"/>
    <w:rsid w:val="00944BDC"/>
    <w:rsid w:val="00944C64"/>
    <w:rsid w:val="00944CA7"/>
    <w:rsid w:val="00944D2D"/>
    <w:rsid w:val="00944E2E"/>
    <w:rsid w:val="00944E3B"/>
    <w:rsid w:val="00944F1C"/>
    <w:rsid w:val="00944F31"/>
    <w:rsid w:val="00945095"/>
    <w:rsid w:val="00945123"/>
    <w:rsid w:val="00945179"/>
    <w:rsid w:val="0094520C"/>
    <w:rsid w:val="00945277"/>
    <w:rsid w:val="00945323"/>
    <w:rsid w:val="0094556C"/>
    <w:rsid w:val="009455C8"/>
    <w:rsid w:val="00945867"/>
    <w:rsid w:val="009459A3"/>
    <w:rsid w:val="009459D9"/>
    <w:rsid w:val="00945A29"/>
    <w:rsid w:val="00945B4B"/>
    <w:rsid w:val="00945BF2"/>
    <w:rsid w:val="00945E63"/>
    <w:rsid w:val="00945EB2"/>
    <w:rsid w:val="00945F15"/>
    <w:rsid w:val="00945F4B"/>
    <w:rsid w:val="00945F79"/>
    <w:rsid w:val="0094615F"/>
    <w:rsid w:val="00946169"/>
    <w:rsid w:val="00946322"/>
    <w:rsid w:val="00946359"/>
    <w:rsid w:val="00946375"/>
    <w:rsid w:val="0094639E"/>
    <w:rsid w:val="00946670"/>
    <w:rsid w:val="009467B7"/>
    <w:rsid w:val="009467CF"/>
    <w:rsid w:val="009467DE"/>
    <w:rsid w:val="00946985"/>
    <w:rsid w:val="00946A6E"/>
    <w:rsid w:val="00946E82"/>
    <w:rsid w:val="00946EA9"/>
    <w:rsid w:val="00946F62"/>
    <w:rsid w:val="00947036"/>
    <w:rsid w:val="0094719F"/>
    <w:rsid w:val="0094720F"/>
    <w:rsid w:val="009472A6"/>
    <w:rsid w:val="00947302"/>
    <w:rsid w:val="00947430"/>
    <w:rsid w:val="00947464"/>
    <w:rsid w:val="009474A8"/>
    <w:rsid w:val="009475CF"/>
    <w:rsid w:val="0094774D"/>
    <w:rsid w:val="00947797"/>
    <w:rsid w:val="00947909"/>
    <w:rsid w:val="00947954"/>
    <w:rsid w:val="00947A70"/>
    <w:rsid w:val="00947ADF"/>
    <w:rsid w:val="00947D07"/>
    <w:rsid w:val="00947EB8"/>
    <w:rsid w:val="00947F0D"/>
    <w:rsid w:val="0095011B"/>
    <w:rsid w:val="00950139"/>
    <w:rsid w:val="00950199"/>
    <w:rsid w:val="00950314"/>
    <w:rsid w:val="00950532"/>
    <w:rsid w:val="009506C7"/>
    <w:rsid w:val="009506C8"/>
    <w:rsid w:val="009506E2"/>
    <w:rsid w:val="00950759"/>
    <w:rsid w:val="009507C6"/>
    <w:rsid w:val="009508E0"/>
    <w:rsid w:val="00950B97"/>
    <w:rsid w:val="00950CA4"/>
    <w:rsid w:val="00950CC1"/>
    <w:rsid w:val="00950EBF"/>
    <w:rsid w:val="00950F0B"/>
    <w:rsid w:val="00951055"/>
    <w:rsid w:val="0095111A"/>
    <w:rsid w:val="009512D6"/>
    <w:rsid w:val="00951364"/>
    <w:rsid w:val="009515C5"/>
    <w:rsid w:val="00951657"/>
    <w:rsid w:val="009516FE"/>
    <w:rsid w:val="009518A6"/>
    <w:rsid w:val="009519B3"/>
    <w:rsid w:val="00951A12"/>
    <w:rsid w:val="00951BB0"/>
    <w:rsid w:val="00951C29"/>
    <w:rsid w:val="00951C9E"/>
    <w:rsid w:val="00951CB9"/>
    <w:rsid w:val="00951D43"/>
    <w:rsid w:val="00951D99"/>
    <w:rsid w:val="00951F97"/>
    <w:rsid w:val="00951FEF"/>
    <w:rsid w:val="009520CD"/>
    <w:rsid w:val="009520F3"/>
    <w:rsid w:val="009523E7"/>
    <w:rsid w:val="009523FD"/>
    <w:rsid w:val="0095264D"/>
    <w:rsid w:val="0095276B"/>
    <w:rsid w:val="009527D7"/>
    <w:rsid w:val="009527DE"/>
    <w:rsid w:val="0095280A"/>
    <w:rsid w:val="00952817"/>
    <w:rsid w:val="009528C2"/>
    <w:rsid w:val="009528C6"/>
    <w:rsid w:val="00952A43"/>
    <w:rsid w:val="00952ABF"/>
    <w:rsid w:val="00952B1D"/>
    <w:rsid w:val="00952B6D"/>
    <w:rsid w:val="00952BAB"/>
    <w:rsid w:val="00952C5D"/>
    <w:rsid w:val="00952C93"/>
    <w:rsid w:val="00952C9F"/>
    <w:rsid w:val="00952CD4"/>
    <w:rsid w:val="00952CFE"/>
    <w:rsid w:val="00952E68"/>
    <w:rsid w:val="00952F70"/>
    <w:rsid w:val="00952F72"/>
    <w:rsid w:val="00953020"/>
    <w:rsid w:val="00953088"/>
    <w:rsid w:val="009531C3"/>
    <w:rsid w:val="009533E5"/>
    <w:rsid w:val="009533F7"/>
    <w:rsid w:val="009534AD"/>
    <w:rsid w:val="009534DE"/>
    <w:rsid w:val="00953504"/>
    <w:rsid w:val="00953542"/>
    <w:rsid w:val="009536CB"/>
    <w:rsid w:val="009536FC"/>
    <w:rsid w:val="0095372B"/>
    <w:rsid w:val="009538B4"/>
    <w:rsid w:val="00953C44"/>
    <w:rsid w:val="00953E45"/>
    <w:rsid w:val="00954081"/>
    <w:rsid w:val="00954151"/>
    <w:rsid w:val="009543E7"/>
    <w:rsid w:val="00954406"/>
    <w:rsid w:val="0095440B"/>
    <w:rsid w:val="0095441F"/>
    <w:rsid w:val="0095446C"/>
    <w:rsid w:val="009545E5"/>
    <w:rsid w:val="009545FE"/>
    <w:rsid w:val="00954605"/>
    <w:rsid w:val="0095477A"/>
    <w:rsid w:val="00954791"/>
    <w:rsid w:val="00954944"/>
    <w:rsid w:val="00954973"/>
    <w:rsid w:val="0095499D"/>
    <w:rsid w:val="009549B5"/>
    <w:rsid w:val="009549FB"/>
    <w:rsid w:val="00954A2F"/>
    <w:rsid w:val="00954B11"/>
    <w:rsid w:val="00954C51"/>
    <w:rsid w:val="00954E52"/>
    <w:rsid w:val="00954E8E"/>
    <w:rsid w:val="00954FAB"/>
    <w:rsid w:val="00954FFE"/>
    <w:rsid w:val="009550D4"/>
    <w:rsid w:val="00955190"/>
    <w:rsid w:val="009551EF"/>
    <w:rsid w:val="00955232"/>
    <w:rsid w:val="009553EB"/>
    <w:rsid w:val="00955413"/>
    <w:rsid w:val="0095545B"/>
    <w:rsid w:val="009554BA"/>
    <w:rsid w:val="009554D5"/>
    <w:rsid w:val="00955507"/>
    <w:rsid w:val="00955552"/>
    <w:rsid w:val="0095557B"/>
    <w:rsid w:val="009555EA"/>
    <w:rsid w:val="00955874"/>
    <w:rsid w:val="009559D0"/>
    <w:rsid w:val="00955CB9"/>
    <w:rsid w:val="00955CCD"/>
    <w:rsid w:val="00955D6D"/>
    <w:rsid w:val="00955DAA"/>
    <w:rsid w:val="00955F02"/>
    <w:rsid w:val="00956134"/>
    <w:rsid w:val="00956255"/>
    <w:rsid w:val="00956284"/>
    <w:rsid w:val="00956470"/>
    <w:rsid w:val="00956508"/>
    <w:rsid w:val="00956548"/>
    <w:rsid w:val="009565D5"/>
    <w:rsid w:val="00956603"/>
    <w:rsid w:val="00956608"/>
    <w:rsid w:val="009567CC"/>
    <w:rsid w:val="009569DD"/>
    <w:rsid w:val="00956C19"/>
    <w:rsid w:val="00956C8E"/>
    <w:rsid w:val="00956D9D"/>
    <w:rsid w:val="00956E36"/>
    <w:rsid w:val="00956E55"/>
    <w:rsid w:val="00956E8A"/>
    <w:rsid w:val="00957083"/>
    <w:rsid w:val="0095718D"/>
    <w:rsid w:val="009571A0"/>
    <w:rsid w:val="00957259"/>
    <w:rsid w:val="00957707"/>
    <w:rsid w:val="00957720"/>
    <w:rsid w:val="00957921"/>
    <w:rsid w:val="009579A2"/>
    <w:rsid w:val="00957A12"/>
    <w:rsid w:val="00957A4A"/>
    <w:rsid w:val="00957B1E"/>
    <w:rsid w:val="00957BA0"/>
    <w:rsid w:val="00957D60"/>
    <w:rsid w:val="00957DE2"/>
    <w:rsid w:val="00957E3E"/>
    <w:rsid w:val="0096010A"/>
    <w:rsid w:val="00960123"/>
    <w:rsid w:val="009601AD"/>
    <w:rsid w:val="00960218"/>
    <w:rsid w:val="00960240"/>
    <w:rsid w:val="00960273"/>
    <w:rsid w:val="00960312"/>
    <w:rsid w:val="00960370"/>
    <w:rsid w:val="00960376"/>
    <w:rsid w:val="00960625"/>
    <w:rsid w:val="009606E4"/>
    <w:rsid w:val="009607B6"/>
    <w:rsid w:val="0096081A"/>
    <w:rsid w:val="0096085A"/>
    <w:rsid w:val="009608D9"/>
    <w:rsid w:val="00960AAA"/>
    <w:rsid w:val="00960AE7"/>
    <w:rsid w:val="00960C36"/>
    <w:rsid w:val="00960D2E"/>
    <w:rsid w:val="00960DF1"/>
    <w:rsid w:val="00960EBA"/>
    <w:rsid w:val="0096105F"/>
    <w:rsid w:val="00961194"/>
    <w:rsid w:val="0096119B"/>
    <w:rsid w:val="009611E6"/>
    <w:rsid w:val="009611ED"/>
    <w:rsid w:val="00961312"/>
    <w:rsid w:val="00961355"/>
    <w:rsid w:val="00961485"/>
    <w:rsid w:val="0096149E"/>
    <w:rsid w:val="009615DF"/>
    <w:rsid w:val="0096189F"/>
    <w:rsid w:val="0096197F"/>
    <w:rsid w:val="00961A27"/>
    <w:rsid w:val="00961ACC"/>
    <w:rsid w:val="00961C20"/>
    <w:rsid w:val="00961CC6"/>
    <w:rsid w:val="00961D47"/>
    <w:rsid w:val="00961D7B"/>
    <w:rsid w:val="00961F56"/>
    <w:rsid w:val="00961FDA"/>
    <w:rsid w:val="00962044"/>
    <w:rsid w:val="009623E4"/>
    <w:rsid w:val="0096268D"/>
    <w:rsid w:val="009626B7"/>
    <w:rsid w:val="00962736"/>
    <w:rsid w:val="00962748"/>
    <w:rsid w:val="0096274A"/>
    <w:rsid w:val="00962791"/>
    <w:rsid w:val="009627EA"/>
    <w:rsid w:val="009629A5"/>
    <w:rsid w:val="009629D3"/>
    <w:rsid w:val="00962B75"/>
    <w:rsid w:val="00962CD3"/>
    <w:rsid w:val="00962D16"/>
    <w:rsid w:val="00962D6A"/>
    <w:rsid w:val="00962D98"/>
    <w:rsid w:val="00962DE7"/>
    <w:rsid w:val="00962E89"/>
    <w:rsid w:val="00962EED"/>
    <w:rsid w:val="00962F14"/>
    <w:rsid w:val="00963045"/>
    <w:rsid w:val="009632B3"/>
    <w:rsid w:val="009632DC"/>
    <w:rsid w:val="009632F9"/>
    <w:rsid w:val="009634F6"/>
    <w:rsid w:val="009635A6"/>
    <w:rsid w:val="009635B3"/>
    <w:rsid w:val="00963619"/>
    <w:rsid w:val="009637AF"/>
    <w:rsid w:val="009639ED"/>
    <w:rsid w:val="00963AA5"/>
    <w:rsid w:val="00963AB5"/>
    <w:rsid w:val="00963B71"/>
    <w:rsid w:val="00963BE5"/>
    <w:rsid w:val="00963C09"/>
    <w:rsid w:val="00963CE7"/>
    <w:rsid w:val="00963D4C"/>
    <w:rsid w:val="00963FA1"/>
    <w:rsid w:val="00963FB8"/>
    <w:rsid w:val="00964088"/>
    <w:rsid w:val="00964092"/>
    <w:rsid w:val="009640C7"/>
    <w:rsid w:val="009640C9"/>
    <w:rsid w:val="0096423A"/>
    <w:rsid w:val="00964300"/>
    <w:rsid w:val="0096438A"/>
    <w:rsid w:val="00964434"/>
    <w:rsid w:val="009644E0"/>
    <w:rsid w:val="00964588"/>
    <w:rsid w:val="009645C1"/>
    <w:rsid w:val="0096469C"/>
    <w:rsid w:val="00964845"/>
    <w:rsid w:val="00964B6D"/>
    <w:rsid w:val="00964BE5"/>
    <w:rsid w:val="00964C38"/>
    <w:rsid w:val="00964C91"/>
    <w:rsid w:val="00964FBF"/>
    <w:rsid w:val="00964FFD"/>
    <w:rsid w:val="00965263"/>
    <w:rsid w:val="009652F1"/>
    <w:rsid w:val="00965337"/>
    <w:rsid w:val="009657DF"/>
    <w:rsid w:val="0096590D"/>
    <w:rsid w:val="00965915"/>
    <w:rsid w:val="00965920"/>
    <w:rsid w:val="009659D7"/>
    <w:rsid w:val="009659EF"/>
    <w:rsid w:val="00965AF8"/>
    <w:rsid w:val="00965BDC"/>
    <w:rsid w:val="00965C57"/>
    <w:rsid w:val="00965C9A"/>
    <w:rsid w:val="00965CAA"/>
    <w:rsid w:val="00965F73"/>
    <w:rsid w:val="00966005"/>
    <w:rsid w:val="009660C2"/>
    <w:rsid w:val="009661D8"/>
    <w:rsid w:val="0096625B"/>
    <w:rsid w:val="00966335"/>
    <w:rsid w:val="0096642A"/>
    <w:rsid w:val="00966456"/>
    <w:rsid w:val="009665C5"/>
    <w:rsid w:val="00966744"/>
    <w:rsid w:val="009667B0"/>
    <w:rsid w:val="00966893"/>
    <w:rsid w:val="009668B5"/>
    <w:rsid w:val="00966957"/>
    <w:rsid w:val="009669D1"/>
    <w:rsid w:val="009669EB"/>
    <w:rsid w:val="00966AF0"/>
    <w:rsid w:val="00966B75"/>
    <w:rsid w:val="00966C65"/>
    <w:rsid w:val="00966C83"/>
    <w:rsid w:val="00966CBE"/>
    <w:rsid w:val="00966D4C"/>
    <w:rsid w:val="0096704F"/>
    <w:rsid w:val="00967105"/>
    <w:rsid w:val="00967134"/>
    <w:rsid w:val="0096714E"/>
    <w:rsid w:val="00967275"/>
    <w:rsid w:val="009672C3"/>
    <w:rsid w:val="00967390"/>
    <w:rsid w:val="0096744C"/>
    <w:rsid w:val="00967529"/>
    <w:rsid w:val="00967566"/>
    <w:rsid w:val="00967687"/>
    <w:rsid w:val="0096776B"/>
    <w:rsid w:val="00967888"/>
    <w:rsid w:val="009678BF"/>
    <w:rsid w:val="009679EE"/>
    <w:rsid w:val="00967A73"/>
    <w:rsid w:val="00967BF6"/>
    <w:rsid w:val="00967C5C"/>
    <w:rsid w:val="00967D62"/>
    <w:rsid w:val="00967E8A"/>
    <w:rsid w:val="00967ED2"/>
    <w:rsid w:val="00967F01"/>
    <w:rsid w:val="00967F14"/>
    <w:rsid w:val="00970035"/>
    <w:rsid w:val="00970055"/>
    <w:rsid w:val="00970092"/>
    <w:rsid w:val="009701C0"/>
    <w:rsid w:val="00970292"/>
    <w:rsid w:val="009703B1"/>
    <w:rsid w:val="00970579"/>
    <w:rsid w:val="009706AF"/>
    <w:rsid w:val="009707B5"/>
    <w:rsid w:val="00970862"/>
    <w:rsid w:val="00970865"/>
    <w:rsid w:val="009708D8"/>
    <w:rsid w:val="00970977"/>
    <w:rsid w:val="009709D0"/>
    <w:rsid w:val="009709EC"/>
    <w:rsid w:val="00970B95"/>
    <w:rsid w:val="00970C40"/>
    <w:rsid w:val="00970C71"/>
    <w:rsid w:val="00970C9A"/>
    <w:rsid w:val="00970CD3"/>
    <w:rsid w:val="00970D13"/>
    <w:rsid w:val="00970D56"/>
    <w:rsid w:val="00970D96"/>
    <w:rsid w:val="00970DDC"/>
    <w:rsid w:val="00970E4A"/>
    <w:rsid w:val="00970EB7"/>
    <w:rsid w:val="00971044"/>
    <w:rsid w:val="00971054"/>
    <w:rsid w:val="00971154"/>
    <w:rsid w:val="009711C3"/>
    <w:rsid w:val="009711F0"/>
    <w:rsid w:val="00971261"/>
    <w:rsid w:val="00971306"/>
    <w:rsid w:val="009713C2"/>
    <w:rsid w:val="009714F6"/>
    <w:rsid w:val="00971545"/>
    <w:rsid w:val="00971553"/>
    <w:rsid w:val="009715A7"/>
    <w:rsid w:val="0097164C"/>
    <w:rsid w:val="0097167D"/>
    <w:rsid w:val="00971684"/>
    <w:rsid w:val="0097169C"/>
    <w:rsid w:val="0097174C"/>
    <w:rsid w:val="00971783"/>
    <w:rsid w:val="009717CF"/>
    <w:rsid w:val="009719E8"/>
    <w:rsid w:val="00971A04"/>
    <w:rsid w:val="00971A0F"/>
    <w:rsid w:val="00971B4F"/>
    <w:rsid w:val="00971BA3"/>
    <w:rsid w:val="00971BCD"/>
    <w:rsid w:val="00971BE8"/>
    <w:rsid w:val="00971D8C"/>
    <w:rsid w:val="00971ECC"/>
    <w:rsid w:val="00972077"/>
    <w:rsid w:val="009720AF"/>
    <w:rsid w:val="009720BF"/>
    <w:rsid w:val="009721E9"/>
    <w:rsid w:val="0097220E"/>
    <w:rsid w:val="0097227F"/>
    <w:rsid w:val="00972457"/>
    <w:rsid w:val="00972600"/>
    <w:rsid w:val="009726F6"/>
    <w:rsid w:val="00972701"/>
    <w:rsid w:val="00972793"/>
    <w:rsid w:val="009727A7"/>
    <w:rsid w:val="00972872"/>
    <w:rsid w:val="00972882"/>
    <w:rsid w:val="00972949"/>
    <w:rsid w:val="00972ABE"/>
    <w:rsid w:val="00972B0E"/>
    <w:rsid w:val="00972B42"/>
    <w:rsid w:val="00972CA8"/>
    <w:rsid w:val="00972D22"/>
    <w:rsid w:val="00972E32"/>
    <w:rsid w:val="00972F9A"/>
    <w:rsid w:val="00973014"/>
    <w:rsid w:val="0097305E"/>
    <w:rsid w:val="00973078"/>
    <w:rsid w:val="0097316C"/>
    <w:rsid w:val="00973249"/>
    <w:rsid w:val="0097331A"/>
    <w:rsid w:val="0097343E"/>
    <w:rsid w:val="009734BB"/>
    <w:rsid w:val="009734FC"/>
    <w:rsid w:val="00973693"/>
    <w:rsid w:val="00973729"/>
    <w:rsid w:val="00973738"/>
    <w:rsid w:val="00973749"/>
    <w:rsid w:val="009738C4"/>
    <w:rsid w:val="00973ABB"/>
    <w:rsid w:val="00973B21"/>
    <w:rsid w:val="00973C05"/>
    <w:rsid w:val="00973CBB"/>
    <w:rsid w:val="00973CBE"/>
    <w:rsid w:val="00973D41"/>
    <w:rsid w:val="00973E5F"/>
    <w:rsid w:val="00973E88"/>
    <w:rsid w:val="0097401E"/>
    <w:rsid w:val="00974083"/>
    <w:rsid w:val="00974087"/>
    <w:rsid w:val="009740B2"/>
    <w:rsid w:val="0097413B"/>
    <w:rsid w:val="009741AE"/>
    <w:rsid w:val="009741BC"/>
    <w:rsid w:val="009742F6"/>
    <w:rsid w:val="009744C5"/>
    <w:rsid w:val="009744E3"/>
    <w:rsid w:val="00974512"/>
    <w:rsid w:val="009745D8"/>
    <w:rsid w:val="00974606"/>
    <w:rsid w:val="0097461E"/>
    <w:rsid w:val="00974685"/>
    <w:rsid w:val="00974709"/>
    <w:rsid w:val="00974742"/>
    <w:rsid w:val="00974793"/>
    <w:rsid w:val="009749AF"/>
    <w:rsid w:val="009749E0"/>
    <w:rsid w:val="00974AD7"/>
    <w:rsid w:val="00974AEA"/>
    <w:rsid w:val="00974B84"/>
    <w:rsid w:val="00974C41"/>
    <w:rsid w:val="00974C53"/>
    <w:rsid w:val="00974C65"/>
    <w:rsid w:val="00974E5D"/>
    <w:rsid w:val="00974E83"/>
    <w:rsid w:val="00974F9B"/>
    <w:rsid w:val="0097500F"/>
    <w:rsid w:val="00975048"/>
    <w:rsid w:val="00975179"/>
    <w:rsid w:val="00975287"/>
    <w:rsid w:val="009752CC"/>
    <w:rsid w:val="009754B5"/>
    <w:rsid w:val="0097561D"/>
    <w:rsid w:val="00975625"/>
    <w:rsid w:val="00975698"/>
    <w:rsid w:val="009756C2"/>
    <w:rsid w:val="009756C4"/>
    <w:rsid w:val="00975765"/>
    <w:rsid w:val="009757C2"/>
    <w:rsid w:val="009758F4"/>
    <w:rsid w:val="00975A20"/>
    <w:rsid w:val="00975A22"/>
    <w:rsid w:val="00975B2B"/>
    <w:rsid w:val="00975BA9"/>
    <w:rsid w:val="00975C97"/>
    <w:rsid w:val="00975DCC"/>
    <w:rsid w:val="00975DE5"/>
    <w:rsid w:val="00975E12"/>
    <w:rsid w:val="00975FFC"/>
    <w:rsid w:val="009760A8"/>
    <w:rsid w:val="009761F2"/>
    <w:rsid w:val="009762EC"/>
    <w:rsid w:val="00976527"/>
    <w:rsid w:val="00976918"/>
    <w:rsid w:val="00976929"/>
    <w:rsid w:val="00976A0F"/>
    <w:rsid w:val="00976A3B"/>
    <w:rsid w:val="00976A6B"/>
    <w:rsid w:val="00976B4F"/>
    <w:rsid w:val="00976B8F"/>
    <w:rsid w:val="00976BD3"/>
    <w:rsid w:val="00976BE9"/>
    <w:rsid w:val="00976F6C"/>
    <w:rsid w:val="00976FBB"/>
    <w:rsid w:val="0097711A"/>
    <w:rsid w:val="0097719F"/>
    <w:rsid w:val="009771E0"/>
    <w:rsid w:val="00977269"/>
    <w:rsid w:val="00977275"/>
    <w:rsid w:val="00977390"/>
    <w:rsid w:val="009773B9"/>
    <w:rsid w:val="00977460"/>
    <w:rsid w:val="0097754F"/>
    <w:rsid w:val="0097758D"/>
    <w:rsid w:val="009775B5"/>
    <w:rsid w:val="009776FB"/>
    <w:rsid w:val="0097771B"/>
    <w:rsid w:val="0097777F"/>
    <w:rsid w:val="009777D3"/>
    <w:rsid w:val="00977879"/>
    <w:rsid w:val="009778FF"/>
    <w:rsid w:val="0097795B"/>
    <w:rsid w:val="009779C3"/>
    <w:rsid w:val="00977B6A"/>
    <w:rsid w:val="00977BEA"/>
    <w:rsid w:val="00977C68"/>
    <w:rsid w:val="00977DC5"/>
    <w:rsid w:val="00977EA7"/>
    <w:rsid w:val="00977F0F"/>
    <w:rsid w:val="00977FF1"/>
    <w:rsid w:val="00980093"/>
    <w:rsid w:val="009800E0"/>
    <w:rsid w:val="00980254"/>
    <w:rsid w:val="009802ED"/>
    <w:rsid w:val="00980446"/>
    <w:rsid w:val="00980715"/>
    <w:rsid w:val="009808D4"/>
    <w:rsid w:val="009808E9"/>
    <w:rsid w:val="009809A8"/>
    <w:rsid w:val="009809CC"/>
    <w:rsid w:val="00980A49"/>
    <w:rsid w:val="00980AC8"/>
    <w:rsid w:val="00980BD6"/>
    <w:rsid w:val="00980CD1"/>
    <w:rsid w:val="00980D7B"/>
    <w:rsid w:val="00980E67"/>
    <w:rsid w:val="00980EA2"/>
    <w:rsid w:val="00981018"/>
    <w:rsid w:val="009811CA"/>
    <w:rsid w:val="009815B6"/>
    <w:rsid w:val="009815BE"/>
    <w:rsid w:val="00981690"/>
    <w:rsid w:val="0098178A"/>
    <w:rsid w:val="00981844"/>
    <w:rsid w:val="009819A5"/>
    <w:rsid w:val="00981B27"/>
    <w:rsid w:val="00981B29"/>
    <w:rsid w:val="00981CA9"/>
    <w:rsid w:val="00981D27"/>
    <w:rsid w:val="00981D78"/>
    <w:rsid w:val="00981E89"/>
    <w:rsid w:val="00981E92"/>
    <w:rsid w:val="00981FFE"/>
    <w:rsid w:val="009820AB"/>
    <w:rsid w:val="00982102"/>
    <w:rsid w:val="009821E4"/>
    <w:rsid w:val="009822BA"/>
    <w:rsid w:val="00982358"/>
    <w:rsid w:val="00982360"/>
    <w:rsid w:val="009823F3"/>
    <w:rsid w:val="009824A1"/>
    <w:rsid w:val="00982615"/>
    <w:rsid w:val="0098267B"/>
    <w:rsid w:val="009826B7"/>
    <w:rsid w:val="00982717"/>
    <w:rsid w:val="00982761"/>
    <w:rsid w:val="00982898"/>
    <w:rsid w:val="00982911"/>
    <w:rsid w:val="00982949"/>
    <w:rsid w:val="00982976"/>
    <w:rsid w:val="009829AB"/>
    <w:rsid w:val="00982A9E"/>
    <w:rsid w:val="00982B9E"/>
    <w:rsid w:val="00982C0A"/>
    <w:rsid w:val="00982CDD"/>
    <w:rsid w:val="00982DE6"/>
    <w:rsid w:val="00982F32"/>
    <w:rsid w:val="00982F71"/>
    <w:rsid w:val="00982FE2"/>
    <w:rsid w:val="00982FF7"/>
    <w:rsid w:val="00983041"/>
    <w:rsid w:val="0098306D"/>
    <w:rsid w:val="009830F0"/>
    <w:rsid w:val="009831D8"/>
    <w:rsid w:val="0098326C"/>
    <w:rsid w:val="009832B8"/>
    <w:rsid w:val="00983419"/>
    <w:rsid w:val="0098341C"/>
    <w:rsid w:val="009834A0"/>
    <w:rsid w:val="0098354E"/>
    <w:rsid w:val="009836B2"/>
    <w:rsid w:val="009837B6"/>
    <w:rsid w:val="009837BF"/>
    <w:rsid w:val="0098391F"/>
    <w:rsid w:val="00983929"/>
    <w:rsid w:val="009839E7"/>
    <w:rsid w:val="009839EE"/>
    <w:rsid w:val="00983A25"/>
    <w:rsid w:val="00983A31"/>
    <w:rsid w:val="00983AB3"/>
    <w:rsid w:val="00983EE5"/>
    <w:rsid w:val="00983F2C"/>
    <w:rsid w:val="00983F9B"/>
    <w:rsid w:val="009840CA"/>
    <w:rsid w:val="009840D9"/>
    <w:rsid w:val="009840EA"/>
    <w:rsid w:val="00984146"/>
    <w:rsid w:val="00984259"/>
    <w:rsid w:val="009842DC"/>
    <w:rsid w:val="009842E7"/>
    <w:rsid w:val="00984361"/>
    <w:rsid w:val="0098446F"/>
    <w:rsid w:val="00984492"/>
    <w:rsid w:val="009845BA"/>
    <w:rsid w:val="00984696"/>
    <w:rsid w:val="00984755"/>
    <w:rsid w:val="009847B6"/>
    <w:rsid w:val="009847ED"/>
    <w:rsid w:val="00984813"/>
    <w:rsid w:val="009848CC"/>
    <w:rsid w:val="0098494A"/>
    <w:rsid w:val="00984B05"/>
    <w:rsid w:val="00984DF1"/>
    <w:rsid w:val="00984E7B"/>
    <w:rsid w:val="00984FF1"/>
    <w:rsid w:val="0098512F"/>
    <w:rsid w:val="009851D9"/>
    <w:rsid w:val="009851DE"/>
    <w:rsid w:val="0098523C"/>
    <w:rsid w:val="0098527C"/>
    <w:rsid w:val="009852D0"/>
    <w:rsid w:val="00985337"/>
    <w:rsid w:val="009855B0"/>
    <w:rsid w:val="009855F0"/>
    <w:rsid w:val="00985635"/>
    <w:rsid w:val="009857BD"/>
    <w:rsid w:val="009857E7"/>
    <w:rsid w:val="00985840"/>
    <w:rsid w:val="009858FA"/>
    <w:rsid w:val="00985AEB"/>
    <w:rsid w:val="00985B36"/>
    <w:rsid w:val="00985C0B"/>
    <w:rsid w:val="00985C33"/>
    <w:rsid w:val="00985DAA"/>
    <w:rsid w:val="00985DE6"/>
    <w:rsid w:val="00986017"/>
    <w:rsid w:val="009860E9"/>
    <w:rsid w:val="00986186"/>
    <w:rsid w:val="0098634C"/>
    <w:rsid w:val="00986353"/>
    <w:rsid w:val="00986448"/>
    <w:rsid w:val="0098656E"/>
    <w:rsid w:val="009865C5"/>
    <w:rsid w:val="00986668"/>
    <w:rsid w:val="00986BAB"/>
    <w:rsid w:val="00986BC5"/>
    <w:rsid w:val="00986CBF"/>
    <w:rsid w:val="00986E05"/>
    <w:rsid w:val="00986E99"/>
    <w:rsid w:val="00986EA7"/>
    <w:rsid w:val="00987188"/>
    <w:rsid w:val="009871A7"/>
    <w:rsid w:val="009871C4"/>
    <w:rsid w:val="0098723A"/>
    <w:rsid w:val="00987253"/>
    <w:rsid w:val="00987363"/>
    <w:rsid w:val="0098739E"/>
    <w:rsid w:val="009873B6"/>
    <w:rsid w:val="00987402"/>
    <w:rsid w:val="00987494"/>
    <w:rsid w:val="00987574"/>
    <w:rsid w:val="009875CA"/>
    <w:rsid w:val="009876A1"/>
    <w:rsid w:val="00987750"/>
    <w:rsid w:val="00987765"/>
    <w:rsid w:val="00987874"/>
    <w:rsid w:val="009878E8"/>
    <w:rsid w:val="009879CD"/>
    <w:rsid w:val="00987A29"/>
    <w:rsid w:val="00987AEA"/>
    <w:rsid w:val="00987AEF"/>
    <w:rsid w:val="00987B05"/>
    <w:rsid w:val="00987BF1"/>
    <w:rsid w:val="00987C24"/>
    <w:rsid w:val="00987CB1"/>
    <w:rsid w:val="00987CB5"/>
    <w:rsid w:val="00987EA8"/>
    <w:rsid w:val="00987F7D"/>
    <w:rsid w:val="00987FBA"/>
    <w:rsid w:val="0099012D"/>
    <w:rsid w:val="00990197"/>
    <w:rsid w:val="00990469"/>
    <w:rsid w:val="0099047B"/>
    <w:rsid w:val="009904B4"/>
    <w:rsid w:val="00990575"/>
    <w:rsid w:val="0099073B"/>
    <w:rsid w:val="009907E6"/>
    <w:rsid w:val="0099086E"/>
    <w:rsid w:val="00990878"/>
    <w:rsid w:val="00990963"/>
    <w:rsid w:val="00990A29"/>
    <w:rsid w:val="00990A75"/>
    <w:rsid w:val="00990AD3"/>
    <w:rsid w:val="00990B5C"/>
    <w:rsid w:val="00990B94"/>
    <w:rsid w:val="00990C47"/>
    <w:rsid w:val="00990C50"/>
    <w:rsid w:val="00990D26"/>
    <w:rsid w:val="00990E26"/>
    <w:rsid w:val="00990F31"/>
    <w:rsid w:val="00991027"/>
    <w:rsid w:val="00991064"/>
    <w:rsid w:val="009910A0"/>
    <w:rsid w:val="009910BC"/>
    <w:rsid w:val="009910F1"/>
    <w:rsid w:val="009911A2"/>
    <w:rsid w:val="009912C1"/>
    <w:rsid w:val="009912C6"/>
    <w:rsid w:val="00991498"/>
    <w:rsid w:val="00991538"/>
    <w:rsid w:val="00991650"/>
    <w:rsid w:val="00991687"/>
    <w:rsid w:val="00991700"/>
    <w:rsid w:val="00991842"/>
    <w:rsid w:val="00991922"/>
    <w:rsid w:val="009919B2"/>
    <w:rsid w:val="009919EC"/>
    <w:rsid w:val="00991AC5"/>
    <w:rsid w:val="00991B21"/>
    <w:rsid w:val="00991B37"/>
    <w:rsid w:val="00991B70"/>
    <w:rsid w:val="00991E9B"/>
    <w:rsid w:val="00992011"/>
    <w:rsid w:val="0099203E"/>
    <w:rsid w:val="009920F6"/>
    <w:rsid w:val="00992156"/>
    <w:rsid w:val="009921E0"/>
    <w:rsid w:val="00992340"/>
    <w:rsid w:val="0099249E"/>
    <w:rsid w:val="0099273E"/>
    <w:rsid w:val="009929D4"/>
    <w:rsid w:val="00992B9F"/>
    <w:rsid w:val="00992BB8"/>
    <w:rsid w:val="00992CCE"/>
    <w:rsid w:val="00992D13"/>
    <w:rsid w:val="00992D4D"/>
    <w:rsid w:val="00992D58"/>
    <w:rsid w:val="00992D92"/>
    <w:rsid w:val="00992E5C"/>
    <w:rsid w:val="00992FBA"/>
    <w:rsid w:val="00992FFB"/>
    <w:rsid w:val="0099312D"/>
    <w:rsid w:val="00993133"/>
    <w:rsid w:val="009931A6"/>
    <w:rsid w:val="0099320F"/>
    <w:rsid w:val="00993235"/>
    <w:rsid w:val="0099355A"/>
    <w:rsid w:val="00993616"/>
    <w:rsid w:val="009936E4"/>
    <w:rsid w:val="0099370D"/>
    <w:rsid w:val="0099372E"/>
    <w:rsid w:val="009937C9"/>
    <w:rsid w:val="009938B9"/>
    <w:rsid w:val="009938FC"/>
    <w:rsid w:val="00993A0A"/>
    <w:rsid w:val="00993A2B"/>
    <w:rsid w:val="00993AEF"/>
    <w:rsid w:val="00993B78"/>
    <w:rsid w:val="00993B79"/>
    <w:rsid w:val="00993BB6"/>
    <w:rsid w:val="00993CCC"/>
    <w:rsid w:val="00993CCD"/>
    <w:rsid w:val="00993DD1"/>
    <w:rsid w:val="00993E27"/>
    <w:rsid w:val="00993EDD"/>
    <w:rsid w:val="00993F0B"/>
    <w:rsid w:val="00993FAA"/>
    <w:rsid w:val="0099410C"/>
    <w:rsid w:val="00994119"/>
    <w:rsid w:val="009941A0"/>
    <w:rsid w:val="009941AB"/>
    <w:rsid w:val="009942CF"/>
    <w:rsid w:val="009942E8"/>
    <w:rsid w:val="00994360"/>
    <w:rsid w:val="0099436E"/>
    <w:rsid w:val="00994437"/>
    <w:rsid w:val="00994482"/>
    <w:rsid w:val="009945A0"/>
    <w:rsid w:val="009945C9"/>
    <w:rsid w:val="009949E1"/>
    <w:rsid w:val="00994A18"/>
    <w:rsid w:val="00994C28"/>
    <w:rsid w:val="00994C96"/>
    <w:rsid w:val="00994C97"/>
    <w:rsid w:val="00995104"/>
    <w:rsid w:val="00995371"/>
    <w:rsid w:val="009953B2"/>
    <w:rsid w:val="00995420"/>
    <w:rsid w:val="0099542D"/>
    <w:rsid w:val="0099566D"/>
    <w:rsid w:val="0099596A"/>
    <w:rsid w:val="0099597F"/>
    <w:rsid w:val="009959A2"/>
    <w:rsid w:val="00995CC3"/>
    <w:rsid w:val="00995DFC"/>
    <w:rsid w:val="00995E6A"/>
    <w:rsid w:val="00995E71"/>
    <w:rsid w:val="00995F88"/>
    <w:rsid w:val="00996025"/>
    <w:rsid w:val="0099606C"/>
    <w:rsid w:val="0099614E"/>
    <w:rsid w:val="009961FC"/>
    <w:rsid w:val="009962E2"/>
    <w:rsid w:val="009964BF"/>
    <w:rsid w:val="00996581"/>
    <w:rsid w:val="00996602"/>
    <w:rsid w:val="009966BB"/>
    <w:rsid w:val="0099675C"/>
    <w:rsid w:val="009967D6"/>
    <w:rsid w:val="009968CC"/>
    <w:rsid w:val="00996902"/>
    <w:rsid w:val="00996A6C"/>
    <w:rsid w:val="00996C6D"/>
    <w:rsid w:val="00996D88"/>
    <w:rsid w:val="00996E37"/>
    <w:rsid w:val="00996E6B"/>
    <w:rsid w:val="0099703A"/>
    <w:rsid w:val="009971FC"/>
    <w:rsid w:val="00997230"/>
    <w:rsid w:val="00997299"/>
    <w:rsid w:val="0099729B"/>
    <w:rsid w:val="00997459"/>
    <w:rsid w:val="0099746C"/>
    <w:rsid w:val="00997589"/>
    <w:rsid w:val="009976A9"/>
    <w:rsid w:val="009976D3"/>
    <w:rsid w:val="00997714"/>
    <w:rsid w:val="00997716"/>
    <w:rsid w:val="00997819"/>
    <w:rsid w:val="009978DF"/>
    <w:rsid w:val="00997A2F"/>
    <w:rsid w:val="00997A53"/>
    <w:rsid w:val="00997A73"/>
    <w:rsid w:val="00997AEB"/>
    <w:rsid w:val="00997B4A"/>
    <w:rsid w:val="00997B81"/>
    <w:rsid w:val="00997B9D"/>
    <w:rsid w:val="00997DC0"/>
    <w:rsid w:val="00997E96"/>
    <w:rsid w:val="00997FD6"/>
    <w:rsid w:val="00997FE3"/>
    <w:rsid w:val="00997FE7"/>
    <w:rsid w:val="009A00DF"/>
    <w:rsid w:val="009A0122"/>
    <w:rsid w:val="009A01EF"/>
    <w:rsid w:val="009A0294"/>
    <w:rsid w:val="009A0303"/>
    <w:rsid w:val="009A0325"/>
    <w:rsid w:val="009A0439"/>
    <w:rsid w:val="009A0464"/>
    <w:rsid w:val="009A0622"/>
    <w:rsid w:val="009A0809"/>
    <w:rsid w:val="009A0838"/>
    <w:rsid w:val="009A084D"/>
    <w:rsid w:val="009A08BD"/>
    <w:rsid w:val="009A08F7"/>
    <w:rsid w:val="009A0906"/>
    <w:rsid w:val="009A0918"/>
    <w:rsid w:val="009A0A7C"/>
    <w:rsid w:val="009A0C0C"/>
    <w:rsid w:val="009A0D0B"/>
    <w:rsid w:val="009A1011"/>
    <w:rsid w:val="009A10EE"/>
    <w:rsid w:val="009A1174"/>
    <w:rsid w:val="009A1339"/>
    <w:rsid w:val="009A1342"/>
    <w:rsid w:val="009A13E0"/>
    <w:rsid w:val="009A140A"/>
    <w:rsid w:val="009A15C9"/>
    <w:rsid w:val="009A15D4"/>
    <w:rsid w:val="009A15F2"/>
    <w:rsid w:val="009A1603"/>
    <w:rsid w:val="009A179C"/>
    <w:rsid w:val="009A1827"/>
    <w:rsid w:val="009A1836"/>
    <w:rsid w:val="009A192B"/>
    <w:rsid w:val="009A194F"/>
    <w:rsid w:val="009A1962"/>
    <w:rsid w:val="009A1A03"/>
    <w:rsid w:val="009A1A8C"/>
    <w:rsid w:val="009A1D71"/>
    <w:rsid w:val="009A1D90"/>
    <w:rsid w:val="009A1F2B"/>
    <w:rsid w:val="009A1F2F"/>
    <w:rsid w:val="009A1FF5"/>
    <w:rsid w:val="009A2131"/>
    <w:rsid w:val="009A218E"/>
    <w:rsid w:val="009A2274"/>
    <w:rsid w:val="009A2432"/>
    <w:rsid w:val="009A2523"/>
    <w:rsid w:val="009A2595"/>
    <w:rsid w:val="009A259D"/>
    <w:rsid w:val="009A2605"/>
    <w:rsid w:val="009A2620"/>
    <w:rsid w:val="009A2683"/>
    <w:rsid w:val="009A2816"/>
    <w:rsid w:val="009A28E9"/>
    <w:rsid w:val="009A2A49"/>
    <w:rsid w:val="009A2CDE"/>
    <w:rsid w:val="009A2DDB"/>
    <w:rsid w:val="009A2EE2"/>
    <w:rsid w:val="009A2F27"/>
    <w:rsid w:val="009A2F72"/>
    <w:rsid w:val="009A2FC8"/>
    <w:rsid w:val="009A3078"/>
    <w:rsid w:val="009A30EA"/>
    <w:rsid w:val="009A32A5"/>
    <w:rsid w:val="009A3516"/>
    <w:rsid w:val="009A3558"/>
    <w:rsid w:val="009A3569"/>
    <w:rsid w:val="009A3580"/>
    <w:rsid w:val="009A35A9"/>
    <w:rsid w:val="009A3654"/>
    <w:rsid w:val="009A38DB"/>
    <w:rsid w:val="009A393E"/>
    <w:rsid w:val="009A3A88"/>
    <w:rsid w:val="009A3B77"/>
    <w:rsid w:val="009A3CAF"/>
    <w:rsid w:val="009A3CBC"/>
    <w:rsid w:val="009A3CF3"/>
    <w:rsid w:val="009A3D24"/>
    <w:rsid w:val="009A3DF7"/>
    <w:rsid w:val="009A3E28"/>
    <w:rsid w:val="009A4062"/>
    <w:rsid w:val="009A40CB"/>
    <w:rsid w:val="009A40F9"/>
    <w:rsid w:val="009A41B4"/>
    <w:rsid w:val="009A426E"/>
    <w:rsid w:val="009A4368"/>
    <w:rsid w:val="009A44A5"/>
    <w:rsid w:val="009A4530"/>
    <w:rsid w:val="009A45C5"/>
    <w:rsid w:val="009A48CD"/>
    <w:rsid w:val="009A4934"/>
    <w:rsid w:val="009A49AD"/>
    <w:rsid w:val="009A4AC9"/>
    <w:rsid w:val="009A4C2E"/>
    <w:rsid w:val="009A4CC6"/>
    <w:rsid w:val="009A4DEF"/>
    <w:rsid w:val="009A4F80"/>
    <w:rsid w:val="009A5043"/>
    <w:rsid w:val="009A52A4"/>
    <w:rsid w:val="009A5369"/>
    <w:rsid w:val="009A540D"/>
    <w:rsid w:val="009A5505"/>
    <w:rsid w:val="009A5526"/>
    <w:rsid w:val="009A5538"/>
    <w:rsid w:val="009A566E"/>
    <w:rsid w:val="009A567F"/>
    <w:rsid w:val="009A5700"/>
    <w:rsid w:val="009A5783"/>
    <w:rsid w:val="009A57A3"/>
    <w:rsid w:val="009A57BB"/>
    <w:rsid w:val="009A58F7"/>
    <w:rsid w:val="009A58FB"/>
    <w:rsid w:val="009A59B0"/>
    <w:rsid w:val="009A5A15"/>
    <w:rsid w:val="009A5A65"/>
    <w:rsid w:val="009A5B12"/>
    <w:rsid w:val="009A5B17"/>
    <w:rsid w:val="009A5B2D"/>
    <w:rsid w:val="009A5D89"/>
    <w:rsid w:val="009A5E6D"/>
    <w:rsid w:val="009A60CE"/>
    <w:rsid w:val="009A614E"/>
    <w:rsid w:val="009A6184"/>
    <w:rsid w:val="009A623B"/>
    <w:rsid w:val="009A635C"/>
    <w:rsid w:val="009A636B"/>
    <w:rsid w:val="009A63F4"/>
    <w:rsid w:val="009A653B"/>
    <w:rsid w:val="009A6649"/>
    <w:rsid w:val="009A6773"/>
    <w:rsid w:val="009A68BE"/>
    <w:rsid w:val="009A68DC"/>
    <w:rsid w:val="009A68EC"/>
    <w:rsid w:val="009A6B17"/>
    <w:rsid w:val="009A6C63"/>
    <w:rsid w:val="009A6C8F"/>
    <w:rsid w:val="009A6CC8"/>
    <w:rsid w:val="009A6D4D"/>
    <w:rsid w:val="009A6EB4"/>
    <w:rsid w:val="009A6EDC"/>
    <w:rsid w:val="009A6F0F"/>
    <w:rsid w:val="009A7017"/>
    <w:rsid w:val="009A70AA"/>
    <w:rsid w:val="009A71A8"/>
    <w:rsid w:val="009A71D2"/>
    <w:rsid w:val="009A7477"/>
    <w:rsid w:val="009A7539"/>
    <w:rsid w:val="009A75E5"/>
    <w:rsid w:val="009A7681"/>
    <w:rsid w:val="009A768F"/>
    <w:rsid w:val="009A777E"/>
    <w:rsid w:val="009A7789"/>
    <w:rsid w:val="009A7859"/>
    <w:rsid w:val="009A78BF"/>
    <w:rsid w:val="009A7ACD"/>
    <w:rsid w:val="009A7BD8"/>
    <w:rsid w:val="009A7C69"/>
    <w:rsid w:val="009A7C8C"/>
    <w:rsid w:val="009A7CBC"/>
    <w:rsid w:val="009A7DA3"/>
    <w:rsid w:val="009A7DB7"/>
    <w:rsid w:val="009A7E0E"/>
    <w:rsid w:val="009A7E1B"/>
    <w:rsid w:val="009A7E9E"/>
    <w:rsid w:val="009A7EC7"/>
    <w:rsid w:val="009B0274"/>
    <w:rsid w:val="009B02F4"/>
    <w:rsid w:val="009B041C"/>
    <w:rsid w:val="009B0431"/>
    <w:rsid w:val="009B058D"/>
    <w:rsid w:val="009B0614"/>
    <w:rsid w:val="009B06CF"/>
    <w:rsid w:val="009B06E3"/>
    <w:rsid w:val="009B074A"/>
    <w:rsid w:val="009B0915"/>
    <w:rsid w:val="009B09EC"/>
    <w:rsid w:val="009B0AB0"/>
    <w:rsid w:val="009B0BE1"/>
    <w:rsid w:val="009B0C11"/>
    <w:rsid w:val="009B0DFA"/>
    <w:rsid w:val="009B0E68"/>
    <w:rsid w:val="009B0F01"/>
    <w:rsid w:val="009B0FCA"/>
    <w:rsid w:val="009B100B"/>
    <w:rsid w:val="009B1037"/>
    <w:rsid w:val="009B1078"/>
    <w:rsid w:val="009B109D"/>
    <w:rsid w:val="009B114A"/>
    <w:rsid w:val="009B1179"/>
    <w:rsid w:val="009B1215"/>
    <w:rsid w:val="009B139F"/>
    <w:rsid w:val="009B13CF"/>
    <w:rsid w:val="009B14E3"/>
    <w:rsid w:val="009B152B"/>
    <w:rsid w:val="009B155C"/>
    <w:rsid w:val="009B15D4"/>
    <w:rsid w:val="009B16BD"/>
    <w:rsid w:val="009B16EB"/>
    <w:rsid w:val="009B18A5"/>
    <w:rsid w:val="009B18C7"/>
    <w:rsid w:val="009B18FC"/>
    <w:rsid w:val="009B19B0"/>
    <w:rsid w:val="009B1A22"/>
    <w:rsid w:val="009B1A3A"/>
    <w:rsid w:val="009B1A87"/>
    <w:rsid w:val="009B1AE2"/>
    <w:rsid w:val="009B1B3E"/>
    <w:rsid w:val="009B1C6D"/>
    <w:rsid w:val="009B1D3B"/>
    <w:rsid w:val="009B1D5E"/>
    <w:rsid w:val="009B1D68"/>
    <w:rsid w:val="009B1D6B"/>
    <w:rsid w:val="009B1DF9"/>
    <w:rsid w:val="009B1E11"/>
    <w:rsid w:val="009B1F3E"/>
    <w:rsid w:val="009B1F7F"/>
    <w:rsid w:val="009B1F91"/>
    <w:rsid w:val="009B1FB2"/>
    <w:rsid w:val="009B2008"/>
    <w:rsid w:val="009B2114"/>
    <w:rsid w:val="009B21F0"/>
    <w:rsid w:val="009B236C"/>
    <w:rsid w:val="009B2581"/>
    <w:rsid w:val="009B25CB"/>
    <w:rsid w:val="009B2609"/>
    <w:rsid w:val="009B2670"/>
    <w:rsid w:val="009B26A0"/>
    <w:rsid w:val="009B28FB"/>
    <w:rsid w:val="009B2986"/>
    <w:rsid w:val="009B2A81"/>
    <w:rsid w:val="009B2AC6"/>
    <w:rsid w:val="009B2ACC"/>
    <w:rsid w:val="009B2B68"/>
    <w:rsid w:val="009B2C1F"/>
    <w:rsid w:val="009B2C37"/>
    <w:rsid w:val="009B2CBE"/>
    <w:rsid w:val="009B2CDB"/>
    <w:rsid w:val="009B2D95"/>
    <w:rsid w:val="009B2E34"/>
    <w:rsid w:val="009B2F05"/>
    <w:rsid w:val="009B2F89"/>
    <w:rsid w:val="009B303B"/>
    <w:rsid w:val="009B306F"/>
    <w:rsid w:val="009B312C"/>
    <w:rsid w:val="009B31E6"/>
    <w:rsid w:val="009B31FE"/>
    <w:rsid w:val="009B3200"/>
    <w:rsid w:val="009B321B"/>
    <w:rsid w:val="009B32BC"/>
    <w:rsid w:val="009B335D"/>
    <w:rsid w:val="009B33CA"/>
    <w:rsid w:val="009B33D2"/>
    <w:rsid w:val="009B33E9"/>
    <w:rsid w:val="009B34D8"/>
    <w:rsid w:val="009B351D"/>
    <w:rsid w:val="009B35BE"/>
    <w:rsid w:val="009B37B7"/>
    <w:rsid w:val="009B3841"/>
    <w:rsid w:val="009B3885"/>
    <w:rsid w:val="009B38E2"/>
    <w:rsid w:val="009B38FF"/>
    <w:rsid w:val="009B394C"/>
    <w:rsid w:val="009B39EA"/>
    <w:rsid w:val="009B3B84"/>
    <w:rsid w:val="009B3D17"/>
    <w:rsid w:val="009B3DA8"/>
    <w:rsid w:val="009B3F22"/>
    <w:rsid w:val="009B4048"/>
    <w:rsid w:val="009B411F"/>
    <w:rsid w:val="009B41B2"/>
    <w:rsid w:val="009B41ED"/>
    <w:rsid w:val="009B432C"/>
    <w:rsid w:val="009B43EA"/>
    <w:rsid w:val="009B44F2"/>
    <w:rsid w:val="009B4511"/>
    <w:rsid w:val="009B47AF"/>
    <w:rsid w:val="009B484E"/>
    <w:rsid w:val="009B4A46"/>
    <w:rsid w:val="009B4AEC"/>
    <w:rsid w:val="009B4B62"/>
    <w:rsid w:val="009B4C29"/>
    <w:rsid w:val="009B4C45"/>
    <w:rsid w:val="009B4C82"/>
    <w:rsid w:val="009B4CEA"/>
    <w:rsid w:val="009B4D68"/>
    <w:rsid w:val="009B4FE9"/>
    <w:rsid w:val="009B4FEB"/>
    <w:rsid w:val="009B5008"/>
    <w:rsid w:val="009B5077"/>
    <w:rsid w:val="009B5382"/>
    <w:rsid w:val="009B5403"/>
    <w:rsid w:val="009B5418"/>
    <w:rsid w:val="009B54BF"/>
    <w:rsid w:val="009B55AE"/>
    <w:rsid w:val="009B55E8"/>
    <w:rsid w:val="009B5737"/>
    <w:rsid w:val="009B5950"/>
    <w:rsid w:val="009B5A0D"/>
    <w:rsid w:val="009B5A17"/>
    <w:rsid w:val="009B5A66"/>
    <w:rsid w:val="009B5B2E"/>
    <w:rsid w:val="009B5B6C"/>
    <w:rsid w:val="009B5D64"/>
    <w:rsid w:val="009B5ED0"/>
    <w:rsid w:val="009B5EF0"/>
    <w:rsid w:val="009B5EF7"/>
    <w:rsid w:val="009B5F9B"/>
    <w:rsid w:val="009B5FE1"/>
    <w:rsid w:val="009B6083"/>
    <w:rsid w:val="009B60B8"/>
    <w:rsid w:val="009B61C5"/>
    <w:rsid w:val="009B6218"/>
    <w:rsid w:val="009B6251"/>
    <w:rsid w:val="009B6255"/>
    <w:rsid w:val="009B62E2"/>
    <w:rsid w:val="009B62F6"/>
    <w:rsid w:val="009B6412"/>
    <w:rsid w:val="009B6462"/>
    <w:rsid w:val="009B646C"/>
    <w:rsid w:val="009B6507"/>
    <w:rsid w:val="009B67E9"/>
    <w:rsid w:val="009B6895"/>
    <w:rsid w:val="009B689A"/>
    <w:rsid w:val="009B68B1"/>
    <w:rsid w:val="009B6931"/>
    <w:rsid w:val="009B6AB8"/>
    <w:rsid w:val="009B6B79"/>
    <w:rsid w:val="009B6C40"/>
    <w:rsid w:val="009B6DA1"/>
    <w:rsid w:val="009B6DCE"/>
    <w:rsid w:val="009B6E43"/>
    <w:rsid w:val="009B6E44"/>
    <w:rsid w:val="009B6E9F"/>
    <w:rsid w:val="009B6F96"/>
    <w:rsid w:val="009B7066"/>
    <w:rsid w:val="009B70B1"/>
    <w:rsid w:val="009B70D1"/>
    <w:rsid w:val="009B712B"/>
    <w:rsid w:val="009B7150"/>
    <w:rsid w:val="009B718A"/>
    <w:rsid w:val="009B71B8"/>
    <w:rsid w:val="009B71C3"/>
    <w:rsid w:val="009B720D"/>
    <w:rsid w:val="009B722A"/>
    <w:rsid w:val="009B735F"/>
    <w:rsid w:val="009B74A0"/>
    <w:rsid w:val="009B7526"/>
    <w:rsid w:val="009B7697"/>
    <w:rsid w:val="009B76E4"/>
    <w:rsid w:val="009B7720"/>
    <w:rsid w:val="009B7823"/>
    <w:rsid w:val="009B7906"/>
    <w:rsid w:val="009B799D"/>
    <w:rsid w:val="009B7A4B"/>
    <w:rsid w:val="009B7AA5"/>
    <w:rsid w:val="009B7BB3"/>
    <w:rsid w:val="009B7CF0"/>
    <w:rsid w:val="009B7EDF"/>
    <w:rsid w:val="009C006F"/>
    <w:rsid w:val="009C0076"/>
    <w:rsid w:val="009C0128"/>
    <w:rsid w:val="009C02CF"/>
    <w:rsid w:val="009C02D9"/>
    <w:rsid w:val="009C02FA"/>
    <w:rsid w:val="009C0409"/>
    <w:rsid w:val="009C04A7"/>
    <w:rsid w:val="009C0581"/>
    <w:rsid w:val="009C0589"/>
    <w:rsid w:val="009C0596"/>
    <w:rsid w:val="009C0617"/>
    <w:rsid w:val="009C06F0"/>
    <w:rsid w:val="009C080D"/>
    <w:rsid w:val="009C091C"/>
    <w:rsid w:val="009C0980"/>
    <w:rsid w:val="009C09AE"/>
    <w:rsid w:val="009C0A38"/>
    <w:rsid w:val="009C0AC4"/>
    <w:rsid w:val="009C0BE8"/>
    <w:rsid w:val="009C0BFB"/>
    <w:rsid w:val="009C0CB7"/>
    <w:rsid w:val="009C0CC4"/>
    <w:rsid w:val="009C0D54"/>
    <w:rsid w:val="009C0E36"/>
    <w:rsid w:val="009C0EAC"/>
    <w:rsid w:val="009C0F00"/>
    <w:rsid w:val="009C0F2E"/>
    <w:rsid w:val="009C1120"/>
    <w:rsid w:val="009C11BB"/>
    <w:rsid w:val="009C1256"/>
    <w:rsid w:val="009C12B6"/>
    <w:rsid w:val="009C1307"/>
    <w:rsid w:val="009C1340"/>
    <w:rsid w:val="009C13D6"/>
    <w:rsid w:val="009C149C"/>
    <w:rsid w:val="009C14F7"/>
    <w:rsid w:val="009C1584"/>
    <w:rsid w:val="009C15D4"/>
    <w:rsid w:val="009C1705"/>
    <w:rsid w:val="009C1724"/>
    <w:rsid w:val="009C190F"/>
    <w:rsid w:val="009C1979"/>
    <w:rsid w:val="009C19B1"/>
    <w:rsid w:val="009C1B10"/>
    <w:rsid w:val="009C1B57"/>
    <w:rsid w:val="009C1DD2"/>
    <w:rsid w:val="009C1F5C"/>
    <w:rsid w:val="009C1F97"/>
    <w:rsid w:val="009C1FD6"/>
    <w:rsid w:val="009C1FE6"/>
    <w:rsid w:val="009C201D"/>
    <w:rsid w:val="009C2069"/>
    <w:rsid w:val="009C208B"/>
    <w:rsid w:val="009C20DF"/>
    <w:rsid w:val="009C211D"/>
    <w:rsid w:val="009C226F"/>
    <w:rsid w:val="009C2346"/>
    <w:rsid w:val="009C246F"/>
    <w:rsid w:val="009C268B"/>
    <w:rsid w:val="009C286F"/>
    <w:rsid w:val="009C2900"/>
    <w:rsid w:val="009C298E"/>
    <w:rsid w:val="009C29C5"/>
    <w:rsid w:val="009C2B07"/>
    <w:rsid w:val="009C2C07"/>
    <w:rsid w:val="009C2F39"/>
    <w:rsid w:val="009C2FD8"/>
    <w:rsid w:val="009C3089"/>
    <w:rsid w:val="009C3092"/>
    <w:rsid w:val="009C3099"/>
    <w:rsid w:val="009C315C"/>
    <w:rsid w:val="009C31B0"/>
    <w:rsid w:val="009C3251"/>
    <w:rsid w:val="009C3335"/>
    <w:rsid w:val="009C33A2"/>
    <w:rsid w:val="009C33B8"/>
    <w:rsid w:val="009C3424"/>
    <w:rsid w:val="009C34C5"/>
    <w:rsid w:val="009C35A7"/>
    <w:rsid w:val="009C3706"/>
    <w:rsid w:val="009C3869"/>
    <w:rsid w:val="009C393F"/>
    <w:rsid w:val="009C3982"/>
    <w:rsid w:val="009C3B9A"/>
    <w:rsid w:val="009C3BA6"/>
    <w:rsid w:val="009C3BB4"/>
    <w:rsid w:val="009C3CCA"/>
    <w:rsid w:val="009C3D16"/>
    <w:rsid w:val="009C3E08"/>
    <w:rsid w:val="009C3F15"/>
    <w:rsid w:val="009C3FEE"/>
    <w:rsid w:val="009C403B"/>
    <w:rsid w:val="009C407A"/>
    <w:rsid w:val="009C407D"/>
    <w:rsid w:val="009C417F"/>
    <w:rsid w:val="009C41C6"/>
    <w:rsid w:val="009C41C8"/>
    <w:rsid w:val="009C456B"/>
    <w:rsid w:val="009C463D"/>
    <w:rsid w:val="009C46B7"/>
    <w:rsid w:val="009C4790"/>
    <w:rsid w:val="009C4957"/>
    <w:rsid w:val="009C4989"/>
    <w:rsid w:val="009C4BC9"/>
    <w:rsid w:val="009C4C9E"/>
    <w:rsid w:val="009C4CBA"/>
    <w:rsid w:val="009C4D15"/>
    <w:rsid w:val="009C4F07"/>
    <w:rsid w:val="009C4F62"/>
    <w:rsid w:val="009C50AA"/>
    <w:rsid w:val="009C51CF"/>
    <w:rsid w:val="009C5212"/>
    <w:rsid w:val="009C5232"/>
    <w:rsid w:val="009C5289"/>
    <w:rsid w:val="009C52E9"/>
    <w:rsid w:val="009C5374"/>
    <w:rsid w:val="009C541C"/>
    <w:rsid w:val="009C54ED"/>
    <w:rsid w:val="009C5546"/>
    <w:rsid w:val="009C55A9"/>
    <w:rsid w:val="009C55B5"/>
    <w:rsid w:val="009C568A"/>
    <w:rsid w:val="009C5721"/>
    <w:rsid w:val="009C5751"/>
    <w:rsid w:val="009C5834"/>
    <w:rsid w:val="009C58C6"/>
    <w:rsid w:val="009C5A52"/>
    <w:rsid w:val="009C5B5A"/>
    <w:rsid w:val="009C5BC8"/>
    <w:rsid w:val="009C5C67"/>
    <w:rsid w:val="009C5CCD"/>
    <w:rsid w:val="009C5D27"/>
    <w:rsid w:val="009C5E12"/>
    <w:rsid w:val="009C5F27"/>
    <w:rsid w:val="009C6085"/>
    <w:rsid w:val="009C6107"/>
    <w:rsid w:val="009C6129"/>
    <w:rsid w:val="009C6151"/>
    <w:rsid w:val="009C6182"/>
    <w:rsid w:val="009C61FA"/>
    <w:rsid w:val="009C62FF"/>
    <w:rsid w:val="009C6352"/>
    <w:rsid w:val="009C6386"/>
    <w:rsid w:val="009C6406"/>
    <w:rsid w:val="009C6436"/>
    <w:rsid w:val="009C6447"/>
    <w:rsid w:val="009C6461"/>
    <w:rsid w:val="009C6468"/>
    <w:rsid w:val="009C6576"/>
    <w:rsid w:val="009C6691"/>
    <w:rsid w:val="009C66B8"/>
    <w:rsid w:val="009C66F6"/>
    <w:rsid w:val="009C674E"/>
    <w:rsid w:val="009C67BE"/>
    <w:rsid w:val="009C68C0"/>
    <w:rsid w:val="009C68E4"/>
    <w:rsid w:val="009C68FA"/>
    <w:rsid w:val="009C693B"/>
    <w:rsid w:val="009C6A2D"/>
    <w:rsid w:val="009C6AF8"/>
    <w:rsid w:val="009C6B3D"/>
    <w:rsid w:val="009C6B97"/>
    <w:rsid w:val="009C6C18"/>
    <w:rsid w:val="009C6C9D"/>
    <w:rsid w:val="009C6EB1"/>
    <w:rsid w:val="009C6F87"/>
    <w:rsid w:val="009C6FA3"/>
    <w:rsid w:val="009C709A"/>
    <w:rsid w:val="009C70DD"/>
    <w:rsid w:val="009C71CF"/>
    <w:rsid w:val="009C7255"/>
    <w:rsid w:val="009C72C1"/>
    <w:rsid w:val="009C73DF"/>
    <w:rsid w:val="009C7402"/>
    <w:rsid w:val="009C746C"/>
    <w:rsid w:val="009C74DE"/>
    <w:rsid w:val="009C755F"/>
    <w:rsid w:val="009C75B7"/>
    <w:rsid w:val="009C75EE"/>
    <w:rsid w:val="009C767E"/>
    <w:rsid w:val="009C7687"/>
    <w:rsid w:val="009C77D1"/>
    <w:rsid w:val="009C77F3"/>
    <w:rsid w:val="009C7839"/>
    <w:rsid w:val="009C78B4"/>
    <w:rsid w:val="009C7989"/>
    <w:rsid w:val="009C7B44"/>
    <w:rsid w:val="009C7C16"/>
    <w:rsid w:val="009C7D2F"/>
    <w:rsid w:val="009C7D4B"/>
    <w:rsid w:val="009C7D90"/>
    <w:rsid w:val="009C7DAB"/>
    <w:rsid w:val="009C7DBD"/>
    <w:rsid w:val="009C7E95"/>
    <w:rsid w:val="009D000B"/>
    <w:rsid w:val="009D028B"/>
    <w:rsid w:val="009D02A8"/>
    <w:rsid w:val="009D0442"/>
    <w:rsid w:val="009D0585"/>
    <w:rsid w:val="009D0613"/>
    <w:rsid w:val="009D06AE"/>
    <w:rsid w:val="009D0795"/>
    <w:rsid w:val="009D07DA"/>
    <w:rsid w:val="009D0807"/>
    <w:rsid w:val="009D08BC"/>
    <w:rsid w:val="009D0ADA"/>
    <w:rsid w:val="009D0B88"/>
    <w:rsid w:val="009D0BDC"/>
    <w:rsid w:val="009D0C4A"/>
    <w:rsid w:val="009D0CC4"/>
    <w:rsid w:val="009D0DF9"/>
    <w:rsid w:val="009D0F99"/>
    <w:rsid w:val="009D10FF"/>
    <w:rsid w:val="009D1110"/>
    <w:rsid w:val="009D1119"/>
    <w:rsid w:val="009D113F"/>
    <w:rsid w:val="009D11CB"/>
    <w:rsid w:val="009D12A6"/>
    <w:rsid w:val="009D12F7"/>
    <w:rsid w:val="009D1314"/>
    <w:rsid w:val="009D131C"/>
    <w:rsid w:val="009D1461"/>
    <w:rsid w:val="009D15E2"/>
    <w:rsid w:val="009D179B"/>
    <w:rsid w:val="009D17C4"/>
    <w:rsid w:val="009D17DF"/>
    <w:rsid w:val="009D17EE"/>
    <w:rsid w:val="009D1828"/>
    <w:rsid w:val="009D1958"/>
    <w:rsid w:val="009D1C81"/>
    <w:rsid w:val="009D1C8E"/>
    <w:rsid w:val="009D1D4E"/>
    <w:rsid w:val="009D1E71"/>
    <w:rsid w:val="009D1EF6"/>
    <w:rsid w:val="009D1F78"/>
    <w:rsid w:val="009D1FBB"/>
    <w:rsid w:val="009D2003"/>
    <w:rsid w:val="009D2112"/>
    <w:rsid w:val="009D2290"/>
    <w:rsid w:val="009D22E9"/>
    <w:rsid w:val="009D232D"/>
    <w:rsid w:val="009D23DB"/>
    <w:rsid w:val="009D23DC"/>
    <w:rsid w:val="009D2412"/>
    <w:rsid w:val="009D258A"/>
    <w:rsid w:val="009D25FB"/>
    <w:rsid w:val="009D277E"/>
    <w:rsid w:val="009D2788"/>
    <w:rsid w:val="009D28C4"/>
    <w:rsid w:val="009D2A0C"/>
    <w:rsid w:val="009D2C7B"/>
    <w:rsid w:val="009D2C86"/>
    <w:rsid w:val="009D2C89"/>
    <w:rsid w:val="009D2E6C"/>
    <w:rsid w:val="009D2EF3"/>
    <w:rsid w:val="009D2FCF"/>
    <w:rsid w:val="009D3140"/>
    <w:rsid w:val="009D3188"/>
    <w:rsid w:val="009D31A7"/>
    <w:rsid w:val="009D31B2"/>
    <w:rsid w:val="009D342C"/>
    <w:rsid w:val="009D352C"/>
    <w:rsid w:val="009D3564"/>
    <w:rsid w:val="009D359B"/>
    <w:rsid w:val="009D3649"/>
    <w:rsid w:val="009D388F"/>
    <w:rsid w:val="009D38B3"/>
    <w:rsid w:val="009D391F"/>
    <w:rsid w:val="009D3BDA"/>
    <w:rsid w:val="009D3BEB"/>
    <w:rsid w:val="009D3D65"/>
    <w:rsid w:val="009D3D6D"/>
    <w:rsid w:val="009D3DE1"/>
    <w:rsid w:val="009D3E71"/>
    <w:rsid w:val="009D3EB4"/>
    <w:rsid w:val="009D3F23"/>
    <w:rsid w:val="009D411B"/>
    <w:rsid w:val="009D41D3"/>
    <w:rsid w:val="009D42CA"/>
    <w:rsid w:val="009D42D9"/>
    <w:rsid w:val="009D4314"/>
    <w:rsid w:val="009D43B2"/>
    <w:rsid w:val="009D43BB"/>
    <w:rsid w:val="009D43DD"/>
    <w:rsid w:val="009D4433"/>
    <w:rsid w:val="009D4653"/>
    <w:rsid w:val="009D46A9"/>
    <w:rsid w:val="009D47EA"/>
    <w:rsid w:val="009D4913"/>
    <w:rsid w:val="009D4A0D"/>
    <w:rsid w:val="009D4C01"/>
    <w:rsid w:val="009D4CCD"/>
    <w:rsid w:val="009D4D08"/>
    <w:rsid w:val="009D4D46"/>
    <w:rsid w:val="009D4D49"/>
    <w:rsid w:val="009D4E64"/>
    <w:rsid w:val="009D4E6B"/>
    <w:rsid w:val="009D4EDC"/>
    <w:rsid w:val="009D4F03"/>
    <w:rsid w:val="009D506F"/>
    <w:rsid w:val="009D50E2"/>
    <w:rsid w:val="009D5174"/>
    <w:rsid w:val="009D520D"/>
    <w:rsid w:val="009D5337"/>
    <w:rsid w:val="009D53E0"/>
    <w:rsid w:val="009D551E"/>
    <w:rsid w:val="009D551F"/>
    <w:rsid w:val="009D5734"/>
    <w:rsid w:val="009D57E3"/>
    <w:rsid w:val="009D5905"/>
    <w:rsid w:val="009D59D4"/>
    <w:rsid w:val="009D5B43"/>
    <w:rsid w:val="009D5CA4"/>
    <w:rsid w:val="009D5D07"/>
    <w:rsid w:val="009D5D3E"/>
    <w:rsid w:val="009D5DE1"/>
    <w:rsid w:val="009D5F73"/>
    <w:rsid w:val="009D6112"/>
    <w:rsid w:val="009D6229"/>
    <w:rsid w:val="009D6400"/>
    <w:rsid w:val="009D64E1"/>
    <w:rsid w:val="009D65A7"/>
    <w:rsid w:val="009D66A6"/>
    <w:rsid w:val="009D66CD"/>
    <w:rsid w:val="009D67C5"/>
    <w:rsid w:val="009D68E1"/>
    <w:rsid w:val="009D6A4F"/>
    <w:rsid w:val="009D6C19"/>
    <w:rsid w:val="009D6C95"/>
    <w:rsid w:val="009D6D52"/>
    <w:rsid w:val="009D6E44"/>
    <w:rsid w:val="009D6E46"/>
    <w:rsid w:val="009D6E74"/>
    <w:rsid w:val="009D6E9D"/>
    <w:rsid w:val="009D6FFA"/>
    <w:rsid w:val="009D7031"/>
    <w:rsid w:val="009D713A"/>
    <w:rsid w:val="009D71D1"/>
    <w:rsid w:val="009D71D2"/>
    <w:rsid w:val="009D729B"/>
    <w:rsid w:val="009D72F9"/>
    <w:rsid w:val="009D74B4"/>
    <w:rsid w:val="009D7517"/>
    <w:rsid w:val="009D7534"/>
    <w:rsid w:val="009D7985"/>
    <w:rsid w:val="009D7C15"/>
    <w:rsid w:val="009D7C24"/>
    <w:rsid w:val="009D7C7A"/>
    <w:rsid w:val="009D7E17"/>
    <w:rsid w:val="009D7EBE"/>
    <w:rsid w:val="009D7F58"/>
    <w:rsid w:val="009E006D"/>
    <w:rsid w:val="009E00F0"/>
    <w:rsid w:val="009E01D0"/>
    <w:rsid w:val="009E021D"/>
    <w:rsid w:val="009E027B"/>
    <w:rsid w:val="009E03CB"/>
    <w:rsid w:val="009E03D4"/>
    <w:rsid w:val="009E03F9"/>
    <w:rsid w:val="009E04AD"/>
    <w:rsid w:val="009E0653"/>
    <w:rsid w:val="009E077C"/>
    <w:rsid w:val="009E094F"/>
    <w:rsid w:val="009E0A65"/>
    <w:rsid w:val="009E0C71"/>
    <w:rsid w:val="009E0D80"/>
    <w:rsid w:val="009E0E3D"/>
    <w:rsid w:val="009E0E9D"/>
    <w:rsid w:val="009E0F20"/>
    <w:rsid w:val="009E104A"/>
    <w:rsid w:val="009E113A"/>
    <w:rsid w:val="009E1189"/>
    <w:rsid w:val="009E1200"/>
    <w:rsid w:val="009E135F"/>
    <w:rsid w:val="009E136C"/>
    <w:rsid w:val="009E1414"/>
    <w:rsid w:val="009E1459"/>
    <w:rsid w:val="009E15D8"/>
    <w:rsid w:val="009E1601"/>
    <w:rsid w:val="009E1604"/>
    <w:rsid w:val="009E167B"/>
    <w:rsid w:val="009E1903"/>
    <w:rsid w:val="009E1A22"/>
    <w:rsid w:val="009E1AE6"/>
    <w:rsid w:val="009E1B75"/>
    <w:rsid w:val="009E1BEC"/>
    <w:rsid w:val="009E1C64"/>
    <w:rsid w:val="009E1CA6"/>
    <w:rsid w:val="009E1ECA"/>
    <w:rsid w:val="009E1EFA"/>
    <w:rsid w:val="009E1F81"/>
    <w:rsid w:val="009E205A"/>
    <w:rsid w:val="009E220A"/>
    <w:rsid w:val="009E237C"/>
    <w:rsid w:val="009E24F0"/>
    <w:rsid w:val="009E2549"/>
    <w:rsid w:val="009E2550"/>
    <w:rsid w:val="009E2593"/>
    <w:rsid w:val="009E261B"/>
    <w:rsid w:val="009E2688"/>
    <w:rsid w:val="009E26F3"/>
    <w:rsid w:val="009E2700"/>
    <w:rsid w:val="009E27C7"/>
    <w:rsid w:val="009E2836"/>
    <w:rsid w:val="009E2897"/>
    <w:rsid w:val="009E289E"/>
    <w:rsid w:val="009E2964"/>
    <w:rsid w:val="009E29C4"/>
    <w:rsid w:val="009E2A89"/>
    <w:rsid w:val="009E2ABC"/>
    <w:rsid w:val="009E2AF6"/>
    <w:rsid w:val="009E2CD9"/>
    <w:rsid w:val="009E2F06"/>
    <w:rsid w:val="009E2F33"/>
    <w:rsid w:val="009E3076"/>
    <w:rsid w:val="009E30B3"/>
    <w:rsid w:val="009E30E0"/>
    <w:rsid w:val="009E31DD"/>
    <w:rsid w:val="009E32FC"/>
    <w:rsid w:val="009E3388"/>
    <w:rsid w:val="009E3511"/>
    <w:rsid w:val="009E3557"/>
    <w:rsid w:val="009E356D"/>
    <w:rsid w:val="009E3574"/>
    <w:rsid w:val="009E357A"/>
    <w:rsid w:val="009E358A"/>
    <w:rsid w:val="009E3712"/>
    <w:rsid w:val="009E371B"/>
    <w:rsid w:val="009E3735"/>
    <w:rsid w:val="009E37E8"/>
    <w:rsid w:val="009E3869"/>
    <w:rsid w:val="009E3AAA"/>
    <w:rsid w:val="009E3AB1"/>
    <w:rsid w:val="009E3BB2"/>
    <w:rsid w:val="009E3BC7"/>
    <w:rsid w:val="009E3BF2"/>
    <w:rsid w:val="009E3D09"/>
    <w:rsid w:val="009E3D51"/>
    <w:rsid w:val="009E3DAC"/>
    <w:rsid w:val="009E3DEC"/>
    <w:rsid w:val="009E3E57"/>
    <w:rsid w:val="009E3F76"/>
    <w:rsid w:val="009E3F8E"/>
    <w:rsid w:val="009E3FB4"/>
    <w:rsid w:val="009E404F"/>
    <w:rsid w:val="009E40EE"/>
    <w:rsid w:val="009E4252"/>
    <w:rsid w:val="009E4300"/>
    <w:rsid w:val="009E4367"/>
    <w:rsid w:val="009E4426"/>
    <w:rsid w:val="009E4441"/>
    <w:rsid w:val="009E44CB"/>
    <w:rsid w:val="009E4651"/>
    <w:rsid w:val="009E4715"/>
    <w:rsid w:val="009E488F"/>
    <w:rsid w:val="009E489A"/>
    <w:rsid w:val="009E4A53"/>
    <w:rsid w:val="009E4AA7"/>
    <w:rsid w:val="009E4ACC"/>
    <w:rsid w:val="009E4B44"/>
    <w:rsid w:val="009E4B92"/>
    <w:rsid w:val="009E4C73"/>
    <w:rsid w:val="009E4CCE"/>
    <w:rsid w:val="009E4D29"/>
    <w:rsid w:val="009E4D3A"/>
    <w:rsid w:val="009E4D9F"/>
    <w:rsid w:val="009E4E3A"/>
    <w:rsid w:val="009E4EE8"/>
    <w:rsid w:val="009E4FD9"/>
    <w:rsid w:val="009E50FB"/>
    <w:rsid w:val="009E510E"/>
    <w:rsid w:val="009E5122"/>
    <w:rsid w:val="009E5143"/>
    <w:rsid w:val="009E5350"/>
    <w:rsid w:val="009E54E9"/>
    <w:rsid w:val="009E550C"/>
    <w:rsid w:val="009E559F"/>
    <w:rsid w:val="009E55B0"/>
    <w:rsid w:val="009E56EB"/>
    <w:rsid w:val="009E571F"/>
    <w:rsid w:val="009E5811"/>
    <w:rsid w:val="009E5927"/>
    <w:rsid w:val="009E5A58"/>
    <w:rsid w:val="009E5A5C"/>
    <w:rsid w:val="009E5B0B"/>
    <w:rsid w:val="009E5B4C"/>
    <w:rsid w:val="009E5B76"/>
    <w:rsid w:val="009E5C05"/>
    <w:rsid w:val="009E5D41"/>
    <w:rsid w:val="009E5D92"/>
    <w:rsid w:val="009E5DBD"/>
    <w:rsid w:val="009E5E48"/>
    <w:rsid w:val="009E5EB2"/>
    <w:rsid w:val="009E5F26"/>
    <w:rsid w:val="009E5FC3"/>
    <w:rsid w:val="009E60E0"/>
    <w:rsid w:val="009E60E1"/>
    <w:rsid w:val="009E6122"/>
    <w:rsid w:val="009E64DD"/>
    <w:rsid w:val="009E651C"/>
    <w:rsid w:val="009E6531"/>
    <w:rsid w:val="009E6564"/>
    <w:rsid w:val="009E674C"/>
    <w:rsid w:val="009E67A7"/>
    <w:rsid w:val="009E67C7"/>
    <w:rsid w:val="009E6974"/>
    <w:rsid w:val="009E698E"/>
    <w:rsid w:val="009E6A50"/>
    <w:rsid w:val="009E6C22"/>
    <w:rsid w:val="009E6C5B"/>
    <w:rsid w:val="009E6D2E"/>
    <w:rsid w:val="009E6DCF"/>
    <w:rsid w:val="009E6ECB"/>
    <w:rsid w:val="009E6FA5"/>
    <w:rsid w:val="009E70AE"/>
    <w:rsid w:val="009E7134"/>
    <w:rsid w:val="009E7230"/>
    <w:rsid w:val="009E7256"/>
    <w:rsid w:val="009E73DC"/>
    <w:rsid w:val="009E74D6"/>
    <w:rsid w:val="009E7596"/>
    <w:rsid w:val="009E75E6"/>
    <w:rsid w:val="009E7617"/>
    <w:rsid w:val="009E764A"/>
    <w:rsid w:val="009E76CB"/>
    <w:rsid w:val="009E777E"/>
    <w:rsid w:val="009E779B"/>
    <w:rsid w:val="009E7855"/>
    <w:rsid w:val="009E78BD"/>
    <w:rsid w:val="009E78CE"/>
    <w:rsid w:val="009E7A65"/>
    <w:rsid w:val="009E7B74"/>
    <w:rsid w:val="009E7C08"/>
    <w:rsid w:val="009E7D27"/>
    <w:rsid w:val="009E7DC1"/>
    <w:rsid w:val="009E7F06"/>
    <w:rsid w:val="009E7F1D"/>
    <w:rsid w:val="009F0016"/>
    <w:rsid w:val="009F013E"/>
    <w:rsid w:val="009F0173"/>
    <w:rsid w:val="009F017E"/>
    <w:rsid w:val="009F01C6"/>
    <w:rsid w:val="009F0329"/>
    <w:rsid w:val="009F05CC"/>
    <w:rsid w:val="009F05F4"/>
    <w:rsid w:val="009F06F6"/>
    <w:rsid w:val="009F0736"/>
    <w:rsid w:val="009F0761"/>
    <w:rsid w:val="009F0805"/>
    <w:rsid w:val="009F0834"/>
    <w:rsid w:val="009F08A2"/>
    <w:rsid w:val="009F08D4"/>
    <w:rsid w:val="009F08E7"/>
    <w:rsid w:val="009F09A0"/>
    <w:rsid w:val="009F0A33"/>
    <w:rsid w:val="009F0A77"/>
    <w:rsid w:val="009F0C1E"/>
    <w:rsid w:val="009F0C93"/>
    <w:rsid w:val="009F0DAB"/>
    <w:rsid w:val="009F0EBD"/>
    <w:rsid w:val="009F0FCF"/>
    <w:rsid w:val="009F0FE8"/>
    <w:rsid w:val="009F1037"/>
    <w:rsid w:val="009F109B"/>
    <w:rsid w:val="009F1168"/>
    <w:rsid w:val="009F1247"/>
    <w:rsid w:val="009F1286"/>
    <w:rsid w:val="009F1322"/>
    <w:rsid w:val="009F1345"/>
    <w:rsid w:val="009F1382"/>
    <w:rsid w:val="009F140A"/>
    <w:rsid w:val="009F1458"/>
    <w:rsid w:val="009F14AE"/>
    <w:rsid w:val="009F14FE"/>
    <w:rsid w:val="009F154E"/>
    <w:rsid w:val="009F16B4"/>
    <w:rsid w:val="009F16D1"/>
    <w:rsid w:val="009F173E"/>
    <w:rsid w:val="009F179D"/>
    <w:rsid w:val="009F18F2"/>
    <w:rsid w:val="009F18F8"/>
    <w:rsid w:val="009F1ABF"/>
    <w:rsid w:val="009F1D85"/>
    <w:rsid w:val="009F1D9F"/>
    <w:rsid w:val="009F1F6A"/>
    <w:rsid w:val="009F1FFC"/>
    <w:rsid w:val="009F224D"/>
    <w:rsid w:val="009F2292"/>
    <w:rsid w:val="009F233E"/>
    <w:rsid w:val="009F2387"/>
    <w:rsid w:val="009F23BD"/>
    <w:rsid w:val="009F23CB"/>
    <w:rsid w:val="009F242E"/>
    <w:rsid w:val="009F244A"/>
    <w:rsid w:val="009F245B"/>
    <w:rsid w:val="009F2637"/>
    <w:rsid w:val="009F26D1"/>
    <w:rsid w:val="009F26DE"/>
    <w:rsid w:val="009F2807"/>
    <w:rsid w:val="009F2899"/>
    <w:rsid w:val="009F28EA"/>
    <w:rsid w:val="009F2A81"/>
    <w:rsid w:val="009F2C6C"/>
    <w:rsid w:val="009F2DCD"/>
    <w:rsid w:val="009F2DFB"/>
    <w:rsid w:val="009F2E68"/>
    <w:rsid w:val="009F2EA7"/>
    <w:rsid w:val="009F2F7F"/>
    <w:rsid w:val="009F31D2"/>
    <w:rsid w:val="009F3213"/>
    <w:rsid w:val="009F333A"/>
    <w:rsid w:val="009F334C"/>
    <w:rsid w:val="009F3410"/>
    <w:rsid w:val="009F3492"/>
    <w:rsid w:val="009F3828"/>
    <w:rsid w:val="009F38B4"/>
    <w:rsid w:val="009F39E0"/>
    <w:rsid w:val="009F3D81"/>
    <w:rsid w:val="009F3D8F"/>
    <w:rsid w:val="009F3E12"/>
    <w:rsid w:val="009F3F61"/>
    <w:rsid w:val="009F3FB5"/>
    <w:rsid w:val="009F4217"/>
    <w:rsid w:val="009F4497"/>
    <w:rsid w:val="009F451F"/>
    <w:rsid w:val="009F4758"/>
    <w:rsid w:val="009F4960"/>
    <w:rsid w:val="009F496A"/>
    <w:rsid w:val="009F497D"/>
    <w:rsid w:val="009F49A2"/>
    <w:rsid w:val="009F49FB"/>
    <w:rsid w:val="009F4AB8"/>
    <w:rsid w:val="009F4AD8"/>
    <w:rsid w:val="009F4C4C"/>
    <w:rsid w:val="009F4CA5"/>
    <w:rsid w:val="009F4CCD"/>
    <w:rsid w:val="009F4DFF"/>
    <w:rsid w:val="009F4E65"/>
    <w:rsid w:val="009F500D"/>
    <w:rsid w:val="009F509A"/>
    <w:rsid w:val="009F50D1"/>
    <w:rsid w:val="009F5165"/>
    <w:rsid w:val="009F5279"/>
    <w:rsid w:val="009F52E0"/>
    <w:rsid w:val="009F534E"/>
    <w:rsid w:val="009F53AB"/>
    <w:rsid w:val="009F5496"/>
    <w:rsid w:val="009F5520"/>
    <w:rsid w:val="009F55E3"/>
    <w:rsid w:val="009F57D0"/>
    <w:rsid w:val="009F587A"/>
    <w:rsid w:val="009F5987"/>
    <w:rsid w:val="009F5BB8"/>
    <w:rsid w:val="009F5C82"/>
    <w:rsid w:val="009F5CDF"/>
    <w:rsid w:val="009F5CE7"/>
    <w:rsid w:val="009F5D81"/>
    <w:rsid w:val="009F5DD6"/>
    <w:rsid w:val="009F5E0F"/>
    <w:rsid w:val="009F5E84"/>
    <w:rsid w:val="009F5FA2"/>
    <w:rsid w:val="009F6083"/>
    <w:rsid w:val="009F6181"/>
    <w:rsid w:val="009F68E6"/>
    <w:rsid w:val="009F68EB"/>
    <w:rsid w:val="009F6939"/>
    <w:rsid w:val="009F693A"/>
    <w:rsid w:val="009F6B08"/>
    <w:rsid w:val="009F6B29"/>
    <w:rsid w:val="009F6E6D"/>
    <w:rsid w:val="009F6EB3"/>
    <w:rsid w:val="009F6F8B"/>
    <w:rsid w:val="009F707C"/>
    <w:rsid w:val="009F70BD"/>
    <w:rsid w:val="009F715E"/>
    <w:rsid w:val="009F71A9"/>
    <w:rsid w:val="009F7287"/>
    <w:rsid w:val="009F72B3"/>
    <w:rsid w:val="009F73D4"/>
    <w:rsid w:val="009F743C"/>
    <w:rsid w:val="009F74AB"/>
    <w:rsid w:val="009F757B"/>
    <w:rsid w:val="009F77B5"/>
    <w:rsid w:val="009F7A72"/>
    <w:rsid w:val="009F7AA2"/>
    <w:rsid w:val="009F7AC6"/>
    <w:rsid w:val="009F7AF1"/>
    <w:rsid w:val="009F7BAD"/>
    <w:rsid w:val="009F7BBB"/>
    <w:rsid w:val="009F7BF2"/>
    <w:rsid w:val="009F7CE8"/>
    <w:rsid w:val="009F7D2E"/>
    <w:rsid w:val="009F7D50"/>
    <w:rsid w:val="009F7E4C"/>
    <w:rsid w:val="009F7E70"/>
    <w:rsid w:val="009F7E76"/>
    <w:rsid w:val="009F7EDF"/>
    <w:rsid w:val="009F7F53"/>
    <w:rsid w:val="009F7F74"/>
    <w:rsid w:val="009F7FCF"/>
    <w:rsid w:val="00A000D8"/>
    <w:rsid w:val="00A000FB"/>
    <w:rsid w:val="00A0027C"/>
    <w:rsid w:val="00A00372"/>
    <w:rsid w:val="00A0058A"/>
    <w:rsid w:val="00A00766"/>
    <w:rsid w:val="00A00878"/>
    <w:rsid w:val="00A0088F"/>
    <w:rsid w:val="00A00ABA"/>
    <w:rsid w:val="00A00CCF"/>
    <w:rsid w:val="00A00CFF"/>
    <w:rsid w:val="00A00D58"/>
    <w:rsid w:val="00A00D66"/>
    <w:rsid w:val="00A00E61"/>
    <w:rsid w:val="00A00EC8"/>
    <w:rsid w:val="00A00EF5"/>
    <w:rsid w:val="00A00F04"/>
    <w:rsid w:val="00A00F75"/>
    <w:rsid w:val="00A010EE"/>
    <w:rsid w:val="00A011F2"/>
    <w:rsid w:val="00A0121F"/>
    <w:rsid w:val="00A01245"/>
    <w:rsid w:val="00A016F8"/>
    <w:rsid w:val="00A0174C"/>
    <w:rsid w:val="00A0187E"/>
    <w:rsid w:val="00A01949"/>
    <w:rsid w:val="00A01986"/>
    <w:rsid w:val="00A019C8"/>
    <w:rsid w:val="00A01A10"/>
    <w:rsid w:val="00A01A3C"/>
    <w:rsid w:val="00A01B75"/>
    <w:rsid w:val="00A01BF0"/>
    <w:rsid w:val="00A01C57"/>
    <w:rsid w:val="00A01CAA"/>
    <w:rsid w:val="00A01D22"/>
    <w:rsid w:val="00A01DA8"/>
    <w:rsid w:val="00A01DBB"/>
    <w:rsid w:val="00A01F42"/>
    <w:rsid w:val="00A01F6E"/>
    <w:rsid w:val="00A02083"/>
    <w:rsid w:val="00A020D9"/>
    <w:rsid w:val="00A020DF"/>
    <w:rsid w:val="00A021CE"/>
    <w:rsid w:val="00A02491"/>
    <w:rsid w:val="00A026DC"/>
    <w:rsid w:val="00A027DE"/>
    <w:rsid w:val="00A028B3"/>
    <w:rsid w:val="00A029B3"/>
    <w:rsid w:val="00A029D3"/>
    <w:rsid w:val="00A02BB6"/>
    <w:rsid w:val="00A02BD9"/>
    <w:rsid w:val="00A02C8A"/>
    <w:rsid w:val="00A02CB4"/>
    <w:rsid w:val="00A02CDC"/>
    <w:rsid w:val="00A02ED4"/>
    <w:rsid w:val="00A02EE4"/>
    <w:rsid w:val="00A030ED"/>
    <w:rsid w:val="00A03114"/>
    <w:rsid w:val="00A03349"/>
    <w:rsid w:val="00A0337A"/>
    <w:rsid w:val="00A033E3"/>
    <w:rsid w:val="00A034C5"/>
    <w:rsid w:val="00A034E3"/>
    <w:rsid w:val="00A038ED"/>
    <w:rsid w:val="00A039E5"/>
    <w:rsid w:val="00A039FF"/>
    <w:rsid w:val="00A03A00"/>
    <w:rsid w:val="00A03AFE"/>
    <w:rsid w:val="00A03B87"/>
    <w:rsid w:val="00A03C31"/>
    <w:rsid w:val="00A03C5E"/>
    <w:rsid w:val="00A03D0A"/>
    <w:rsid w:val="00A03D34"/>
    <w:rsid w:val="00A03E0C"/>
    <w:rsid w:val="00A03E91"/>
    <w:rsid w:val="00A03EEF"/>
    <w:rsid w:val="00A03F79"/>
    <w:rsid w:val="00A04027"/>
    <w:rsid w:val="00A0406B"/>
    <w:rsid w:val="00A0407A"/>
    <w:rsid w:val="00A04097"/>
    <w:rsid w:val="00A0409D"/>
    <w:rsid w:val="00A041AC"/>
    <w:rsid w:val="00A042A2"/>
    <w:rsid w:val="00A042D7"/>
    <w:rsid w:val="00A043DB"/>
    <w:rsid w:val="00A043F2"/>
    <w:rsid w:val="00A0450A"/>
    <w:rsid w:val="00A0456A"/>
    <w:rsid w:val="00A04689"/>
    <w:rsid w:val="00A04708"/>
    <w:rsid w:val="00A04722"/>
    <w:rsid w:val="00A04803"/>
    <w:rsid w:val="00A04841"/>
    <w:rsid w:val="00A049A1"/>
    <w:rsid w:val="00A049B5"/>
    <w:rsid w:val="00A04AC7"/>
    <w:rsid w:val="00A04B0E"/>
    <w:rsid w:val="00A04B53"/>
    <w:rsid w:val="00A04B9E"/>
    <w:rsid w:val="00A04BCE"/>
    <w:rsid w:val="00A04BED"/>
    <w:rsid w:val="00A04C13"/>
    <w:rsid w:val="00A04D23"/>
    <w:rsid w:val="00A04E9B"/>
    <w:rsid w:val="00A04ECA"/>
    <w:rsid w:val="00A04F11"/>
    <w:rsid w:val="00A04F45"/>
    <w:rsid w:val="00A05030"/>
    <w:rsid w:val="00A0505C"/>
    <w:rsid w:val="00A0507B"/>
    <w:rsid w:val="00A05234"/>
    <w:rsid w:val="00A05255"/>
    <w:rsid w:val="00A05265"/>
    <w:rsid w:val="00A053F8"/>
    <w:rsid w:val="00A0546B"/>
    <w:rsid w:val="00A054CC"/>
    <w:rsid w:val="00A05516"/>
    <w:rsid w:val="00A05548"/>
    <w:rsid w:val="00A05828"/>
    <w:rsid w:val="00A058C3"/>
    <w:rsid w:val="00A05957"/>
    <w:rsid w:val="00A05AFC"/>
    <w:rsid w:val="00A05BB2"/>
    <w:rsid w:val="00A05ED0"/>
    <w:rsid w:val="00A06022"/>
    <w:rsid w:val="00A0607D"/>
    <w:rsid w:val="00A0611A"/>
    <w:rsid w:val="00A061FB"/>
    <w:rsid w:val="00A062A0"/>
    <w:rsid w:val="00A062D3"/>
    <w:rsid w:val="00A0630D"/>
    <w:rsid w:val="00A063A6"/>
    <w:rsid w:val="00A063EE"/>
    <w:rsid w:val="00A063F6"/>
    <w:rsid w:val="00A06429"/>
    <w:rsid w:val="00A06565"/>
    <w:rsid w:val="00A065AF"/>
    <w:rsid w:val="00A06793"/>
    <w:rsid w:val="00A06AFD"/>
    <w:rsid w:val="00A06BA8"/>
    <w:rsid w:val="00A06C24"/>
    <w:rsid w:val="00A06C6E"/>
    <w:rsid w:val="00A06CF0"/>
    <w:rsid w:val="00A06D78"/>
    <w:rsid w:val="00A06DDF"/>
    <w:rsid w:val="00A06E71"/>
    <w:rsid w:val="00A06EBA"/>
    <w:rsid w:val="00A06EE0"/>
    <w:rsid w:val="00A07034"/>
    <w:rsid w:val="00A070F1"/>
    <w:rsid w:val="00A071B9"/>
    <w:rsid w:val="00A071CF"/>
    <w:rsid w:val="00A07420"/>
    <w:rsid w:val="00A07489"/>
    <w:rsid w:val="00A075A4"/>
    <w:rsid w:val="00A076BC"/>
    <w:rsid w:val="00A076DF"/>
    <w:rsid w:val="00A077C4"/>
    <w:rsid w:val="00A07806"/>
    <w:rsid w:val="00A07905"/>
    <w:rsid w:val="00A0795B"/>
    <w:rsid w:val="00A0796F"/>
    <w:rsid w:val="00A07A0F"/>
    <w:rsid w:val="00A07A1C"/>
    <w:rsid w:val="00A07A31"/>
    <w:rsid w:val="00A07A54"/>
    <w:rsid w:val="00A07A6A"/>
    <w:rsid w:val="00A07DB9"/>
    <w:rsid w:val="00A07DD7"/>
    <w:rsid w:val="00A07F4E"/>
    <w:rsid w:val="00A07FB0"/>
    <w:rsid w:val="00A1007E"/>
    <w:rsid w:val="00A10141"/>
    <w:rsid w:val="00A102EB"/>
    <w:rsid w:val="00A104CF"/>
    <w:rsid w:val="00A10532"/>
    <w:rsid w:val="00A10538"/>
    <w:rsid w:val="00A1067F"/>
    <w:rsid w:val="00A107E1"/>
    <w:rsid w:val="00A10A01"/>
    <w:rsid w:val="00A10B08"/>
    <w:rsid w:val="00A10CA1"/>
    <w:rsid w:val="00A10CAA"/>
    <w:rsid w:val="00A10D9C"/>
    <w:rsid w:val="00A10E8A"/>
    <w:rsid w:val="00A10F77"/>
    <w:rsid w:val="00A11043"/>
    <w:rsid w:val="00A11083"/>
    <w:rsid w:val="00A1110B"/>
    <w:rsid w:val="00A11123"/>
    <w:rsid w:val="00A111D8"/>
    <w:rsid w:val="00A111DD"/>
    <w:rsid w:val="00A11289"/>
    <w:rsid w:val="00A112F9"/>
    <w:rsid w:val="00A1144F"/>
    <w:rsid w:val="00A114C9"/>
    <w:rsid w:val="00A11526"/>
    <w:rsid w:val="00A11610"/>
    <w:rsid w:val="00A116F4"/>
    <w:rsid w:val="00A117B7"/>
    <w:rsid w:val="00A117BD"/>
    <w:rsid w:val="00A11842"/>
    <w:rsid w:val="00A11871"/>
    <w:rsid w:val="00A1193A"/>
    <w:rsid w:val="00A11A5F"/>
    <w:rsid w:val="00A11B3D"/>
    <w:rsid w:val="00A11B65"/>
    <w:rsid w:val="00A11B83"/>
    <w:rsid w:val="00A11D2E"/>
    <w:rsid w:val="00A11DC6"/>
    <w:rsid w:val="00A11FAD"/>
    <w:rsid w:val="00A12089"/>
    <w:rsid w:val="00A12136"/>
    <w:rsid w:val="00A12215"/>
    <w:rsid w:val="00A12368"/>
    <w:rsid w:val="00A1239E"/>
    <w:rsid w:val="00A123B7"/>
    <w:rsid w:val="00A124D4"/>
    <w:rsid w:val="00A1253F"/>
    <w:rsid w:val="00A12557"/>
    <w:rsid w:val="00A1258B"/>
    <w:rsid w:val="00A1260B"/>
    <w:rsid w:val="00A126B1"/>
    <w:rsid w:val="00A12840"/>
    <w:rsid w:val="00A12945"/>
    <w:rsid w:val="00A12962"/>
    <w:rsid w:val="00A12971"/>
    <w:rsid w:val="00A12B40"/>
    <w:rsid w:val="00A12C4E"/>
    <w:rsid w:val="00A12CAD"/>
    <w:rsid w:val="00A12D40"/>
    <w:rsid w:val="00A12DCC"/>
    <w:rsid w:val="00A12DEB"/>
    <w:rsid w:val="00A12E96"/>
    <w:rsid w:val="00A12EB7"/>
    <w:rsid w:val="00A130A4"/>
    <w:rsid w:val="00A1319A"/>
    <w:rsid w:val="00A131DA"/>
    <w:rsid w:val="00A131DC"/>
    <w:rsid w:val="00A13268"/>
    <w:rsid w:val="00A13323"/>
    <w:rsid w:val="00A133B6"/>
    <w:rsid w:val="00A1345C"/>
    <w:rsid w:val="00A135F0"/>
    <w:rsid w:val="00A13628"/>
    <w:rsid w:val="00A13754"/>
    <w:rsid w:val="00A137EF"/>
    <w:rsid w:val="00A139B2"/>
    <w:rsid w:val="00A13A8C"/>
    <w:rsid w:val="00A13AE0"/>
    <w:rsid w:val="00A13BB7"/>
    <w:rsid w:val="00A13BDC"/>
    <w:rsid w:val="00A13DAB"/>
    <w:rsid w:val="00A13DC9"/>
    <w:rsid w:val="00A13EF3"/>
    <w:rsid w:val="00A13F72"/>
    <w:rsid w:val="00A14011"/>
    <w:rsid w:val="00A14168"/>
    <w:rsid w:val="00A14493"/>
    <w:rsid w:val="00A1451D"/>
    <w:rsid w:val="00A14608"/>
    <w:rsid w:val="00A1462D"/>
    <w:rsid w:val="00A146A8"/>
    <w:rsid w:val="00A1473A"/>
    <w:rsid w:val="00A149B4"/>
    <w:rsid w:val="00A149BA"/>
    <w:rsid w:val="00A14A8E"/>
    <w:rsid w:val="00A14AF7"/>
    <w:rsid w:val="00A14B68"/>
    <w:rsid w:val="00A14B9D"/>
    <w:rsid w:val="00A14BCE"/>
    <w:rsid w:val="00A14D72"/>
    <w:rsid w:val="00A14E9E"/>
    <w:rsid w:val="00A14EEF"/>
    <w:rsid w:val="00A14F5B"/>
    <w:rsid w:val="00A15109"/>
    <w:rsid w:val="00A15113"/>
    <w:rsid w:val="00A15340"/>
    <w:rsid w:val="00A1537C"/>
    <w:rsid w:val="00A153BB"/>
    <w:rsid w:val="00A153DE"/>
    <w:rsid w:val="00A1540B"/>
    <w:rsid w:val="00A1551C"/>
    <w:rsid w:val="00A1558A"/>
    <w:rsid w:val="00A15649"/>
    <w:rsid w:val="00A1571B"/>
    <w:rsid w:val="00A1575C"/>
    <w:rsid w:val="00A15780"/>
    <w:rsid w:val="00A157FA"/>
    <w:rsid w:val="00A15813"/>
    <w:rsid w:val="00A15AAC"/>
    <w:rsid w:val="00A15E16"/>
    <w:rsid w:val="00A15ED1"/>
    <w:rsid w:val="00A15F72"/>
    <w:rsid w:val="00A1612C"/>
    <w:rsid w:val="00A1618A"/>
    <w:rsid w:val="00A161A4"/>
    <w:rsid w:val="00A16211"/>
    <w:rsid w:val="00A162BF"/>
    <w:rsid w:val="00A16399"/>
    <w:rsid w:val="00A163BB"/>
    <w:rsid w:val="00A16487"/>
    <w:rsid w:val="00A164D1"/>
    <w:rsid w:val="00A164EA"/>
    <w:rsid w:val="00A16510"/>
    <w:rsid w:val="00A166F6"/>
    <w:rsid w:val="00A167FD"/>
    <w:rsid w:val="00A16849"/>
    <w:rsid w:val="00A1690D"/>
    <w:rsid w:val="00A16926"/>
    <w:rsid w:val="00A169B9"/>
    <w:rsid w:val="00A169CF"/>
    <w:rsid w:val="00A16A4A"/>
    <w:rsid w:val="00A16B23"/>
    <w:rsid w:val="00A16B40"/>
    <w:rsid w:val="00A16B4B"/>
    <w:rsid w:val="00A16CC1"/>
    <w:rsid w:val="00A16CF2"/>
    <w:rsid w:val="00A16DD0"/>
    <w:rsid w:val="00A16EBC"/>
    <w:rsid w:val="00A17091"/>
    <w:rsid w:val="00A17244"/>
    <w:rsid w:val="00A174A5"/>
    <w:rsid w:val="00A1762B"/>
    <w:rsid w:val="00A17685"/>
    <w:rsid w:val="00A17695"/>
    <w:rsid w:val="00A17777"/>
    <w:rsid w:val="00A17778"/>
    <w:rsid w:val="00A1792D"/>
    <w:rsid w:val="00A17957"/>
    <w:rsid w:val="00A17973"/>
    <w:rsid w:val="00A17A53"/>
    <w:rsid w:val="00A17AB8"/>
    <w:rsid w:val="00A17CB9"/>
    <w:rsid w:val="00A17CC1"/>
    <w:rsid w:val="00A17CDA"/>
    <w:rsid w:val="00A17DB9"/>
    <w:rsid w:val="00A17E73"/>
    <w:rsid w:val="00A2004C"/>
    <w:rsid w:val="00A200BD"/>
    <w:rsid w:val="00A2012C"/>
    <w:rsid w:val="00A2014D"/>
    <w:rsid w:val="00A201AB"/>
    <w:rsid w:val="00A2027F"/>
    <w:rsid w:val="00A20347"/>
    <w:rsid w:val="00A203E5"/>
    <w:rsid w:val="00A20579"/>
    <w:rsid w:val="00A20585"/>
    <w:rsid w:val="00A20593"/>
    <w:rsid w:val="00A20633"/>
    <w:rsid w:val="00A206B3"/>
    <w:rsid w:val="00A206D7"/>
    <w:rsid w:val="00A20725"/>
    <w:rsid w:val="00A20775"/>
    <w:rsid w:val="00A20887"/>
    <w:rsid w:val="00A208E6"/>
    <w:rsid w:val="00A20B7C"/>
    <w:rsid w:val="00A20B8D"/>
    <w:rsid w:val="00A20CEE"/>
    <w:rsid w:val="00A20D97"/>
    <w:rsid w:val="00A20E3A"/>
    <w:rsid w:val="00A2109C"/>
    <w:rsid w:val="00A210F4"/>
    <w:rsid w:val="00A211AC"/>
    <w:rsid w:val="00A211DE"/>
    <w:rsid w:val="00A211F0"/>
    <w:rsid w:val="00A213E2"/>
    <w:rsid w:val="00A215E7"/>
    <w:rsid w:val="00A21884"/>
    <w:rsid w:val="00A21978"/>
    <w:rsid w:val="00A21996"/>
    <w:rsid w:val="00A21D8C"/>
    <w:rsid w:val="00A21E58"/>
    <w:rsid w:val="00A2205D"/>
    <w:rsid w:val="00A220F1"/>
    <w:rsid w:val="00A22242"/>
    <w:rsid w:val="00A2226B"/>
    <w:rsid w:val="00A22497"/>
    <w:rsid w:val="00A22562"/>
    <w:rsid w:val="00A2260F"/>
    <w:rsid w:val="00A226C8"/>
    <w:rsid w:val="00A226D4"/>
    <w:rsid w:val="00A22843"/>
    <w:rsid w:val="00A228A5"/>
    <w:rsid w:val="00A228B7"/>
    <w:rsid w:val="00A22A70"/>
    <w:rsid w:val="00A22AF1"/>
    <w:rsid w:val="00A22C63"/>
    <w:rsid w:val="00A22D53"/>
    <w:rsid w:val="00A22EAE"/>
    <w:rsid w:val="00A22F38"/>
    <w:rsid w:val="00A23047"/>
    <w:rsid w:val="00A230CD"/>
    <w:rsid w:val="00A231E5"/>
    <w:rsid w:val="00A23261"/>
    <w:rsid w:val="00A2329C"/>
    <w:rsid w:val="00A232E6"/>
    <w:rsid w:val="00A23400"/>
    <w:rsid w:val="00A23513"/>
    <w:rsid w:val="00A2358A"/>
    <w:rsid w:val="00A235F9"/>
    <w:rsid w:val="00A237B5"/>
    <w:rsid w:val="00A238E6"/>
    <w:rsid w:val="00A23905"/>
    <w:rsid w:val="00A23AB0"/>
    <w:rsid w:val="00A23ADA"/>
    <w:rsid w:val="00A23B6E"/>
    <w:rsid w:val="00A23C47"/>
    <w:rsid w:val="00A23C8B"/>
    <w:rsid w:val="00A23CB5"/>
    <w:rsid w:val="00A23CC2"/>
    <w:rsid w:val="00A23D68"/>
    <w:rsid w:val="00A23DD3"/>
    <w:rsid w:val="00A23EF7"/>
    <w:rsid w:val="00A23F42"/>
    <w:rsid w:val="00A24008"/>
    <w:rsid w:val="00A2427E"/>
    <w:rsid w:val="00A242D7"/>
    <w:rsid w:val="00A242DE"/>
    <w:rsid w:val="00A2433D"/>
    <w:rsid w:val="00A2434C"/>
    <w:rsid w:val="00A24388"/>
    <w:rsid w:val="00A243DA"/>
    <w:rsid w:val="00A2447D"/>
    <w:rsid w:val="00A245B1"/>
    <w:rsid w:val="00A24628"/>
    <w:rsid w:val="00A246BF"/>
    <w:rsid w:val="00A246CC"/>
    <w:rsid w:val="00A2498A"/>
    <w:rsid w:val="00A24A45"/>
    <w:rsid w:val="00A24A8D"/>
    <w:rsid w:val="00A24AFC"/>
    <w:rsid w:val="00A24BAB"/>
    <w:rsid w:val="00A24D95"/>
    <w:rsid w:val="00A24E05"/>
    <w:rsid w:val="00A24E30"/>
    <w:rsid w:val="00A24E64"/>
    <w:rsid w:val="00A24E90"/>
    <w:rsid w:val="00A24F7E"/>
    <w:rsid w:val="00A24FB3"/>
    <w:rsid w:val="00A24FFC"/>
    <w:rsid w:val="00A25005"/>
    <w:rsid w:val="00A25031"/>
    <w:rsid w:val="00A250B4"/>
    <w:rsid w:val="00A251CB"/>
    <w:rsid w:val="00A252DF"/>
    <w:rsid w:val="00A25427"/>
    <w:rsid w:val="00A2545A"/>
    <w:rsid w:val="00A25538"/>
    <w:rsid w:val="00A2564E"/>
    <w:rsid w:val="00A257D0"/>
    <w:rsid w:val="00A257E5"/>
    <w:rsid w:val="00A25813"/>
    <w:rsid w:val="00A2582B"/>
    <w:rsid w:val="00A258BD"/>
    <w:rsid w:val="00A258F4"/>
    <w:rsid w:val="00A25923"/>
    <w:rsid w:val="00A25999"/>
    <w:rsid w:val="00A259C3"/>
    <w:rsid w:val="00A259DF"/>
    <w:rsid w:val="00A25AF9"/>
    <w:rsid w:val="00A25BD3"/>
    <w:rsid w:val="00A25D6E"/>
    <w:rsid w:val="00A25D8D"/>
    <w:rsid w:val="00A25D9E"/>
    <w:rsid w:val="00A25DCF"/>
    <w:rsid w:val="00A25E54"/>
    <w:rsid w:val="00A260C7"/>
    <w:rsid w:val="00A26144"/>
    <w:rsid w:val="00A26187"/>
    <w:rsid w:val="00A2619A"/>
    <w:rsid w:val="00A261C8"/>
    <w:rsid w:val="00A261DE"/>
    <w:rsid w:val="00A262E5"/>
    <w:rsid w:val="00A26322"/>
    <w:rsid w:val="00A265DB"/>
    <w:rsid w:val="00A26632"/>
    <w:rsid w:val="00A2663A"/>
    <w:rsid w:val="00A26651"/>
    <w:rsid w:val="00A26749"/>
    <w:rsid w:val="00A2675E"/>
    <w:rsid w:val="00A267D7"/>
    <w:rsid w:val="00A26897"/>
    <w:rsid w:val="00A268A0"/>
    <w:rsid w:val="00A268DB"/>
    <w:rsid w:val="00A26935"/>
    <w:rsid w:val="00A26984"/>
    <w:rsid w:val="00A26995"/>
    <w:rsid w:val="00A2699D"/>
    <w:rsid w:val="00A26A32"/>
    <w:rsid w:val="00A26A8E"/>
    <w:rsid w:val="00A26B4B"/>
    <w:rsid w:val="00A26C0C"/>
    <w:rsid w:val="00A26F68"/>
    <w:rsid w:val="00A27011"/>
    <w:rsid w:val="00A2714A"/>
    <w:rsid w:val="00A2717A"/>
    <w:rsid w:val="00A27238"/>
    <w:rsid w:val="00A27275"/>
    <w:rsid w:val="00A27370"/>
    <w:rsid w:val="00A27588"/>
    <w:rsid w:val="00A2760E"/>
    <w:rsid w:val="00A27621"/>
    <w:rsid w:val="00A27637"/>
    <w:rsid w:val="00A27662"/>
    <w:rsid w:val="00A277A6"/>
    <w:rsid w:val="00A278E5"/>
    <w:rsid w:val="00A279FD"/>
    <w:rsid w:val="00A27A52"/>
    <w:rsid w:val="00A27A71"/>
    <w:rsid w:val="00A27BCD"/>
    <w:rsid w:val="00A27D53"/>
    <w:rsid w:val="00A27D5A"/>
    <w:rsid w:val="00A300FC"/>
    <w:rsid w:val="00A30125"/>
    <w:rsid w:val="00A301FE"/>
    <w:rsid w:val="00A30232"/>
    <w:rsid w:val="00A30243"/>
    <w:rsid w:val="00A303F4"/>
    <w:rsid w:val="00A30485"/>
    <w:rsid w:val="00A304EC"/>
    <w:rsid w:val="00A30503"/>
    <w:rsid w:val="00A30589"/>
    <w:rsid w:val="00A30633"/>
    <w:rsid w:val="00A306C0"/>
    <w:rsid w:val="00A30719"/>
    <w:rsid w:val="00A3071E"/>
    <w:rsid w:val="00A30729"/>
    <w:rsid w:val="00A307CB"/>
    <w:rsid w:val="00A30819"/>
    <w:rsid w:val="00A309E0"/>
    <w:rsid w:val="00A30A53"/>
    <w:rsid w:val="00A30AA9"/>
    <w:rsid w:val="00A30CA4"/>
    <w:rsid w:val="00A30DAD"/>
    <w:rsid w:val="00A30E80"/>
    <w:rsid w:val="00A30E9F"/>
    <w:rsid w:val="00A30F74"/>
    <w:rsid w:val="00A312A2"/>
    <w:rsid w:val="00A313B5"/>
    <w:rsid w:val="00A313FA"/>
    <w:rsid w:val="00A31417"/>
    <w:rsid w:val="00A31550"/>
    <w:rsid w:val="00A3165B"/>
    <w:rsid w:val="00A31696"/>
    <w:rsid w:val="00A31726"/>
    <w:rsid w:val="00A3183B"/>
    <w:rsid w:val="00A3187B"/>
    <w:rsid w:val="00A318D7"/>
    <w:rsid w:val="00A319AC"/>
    <w:rsid w:val="00A31A90"/>
    <w:rsid w:val="00A31B0F"/>
    <w:rsid w:val="00A31C82"/>
    <w:rsid w:val="00A31C87"/>
    <w:rsid w:val="00A31CA7"/>
    <w:rsid w:val="00A31CAF"/>
    <w:rsid w:val="00A31CBE"/>
    <w:rsid w:val="00A31EF9"/>
    <w:rsid w:val="00A31F15"/>
    <w:rsid w:val="00A31F80"/>
    <w:rsid w:val="00A3200C"/>
    <w:rsid w:val="00A3209E"/>
    <w:rsid w:val="00A320BF"/>
    <w:rsid w:val="00A320D8"/>
    <w:rsid w:val="00A3219A"/>
    <w:rsid w:val="00A3224A"/>
    <w:rsid w:val="00A32258"/>
    <w:rsid w:val="00A322A3"/>
    <w:rsid w:val="00A32309"/>
    <w:rsid w:val="00A323AF"/>
    <w:rsid w:val="00A32418"/>
    <w:rsid w:val="00A32526"/>
    <w:rsid w:val="00A32555"/>
    <w:rsid w:val="00A325C0"/>
    <w:rsid w:val="00A32635"/>
    <w:rsid w:val="00A32654"/>
    <w:rsid w:val="00A326CB"/>
    <w:rsid w:val="00A326DF"/>
    <w:rsid w:val="00A326FA"/>
    <w:rsid w:val="00A327AC"/>
    <w:rsid w:val="00A327F4"/>
    <w:rsid w:val="00A328F7"/>
    <w:rsid w:val="00A32BFB"/>
    <w:rsid w:val="00A32CD7"/>
    <w:rsid w:val="00A32D72"/>
    <w:rsid w:val="00A32E6A"/>
    <w:rsid w:val="00A32ED5"/>
    <w:rsid w:val="00A32EF4"/>
    <w:rsid w:val="00A33075"/>
    <w:rsid w:val="00A331DA"/>
    <w:rsid w:val="00A33333"/>
    <w:rsid w:val="00A333C5"/>
    <w:rsid w:val="00A334CC"/>
    <w:rsid w:val="00A335C0"/>
    <w:rsid w:val="00A336F0"/>
    <w:rsid w:val="00A33750"/>
    <w:rsid w:val="00A337CA"/>
    <w:rsid w:val="00A3387E"/>
    <w:rsid w:val="00A3388C"/>
    <w:rsid w:val="00A3395B"/>
    <w:rsid w:val="00A3399B"/>
    <w:rsid w:val="00A339CD"/>
    <w:rsid w:val="00A33A76"/>
    <w:rsid w:val="00A33C20"/>
    <w:rsid w:val="00A33D95"/>
    <w:rsid w:val="00A33E96"/>
    <w:rsid w:val="00A33F83"/>
    <w:rsid w:val="00A33F89"/>
    <w:rsid w:val="00A33F9E"/>
    <w:rsid w:val="00A3400C"/>
    <w:rsid w:val="00A340AD"/>
    <w:rsid w:val="00A340B1"/>
    <w:rsid w:val="00A34218"/>
    <w:rsid w:val="00A3428F"/>
    <w:rsid w:val="00A34291"/>
    <w:rsid w:val="00A3437F"/>
    <w:rsid w:val="00A3439D"/>
    <w:rsid w:val="00A344A3"/>
    <w:rsid w:val="00A34598"/>
    <w:rsid w:val="00A347C9"/>
    <w:rsid w:val="00A348F3"/>
    <w:rsid w:val="00A34A11"/>
    <w:rsid w:val="00A34B9C"/>
    <w:rsid w:val="00A34BFA"/>
    <w:rsid w:val="00A34C45"/>
    <w:rsid w:val="00A34DF3"/>
    <w:rsid w:val="00A34FB1"/>
    <w:rsid w:val="00A356C2"/>
    <w:rsid w:val="00A35872"/>
    <w:rsid w:val="00A35A85"/>
    <w:rsid w:val="00A35AA9"/>
    <w:rsid w:val="00A35AC7"/>
    <w:rsid w:val="00A35B1B"/>
    <w:rsid w:val="00A35C67"/>
    <w:rsid w:val="00A35C71"/>
    <w:rsid w:val="00A35CA5"/>
    <w:rsid w:val="00A35CB4"/>
    <w:rsid w:val="00A35D87"/>
    <w:rsid w:val="00A35E44"/>
    <w:rsid w:val="00A360FC"/>
    <w:rsid w:val="00A36130"/>
    <w:rsid w:val="00A361A5"/>
    <w:rsid w:val="00A361F3"/>
    <w:rsid w:val="00A36362"/>
    <w:rsid w:val="00A363AA"/>
    <w:rsid w:val="00A3652F"/>
    <w:rsid w:val="00A36595"/>
    <w:rsid w:val="00A367E0"/>
    <w:rsid w:val="00A3688C"/>
    <w:rsid w:val="00A36A0B"/>
    <w:rsid w:val="00A36BC5"/>
    <w:rsid w:val="00A36BD1"/>
    <w:rsid w:val="00A36BDD"/>
    <w:rsid w:val="00A36DF2"/>
    <w:rsid w:val="00A36E15"/>
    <w:rsid w:val="00A36ECE"/>
    <w:rsid w:val="00A36F4F"/>
    <w:rsid w:val="00A36F80"/>
    <w:rsid w:val="00A37163"/>
    <w:rsid w:val="00A37311"/>
    <w:rsid w:val="00A37322"/>
    <w:rsid w:val="00A3739F"/>
    <w:rsid w:val="00A37554"/>
    <w:rsid w:val="00A3757B"/>
    <w:rsid w:val="00A37590"/>
    <w:rsid w:val="00A376AA"/>
    <w:rsid w:val="00A37763"/>
    <w:rsid w:val="00A3781E"/>
    <w:rsid w:val="00A37835"/>
    <w:rsid w:val="00A3787A"/>
    <w:rsid w:val="00A378F7"/>
    <w:rsid w:val="00A37921"/>
    <w:rsid w:val="00A37AA0"/>
    <w:rsid w:val="00A37B28"/>
    <w:rsid w:val="00A37BFB"/>
    <w:rsid w:val="00A37C46"/>
    <w:rsid w:val="00A37C90"/>
    <w:rsid w:val="00A37C96"/>
    <w:rsid w:val="00A37D01"/>
    <w:rsid w:val="00A37E59"/>
    <w:rsid w:val="00A37EA8"/>
    <w:rsid w:val="00A37EAB"/>
    <w:rsid w:val="00A37F17"/>
    <w:rsid w:val="00A37FB2"/>
    <w:rsid w:val="00A4006B"/>
    <w:rsid w:val="00A400FB"/>
    <w:rsid w:val="00A40197"/>
    <w:rsid w:val="00A4047F"/>
    <w:rsid w:val="00A404CE"/>
    <w:rsid w:val="00A40545"/>
    <w:rsid w:val="00A40564"/>
    <w:rsid w:val="00A4063E"/>
    <w:rsid w:val="00A407C1"/>
    <w:rsid w:val="00A40973"/>
    <w:rsid w:val="00A409F3"/>
    <w:rsid w:val="00A40BB8"/>
    <w:rsid w:val="00A40C25"/>
    <w:rsid w:val="00A40CC4"/>
    <w:rsid w:val="00A40D01"/>
    <w:rsid w:val="00A40DC2"/>
    <w:rsid w:val="00A40DC4"/>
    <w:rsid w:val="00A40F0D"/>
    <w:rsid w:val="00A40F12"/>
    <w:rsid w:val="00A40F4A"/>
    <w:rsid w:val="00A40F56"/>
    <w:rsid w:val="00A41035"/>
    <w:rsid w:val="00A4125D"/>
    <w:rsid w:val="00A41298"/>
    <w:rsid w:val="00A4131D"/>
    <w:rsid w:val="00A41465"/>
    <w:rsid w:val="00A414BD"/>
    <w:rsid w:val="00A4154F"/>
    <w:rsid w:val="00A41585"/>
    <w:rsid w:val="00A41597"/>
    <w:rsid w:val="00A415B2"/>
    <w:rsid w:val="00A41744"/>
    <w:rsid w:val="00A41790"/>
    <w:rsid w:val="00A4179E"/>
    <w:rsid w:val="00A417B3"/>
    <w:rsid w:val="00A418FF"/>
    <w:rsid w:val="00A4196C"/>
    <w:rsid w:val="00A41996"/>
    <w:rsid w:val="00A41AB3"/>
    <w:rsid w:val="00A41CAF"/>
    <w:rsid w:val="00A41CBE"/>
    <w:rsid w:val="00A41CCA"/>
    <w:rsid w:val="00A41E1C"/>
    <w:rsid w:val="00A41E64"/>
    <w:rsid w:val="00A41F20"/>
    <w:rsid w:val="00A42094"/>
    <w:rsid w:val="00A420C5"/>
    <w:rsid w:val="00A420EF"/>
    <w:rsid w:val="00A420F8"/>
    <w:rsid w:val="00A42125"/>
    <w:rsid w:val="00A4240C"/>
    <w:rsid w:val="00A42545"/>
    <w:rsid w:val="00A425D9"/>
    <w:rsid w:val="00A4262D"/>
    <w:rsid w:val="00A42643"/>
    <w:rsid w:val="00A42751"/>
    <w:rsid w:val="00A4284C"/>
    <w:rsid w:val="00A42A5E"/>
    <w:rsid w:val="00A42ACB"/>
    <w:rsid w:val="00A42B30"/>
    <w:rsid w:val="00A42BA2"/>
    <w:rsid w:val="00A42C46"/>
    <w:rsid w:val="00A42C7B"/>
    <w:rsid w:val="00A42C9D"/>
    <w:rsid w:val="00A42CF9"/>
    <w:rsid w:val="00A42D36"/>
    <w:rsid w:val="00A42DB7"/>
    <w:rsid w:val="00A42DE9"/>
    <w:rsid w:val="00A42F6C"/>
    <w:rsid w:val="00A42FCC"/>
    <w:rsid w:val="00A430DA"/>
    <w:rsid w:val="00A431B0"/>
    <w:rsid w:val="00A431BC"/>
    <w:rsid w:val="00A431C5"/>
    <w:rsid w:val="00A432C3"/>
    <w:rsid w:val="00A432D3"/>
    <w:rsid w:val="00A43467"/>
    <w:rsid w:val="00A435A0"/>
    <w:rsid w:val="00A435A6"/>
    <w:rsid w:val="00A436F4"/>
    <w:rsid w:val="00A43755"/>
    <w:rsid w:val="00A4378F"/>
    <w:rsid w:val="00A437AC"/>
    <w:rsid w:val="00A43893"/>
    <w:rsid w:val="00A43A58"/>
    <w:rsid w:val="00A43AA7"/>
    <w:rsid w:val="00A43B08"/>
    <w:rsid w:val="00A43B3E"/>
    <w:rsid w:val="00A43CF3"/>
    <w:rsid w:val="00A43DB2"/>
    <w:rsid w:val="00A43E23"/>
    <w:rsid w:val="00A43E4E"/>
    <w:rsid w:val="00A43E86"/>
    <w:rsid w:val="00A43EB0"/>
    <w:rsid w:val="00A43F27"/>
    <w:rsid w:val="00A43FC5"/>
    <w:rsid w:val="00A440B5"/>
    <w:rsid w:val="00A440D7"/>
    <w:rsid w:val="00A443EA"/>
    <w:rsid w:val="00A4443B"/>
    <w:rsid w:val="00A44490"/>
    <w:rsid w:val="00A44673"/>
    <w:rsid w:val="00A4467D"/>
    <w:rsid w:val="00A446BB"/>
    <w:rsid w:val="00A447EA"/>
    <w:rsid w:val="00A4481F"/>
    <w:rsid w:val="00A44875"/>
    <w:rsid w:val="00A44942"/>
    <w:rsid w:val="00A44A43"/>
    <w:rsid w:val="00A44B9E"/>
    <w:rsid w:val="00A44C9F"/>
    <w:rsid w:val="00A44CC9"/>
    <w:rsid w:val="00A44CE1"/>
    <w:rsid w:val="00A44D56"/>
    <w:rsid w:val="00A44D5B"/>
    <w:rsid w:val="00A44D76"/>
    <w:rsid w:val="00A44E13"/>
    <w:rsid w:val="00A44E21"/>
    <w:rsid w:val="00A44E52"/>
    <w:rsid w:val="00A44E99"/>
    <w:rsid w:val="00A44F89"/>
    <w:rsid w:val="00A44FEC"/>
    <w:rsid w:val="00A451D8"/>
    <w:rsid w:val="00A452B0"/>
    <w:rsid w:val="00A452BD"/>
    <w:rsid w:val="00A45394"/>
    <w:rsid w:val="00A455D3"/>
    <w:rsid w:val="00A4567B"/>
    <w:rsid w:val="00A456B8"/>
    <w:rsid w:val="00A456D2"/>
    <w:rsid w:val="00A456E7"/>
    <w:rsid w:val="00A45869"/>
    <w:rsid w:val="00A458A9"/>
    <w:rsid w:val="00A45B7F"/>
    <w:rsid w:val="00A45BB1"/>
    <w:rsid w:val="00A45CD4"/>
    <w:rsid w:val="00A4603F"/>
    <w:rsid w:val="00A460E5"/>
    <w:rsid w:val="00A460F6"/>
    <w:rsid w:val="00A46154"/>
    <w:rsid w:val="00A461CE"/>
    <w:rsid w:val="00A462B0"/>
    <w:rsid w:val="00A463E5"/>
    <w:rsid w:val="00A4641D"/>
    <w:rsid w:val="00A46420"/>
    <w:rsid w:val="00A4645A"/>
    <w:rsid w:val="00A46537"/>
    <w:rsid w:val="00A466E6"/>
    <w:rsid w:val="00A4678C"/>
    <w:rsid w:val="00A46882"/>
    <w:rsid w:val="00A4699C"/>
    <w:rsid w:val="00A46B61"/>
    <w:rsid w:val="00A46BE7"/>
    <w:rsid w:val="00A46C6E"/>
    <w:rsid w:val="00A46D06"/>
    <w:rsid w:val="00A46E04"/>
    <w:rsid w:val="00A46EA2"/>
    <w:rsid w:val="00A47094"/>
    <w:rsid w:val="00A470EE"/>
    <w:rsid w:val="00A47125"/>
    <w:rsid w:val="00A47297"/>
    <w:rsid w:val="00A4731F"/>
    <w:rsid w:val="00A4733C"/>
    <w:rsid w:val="00A473AF"/>
    <w:rsid w:val="00A47426"/>
    <w:rsid w:val="00A4743A"/>
    <w:rsid w:val="00A47597"/>
    <w:rsid w:val="00A475D8"/>
    <w:rsid w:val="00A479E3"/>
    <w:rsid w:val="00A47A56"/>
    <w:rsid w:val="00A47B3B"/>
    <w:rsid w:val="00A47CBC"/>
    <w:rsid w:val="00A47DC0"/>
    <w:rsid w:val="00A47ECA"/>
    <w:rsid w:val="00A47F0D"/>
    <w:rsid w:val="00A502C0"/>
    <w:rsid w:val="00A5031A"/>
    <w:rsid w:val="00A503E7"/>
    <w:rsid w:val="00A5053B"/>
    <w:rsid w:val="00A507B9"/>
    <w:rsid w:val="00A5081C"/>
    <w:rsid w:val="00A50862"/>
    <w:rsid w:val="00A508BD"/>
    <w:rsid w:val="00A50963"/>
    <w:rsid w:val="00A5097F"/>
    <w:rsid w:val="00A50A1F"/>
    <w:rsid w:val="00A50BE1"/>
    <w:rsid w:val="00A50CC4"/>
    <w:rsid w:val="00A50CFA"/>
    <w:rsid w:val="00A50D34"/>
    <w:rsid w:val="00A50DCA"/>
    <w:rsid w:val="00A50DD9"/>
    <w:rsid w:val="00A50F10"/>
    <w:rsid w:val="00A50F63"/>
    <w:rsid w:val="00A5109F"/>
    <w:rsid w:val="00A510D1"/>
    <w:rsid w:val="00A511AF"/>
    <w:rsid w:val="00A5158D"/>
    <w:rsid w:val="00A51794"/>
    <w:rsid w:val="00A517A0"/>
    <w:rsid w:val="00A517C1"/>
    <w:rsid w:val="00A5185F"/>
    <w:rsid w:val="00A51A01"/>
    <w:rsid w:val="00A51AFB"/>
    <w:rsid w:val="00A51B68"/>
    <w:rsid w:val="00A51BA2"/>
    <w:rsid w:val="00A51C45"/>
    <w:rsid w:val="00A51D0F"/>
    <w:rsid w:val="00A51DED"/>
    <w:rsid w:val="00A51E84"/>
    <w:rsid w:val="00A5201B"/>
    <w:rsid w:val="00A524C2"/>
    <w:rsid w:val="00A5258C"/>
    <w:rsid w:val="00A52688"/>
    <w:rsid w:val="00A5268B"/>
    <w:rsid w:val="00A52737"/>
    <w:rsid w:val="00A528AB"/>
    <w:rsid w:val="00A52ACC"/>
    <w:rsid w:val="00A52B5C"/>
    <w:rsid w:val="00A52BA0"/>
    <w:rsid w:val="00A52C81"/>
    <w:rsid w:val="00A52DAD"/>
    <w:rsid w:val="00A52FC6"/>
    <w:rsid w:val="00A53029"/>
    <w:rsid w:val="00A5307B"/>
    <w:rsid w:val="00A5311C"/>
    <w:rsid w:val="00A53237"/>
    <w:rsid w:val="00A5328A"/>
    <w:rsid w:val="00A53316"/>
    <w:rsid w:val="00A53327"/>
    <w:rsid w:val="00A53379"/>
    <w:rsid w:val="00A533E9"/>
    <w:rsid w:val="00A534F6"/>
    <w:rsid w:val="00A535AC"/>
    <w:rsid w:val="00A5387F"/>
    <w:rsid w:val="00A538A6"/>
    <w:rsid w:val="00A539C4"/>
    <w:rsid w:val="00A53A11"/>
    <w:rsid w:val="00A53BBB"/>
    <w:rsid w:val="00A53BC4"/>
    <w:rsid w:val="00A53D76"/>
    <w:rsid w:val="00A53D99"/>
    <w:rsid w:val="00A53DA3"/>
    <w:rsid w:val="00A53EB8"/>
    <w:rsid w:val="00A54006"/>
    <w:rsid w:val="00A5412C"/>
    <w:rsid w:val="00A541D9"/>
    <w:rsid w:val="00A541F8"/>
    <w:rsid w:val="00A54239"/>
    <w:rsid w:val="00A54281"/>
    <w:rsid w:val="00A542AD"/>
    <w:rsid w:val="00A542F8"/>
    <w:rsid w:val="00A54353"/>
    <w:rsid w:val="00A54480"/>
    <w:rsid w:val="00A5450E"/>
    <w:rsid w:val="00A545EF"/>
    <w:rsid w:val="00A546EE"/>
    <w:rsid w:val="00A547E9"/>
    <w:rsid w:val="00A5491A"/>
    <w:rsid w:val="00A54A0A"/>
    <w:rsid w:val="00A54A42"/>
    <w:rsid w:val="00A54B5C"/>
    <w:rsid w:val="00A54C41"/>
    <w:rsid w:val="00A54C54"/>
    <w:rsid w:val="00A54CB3"/>
    <w:rsid w:val="00A54EE3"/>
    <w:rsid w:val="00A54F39"/>
    <w:rsid w:val="00A54F5C"/>
    <w:rsid w:val="00A55068"/>
    <w:rsid w:val="00A550C5"/>
    <w:rsid w:val="00A5516F"/>
    <w:rsid w:val="00A55224"/>
    <w:rsid w:val="00A5522A"/>
    <w:rsid w:val="00A552A8"/>
    <w:rsid w:val="00A5539F"/>
    <w:rsid w:val="00A553F1"/>
    <w:rsid w:val="00A5543E"/>
    <w:rsid w:val="00A55477"/>
    <w:rsid w:val="00A554D9"/>
    <w:rsid w:val="00A5551A"/>
    <w:rsid w:val="00A555B2"/>
    <w:rsid w:val="00A555D1"/>
    <w:rsid w:val="00A555F7"/>
    <w:rsid w:val="00A55667"/>
    <w:rsid w:val="00A55773"/>
    <w:rsid w:val="00A55777"/>
    <w:rsid w:val="00A55893"/>
    <w:rsid w:val="00A558E2"/>
    <w:rsid w:val="00A559C1"/>
    <w:rsid w:val="00A55A51"/>
    <w:rsid w:val="00A55A94"/>
    <w:rsid w:val="00A55ACB"/>
    <w:rsid w:val="00A55CBE"/>
    <w:rsid w:val="00A55D5A"/>
    <w:rsid w:val="00A55DE5"/>
    <w:rsid w:val="00A55F7B"/>
    <w:rsid w:val="00A55FA1"/>
    <w:rsid w:val="00A55FDF"/>
    <w:rsid w:val="00A561D8"/>
    <w:rsid w:val="00A561DB"/>
    <w:rsid w:val="00A5623D"/>
    <w:rsid w:val="00A562EB"/>
    <w:rsid w:val="00A563AD"/>
    <w:rsid w:val="00A5644A"/>
    <w:rsid w:val="00A56472"/>
    <w:rsid w:val="00A56490"/>
    <w:rsid w:val="00A564E7"/>
    <w:rsid w:val="00A56503"/>
    <w:rsid w:val="00A5686A"/>
    <w:rsid w:val="00A56923"/>
    <w:rsid w:val="00A56A4F"/>
    <w:rsid w:val="00A56ABB"/>
    <w:rsid w:val="00A56ACE"/>
    <w:rsid w:val="00A56C5E"/>
    <w:rsid w:val="00A56CA1"/>
    <w:rsid w:val="00A56D53"/>
    <w:rsid w:val="00A56E7D"/>
    <w:rsid w:val="00A56EBC"/>
    <w:rsid w:val="00A56F06"/>
    <w:rsid w:val="00A56F78"/>
    <w:rsid w:val="00A56FA2"/>
    <w:rsid w:val="00A56FAB"/>
    <w:rsid w:val="00A56FC2"/>
    <w:rsid w:val="00A570EC"/>
    <w:rsid w:val="00A57149"/>
    <w:rsid w:val="00A571A7"/>
    <w:rsid w:val="00A57241"/>
    <w:rsid w:val="00A57304"/>
    <w:rsid w:val="00A57423"/>
    <w:rsid w:val="00A575BF"/>
    <w:rsid w:val="00A575C1"/>
    <w:rsid w:val="00A575DC"/>
    <w:rsid w:val="00A57724"/>
    <w:rsid w:val="00A5783B"/>
    <w:rsid w:val="00A57843"/>
    <w:rsid w:val="00A57918"/>
    <w:rsid w:val="00A5792F"/>
    <w:rsid w:val="00A57964"/>
    <w:rsid w:val="00A579BB"/>
    <w:rsid w:val="00A579EA"/>
    <w:rsid w:val="00A57A1B"/>
    <w:rsid w:val="00A57A38"/>
    <w:rsid w:val="00A57A9F"/>
    <w:rsid w:val="00A57AF0"/>
    <w:rsid w:val="00A57B9F"/>
    <w:rsid w:val="00A57D42"/>
    <w:rsid w:val="00A57E03"/>
    <w:rsid w:val="00A600E5"/>
    <w:rsid w:val="00A60272"/>
    <w:rsid w:val="00A6038B"/>
    <w:rsid w:val="00A604B9"/>
    <w:rsid w:val="00A604F7"/>
    <w:rsid w:val="00A6054E"/>
    <w:rsid w:val="00A6056C"/>
    <w:rsid w:val="00A605AD"/>
    <w:rsid w:val="00A605B2"/>
    <w:rsid w:val="00A60674"/>
    <w:rsid w:val="00A606E5"/>
    <w:rsid w:val="00A607C1"/>
    <w:rsid w:val="00A608A1"/>
    <w:rsid w:val="00A60913"/>
    <w:rsid w:val="00A60923"/>
    <w:rsid w:val="00A609F1"/>
    <w:rsid w:val="00A60A00"/>
    <w:rsid w:val="00A60AA6"/>
    <w:rsid w:val="00A60ADD"/>
    <w:rsid w:val="00A60B15"/>
    <w:rsid w:val="00A60B32"/>
    <w:rsid w:val="00A60B82"/>
    <w:rsid w:val="00A60C1B"/>
    <w:rsid w:val="00A60CAF"/>
    <w:rsid w:val="00A60CDB"/>
    <w:rsid w:val="00A60D62"/>
    <w:rsid w:val="00A60EDD"/>
    <w:rsid w:val="00A60F06"/>
    <w:rsid w:val="00A60FA5"/>
    <w:rsid w:val="00A60FCD"/>
    <w:rsid w:val="00A6108F"/>
    <w:rsid w:val="00A61108"/>
    <w:rsid w:val="00A61289"/>
    <w:rsid w:val="00A6131F"/>
    <w:rsid w:val="00A61571"/>
    <w:rsid w:val="00A61633"/>
    <w:rsid w:val="00A618EE"/>
    <w:rsid w:val="00A619F9"/>
    <w:rsid w:val="00A61B06"/>
    <w:rsid w:val="00A61B6E"/>
    <w:rsid w:val="00A61BAF"/>
    <w:rsid w:val="00A61C13"/>
    <w:rsid w:val="00A61CB0"/>
    <w:rsid w:val="00A61E28"/>
    <w:rsid w:val="00A61E3E"/>
    <w:rsid w:val="00A61E58"/>
    <w:rsid w:val="00A61F77"/>
    <w:rsid w:val="00A62197"/>
    <w:rsid w:val="00A6222B"/>
    <w:rsid w:val="00A62230"/>
    <w:rsid w:val="00A6227E"/>
    <w:rsid w:val="00A622D2"/>
    <w:rsid w:val="00A622D5"/>
    <w:rsid w:val="00A622E6"/>
    <w:rsid w:val="00A62339"/>
    <w:rsid w:val="00A62450"/>
    <w:rsid w:val="00A6251C"/>
    <w:rsid w:val="00A626E2"/>
    <w:rsid w:val="00A6276D"/>
    <w:rsid w:val="00A627B3"/>
    <w:rsid w:val="00A62895"/>
    <w:rsid w:val="00A628D4"/>
    <w:rsid w:val="00A6295F"/>
    <w:rsid w:val="00A62973"/>
    <w:rsid w:val="00A62B2E"/>
    <w:rsid w:val="00A62BDB"/>
    <w:rsid w:val="00A62C17"/>
    <w:rsid w:val="00A62C54"/>
    <w:rsid w:val="00A62C6F"/>
    <w:rsid w:val="00A62D6B"/>
    <w:rsid w:val="00A62D9C"/>
    <w:rsid w:val="00A62E0B"/>
    <w:rsid w:val="00A62E88"/>
    <w:rsid w:val="00A62E98"/>
    <w:rsid w:val="00A62F40"/>
    <w:rsid w:val="00A62FC6"/>
    <w:rsid w:val="00A63075"/>
    <w:rsid w:val="00A6307C"/>
    <w:rsid w:val="00A63108"/>
    <w:rsid w:val="00A63233"/>
    <w:rsid w:val="00A63323"/>
    <w:rsid w:val="00A633BD"/>
    <w:rsid w:val="00A63435"/>
    <w:rsid w:val="00A63527"/>
    <w:rsid w:val="00A635E8"/>
    <w:rsid w:val="00A6369A"/>
    <w:rsid w:val="00A636A4"/>
    <w:rsid w:val="00A636A6"/>
    <w:rsid w:val="00A63704"/>
    <w:rsid w:val="00A63A9D"/>
    <w:rsid w:val="00A63B39"/>
    <w:rsid w:val="00A63C19"/>
    <w:rsid w:val="00A63C69"/>
    <w:rsid w:val="00A63CED"/>
    <w:rsid w:val="00A63DC4"/>
    <w:rsid w:val="00A63E9A"/>
    <w:rsid w:val="00A63FDC"/>
    <w:rsid w:val="00A640AF"/>
    <w:rsid w:val="00A64277"/>
    <w:rsid w:val="00A6428F"/>
    <w:rsid w:val="00A64292"/>
    <w:rsid w:val="00A642BC"/>
    <w:rsid w:val="00A643B3"/>
    <w:rsid w:val="00A6442D"/>
    <w:rsid w:val="00A64511"/>
    <w:rsid w:val="00A645CC"/>
    <w:rsid w:val="00A646C5"/>
    <w:rsid w:val="00A646FA"/>
    <w:rsid w:val="00A6472F"/>
    <w:rsid w:val="00A64A1B"/>
    <w:rsid w:val="00A64A37"/>
    <w:rsid w:val="00A64EFD"/>
    <w:rsid w:val="00A64FE5"/>
    <w:rsid w:val="00A6500B"/>
    <w:rsid w:val="00A650E1"/>
    <w:rsid w:val="00A6517A"/>
    <w:rsid w:val="00A651AA"/>
    <w:rsid w:val="00A651F1"/>
    <w:rsid w:val="00A65229"/>
    <w:rsid w:val="00A652CA"/>
    <w:rsid w:val="00A6536F"/>
    <w:rsid w:val="00A653B1"/>
    <w:rsid w:val="00A653C6"/>
    <w:rsid w:val="00A6544E"/>
    <w:rsid w:val="00A65486"/>
    <w:rsid w:val="00A654DC"/>
    <w:rsid w:val="00A6563E"/>
    <w:rsid w:val="00A656BD"/>
    <w:rsid w:val="00A65888"/>
    <w:rsid w:val="00A659E1"/>
    <w:rsid w:val="00A65A4B"/>
    <w:rsid w:val="00A65DE5"/>
    <w:rsid w:val="00A65EB9"/>
    <w:rsid w:val="00A65F1A"/>
    <w:rsid w:val="00A65F3E"/>
    <w:rsid w:val="00A66071"/>
    <w:rsid w:val="00A66195"/>
    <w:rsid w:val="00A663D3"/>
    <w:rsid w:val="00A66487"/>
    <w:rsid w:val="00A66513"/>
    <w:rsid w:val="00A665A0"/>
    <w:rsid w:val="00A665AC"/>
    <w:rsid w:val="00A665E5"/>
    <w:rsid w:val="00A66709"/>
    <w:rsid w:val="00A6676A"/>
    <w:rsid w:val="00A667DB"/>
    <w:rsid w:val="00A667F6"/>
    <w:rsid w:val="00A668B5"/>
    <w:rsid w:val="00A6690F"/>
    <w:rsid w:val="00A66988"/>
    <w:rsid w:val="00A66A4F"/>
    <w:rsid w:val="00A66B35"/>
    <w:rsid w:val="00A66DC3"/>
    <w:rsid w:val="00A66EB7"/>
    <w:rsid w:val="00A66FEF"/>
    <w:rsid w:val="00A6707D"/>
    <w:rsid w:val="00A67158"/>
    <w:rsid w:val="00A6718A"/>
    <w:rsid w:val="00A67213"/>
    <w:rsid w:val="00A6725A"/>
    <w:rsid w:val="00A67271"/>
    <w:rsid w:val="00A67310"/>
    <w:rsid w:val="00A673E7"/>
    <w:rsid w:val="00A6744A"/>
    <w:rsid w:val="00A675FE"/>
    <w:rsid w:val="00A677F1"/>
    <w:rsid w:val="00A67862"/>
    <w:rsid w:val="00A678AF"/>
    <w:rsid w:val="00A678D5"/>
    <w:rsid w:val="00A67909"/>
    <w:rsid w:val="00A67959"/>
    <w:rsid w:val="00A679D5"/>
    <w:rsid w:val="00A67B58"/>
    <w:rsid w:val="00A67D49"/>
    <w:rsid w:val="00A67EE5"/>
    <w:rsid w:val="00A67F0B"/>
    <w:rsid w:val="00A67F0C"/>
    <w:rsid w:val="00A7007F"/>
    <w:rsid w:val="00A700BC"/>
    <w:rsid w:val="00A70199"/>
    <w:rsid w:val="00A7024D"/>
    <w:rsid w:val="00A7036B"/>
    <w:rsid w:val="00A703D2"/>
    <w:rsid w:val="00A70441"/>
    <w:rsid w:val="00A70474"/>
    <w:rsid w:val="00A7047E"/>
    <w:rsid w:val="00A70770"/>
    <w:rsid w:val="00A707A1"/>
    <w:rsid w:val="00A7095E"/>
    <w:rsid w:val="00A70999"/>
    <w:rsid w:val="00A709B9"/>
    <w:rsid w:val="00A70B7C"/>
    <w:rsid w:val="00A70D3B"/>
    <w:rsid w:val="00A70E52"/>
    <w:rsid w:val="00A70F79"/>
    <w:rsid w:val="00A70FC3"/>
    <w:rsid w:val="00A71134"/>
    <w:rsid w:val="00A711B7"/>
    <w:rsid w:val="00A71435"/>
    <w:rsid w:val="00A71538"/>
    <w:rsid w:val="00A71664"/>
    <w:rsid w:val="00A71730"/>
    <w:rsid w:val="00A71825"/>
    <w:rsid w:val="00A718B3"/>
    <w:rsid w:val="00A71A41"/>
    <w:rsid w:val="00A71C1C"/>
    <w:rsid w:val="00A71C3F"/>
    <w:rsid w:val="00A71DDB"/>
    <w:rsid w:val="00A71DE2"/>
    <w:rsid w:val="00A71E74"/>
    <w:rsid w:val="00A71EAA"/>
    <w:rsid w:val="00A71F08"/>
    <w:rsid w:val="00A72001"/>
    <w:rsid w:val="00A72094"/>
    <w:rsid w:val="00A7219C"/>
    <w:rsid w:val="00A7230A"/>
    <w:rsid w:val="00A7242F"/>
    <w:rsid w:val="00A72575"/>
    <w:rsid w:val="00A725FE"/>
    <w:rsid w:val="00A726AB"/>
    <w:rsid w:val="00A72756"/>
    <w:rsid w:val="00A727C5"/>
    <w:rsid w:val="00A7281A"/>
    <w:rsid w:val="00A72837"/>
    <w:rsid w:val="00A7283B"/>
    <w:rsid w:val="00A72882"/>
    <w:rsid w:val="00A72947"/>
    <w:rsid w:val="00A729B4"/>
    <w:rsid w:val="00A72B86"/>
    <w:rsid w:val="00A72BA4"/>
    <w:rsid w:val="00A72C9F"/>
    <w:rsid w:val="00A72DA5"/>
    <w:rsid w:val="00A72EEF"/>
    <w:rsid w:val="00A72F20"/>
    <w:rsid w:val="00A72F5F"/>
    <w:rsid w:val="00A73002"/>
    <w:rsid w:val="00A731F3"/>
    <w:rsid w:val="00A7323A"/>
    <w:rsid w:val="00A732BC"/>
    <w:rsid w:val="00A73450"/>
    <w:rsid w:val="00A73655"/>
    <w:rsid w:val="00A736F7"/>
    <w:rsid w:val="00A7377B"/>
    <w:rsid w:val="00A73791"/>
    <w:rsid w:val="00A73B00"/>
    <w:rsid w:val="00A73B23"/>
    <w:rsid w:val="00A73BAE"/>
    <w:rsid w:val="00A73BC1"/>
    <w:rsid w:val="00A73BF3"/>
    <w:rsid w:val="00A73C7E"/>
    <w:rsid w:val="00A73CA9"/>
    <w:rsid w:val="00A73CD7"/>
    <w:rsid w:val="00A73EE8"/>
    <w:rsid w:val="00A73F2B"/>
    <w:rsid w:val="00A73F7C"/>
    <w:rsid w:val="00A7401E"/>
    <w:rsid w:val="00A7406B"/>
    <w:rsid w:val="00A74172"/>
    <w:rsid w:val="00A74282"/>
    <w:rsid w:val="00A742E9"/>
    <w:rsid w:val="00A7435F"/>
    <w:rsid w:val="00A74373"/>
    <w:rsid w:val="00A74486"/>
    <w:rsid w:val="00A744C6"/>
    <w:rsid w:val="00A745ED"/>
    <w:rsid w:val="00A7460E"/>
    <w:rsid w:val="00A7461C"/>
    <w:rsid w:val="00A746E8"/>
    <w:rsid w:val="00A746F9"/>
    <w:rsid w:val="00A747BA"/>
    <w:rsid w:val="00A74811"/>
    <w:rsid w:val="00A7487F"/>
    <w:rsid w:val="00A74A3B"/>
    <w:rsid w:val="00A74A70"/>
    <w:rsid w:val="00A74B9C"/>
    <w:rsid w:val="00A74BCE"/>
    <w:rsid w:val="00A74CE3"/>
    <w:rsid w:val="00A74E32"/>
    <w:rsid w:val="00A74E3C"/>
    <w:rsid w:val="00A74EC0"/>
    <w:rsid w:val="00A74F8C"/>
    <w:rsid w:val="00A75062"/>
    <w:rsid w:val="00A75187"/>
    <w:rsid w:val="00A75198"/>
    <w:rsid w:val="00A754E1"/>
    <w:rsid w:val="00A75592"/>
    <w:rsid w:val="00A755DD"/>
    <w:rsid w:val="00A756D9"/>
    <w:rsid w:val="00A756E1"/>
    <w:rsid w:val="00A7575E"/>
    <w:rsid w:val="00A75782"/>
    <w:rsid w:val="00A75909"/>
    <w:rsid w:val="00A759FE"/>
    <w:rsid w:val="00A75BFA"/>
    <w:rsid w:val="00A75BFB"/>
    <w:rsid w:val="00A75C19"/>
    <w:rsid w:val="00A75C78"/>
    <w:rsid w:val="00A75D97"/>
    <w:rsid w:val="00A75EB3"/>
    <w:rsid w:val="00A75EC9"/>
    <w:rsid w:val="00A76121"/>
    <w:rsid w:val="00A761C8"/>
    <w:rsid w:val="00A7620A"/>
    <w:rsid w:val="00A7625F"/>
    <w:rsid w:val="00A7627D"/>
    <w:rsid w:val="00A762E5"/>
    <w:rsid w:val="00A76622"/>
    <w:rsid w:val="00A7675F"/>
    <w:rsid w:val="00A7686B"/>
    <w:rsid w:val="00A7688E"/>
    <w:rsid w:val="00A76898"/>
    <w:rsid w:val="00A76BBB"/>
    <w:rsid w:val="00A76D13"/>
    <w:rsid w:val="00A76DFA"/>
    <w:rsid w:val="00A76DFC"/>
    <w:rsid w:val="00A76E09"/>
    <w:rsid w:val="00A76E31"/>
    <w:rsid w:val="00A76EDF"/>
    <w:rsid w:val="00A7713D"/>
    <w:rsid w:val="00A7716E"/>
    <w:rsid w:val="00A7720C"/>
    <w:rsid w:val="00A772FB"/>
    <w:rsid w:val="00A77328"/>
    <w:rsid w:val="00A77330"/>
    <w:rsid w:val="00A773CF"/>
    <w:rsid w:val="00A773F3"/>
    <w:rsid w:val="00A77431"/>
    <w:rsid w:val="00A77623"/>
    <w:rsid w:val="00A7769A"/>
    <w:rsid w:val="00A776D0"/>
    <w:rsid w:val="00A77721"/>
    <w:rsid w:val="00A778BE"/>
    <w:rsid w:val="00A778D4"/>
    <w:rsid w:val="00A779AB"/>
    <w:rsid w:val="00A779B9"/>
    <w:rsid w:val="00A77A57"/>
    <w:rsid w:val="00A77BBD"/>
    <w:rsid w:val="00A77BE8"/>
    <w:rsid w:val="00A77CE5"/>
    <w:rsid w:val="00A8026F"/>
    <w:rsid w:val="00A802E2"/>
    <w:rsid w:val="00A8032F"/>
    <w:rsid w:val="00A80388"/>
    <w:rsid w:val="00A803E4"/>
    <w:rsid w:val="00A8044E"/>
    <w:rsid w:val="00A8059C"/>
    <w:rsid w:val="00A8069A"/>
    <w:rsid w:val="00A806FC"/>
    <w:rsid w:val="00A809EA"/>
    <w:rsid w:val="00A80A2C"/>
    <w:rsid w:val="00A80B3E"/>
    <w:rsid w:val="00A80C31"/>
    <w:rsid w:val="00A80DC2"/>
    <w:rsid w:val="00A80DDC"/>
    <w:rsid w:val="00A80DDE"/>
    <w:rsid w:val="00A80E26"/>
    <w:rsid w:val="00A80E87"/>
    <w:rsid w:val="00A81135"/>
    <w:rsid w:val="00A81165"/>
    <w:rsid w:val="00A81257"/>
    <w:rsid w:val="00A81520"/>
    <w:rsid w:val="00A81589"/>
    <w:rsid w:val="00A816A7"/>
    <w:rsid w:val="00A81797"/>
    <w:rsid w:val="00A817A2"/>
    <w:rsid w:val="00A81841"/>
    <w:rsid w:val="00A8186C"/>
    <w:rsid w:val="00A81927"/>
    <w:rsid w:val="00A8195D"/>
    <w:rsid w:val="00A81A46"/>
    <w:rsid w:val="00A81A6A"/>
    <w:rsid w:val="00A81B55"/>
    <w:rsid w:val="00A81B8C"/>
    <w:rsid w:val="00A81CC9"/>
    <w:rsid w:val="00A81E0A"/>
    <w:rsid w:val="00A81E22"/>
    <w:rsid w:val="00A81E5C"/>
    <w:rsid w:val="00A81E95"/>
    <w:rsid w:val="00A8203F"/>
    <w:rsid w:val="00A8216A"/>
    <w:rsid w:val="00A821AF"/>
    <w:rsid w:val="00A821EA"/>
    <w:rsid w:val="00A82228"/>
    <w:rsid w:val="00A8225F"/>
    <w:rsid w:val="00A822B2"/>
    <w:rsid w:val="00A82348"/>
    <w:rsid w:val="00A824C6"/>
    <w:rsid w:val="00A82559"/>
    <w:rsid w:val="00A825B9"/>
    <w:rsid w:val="00A82759"/>
    <w:rsid w:val="00A827B9"/>
    <w:rsid w:val="00A827DB"/>
    <w:rsid w:val="00A82836"/>
    <w:rsid w:val="00A828C4"/>
    <w:rsid w:val="00A82A63"/>
    <w:rsid w:val="00A82A6D"/>
    <w:rsid w:val="00A82A78"/>
    <w:rsid w:val="00A82A91"/>
    <w:rsid w:val="00A82BC0"/>
    <w:rsid w:val="00A82C57"/>
    <w:rsid w:val="00A82D46"/>
    <w:rsid w:val="00A82D8F"/>
    <w:rsid w:val="00A82DA1"/>
    <w:rsid w:val="00A82FE7"/>
    <w:rsid w:val="00A8304C"/>
    <w:rsid w:val="00A8312E"/>
    <w:rsid w:val="00A831FA"/>
    <w:rsid w:val="00A832BA"/>
    <w:rsid w:val="00A8332B"/>
    <w:rsid w:val="00A8333E"/>
    <w:rsid w:val="00A83379"/>
    <w:rsid w:val="00A835C3"/>
    <w:rsid w:val="00A838B0"/>
    <w:rsid w:val="00A838EE"/>
    <w:rsid w:val="00A83917"/>
    <w:rsid w:val="00A839B9"/>
    <w:rsid w:val="00A83A95"/>
    <w:rsid w:val="00A83BEA"/>
    <w:rsid w:val="00A83C06"/>
    <w:rsid w:val="00A83C43"/>
    <w:rsid w:val="00A83D47"/>
    <w:rsid w:val="00A83D60"/>
    <w:rsid w:val="00A83E90"/>
    <w:rsid w:val="00A83EAB"/>
    <w:rsid w:val="00A83ECE"/>
    <w:rsid w:val="00A83F1C"/>
    <w:rsid w:val="00A83F45"/>
    <w:rsid w:val="00A83F7E"/>
    <w:rsid w:val="00A84086"/>
    <w:rsid w:val="00A84130"/>
    <w:rsid w:val="00A84139"/>
    <w:rsid w:val="00A84211"/>
    <w:rsid w:val="00A843D0"/>
    <w:rsid w:val="00A843D5"/>
    <w:rsid w:val="00A84424"/>
    <w:rsid w:val="00A84495"/>
    <w:rsid w:val="00A844A0"/>
    <w:rsid w:val="00A844B5"/>
    <w:rsid w:val="00A844DA"/>
    <w:rsid w:val="00A846E1"/>
    <w:rsid w:val="00A84772"/>
    <w:rsid w:val="00A84891"/>
    <w:rsid w:val="00A848A1"/>
    <w:rsid w:val="00A848DD"/>
    <w:rsid w:val="00A84978"/>
    <w:rsid w:val="00A849E3"/>
    <w:rsid w:val="00A84B81"/>
    <w:rsid w:val="00A84B83"/>
    <w:rsid w:val="00A84BF7"/>
    <w:rsid w:val="00A84C8C"/>
    <w:rsid w:val="00A84DCA"/>
    <w:rsid w:val="00A84DEB"/>
    <w:rsid w:val="00A84DFB"/>
    <w:rsid w:val="00A84EBE"/>
    <w:rsid w:val="00A84EF4"/>
    <w:rsid w:val="00A84FA2"/>
    <w:rsid w:val="00A84FF1"/>
    <w:rsid w:val="00A850C3"/>
    <w:rsid w:val="00A852C2"/>
    <w:rsid w:val="00A853E7"/>
    <w:rsid w:val="00A85445"/>
    <w:rsid w:val="00A8560E"/>
    <w:rsid w:val="00A8563C"/>
    <w:rsid w:val="00A85788"/>
    <w:rsid w:val="00A8585B"/>
    <w:rsid w:val="00A85863"/>
    <w:rsid w:val="00A858FC"/>
    <w:rsid w:val="00A85A7B"/>
    <w:rsid w:val="00A85B1E"/>
    <w:rsid w:val="00A85B70"/>
    <w:rsid w:val="00A85C74"/>
    <w:rsid w:val="00A85DA8"/>
    <w:rsid w:val="00A85E35"/>
    <w:rsid w:val="00A85F22"/>
    <w:rsid w:val="00A86035"/>
    <w:rsid w:val="00A86213"/>
    <w:rsid w:val="00A86304"/>
    <w:rsid w:val="00A86388"/>
    <w:rsid w:val="00A86490"/>
    <w:rsid w:val="00A86805"/>
    <w:rsid w:val="00A868DE"/>
    <w:rsid w:val="00A86945"/>
    <w:rsid w:val="00A86B0D"/>
    <w:rsid w:val="00A86CB8"/>
    <w:rsid w:val="00A86CFA"/>
    <w:rsid w:val="00A86D75"/>
    <w:rsid w:val="00A86D86"/>
    <w:rsid w:val="00A86D94"/>
    <w:rsid w:val="00A86E57"/>
    <w:rsid w:val="00A86F0F"/>
    <w:rsid w:val="00A86FE9"/>
    <w:rsid w:val="00A8704C"/>
    <w:rsid w:val="00A870B9"/>
    <w:rsid w:val="00A87217"/>
    <w:rsid w:val="00A8724E"/>
    <w:rsid w:val="00A8725A"/>
    <w:rsid w:val="00A87684"/>
    <w:rsid w:val="00A8776B"/>
    <w:rsid w:val="00A87863"/>
    <w:rsid w:val="00A878A8"/>
    <w:rsid w:val="00A8799C"/>
    <w:rsid w:val="00A87A17"/>
    <w:rsid w:val="00A87A43"/>
    <w:rsid w:val="00A87B20"/>
    <w:rsid w:val="00A87C74"/>
    <w:rsid w:val="00A87F2B"/>
    <w:rsid w:val="00A9003A"/>
    <w:rsid w:val="00A90045"/>
    <w:rsid w:val="00A90046"/>
    <w:rsid w:val="00A900B1"/>
    <w:rsid w:val="00A900C5"/>
    <w:rsid w:val="00A900CC"/>
    <w:rsid w:val="00A901A2"/>
    <w:rsid w:val="00A90257"/>
    <w:rsid w:val="00A90298"/>
    <w:rsid w:val="00A902B6"/>
    <w:rsid w:val="00A90313"/>
    <w:rsid w:val="00A903DB"/>
    <w:rsid w:val="00A90477"/>
    <w:rsid w:val="00A905B2"/>
    <w:rsid w:val="00A90659"/>
    <w:rsid w:val="00A90678"/>
    <w:rsid w:val="00A9068E"/>
    <w:rsid w:val="00A9085C"/>
    <w:rsid w:val="00A908C0"/>
    <w:rsid w:val="00A9095F"/>
    <w:rsid w:val="00A90A23"/>
    <w:rsid w:val="00A90AF4"/>
    <w:rsid w:val="00A90BC7"/>
    <w:rsid w:val="00A90BD3"/>
    <w:rsid w:val="00A90C6A"/>
    <w:rsid w:val="00A90C7F"/>
    <w:rsid w:val="00A90CD6"/>
    <w:rsid w:val="00A90CE9"/>
    <w:rsid w:val="00A90D02"/>
    <w:rsid w:val="00A90D19"/>
    <w:rsid w:val="00A90F55"/>
    <w:rsid w:val="00A90F67"/>
    <w:rsid w:val="00A910DE"/>
    <w:rsid w:val="00A910E0"/>
    <w:rsid w:val="00A91117"/>
    <w:rsid w:val="00A911AF"/>
    <w:rsid w:val="00A912F0"/>
    <w:rsid w:val="00A91328"/>
    <w:rsid w:val="00A91370"/>
    <w:rsid w:val="00A91434"/>
    <w:rsid w:val="00A9153C"/>
    <w:rsid w:val="00A91606"/>
    <w:rsid w:val="00A9163C"/>
    <w:rsid w:val="00A91675"/>
    <w:rsid w:val="00A9168B"/>
    <w:rsid w:val="00A9168D"/>
    <w:rsid w:val="00A91765"/>
    <w:rsid w:val="00A9179E"/>
    <w:rsid w:val="00A9181C"/>
    <w:rsid w:val="00A919CF"/>
    <w:rsid w:val="00A91A67"/>
    <w:rsid w:val="00A91A73"/>
    <w:rsid w:val="00A91B15"/>
    <w:rsid w:val="00A91EF3"/>
    <w:rsid w:val="00A91F15"/>
    <w:rsid w:val="00A91F8F"/>
    <w:rsid w:val="00A91F99"/>
    <w:rsid w:val="00A91FAB"/>
    <w:rsid w:val="00A920A2"/>
    <w:rsid w:val="00A92168"/>
    <w:rsid w:val="00A92185"/>
    <w:rsid w:val="00A922F8"/>
    <w:rsid w:val="00A92318"/>
    <w:rsid w:val="00A92356"/>
    <w:rsid w:val="00A9243F"/>
    <w:rsid w:val="00A92536"/>
    <w:rsid w:val="00A925FD"/>
    <w:rsid w:val="00A925FE"/>
    <w:rsid w:val="00A9266E"/>
    <w:rsid w:val="00A926A1"/>
    <w:rsid w:val="00A926B9"/>
    <w:rsid w:val="00A92718"/>
    <w:rsid w:val="00A92938"/>
    <w:rsid w:val="00A92A36"/>
    <w:rsid w:val="00A92A98"/>
    <w:rsid w:val="00A92C51"/>
    <w:rsid w:val="00A92D00"/>
    <w:rsid w:val="00A92D32"/>
    <w:rsid w:val="00A92D49"/>
    <w:rsid w:val="00A92D74"/>
    <w:rsid w:val="00A92E95"/>
    <w:rsid w:val="00A92EF7"/>
    <w:rsid w:val="00A92F2C"/>
    <w:rsid w:val="00A93099"/>
    <w:rsid w:val="00A930C2"/>
    <w:rsid w:val="00A93268"/>
    <w:rsid w:val="00A93270"/>
    <w:rsid w:val="00A9327C"/>
    <w:rsid w:val="00A932D1"/>
    <w:rsid w:val="00A93323"/>
    <w:rsid w:val="00A933FC"/>
    <w:rsid w:val="00A93485"/>
    <w:rsid w:val="00A934AD"/>
    <w:rsid w:val="00A93513"/>
    <w:rsid w:val="00A9353F"/>
    <w:rsid w:val="00A9359D"/>
    <w:rsid w:val="00A93618"/>
    <w:rsid w:val="00A938B6"/>
    <w:rsid w:val="00A93946"/>
    <w:rsid w:val="00A93978"/>
    <w:rsid w:val="00A9397A"/>
    <w:rsid w:val="00A93A54"/>
    <w:rsid w:val="00A93C76"/>
    <w:rsid w:val="00A93C99"/>
    <w:rsid w:val="00A93F06"/>
    <w:rsid w:val="00A93F88"/>
    <w:rsid w:val="00A93FA7"/>
    <w:rsid w:val="00A94014"/>
    <w:rsid w:val="00A940B6"/>
    <w:rsid w:val="00A94122"/>
    <w:rsid w:val="00A941D5"/>
    <w:rsid w:val="00A941DD"/>
    <w:rsid w:val="00A9423D"/>
    <w:rsid w:val="00A94276"/>
    <w:rsid w:val="00A94278"/>
    <w:rsid w:val="00A94350"/>
    <w:rsid w:val="00A943BB"/>
    <w:rsid w:val="00A943BE"/>
    <w:rsid w:val="00A9449F"/>
    <w:rsid w:val="00A9452B"/>
    <w:rsid w:val="00A947D6"/>
    <w:rsid w:val="00A9480B"/>
    <w:rsid w:val="00A94828"/>
    <w:rsid w:val="00A94882"/>
    <w:rsid w:val="00A9490D"/>
    <w:rsid w:val="00A94AFA"/>
    <w:rsid w:val="00A94B71"/>
    <w:rsid w:val="00A94BD0"/>
    <w:rsid w:val="00A94C22"/>
    <w:rsid w:val="00A94CE1"/>
    <w:rsid w:val="00A94F18"/>
    <w:rsid w:val="00A9515D"/>
    <w:rsid w:val="00A951D0"/>
    <w:rsid w:val="00A95223"/>
    <w:rsid w:val="00A95293"/>
    <w:rsid w:val="00A95377"/>
    <w:rsid w:val="00A954AD"/>
    <w:rsid w:val="00A95553"/>
    <w:rsid w:val="00A9566D"/>
    <w:rsid w:val="00A9587C"/>
    <w:rsid w:val="00A958A5"/>
    <w:rsid w:val="00A95945"/>
    <w:rsid w:val="00A95AB1"/>
    <w:rsid w:val="00A95BC7"/>
    <w:rsid w:val="00A95D16"/>
    <w:rsid w:val="00A95E76"/>
    <w:rsid w:val="00A95EDB"/>
    <w:rsid w:val="00A95F96"/>
    <w:rsid w:val="00A95FB1"/>
    <w:rsid w:val="00A96067"/>
    <w:rsid w:val="00A960AF"/>
    <w:rsid w:val="00A960DB"/>
    <w:rsid w:val="00A960DC"/>
    <w:rsid w:val="00A96159"/>
    <w:rsid w:val="00A96296"/>
    <w:rsid w:val="00A96331"/>
    <w:rsid w:val="00A9637F"/>
    <w:rsid w:val="00A96580"/>
    <w:rsid w:val="00A965E7"/>
    <w:rsid w:val="00A96615"/>
    <w:rsid w:val="00A96620"/>
    <w:rsid w:val="00A9676B"/>
    <w:rsid w:val="00A9686B"/>
    <w:rsid w:val="00A96875"/>
    <w:rsid w:val="00A96878"/>
    <w:rsid w:val="00A968B6"/>
    <w:rsid w:val="00A968E9"/>
    <w:rsid w:val="00A9690C"/>
    <w:rsid w:val="00A969AA"/>
    <w:rsid w:val="00A96ABE"/>
    <w:rsid w:val="00A96AFA"/>
    <w:rsid w:val="00A96B2A"/>
    <w:rsid w:val="00A96BEB"/>
    <w:rsid w:val="00A96BF3"/>
    <w:rsid w:val="00A96C3C"/>
    <w:rsid w:val="00A96CAA"/>
    <w:rsid w:val="00A96EF9"/>
    <w:rsid w:val="00A96F5B"/>
    <w:rsid w:val="00A96F86"/>
    <w:rsid w:val="00A96F95"/>
    <w:rsid w:val="00A970F0"/>
    <w:rsid w:val="00A97148"/>
    <w:rsid w:val="00A97192"/>
    <w:rsid w:val="00A97213"/>
    <w:rsid w:val="00A97309"/>
    <w:rsid w:val="00A973CF"/>
    <w:rsid w:val="00A9787B"/>
    <w:rsid w:val="00A9792C"/>
    <w:rsid w:val="00A979D3"/>
    <w:rsid w:val="00A97BD3"/>
    <w:rsid w:val="00A97C82"/>
    <w:rsid w:val="00A97C85"/>
    <w:rsid w:val="00A97CBF"/>
    <w:rsid w:val="00A97D0D"/>
    <w:rsid w:val="00A97D3B"/>
    <w:rsid w:val="00A97EDE"/>
    <w:rsid w:val="00AA0200"/>
    <w:rsid w:val="00AA021B"/>
    <w:rsid w:val="00AA0300"/>
    <w:rsid w:val="00AA0346"/>
    <w:rsid w:val="00AA0360"/>
    <w:rsid w:val="00AA04A1"/>
    <w:rsid w:val="00AA04A6"/>
    <w:rsid w:val="00AA0598"/>
    <w:rsid w:val="00AA06AC"/>
    <w:rsid w:val="00AA06D0"/>
    <w:rsid w:val="00AA078C"/>
    <w:rsid w:val="00AA0860"/>
    <w:rsid w:val="00AA0895"/>
    <w:rsid w:val="00AA08C9"/>
    <w:rsid w:val="00AA0924"/>
    <w:rsid w:val="00AA092C"/>
    <w:rsid w:val="00AA09FF"/>
    <w:rsid w:val="00AA0DB0"/>
    <w:rsid w:val="00AA0E62"/>
    <w:rsid w:val="00AA0E74"/>
    <w:rsid w:val="00AA0E91"/>
    <w:rsid w:val="00AA0EE6"/>
    <w:rsid w:val="00AA0F2C"/>
    <w:rsid w:val="00AA103F"/>
    <w:rsid w:val="00AA1084"/>
    <w:rsid w:val="00AA108D"/>
    <w:rsid w:val="00AA10DD"/>
    <w:rsid w:val="00AA10EC"/>
    <w:rsid w:val="00AA116C"/>
    <w:rsid w:val="00AA11C4"/>
    <w:rsid w:val="00AA1238"/>
    <w:rsid w:val="00AA1325"/>
    <w:rsid w:val="00AA1339"/>
    <w:rsid w:val="00AA13A7"/>
    <w:rsid w:val="00AA14AC"/>
    <w:rsid w:val="00AA1658"/>
    <w:rsid w:val="00AA16FF"/>
    <w:rsid w:val="00AA17BC"/>
    <w:rsid w:val="00AA17BD"/>
    <w:rsid w:val="00AA1862"/>
    <w:rsid w:val="00AA1895"/>
    <w:rsid w:val="00AA18A1"/>
    <w:rsid w:val="00AA18CB"/>
    <w:rsid w:val="00AA19A4"/>
    <w:rsid w:val="00AA1A4E"/>
    <w:rsid w:val="00AA1AD0"/>
    <w:rsid w:val="00AA1DBC"/>
    <w:rsid w:val="00AA1E34"/>
    <w:rsid w:val="00AA1E47"/>
    <w:rsid w:val="00AA1E64"/>
    <w:rsid w:val="00AA1E70"/>
    <w:rsid w:val="00AA1E7E"/>
    <w:rsid w:val="00AA1EC8"/>
    <w:rsid w:val="00AA2069"/>
    <w:rsid w:val="00AA217B"/>
    <w:rsid w:val="00AA21DE"/>
    <w:rsid w:val="00AA224C"/>
    <w:rsid w:val="00AA2252"/>
    <w:rsid w:val="00AA234B"/>
    <w:rsid w:val="00AA24C9"/>
    <w:rsid w:val="00AA265C"/>
    <w:rsid w:val="00AA2732"/>
    <w:rsid w:val="00AA282F"/>
    <w:rsid w:val="00AA28CD"/>
    <w:rsid w:val="00AA2976"/>
    <w:rsid w:val="00AA29DA"/>
    <w:rsid w:val="00AA2A60"/>
    <w:rsid w:val="00AA2A85"/>
    <w:rsid w:val="00AA2B86"/>
    <w:rsid w:val="00AA2CEA"/>
    <w:rsid w:val="00AA2EFD"/>
    <w:rsid w:val="00AA304B"/>
    <w:rsid w:val="00AA31D8"/>
    <w:rsid w:val="00AA31DB"/>
    <w:rsid w:val="00AA328B"/>
    <w:rsid w:val="00AA32CD"/>
    <w:rsid w:val="00AA3341"/>
    <w:rsid w:val="00AA3467"/>
    <w:rsid w:val="00AA34E2"/>
    <w:rsid w:val="00AA34E3"/>
    <w:rsid w:val="00AA35F1"/>
    <w:rsid w:val="00AA368D"/>
    <w:rsid w:val="00AA370E"/>
    <w:rsid w:val="00AA3726"/>
    <w:rsid w:val="00AA3755"/>
    <w:rsid w:val="00AA3872"/>
    <w:rsid w:val="00AA38CA"/>
    <w:rsid w:val="00AA38E7"/>
    <w:rsid w:val="00AA3922"/>
    <w:rsid w:val="00AA3935"/>
    <w:rsid w:val="00AA39A4"/>
    <w:rsid w:val="00AA3A15"/>
    <w:rsid w:val="00AA3A6E"/>
    <w:rsid w:val="00AA3A6F"/>
    <w:rsid w:val="00AA3CC3"/>
    <w:rsid w:val="00AA3D14"/>
    <w:rsid w:val="00AA3E32"/>
    <w:rsid w:val="00AA3EA1"/>
    <w:rsid w:val="00AA3EE5"/>
    <w:rsid w:val="00AA3F4C"/>
    <w:rsid w:val="00AA3FDB"/>
    <w:rsid w:val="00AA3FF1"/>
    <w:rsid w:val="00AA400E"/>
    <w:rsid w:val="00AA40D2"/>
    <w:rsid w:val="00AA413D"/>
    <w:rsid w:val="00AA41D0"/>
    <w:rsid w:val="00AA4236"/>
    <w:rsid w:val="00AA42DA"/>
    <w:rsid w:val="00AA446A"/>
    <w:rsid w:val="00AA44AF"/>
    <w:rsid w:val="00AA44E4"/>
    <w:rsid w:val="00AA44EF"/>
    <w:rsid w:val="00AA458F"/>
    <w:rsid w:val="00AA4604"/>
    <w:rsid w:val="00AA461F"/>
    <w:rsid w:val="00AA463E"/>
    <w:rsid w:val="00AA4871"/>
    <w:rsid w:val="00AA48F7"/>
    <w:rsid w:val="00AA4905"/>
    <w:rsid w:val="00AA4911"/>
    <w:rsid w:val="00AA49A7"/>
    <w:rsid w:val="00AA49D7"/>
    <w:rsid w:val="00AA4ABF"/>
    <w:rsid w:val="00AA4BAF"/>
    <w:rsid w:val="00AA4C4E"/>
    <w:rsid w:val="00AA4C6D"/>
    <w:rsid w:val="00AA4CE8"/>
    <w:rsid w:val="00AA4DB0"/>
    <w:rsid w:val="00AA4E1D"/>
    <w:rsid w:val="00AA4EB5"/>
    <w:rsid w:val="00AA4F68"/>
    <w:rsid w:val="00AA511D"/>
    <w:rsid w:val="00AA51EE"/>
    <w:rsid w:val="00AA5228"/>
    <w:rsid w:val="00AA5408"/>
    <w:rsid w:val="00AA54B3"/>
    <w:rsid w:val="00AA54E7"/>
    <w:rsid w:val="00AA5553"/>
    <w:rsid w:val="00AA55E2"/>
    <w:rsid w:val="00AA5742"/>
    <w:rsid w:val="00AA579A"/>
    <w:rsid w:val="00AA57B3"/>
    <w:rsid w:val="00AA58F1"/>
    <w:rsid w:val="00AA5961"/>
    <w:rsid w:val="00AA5B19"/>
    <w:rsid w:val="00AA5B41"/>
    <w:rsid w:val="00AA5CDE"/>
    <w:rsid w:val="00AA5D7F"/>
    <w:rsid w:val="00AA6016"/>
    <w:rsid w:val="00AA6088"/>
    <w:rsid w:val="00AA60FD"/>
    <w:rsid w:val="00AA6348"/>
    <w:rsid w:val="00AA646B"/>
    <w:rsid w:val="00AA64F8"/>
    <w:rsid w:val="00AA67E0"/>
    <w:rsid w:val="00AA683D"/>
    <w:rsid w:val="00AA6C71"/>
    <w:rsid w:val="00AA6E20"/>
    <w:rsid w:val="00AA6E63"/>
    <w:rsid w:val="00AA6F0F"/>
    <w:rsid w:val="00AA6F36"/>
    <w:rsid w:val="00AA7134"/>
    <w:rsid w:val="00AA715B"/>
    <w:rsid w:val="00AA7299"/>
    <w:rsid w:val="00AA72CD"/>
    <w:rsid w:val="00AA7493"/>
    <w:rsid w:val="00AA74D2"/>
    <w:rsid w:val="00AA7513"/>
    <w:rsid w:val="00AA76A2"/>
    <w:rsid w:val="00AA7895"/>
    <w:rsid w:val="00AA78FB"/>
    <w:rsid w:val="00AA798A"/>
    <w:rsid w:val="00AA7A60"/>
    <w:rsid w:val="00AA7AD0"/>
    <w:rsid w:val="00AA7B1D"/>
    <w:rsid w:val="00AA7EA7"/>
    <w:rsid w:val="00AA7F1B"/>
    <w:rsid w:val="00AB00C7"/>
    <w:rsid w:val="00AB0169"/>
    <w:rsid w:val="00AB0277"/>
    <w:rsid w:val="00AB04D3"/>
    <w:rsid w:val="00AB06BA"/>
    <w:rsid w:val="00AB0838"/>
    <w:rsid w:val="00AB08C2"/>
    <w:rsid w:val="00AB0976"/>
    <w:rsid w:val="00AB0A05"/>
    <w:rsid w:val="00AB0AF5"/>
    <w:rsid w:val="00AB0B5D"/>
    <w:rsid w:val="00AB0C8C"/>
    <w:rsid w:val="00AB0CDE"/>
    <w:rsid w:val="00AB0DB3"/>
    <w:rsid w:val="00AB0E23"/>
    <w:rsid w:val="00AB0F51"/>
    <w:rsid w:val="00AB1317"/>
    <w:rsid w:val="00AB1380"/>
    <w:rsid w:val="00AB1398"/>
    <w:rsid w:val="00AB13C7"/>
    <w:rsid w:val="00AB140A"/>
    <w:rsid w:val="00AB143A"/>
    <w:rsid w:val="00AB1570"/>
    <w:rsid w:val="00AB16BB"/>
    <w:rsid w:val="00AB16CA"/>
    <w:rsid w:val="00AB1772"/>
    <w:rsid w:val="00AB1A49"/>
    <w:rsid w:val="00AB1B1B"/>
    <w:rsid w:val="00AB1C0A"/>
    <w:rsid w:val="00AB1CDC"/>
    <w:rsid w:val="00AB1D00"/>
    <w:rsid w:val="00AB1EBB"/>
    <w:rsid w:val="00AB21EC"/>
    <w:rsid w:val="00AB21F1"/>
    <w:rsid w:val="00AB21F2"/>
    <w:rsid w:val="00AB22D3"/>
    <w:rsid w:val="00AB22F7"/>
    <w:rsid w:val="00AB2464"/>
    <w:rsid w:val="00AB24A8"/>
    <w:rsid w:val="00AB2516"/>
    <w:rsid w:val="00AB251D"/>
    <w:rsid w:val="00AB27FE"/>
    <w:rsid w:val="00AB28E2"/>
    <w:rsid w:val="00AB294A"/>
    <w:rsid w:val="00AB2991"/>
    <w:rsid w:val="00AB2BAF"/>
    <w:rsid w:val="00AB2BCF"/>
    <w:rsid w:val="00AB2BF9"/>
    <w:rsid w:val="00AB2C1B"/>
    <w:rsid w:val="00AB2CA2"/>
    <w:rsid w:val="00AB2CB1"/>
    <w:rsid w:val="00AB2CD1"/>
    <w:rsid w:val="00AB2D15"/>
    <w:rsid w:val="00AB2D60"/>
    <w:rsid w:val="00AB2E27"/>
    <w:rsid w:val="00AB2EB8"/>
    <w:rsid w:val="00AB2FFB"/>
    <w:rsid w:val="00AB301E"/>
    <w:rsid w:val="00AB3048"/>
    <w:rsid w:val="00AB3069"/>
    <w:rsid w:val="00AB3096"/>
    <w:rsid w:val="00AB32A9"/>
    <w:rsid w:val="00AB32AB"/>
    <w:rsid w:val="00AB335E"/>
    <w:rsid w:val="00AB3361"/>
    <w:rsid w:val="00AB364E"/>
    <w:rsid w:val="00AB367B"/>
    <w:rsid w:val="00AB36A2"/>
    <w:rsid w:val="00AB3788"/>
    <w:rsid w:val="00AB3950"/>
    <w:rsid w:val="00AB3AF6"/>
    <w:rsid w:val="00AB3C1C"/>
    <w:rsid w:val="00AB3C2B"/>
    <w:rsid w:val="00AB3DD5"/>
    <w:rsid w:val="00AB3E49"/>
    <w:rsid w:val="00AB3EBA"/>
    <w:rsid w:val="00AB3ED2"/>
    <w:rsid w:val="00AB3F25"/>
    <w:rsid w:val="00AB3F72"/>
    <w:rsid w:val="00AB44A9"/>
    <w:rsid w:val="00AB44B8"/>
    <w:rsid w:val="00AB467B"/>
    <w:rsid w:val="00AB46D2"/>
    <w:rsid w:val="00AB46D4"/>
    <w:rsid w:val="00AB4983"/>
    <w:rsid w:val="00AB4A88"/>
    <w:rsid w:val="00AB4B67"/>
    <w:rsid w:val="00AB4C8D"/>
    <w:rsid w:val="00AB4CA0"/>
    <w:rsid w:val="00AB4D76"/>
    <w:rsid w:val="00AB4DD9"/>
    <w:rsid w:val="00AB4E93"/>
    <w:rsid w:val="00AB5026"/>
    <w:rsid w:val="00AB506D"/>
    <w:rsid w:val="00AB5090"/>
    <w:rsid w:val="00AB5159"/>
    <w:rsid w:val="00AB51DC"/>
    <w:rsid w:val="00AB5335"/>
    <w:rsid w:val="00AB53F3"/>
    <w:rsid w:val="00AB549F"/>
    <w:rsid w:val="00AB5545"/>
    <w:rsid w:val="00AB559F"/>
    <w:rsid w:val="00AB55E3"/>
    <w:rsid w:val="00AB566D"/>
    <w:rsid w:val="00AB5762"/>
    <w:rsid w:val="00AB5784"/>
    <w:rsid w:val="00AB578F"/>
    <w:rsid w:val="00AB585A"/>
    <w:rsid w:val="00AB58EF"/>
    <w:rsid w:val="00AB59D8"/>
    <w:rsid w:val="00AB5A8A"/>
    <w:rsid w:val="00AB5A9B"/>
    <w:rsid w:val="00AB5BC1"/>
    <w:rsid w:val="00AB5D96"/>
    <w:rsid w:val="00AB5E4B"/>
    <w:rsid w:val="00AB5F17"/>
    <w:rsid w:val="00AB5FAA"/>
    <w:rsid w:val="00AB5FC7"/>
    <w:rsid w:val="00AB6277"/>
    <w:rsid w:val="00AB639C"/>
    <w:rsid w:val="00AB63B6"/>
    <w:rsid w:val="00AB65BC"/>
    <w:rsid w:val="00AB65FF"/>
    <w:rsid w:val="00AB660E"/>
    <w:rsid w:val="00AB662E"/>
    <w:rsid w:val="00AB668B"/>
    <w:rsid w:val="00AB67B2"/>
    <w:rsid w:val="00AB681B"/>
    <w:rsid w:val="00AB6831"/>
    <w:rsid w:val="00AB6893"/>
    <w:rsid w:val="00AB6A4A"/>
    <w:rsid w:val="00AB6CDE"/>
    <w:rsid w:val="00AB6D43"/>
    <w:rsid w:val="00AB6D7A"/>
    <w:rsid w:val="00AB6D85"/>
    <w:rsid w:val="00AB6DCD"/>
    <w:rsid w:val="00AB6DF5"/>
    <w:rsid w:val="00AB6E2A"/>
    <w:rsid w:val="00AB6E3E"/>
    <w:rsid w:val="00AB6ECD"/>
    <w:rsid w:val="00AB6F39"/>
    <w:rsid w:val="00AB6FE5"/>
    <w:rsid w:val="00AB7139"/>
    <w:rsid w:val="00AB717D"/>
    <w:rsid w:val="00AB733E"/>
    <w:rsid w:val="00AB7476"/>
    <w:rsid w:val="00AB7590"/>
    <w:rsid w:val="00AB7626"/>
    <w:rsid w:val="00AB770B"/>
    <w:rsid w:val="00AB777C"/>
    <w:rsid w:val="00AB77B3"/>
    <w:rsid w:val="00AB7B55"/>
    <w:rsid w:val="00AB7BFB"/>
    <w:rsid w:val="00AB7CB2"/>
    <w:rsid w:val="00AB7CDF"/>
    <w:rsid w:val="00AB7D66"/>
    <w:rsid w:val="00AB7D6F"/>
    <w:rsid w:val="00AB7E42"/>
    <w:rsid w:val="00AB7EA0"/>
    <w:rsid w:val="00AB7EB3"/>
    <w:rsid w:val="00AB7FD9"/>
    <w:rsid w:val="00AB7FFE"/>
    <w:rsid w:val="00AC0019"/>
    <w:rsid w:val="00AC014D"/>
    <w:rsid w:val="00AC01F0"/>
    <w:rsid w:val="00AC028F"/>
    <w:rsid w:val="00AC02AA"/>
    <w:rsid w:val="00AC02E3"/>
    <w:rsid w:val="00AC0362"/>
    <w:rsid w:val="00AC0519"/>
    <w:rsid w:val="00AC06A9"/>
    <w:rsid w:val="00AC0771"/>
    <w:rsid w:val="00AC09E0"/>
    <w:rsid w:val="00AC0A26"/>
    <w:rsid w:val="00AC0A9B"/>
    <w:rsid w:val="00AC0B37"/>
    <w:rsid w:val="00AC0D1C"/>
    <w:rsid w:val="00AC0E00"/>
    <w:rsid w:val="00AC116E"/>
    <w:rsid w:val="00AC133B"/>
    <w:rsid w:val="00AC1545"/>
    <w:rsid w:val="00AC156A"/>
    <w:rsid w:val="00AC157D"/>
    <w:rsid w:val="00AC169E"/>
    <w:rsid w:val="00AC1817"/>
    <w:rsid w:val="00AC1933"/>
    <w:rsid w:val="00AC197C"/>
    <w:rsid w:val="00AC1BE2"/>
    <w:rsid w:val="00AC1D94"/>
    <w:rsid w:val="00AC1D9D"/>
    <w:rsid w:val="00AC1E90"/>
    <w:rsid w:val="00AC1EFD"/>
    <w:rsid w:val="00AC1F1A"/>
    <w:rsid w:val="00AC2081"/>
    <w:rsid w:val="00AC20B8"/>
    <w:rsid w:val="00AC218C"/>
    <w:rsid w:val="00AC22E5"/>
    <w:rsid w:val="00AC2302"/>
    <w:rsid w:val="00AC2363"/>
    <w:rsid w:val="00AC23BA"/>
    <w:rsid w:val="00AC23BC"/>
    <w:rsid w:val="00AC241F"/>
    <w:rsid w:val="00AC244A"/>
    <w:rsid w:val="00AC24EB"/>
    <w:rsid w:val="00AC25B3"/>
    <w:rsid w:val="00AC2731"/>
    <w:rsid w:val="00AC2792"/>
    <w:rsid w:val="00AC27B3"/>
    <w:rsid w:val="00AC27B6"/>
    <w:rsid w:val="00AC286D"/>
    <w:rsid w:val="00AC2899"/>
    <w:rsid w:val="00AC28E3"/>
    <w:rsid w:val="00AC2AA1"/>
    <w:rsid w:val="00AC2B8B"/>
    <w:rsid w:val="00AC2BCB"/>
    <w:rsid w:val="00AC2E34"/>
    <w:rsid w:val="00AC2E3F"/>
    <w:rsid w:val="00AC2F12"/>
    <w:rsid w:val="00AC30C4"/>
    <w:rsid w:val="00AC31E9"/>
    <w:rsid w:val="00AC32F4"/>
    <w:rsid w:val="00AC3676"/>
    <w:rsid w:val="00AC368B"/>
    <w:rsid w:val="00AC3A3C"/>
    <w:rsid w:val="00AC3BAF"/>
    <w:rsid w:val="00AC3BF3"/>
    <w:rsid w:val="00AC3D2D"/>
    <w:rsid w:val="00AC3FEF"/>
    <w:rsid w:val="00AC3FF7"/>
    <w:rsid w:val="00AC4025"/>
    <w:rsid w:val="00AC40CB"/>
    <w:rsid w:val="00AC41E7"/>
    <w:rsid w:val="00AC42ED"/>
    <w:rsid w:val="00AC42F6"/>
    <w:rsid w:val="00AC4580"/>
    <w:rsid w:val="00AC45B1"/>
    <w:rsid w:val="00AC462B"/>
    <w:rsid w:val="00AC465C"/>
    <w:rsid w:val="00AC4725"/>
    <w:rsid w:val="00AC4920"/>
    <w:rsid w:val="00AC495D"/>
    <w:rsid w:val="00AC4A24"/>
    <w:rsid w:val="00AC4A6A"/>
    <w:rsid w:val="00AC4A80"/>
    <w:rsid w:val="00AC4A97"/>
    <w:rsid w:val="00AC4C40"/>
    <w:rsid w:val="00AC4D3E"/>
    <w:rsid w:val="00AC4D5A"/>
    <w:rsid w:val="00AC4D70"/>
    <w:rsid w:val="00AC4E2C"/>
    <w:rsid w:val="00AC4ED4"/>
    <w:rsid w:val="00AC4F57"/>
    <w:rsid w:val="00AC5175"/>
    <w:rsid w:val="00AC51EE"/>
    <w:rsid w:val="00AC52DD"/>
    <w:rsid w:val="00AC53A0"/>
    <w:rsid w:val="00AC553E"/>
    <w:rsid w:val="00AC5607"/>
    <w:rsid w:val="00AC5768"/>
    <w:rsid w:val="00AC578B"/>
    <w:rsid w:val="00AC57E0"/>
    <w:rsid w:val="00AC57FB"/>
    <w:rsid w:val="00AC5847"/>
    <w:rsid w:val="00AC58A8"/>
    <w:rsid w:val="00AC58A9"/>
    <w:rsid w:val="00AC58ED"/>
    <w:rsid w:val="00AC59F9"/>
    <w:rsid w:val="00AC5AAE"/>
    <w:rsid w:val="00AC5B47"/>
    <w:rsid w:val="00AC5B5F"/>
    <w:rsid w:val="00AC5C41"/>
    <w:rsid w:val="00AC5CB8"/>
    <w:rsid w:val="00AC5CFA"/>
    <w:rsid w:val="00AC5E00"/>
    <w:rsid w:val="00AC5E1F"/>
    <w:rsid w:val="00AC5E78"/>
    <w:rsid w:val="00AC606F"/>
    <w:rsid w:val="00AC608B"/>
    <w:rsid w:val="00AC608C"/>
    <w:rsid w:val="00AC6248"/>
    <w:rsid w:val="00AC6280"/>
    <w:rsid w:val="00AC6454"/>
    <w:rsid w:val="00AC64B9"/>
    <w:rsid w:val="00AC6542"/>
    <w:rsid w:val="00AC657D"/>
    <w:rsid w:val="00AC659E"/>
    <w:rsid w:val="00AC6606"/>
    <w:rsid w:val="00AC66E0"/>
    <w:rsid w:val="00AC6707"/>
    <w:rsid w:val="00AC68E8"/>
    <w:rsid w:val="00AC6C18"/>
    <w:rsid w:val="00AC6C55"/>
    <w:rsid w:val="00AC6CCF"/>
    <w:rsid w:val="00AC6D72"/>
    <w:rsid w:val="00AC6DB7"/>
    <w:rsid w:val="00AC6F70"/>
    <w:rsid w:val="00AC717D"/>
    <w:rsid w:val="00AC727E"/>
    <w:rsid w:val="00AC7371"/>
    <w:rsid w:val="00AC740F"/>
    <w:rsid w:val="00AC7418"/>
    <w:rsid w:val="00AC7489"/>
    <w:rsid w:val="00AC74D3"/>
    <w:rsid w:val="00AC7532"/>
    <w:rsid w:val="00AC7544"/>
    <w:rsid w:val="00AC7613"/>
    <w:rsid w:val="00AC7667"/>
    <w:rsid w:val="00AC7881"/>
    <w:rsid w:val="00AC789B"/>
    <w:rsid w:val="00AC7A04"/>
    <w:rsid w:val="00AC7A2D"/>
    <w:rsid w:val="00AC7AA1"/>
    <w:rsid w:val="00AC7B13"/>
    <w:rsid w:val="00AC7B75"/>
    <w:rsid w:val="00AC7B7A"/>
    <w:rsid w:val="00AC7B7E"/>
    <w:rsid w:val="00AC7CE5"/>
    <w:rsid w:val="00AC7E15"/>
    <w:rsid w:val="00AC7E8C"/>
    <w:rsid w:val="00AD00C3"/>
    <w:rsid w:val="00AD01FE"/>
    <w:rsid w:val="00AD033E"/>
    <w:rsid w:val="00AD0463"/>
    <w:rsid w:val="00AD0688"/>
    <w:rsid w:val="00AD073C"/>
    <w:rsid w:val="00AD07D5"/>
    <w:rsid w:val="00AD08DC"/>
    <w:rsid w:val="00AD08EC"/>
    <w:rsid w:val="00AD08FB"/>
    <w:rsid w:val="00AD09C8"/>
    <w:rsid w:val="00AD0A79"/>
    <w:rsid w:val="00AD0AB1"/>
    <w:rsid w:val="00AD0AFA"/>
    <w:rsid w:val="00AD0B2E"/>
    <w:rsid w:val="00AD0C22"/>
    <w:rsid w:val="00AD0C25"/>
    <w:rsid w:val="00AD0E3A"/>
    <w:rsid w:val="00AD0E6C"/>
    <w:rsid w:val="00AD0EAE"/>
    <w:rsid w:val="00AD0F36"/>
    <w:rsid w:val="00AD1100"/>
    <w:rsid w:val="00AD1107"/>
    <w:rsid w:val="00AD1193"/>
    <w:rsid w:val="00AD11C7"/>
    <w:rsid w:val="00AD1238"/>
    <w:rsid w:val="00AD12C9"/>
    <w:rsid w:val="00AD1437"/>
    <w:rsid w:val="00AD153A"/>
    <w:rsid w:val="00AD1558"/>
    <w:rsid w:val="00AD1567"/>
    <w:rsid w:val="00AD15D6"/>
    <w:rsid w:val="00AD15F8"/>
    <w:rsid w:val="00AD166C"/>
    <w:rsid w:val="00AD170D"/>
    <w:rsid w:val="00AD190D"/>
    <w:rsid w:val="00AD1A9A"/>
    <w:rsid w:val="00AD1AFB"/>
    <w:rsid w:val="00AD1B8B"/>
    <w:rsid w:val="00AD1C94"/>
    <w:rsid w:val="00AD1D28"/>
    <w:rsid w:val="00AD1E80"/>
    <w:rsid w:val="00AD1F2E"/>
    <w:rsid w:val="00AD1FE4"/>
    <w:rsid w:val="00AD2177"/>
    <w:rsid w:val="00AD21B6"/>
    <w:rsid w:val="00AD2222"/>
    <w:rsid w:val="00AD226C"/>
    <w:rsid w:val="00AD23BD"/>
    <w:rsid w:val="00AD23C9"/>
    <w:rsid w:val="00AD2455"/>
    <w:rsid w:val="00AD2500"/>
    <w:rsid w:val="00AD257F"/>
    <w:rsid w:val="00AD25CD"/>
    <w:rsid w:val="00AD2633"/>
    <w:rsid w:val="00AD266A"/>
    <w:rsid w:val="00AD299B"/>
    <w:rsid w:val="00AD29D7"/>
    <w:rsid w:val="00AD2A87"/>
    <w:rsid w:val="00AD2B0F"/>
    <w:rsid w:val="00AD2B1D"/>
    <w:rsid w:val="00AD2BF1"/>
    <w:rsid w:val="00AD2C9C"/>
    <w:rsid w:val="00AD2D64"/>
    <w:rsid w:val="00AD2E32"/>
    <w:rsid w:val="00AD2F35"/>
    <w:rsid w:val="00AD306C"/>
    <w:rsid w:val="00AD3086"/>
    <w:rsid w:val="00AD33FF"/>
    <w:rsid w:val="00AD349A"/>
    <w:rsid w:val="00AD35EE"/>
    <w:rsid w:val="00AD3641"/>
    <w:rsid w:val="00AD36DF"/>
    <w:rsid w:val="00AD3709"/>
    <w:rsid w:val="00AD3889"/>
    <w:rsid w:val="00AD38B4"/>
    <w:rsid w:val="00AD397E"/>
    <w:rsid w:val="00AD3A8F"/>
    <w:rsid w:val="00AD3BAC"/>
    <w:rsid w:val="00AD3BD5"/>
    <w:rsid w:val="00AD3DEF"/>
    <w:rsid w:val="00AD3E88"/>
    <w:rsid w:val="00AD3F3D"/>
    <w:rsid w:val="00AD3F55"/>
    <w:rsid w:val="00AD3FF2"/>
    <w:rsid w:val="00AD41E5"/>
    <w:rsid w:val="00AD4369"/>
    <w:rsid w:val="00AD43A6"/>
    <w:rsid w:val="00AD43EB"/>
    <w:rsid w:val="00AD442C"/>
    <w:rsid w:val="00AD45D4"/>
    <w:rsid w:val="00AD464B"/>
    <w:rsid w:val="00AD4779"/>
    <w:rsid w:val="00AD4932"/>
    <w:rsid w:val="00AD4A35"/>
    <w:rsid w:val="00AD4AB0"/>
    <w:rsid w:val="00AD4B11"/>
    <w:rsid w:val="00AD4BA5"/>
    <w:rsid w:val="00AD4C09"/>
    <w:rsid w:val="00AD4CA2"/>
    <w:rsid w:val="00AD4CE6"/>
    <w:rsid w:val="00AD4D29"/>
    <w:rsid w:val="00AD4D36"/>
    <w:rsid w:val="00AD4DBD"/>
    <w:rsid w:val="00AD5247"/>
    <w:rsid w:val="00AD54BC"/>
    <w:rsid w:val="00AD55CE"/>
    <w:rsid w:val="00AD5613"/>
    <w:rsid w:val="00AD581A"/>
    <w:rsid w:val="00AD5893"/>
    <w:rsid w:val="00AD5941"/>
    <w:rsid w:val="00AD594A"/>
    <w:rsid w:val="00AD59D3"/>
    <w:rsid w:val="00AD5A11"/>
    <w:rsid w:val="00AD5A68"/>
    <w:rsid w:val="00AD5A8F"/>
    <w:rsid w:val="00AD5C7D"/>
    <w:rsid w:val="00AD5E58"/>
    <w:rsid w:val="00AD5F15"/>
    <w:rsid w:val="00AD5F44"/>
    <w:rsid w:val="00AD5F7C"/>
    <w:rsid w:val="00AD603E"/>
    <w:rsid w:val="00AD6159"/>
    <w:rsid w:val="00AD6183"/>
    <w:rsid w:val="00AD61EC"/>
    <w:rsid w:val="00AD6262"/>
    <w:rsid w:val="00AD62C6"/>
    <w:rsid w:val="00AD62EE"/>
    <w:rsid w:val="00AD6567"/>
    <w:rsid w:val="00AD6656"/>
    <w:rsid w:val="00AD6671"/>
    <w:rsid w:val="00AD6730"/>
    <w:rsid w:val="00AD68A0"/>
    <w:rsid w:val="00AD68EE"/>
    <w:rsid w:val="00AD68F3"/>
    <w:rsid w:val="00AD6956"/>
    <w:rsid w:val="00AD69C9"/>
    <w:rsid w:val="00AD6A06"/>
    <w:rsid w:val="00AD6A20"/>
    <w:rsid w:val="00AD6B6E"/>
    <w:rsid w:val="00AD6C7C"/>
    <w:rsid w:val="00AD6D78"/>
    <w:rsid w:val="00AD6DA2"/>
    <w:rsid w:val="00AD6DE1"/>
    <w:rsid w:val="00AD6F04"/>
    <w:rsid w:val="00AD6F06"/>
    <w:rsid w:val="00AD6FA4"/>
    <w:rsid w:val="00AD70AB"/>
    <w:rsid w:val="00AD7133"/>
    <w:rsid w:val="00AD7155"/>
    <w:rsid w:val="00AD71A4"/>
    <w:rsid w:val="00AD7204"/>
    <w:rsid w:val="00AD7257"/>
    <w:rsid w:val="00AD72E5"/>
    <w:rsid w:val="00AD730B"/>
    <w:rsid w:val="00AD737E"/>
    <w:rsid w:val="00AD755B"/>
    <w:rsid w:val="00AD7569"/>
    <w:rsid w:val="00AD75D8"/>
    <w:rsid w:val="00AD75DB"/>
    <w:rsid w:val="00AD7660"/>
    <w:rsid w:val="00AD76AD"/>
    <w:rsid w:val="00AD77D9"/>
    <w:rsid w:val="00AD782C"/>
    <w:rsid w:val="00AD7A58"/>
    <w:rsid w:val="00AD7AF9"/>
    <w:rsid w:val="00AD7B47"/>
    <w:rsid w:val="00AD7D40"/>
    <w:rsid w:val="00AD7D67"/>
    <w:rsid w:val="00AD7DB3"/>
    <w:rsid w:val="00AD7DC8"/>
    <w:rsid w:val="00AD7E0D"/>
    <w:rsid w:val="00AD7E42"/>
    <w:rsid w:val="00AD7E54"/>
    <w:rsid w:val="00AD7E95"/>
    <w:rsid w:val="00AD7F63"/>
    <w:rsid w:val="00AD7FED"/>
    <w:rsid w:val="00AE0382"/>
    <w:rsid w:val="00AE03FC"/>
    <w:rsid w:val="00AE045C"/>
    <w:rsid w:val="00AE047D"/>
    <w:rsid w:val="00AE0522"/>
    <w:rsid w:val="00AE068E"/>
    <w:rsid w:val="00AE07CE"/>
    <w:rsid w:val="00AE0815"/>
    <w:rsid w:val="00AE0888"/>
    <w:rsid w:val="00AE08A8"/>
    <w:rsid w:val="00AE08CE"/>
    <w:rsid w:val="00AE0A2E"/>
    <w:rsid w:val="00AE0BE8"/>
    <w:rsid w:val="00AE0C7E"/>
    <w:rsid w:val="00AE0C97"/>
    <w:rsid w:val="00AE0D26"/>
    <w:rsid w:val="00AE0D4E"/>
    <w:rsid w:val="00AE0DBC"/>
    <w:rsid w:val="00AE0E69"/>
    <w:rsid w:val="00AE0E70"/>
    <w:rsid w:val="00AE0EB9"/>
    <w:rsid w:val="00AE0F43"/>
    <w:rsid w:val="00AE0FA6"/>
    <w:rsid w:val="00AE0FC7"/>
    <w:rsid w:val="00AE1044"/>
    <w:rsid w:val="00AE114F"/>
    <w:rsid w:val="00AE1200"/>
    <w:rsid w:val="00AE1231"/>
    <w:rsid w:val="00AE12BA"/>
    <w:rsid w:val="00AE13B6"/>
    <w:rsid w:val="00AE1451"/>
    <w:rsid w:val="00AE1479"/>
    <w:rsid w:val="00AE14D7"/>
    <w:rsid w:val="00AE15D8"/>
    <w:rsid w:val="00AE15F0"/>
    <w:rsid w:val="00AE1610"/>
    <w:rsid w:val="00AE1625"/>
    <w:rsid w:val="00AE1644"/>
    <w:rsid w:val="00AE166D"/>
    <w:rsid w:val="00AE17ED"/>
    <w:rsid w:val="00AE1831"/>
    <w:rsid w:val="00AE1863"/>
    <w:rsid w:val="00AE1AA6"/>
    <w:rsid w:val="00AE1B3A"/>
    <w:rsid w:val="00AE1C22"/>
    <w:rsid w:val="00AE1D62"/>
    <w:rsid w:val="00AE1D6A"/>
    <w:rsid w:val="00AE1D7E"/>
    <w:rsid w:val="00AE1E4D"/>
    <w:rsid w:val="00AE1E68"/>
    <w:rsid w:val="00AE1ED6"/>
    <w:rsid w:val="00AE1F24"/>
    <w:rsid w:val="00AE1F65"/>
    <w:rsid w:val="00AE1FD6"/>
    <w:rsid w:val="00AE20CD"/>
    <w:rsid w:val="00AE21B5"/>
    <w:rsid w:val="00AE21B7"/>
    <w:rsid w:val="00AE24CB"/>
    <w:rsid w:val="00AE2501"/>
    <w:rsid w:val="00AE2551"/>
    <w:rsid w:val="00AE2632"/>
    <w:rsid w:val="00AE265A"/>
    <w:rsid w:val="00AE2746"/>
    <w:rsid w:val="00AE278A"/>
    <w:rsid w:val="00AE28DD"/>
    <w:rsid w:val="00AE2999"/>
    <w:rsid w:val="00AE29C4"/>
    <w:rsid w:val="00AE29C6"/>
    <w:rsid w:val="00AE2B0A"/>
    <w:rsid w:val="00AE2B6A"/>
    <w:rsid w:val="00AE2C21"/>
    <w:rsid w:val="00AE2E35"/>
    <w:rsid w:val="00AE2E39"/>
    <w:rsid w:val="00AE2EC9"/>
    <w:rsid w:val="00AE3086"/>
    <w:rsid w:val="00AE314D"/>
    <w:rsid w:val="00AE31F5"/>
    <w:rsid w:val="00AE322B"/>
    <w:rsid w:val="00AE3432"/>
    <w:rsid w:val="00AE3479"/>
    <w:rsid w:val="00AE34F8"/>
    <w:rsid w:val="00AE35B7"/>
    <w:rsid w:val="00AE361E"/>
    <w:rsid w:val="00AE366B"/>
    <w:rsid w:val="00AE3690"/>
    <w:rsid w:val="00AE382A"/>
    <w:rsid w:val="00AE3885"/>
    <w:rsid w:val="00AE38AB"/>
    <w:rsid w:val="00AE3A8A"/>
    <w:rsid w:val="00AE3B09"/>
    <w:rsid w:val="00AE3BBA"/>
    <w:rsid w:val="00AE3BBC"/>
    <w:rsid w:val="00AE3C33"/>
    <w:rsid w:val="00AE3D32"/>
    <w:rsid w:val="00AE3D8B"/>
    <w:rsid w:val="00AE3DF2"/>
    <w:rsid w:val="00AE3E6A"/>
    <w:rsid w:val="00AE3EA1"/>
    <w:rsid w:val="00AE4040"/>
    <w:rsid w:val="00AE4122"/>
    <w:rsid w:val="00AE4310"/>
    <w:rsid w:val="00AE434C"/>
    <w:rsid w:val="00AE4376"/>
    <w:rsid w:val="00AE43A5"/>
    <w:rsid w:val="00AE45C7"/>
    <w:rsid w:val="00AE45E6"/>
    <w:rsid w:val="00AE4624"/>
    <w:rsid w:val="00AE46AD"/>
    <w:rsid w:val="00AE475D"/>
    <w:rsid w:val="00AE47CD"/>
    <w:rsid w:val="00AE4887"/>
    <w:rsid w:val="00AE4908"/>
    <w:rsid w:val="00AE495E"/>
    <w:rsid w:val="00AE4A9A"/>
    <w:rsid w:val="00AE4B0E"/>
    <w:rsid w:val="00AE4B81"/>
    <w:rsid w:val="00AE4BAD"/>
    <w:rsid w:val="00AE4BF4"/>
    <w:rsid w:val="00AE4D06"/>
    <w:rsid w:val="00AE4D9F"/>
    <w:rsid w:val="00AE4DB0"/>
    <w:rsid w:val="00AE4EC4"/>
    <w:rsid w:val="00AE5064"/>
    <w:rsid w:val="00AE51D2"/>
    <w:rsid w:val="00AE531C"/>
    <w:rsid w:val="00AE5331"/>
    <w:rsid w:val="00AE5366"/>
    <w:rsid w:val="00AE5459"/>
    <w:rsid w:val="00AE54EC"/>
    <w:rsid w:val="00AE551C"/>
    <w:rsid w:val="00AE554C"/>
    <w:rsid w:val="00AE56A2"/>
    <w:rsid w:val="00AE5838"/>
    <w:rsid w:val="00AE59D5"/>
    <w:rsid w:val="00AE5AF9"/>
    <w:rsid w:val="00AE5C1F"/>
    <w:rsid w:val="00AE5E93"/>
    <w:rsid w:val="00AE5F5C"/>
    <w:rsid w:val="00AE60CE"/>
    <w:rsid w:val="00AE61F3"/>
    <w:rsid w:val="00AE6258"/>
    <w:rsid w:val="00AE6278"/>
    <w:rsid w:val="00AE6282"/>
    <w:rsid w:val="00AE63EB"/>
    <w:rsid w:val="00AE654F"/>
    <w:rsid w:val="00AE67DA"/>
    <w:rsid w:val="00AE681D"/>
    <w:rsid w:val="00AE684A"/>
    <w:rsid w:val="00AE685B"/>
    <w:rsid w:val="00AE6879"/>
    <w:rsid w:val="00AE68E9"/>
    <w:rsid w:val="00AE6A6F"/>
    <w:rsid w:val="00AE6C40"/>
    <w:rsid w:val="00AE6CA7"/>
    <w:rsid w:val="00AE6D81"/>
    <w:rsid w:val="00AE6DCF"/>
    <w:rsid w:val="00AE6E57"/>
    <w:rsid w:val="00AE6F18"/>
    <w:rsid w:val="00AE7040"/>
    <w:rsid w:val="00AE70D5"/>
    <w:rsid w:val="00AE710A"/>
    <w:rsid w:val="00AE717A"/>
    <w:rsid w:val="00AE7266"/>
    <w:rsid w:val="00AE72D9"/>
    <w:rsid w:val="00AE73FD"/>
    <w:rsid w:val="00AE7504"/>
    <w:rsid w:val="00AE779C"/>
    <w:rsid w:val="00AE77A9"/>
    <w:rsid w:val="00AE7811"/>
    <w:rsid w:val="00AE79DD"/>
    <w:rsid w:val="00AE7A0F"/>
    <w:rsid w:val="00AE7AB5"/>
    <w:rsid w:val="00AE7C37"/>
    <w:rsid w:val="00AE7D1C"/>
    <w:rsid w:val="00AE7E50"/>
    <w:rsid w:val="00AF0059"/>
    <w:rsid w:val="00AF0114"/>
    <w:rsid w:val="00AF01E8"/>
    <w:rsid w:val="00AF0225"/>
    <w:rsid w:val="00AF0345"/>
    <w:rsid w:val="00AF052E"/>
    <w:rsid w:val="00AF0551"/>
    <w:rsid w:val="00AF061B"/>
    <w:rsid w:val="00AF0645"/>
    <w:rsid w:val="00AF0675"/>
    <w:rsid w:val="00AF0733"/>
    <w:rsid w:val="00AF0BD0"/>
    <w:rsid w:val="00AF0BFF"/>
    <w:rsid w:val="00AF0CEC"/>
    <w:rsid w:val="00AF0E03"/>
    <w:rsid w:val="00AF0E3F"/>
    <w:rsid w:val="00AF0F2A"/>
    <w:rsid w:val="00AF0F5D"/>
    <w:rsid w:val="00AF0F5E"/>
    <w:rsid w:val="00AF10BB"/>
    <w:rsid w:val="00AF1148"/>
    <w:rsid w:val="00AF11E0"/>
    <w:rsid w:val="00AF120B"/>
    <w:rsid w:val="00AF1216"/>
    <w:rsid w:val="00AF142D"/>
    <w:rsid w:val="00AF1507"/>
    <w:rsid w:val="00AF1522"/>
    <w:rsid w:val="00AF15B1"/>
    <w:rsid w:val="00AF1644"/>
    <w:rsid w:val="00AF1722"/>
    <w:rsid w:val="00AF17C9"/>
    <w:rsid w:val="00AF198D"/>
    <w:rsid w:val="00AF1AA3"/>
    <w:rsid w:val="00AF1BF8"/>
    <w:rsid w:val="00AF1D80"/>
    <w:rsid w:val="00AF1DAF"/>
    <w:rsid w:val="00AF1E89"/>
    <w:rsid w:val="00AF1EAD"/>
    <w:rsid w:val="00AF1F33"/>
    <w:rsid w:val="00AF1F74"/>
    <w:rsid w:val="00AF212E"/>
    <w:rsid w:val="00AF21DF"/>
    <w:rsid w:val="00AF23EB"/>
    <w:rsid w:val="00AF2457"/>
    <w:rsid w:val="00AF24B7"/>
    <w:rsid w:val="00AF26CA"/>
    <w:rsid w:val="00AF26E1"/>
    <w:rsid w:val="00AF27F2"/>
    <w:rsid w:val="00AF2830"/>
    <w:rsid w:val="00AF295C"/>
    <w:rsid w:val="00AF29B9"/>
    <w:rsid w:val="00AF29DA"/>
    <w:rsid w:val="00AF2A04"/>
    <w:rsid w:val="00AF2B63"/>
    <w:rsid w:val="00AF2CCE"/>
    <w:rsid w:val="00AF2D56"/>
    <w:rsid w:val="00AF2DF3"/>
    <w:rsid w:val="00AF2F95"/>
    <w:rsid w:val="00AF2FA4"/>
    <w:rsid w:val="00AF3142"/>
    <w:rsid w:val="00AF3262"/>
    <w:rsid w:val="00AF34B6"/>
    <w:rsid w:val="00AF35A2"/>
    <w:rsid w:val="00AF368F"/>
    <w:rsid w:val="00AF3727"/>
    <w:rsid w:val="00AF3732"/>
    <w:rsid w:val="00AF3853"/>
    <w:rsid w:val="00AF386A"/>
    <w:rsid w:val="00AF387F"/>
    <w:rsid w:val="00AF38DB"/>
    <w:rsid w:val="00AF392D"/>
    <w:rsid w:val="00AF3948"/>
    <w:rsid w:val="00AF394F"/>
    <w:rsid w:val="00AF3A68"/>
    <w:rsid w:val="00AF3C59"/>
    <w:rsid w:val="00AF3CE2"/>
    <w:rsid w:val="00AF403D"/>
    <w:rsid w:val="00AF4042"/>
    <w:rsid w:val="00AF4051"/>
    <w:rsid w:val="00AF40C0"/>
    <w:rsid w:val="00AF4185"/>
    <w:rsid w:val="00AF4236"/>
    <w:rsid w:val="00AF4275"/>
    <w:rsid w:val="00AF4316"/>
    <w:rsid w:val="00AF4362"/>
    <w:rsid w:val="00AF439E"/>
    <w:rsid w:val="00AF4518"/>
    <w:rsid w:val="00AF469E"/>
    <w:rsid w:val="00AF46D0"/>
    <w:rsid w:val="00AF4716"/>
    <w:rsid w:val="00AF476C"/>
    <w:rsid w:val="00AF4804"/>
    <w:rsid w:val="00AF483A"/>
    <w:rsid w:val="00AF4897"/>
    <w:rsid w:val="00AF4900"/>
    <w:rsid w:val="00AF496B"/>
    <w:rsid w:val="00AF4C3A"/>
    <w:rsid w:val="00AF4CC7"/>
    <w:rsid w:val="00AF4DC6"/>
    <w:rsid w:val="00AF4F6A"/>
    <w:rsid w:val="00AF5132"/>
    <w:rsid w:val="00AF51AF"/>
    <w:rsid w:val="00AF5202"/>
    <w:rsid w:val="00AF52C0"/>
    <w:rsid w:val="00AF5450"/>
    <w:rsid w:val="00AF54FF"/>
    <w:rsid w:val="00AF551D"/>
    <w:rsid w:val="00AF5599"/>
    <w:rsid w:val="00AF5616"/>
    <w:rsid w:val="00AF56C3"/>
    <w:rsid w:val="00AF5773"/>
    <w:rsid w:val="00AF579A"/>
    <w:rsid w:val="00AF57BA"/>
    <w:rsid w:val="00AF5824"/>
    <w:rsid w:val="00AF5857"/>
    <w:rsid w:val="00AF587E"/>
    <w:rsid w:val="00AF596B"/>
    <w:rsid w:val="00AF5A4E"/>
    <w:rsid w:val="00AF5AAE"/>
    <w:rsid w:val="00AF5B58"/>
    <w:rsid w:val="00AF5BDF"/>
    <w:rsid w:val="00AF5BEE"/>
    <w:rsid w:val="00AF5C16"/>
    <w:rsid w:val="00AF5C62"/>
    <w:rsid w:val="00AF5C74"/>
    <w:rsid w:val="00AF5CBE"/>
    <w:rsid w:val="00AF5CD4"/>
    <w:rsid w:val="00AF5D25"/>
    <w:rsid w:val="00AF5F11"/>
    <w:rsid w:val="00AF5F9E"/>
    <w:rsid w:val="00AF607E"/>
    <w:rsid w:val="00AF6124"/>
    <w:rsid w:val="00AF6128"/>
    <w:rsid w:val="00AF628E"/>
    <w:rsid w:val="00AF62BB"/>
    <w:rsid w:val="00AF62F2"/>
    <w:rsid w:val="00AF637F"/>
    <w:rsid w:val="00AF63EE"/>
    <w:rsid w:val="00AF63F3"/>
    <w:rsid w:val="00AF63FF"/>
    <w:rsid w:val="00AF6417"/>
    <w:rsid w:val="00AF6518"/>
    <w:rsid w:val="00AF668E"/>
    <w:rsid w:val="00AF6708"/>
    <w:rsid w:val="00AF675C"/>
    <w:rsid w:val="00AF67E6"/>
    <w:rsid w:val="00AF68C5"/>
    <w:rsid w:val="00AF69D2"/>
    <w:rsid w:val="00AF69D5"/>
    <w:rsid w:val="00AF6A99"/>
    <w:rsid w:val="00AF6AA6"/>
    <w:rsid w:val="00AF6ACB"/>
    <w:rsid w:val="00AF6B37"/>
    <w:rsid w:val="00AF6B4B"/>
    <w:rsid w:val="00AF6C15"/>
    <w:rsid w:val="00AF6D56"/>
    <w:rsid w:val="00AF6D62"/>
    <w:rsid w:val="00AF6E9E"/>
    <w:rsid w:val="00AF6EE7"/>
    <w:rsid w:val="00AF724E"/>
    <w:rsid w:val="00AF72EC"/>
    <w:rsid w:val="00AF7334"/>
    <w:rsid w:val="00AF739E"/>
    <w:rsid w:val="00AF73BE"/>
    <w:rsid w:val="00AF747F"/>
    <w:rsid w:val="00AF755B"/>
    <w:rsid w:val="00AF758B"/>
    <w:rsid w:val="00AF7754"/>
    <w:rsid w:val="00AF7766"/>
    <w:rsid w:val="00AF7853"/>
    <w:rsid w:val="00AF799B"/>
    <w:rsid w:val="00AF79CB"/>
    <w:rsid w:val="00AF79FA"/>
    <w:rsid w:val="00AF7A2D"/>
    <w:rsid w:val="00AF7A98"/>
    <w:rsid w:val="00AF7BB4"/>
    <w:rsid w:val="00AF7FC1"/>
    <w:rsid w:val="00B00026"/>
    <w:rsid w:val="00B00043"/>
    <w:rsid w:val="00B0009F"/>
    <w:rsid w:val="00B00142"/>
    <w:rsid w:val="00B00148"/>
    <w:rsid w:val="00B00152"/>
    <w:rsid w:val="00B00197"/>
    <w:rsid w:val="00B00207"/>
    <w:rsid w:val="00B00245"/>
    <w:rsid w:val="00B00388"/>
    <w:rsid w:val="00B00448"/>
    <w:rsid w:val="00B00490"/>
    <w:rsid w:val="00B004E6"/>
    <w:rsid w:val="00B005A3"/>
    <w:rsid w:val="00B006F9"/>
    <w:rsid w:val="00B0071E"/>
    <w:rsid w:val="00B0072C"/>
    <w:rsid w:val="00B00768"/>
    <w:rsid w:val="00B00788"/>
    <w:rsid w:val="00B0091A"/>
    <w:rsid w:val="00B00936"/>
    <w:rsid w:val="00B009CD"/>
    <w:rsid w:val="00B00A3B"/>
    <w:rsid w:val="00B00AA3"/>
    <w:rsid w:val="00B00D64"/>
    <w:rsid w:val="00B00D76"/>
    <w:rsid w:val="00B00D87"/>
    <w:rsid w:val="00B00E1E"/>
    <w:rsid w:val="00B00E40"/>
    <w:rsid w:val="00B010CD"/>
    <w:rsid w:val="00B0121C"/>
    <w:rsid w:val="00B012F6"/>
    <w:rsid w:val="00B0140E"/>
    <w:rsid w:val="00B0153F"/>
    <w:rsid w:val="00B01612"/>
    <w:rsid w:val="00B01978"/>
    <w:rsid w:val="00B0197D"/>
    <w:rsid w:val="00B01985"/>
    <w:rsid w:val="00B01A25"/>
    <w:rsid w:val="00B01AAF"/>
    <w:rsid w:val="00B01C18"/>
    <w:rsid w:val="00B01C54"/>
    <w:rsid w:val="00B01C96"/>
    <w:rsid w:val="00B01F89"/>
    <w:rsid w:val="00B02097"/>
    <w:rsid w:val="00B020E4"/>
    <w:rsid w:val="00B021FC"/>
    <w:rsid w:val="00B0221A"/>
    <w:rsid w:val="00B0234D"/>
    <w:rsid w:val="00B0247A"/>
    <w:rsid w:val="00B024C3"/>
    <w:rsid w:val="00B02509"/>
    <w:rsid w:val="00B02550"/>
    <w:rsid w:val="00B025B3"/>
    <w:rsid w:val="00B02620"/>
    <w:rsid w:val="00B02655"/>
    <w:rsid w:val="00B02730"/>
    <w:rsid w:val="00B027CB"/>
    <w:rsid w:val="00B028DD"/>
    <w:rsid w:val="00B028EC"/>
    <w:rsid w:val="00B02A38"/>
    <w:rsid w:val="00B02A6C"/>
    <w:rsid w:val="00B02A94"/>
    <w:rsid w:val="00B02B48"/>
    <w:rsid w:val="00B02B4B"/>
    <w:rsid w:val="00B02B9D"/>
    <w:rsid w:val="00B02C0C"/>
    <w:rsid w:val="00B02C50"/>
    <w:rsid w:val="00B02D0D"/>
    <w:rsid w:val="00B02D7E"/>
    <w:rsid w:val="00B02DBC"/>
    <w:rsid w:val="00B02DD1"/>
    <w:rsid w:val="00B02EC5"/>
    <w:rsid w:val="00B02F4A"/>
    <w:rsid w:val="00B02F63"/>
    <w:rsid w:val="00B02F9A"/>
    <w:rsid w:val="00B03032"/>
    <w:rsid w:val="00B03084"/>
    <w:rsid w:val="00B0311E"/>
    <w:rsid w:val="00B0346C"/>
    <w:rsid w:val="00B034C9"/>
    <w:rsid w:val="00B034F4"/>
    <w:rsid w:val="00B035F6"/>
    <w:rsid w:val="00B036BD"/>
    <w:rsid w:val="00B036D1"/>
    <w:rsid w:val="00B03896"/>
    <w:rsid w:val="00B03A1A"/>
    <w:rsid w:val="00B03BDE"/>
    <w:rsid w:val="00B03C67"/>
    <w:rsid w:val="00B03C7A"/>
    <w:rsid w:val="00B03D87"/>
    <w:rsid w:val="00B03D9A"/>
    <w:rsid w:val="00B03DCF"/>
    <w:rsid w:val="00B03EE9"/>
    <w:rsid w:val="00B03FAE"/>
    <w:rsid w:val="00B0401F"/>
    <w:rsid w:val="00B0409D"/>
    <w:rsid w:val="00B041B2"/>
    <w:rsid w:val="00B04299"/>
    <w:rsid w:val="00B042BE"/>
    <w:rsid w:val="00B04384"/>
    <w:rsid w:val="00B043A9"/>
    <w:rsid w:val="00B0456A"/>
    <w:rsid w:val="00B04777"/>
    <w:rsid w:val="00B0487A"/>
    <w:rsid w:val="00B04903"/>
    <w:rsid w:val="00B049AE"/>
    <w:rsid w:val="00B04A00"/>
    <w:rsid w:val="00B04A27"/>
    <w:rsid w:val="00B04B3A"/>
    <w:rsid w:val="00B04B7C"/>
    <w:rsid w:val="00B04BC3"/>
    <w:rsid w:val="00B04C42"/>
    <w:rsid w:val="00B04CF5"/>
    <w:rsid w:val="00B04E3E"/>
    <w:rsid w:val="00B04EB7"/>
    <w:rsid w:val="00B04F9D"/>
    <w:rsid w:val="00B04FBE"/>
    <w:rsid w:val="00B04FC1"/>
    <w:rsid w:val="00B04FCA"/>
    <w:rsid w:val="00B05183"/>
    <w:rsid w:val="00B05216"/>
    <w:rsid w:val="00B0529B"/>
    <w:rsid w:val="00B052AC"/>
    <w:rsid w:val="00B052B8"/>
    <w:rsid w:val="00B05387"/>
    <w:rsid w:val="00B05398"/>
    <w:rsid w:val="00B053CF"/>
    <w:rsid w:val="00B053D9"/>
    <w:rsid w:val="00B05413"/>
    <w:rsid w:val="00B0556B"/>
    <w:rsid w:val="00B0557F"/>
    <w:rsid w:val="00B05593"/>
    <w:rsid w:val="00B055B1"/>
    <w:rsid w:val="00B05612"/>
    <w:rsid w:val="00B0577B"/>
    <w:rsid w:val="00B059A0"/>
    <w:rsid w:val="00B059E7"/>
    <w:rsid w:val="00B05A08"/>
    <w:rsid w:val="00B05A3C"/>
    <w:rsid w:val="00B05B04"/>
    <w:rsid w:val="00B05B90"/>
    <w:rsid w:val="00B05C31"/>
    <w:rsid w:val="00B05DBB"/>
    <w:rsid w:val="00B05E0C"/>
    <w:rsid w:val="00B05E28"/>
    <w:rsid w:val="00B05E99"/>
    <w:rsid w:val="00B05F7A"/>
    <w:rsid w:val="00B05FC5"/>
    <w:rsid w:val="00B0611A"/>
    <w:rsid w:val="00B0615A"/>
    <w:rsid w:val="00B06167"/>
    <w:rsid w:val="00B061C9"/>
    <w:rsid w:val="00B061F5"/>
    <w:rsid w:val="00B063E3"/>
    <w:rsid w:val="00B0646B"/>
    <w:rsid w:val="00B064DD"/>
    <w:rsid w:val="00B0660D"/>
    <w:rsid w:val="00B06632"/>
    <w:rsid w:val="00B0664B"/>
    <w:rsid w:val="00B0664F"/>
    <w:rsid w:val="00B06675"/>
    <w:rsid w:val="00B06697"/>
    <w:rsid w:val="00B06753"/>
    <w:rsid w:val="00B067FD"/>
    <w:rsid w:val="00B068A6"/>
    <w:rsid w:val="00B068FB"/>
    <w:rsid w:val="00B0697A"/>
    <w:rsid w:val="00B06B1F"/>
    <w:rsid w:val="00B06BB8"/>
    <w:rsid w:val="00B06BCE"/>
    <w:rsid w:val="00B06D80"/>
    <w:rsid w:val="00B06E70"/>
    <w:rsid w:val="00B06EEB"/>
    <w:rsid w:val="00B06F84"/>
    <w:rsid w:val="00B07024"/>
    <w:rsid w:val="00B07155"/>
    <w:rsid w:val="00B071AC"/>
    <w:rsid w:val="00B07200"/>
    <w:rsid w:val="00B0726E"/>
    <w:rsid w:val="00B072C9"/>
    <w:rsid w:val="00B0730E"/>
    <w:rsid w:val="00B07374"/>
    <w:rsid w:val="00B073AB"/>
    <w:rsid w:val="00B073C8"/>
    <w:rsid w:val="00B073DA"/>
    <w:rsid w:val="00B07455"/>
    <w:rsid w:val="00B07566"/>
    <w:rsid w:val="00B07595"/>
    <w:rsid w:val="00B07678"/>
    <w:rsid w:val="00B0772B"/>
    <w:rsid w:val="00B0773F"/>
    <w:rsid w:val="00B0794F"/>
    <w:rsid w:val="00B07B23"/>
    <w:rsid w:val="00B07BC8"/>
    <w:rsid w:val="00B07BEC"/>
    <w:rsid w:val="00B07D0E"/>
    <w:rsid w:val="00B07DC0"/>
    <w:rsid w:val="00B07F9A"/>
    <w:rsid w:val="00B07FB3"/>
    <w:rsid w:val="00B10173"/>
    <w:rsid w:val="00B1019B"/>
    <w:rsid w:val="00B101C2"/>
    <w:rsid w:val="00B1021A"/>
    <w:rsid w:val="00B10286"/>
    <w:rsid w:val="00B102B4"/>
    <w:rsid w:val="00B10322"/>
    <w:rsid w:val="00B103A9"/>
    <w:rsid w:val="00B103AF"/>
    <w:rsid w:val="00B103C6"/>
    <w:rsid w:val="00B10497"/>
    <w:rsid w:val="00B104D0"/>
    <w:rsid w:val="00B104F4"/>
    <w:rsid w:val="00B10502"/>
    <w:rsid w:val="00B1053C"/>
    <w:rsid w:val="00B10652"/>
    <w:rsid w:val="00B10719"/>
    <w:rsid w:val="00B10842"/>
    <w:rsid w:val="00B1086F"/>
    <w:rsid w:val="00B10915"/>
    <w:rsid w:val="00B10A2E"/>
    <w:rsid w:val="00B10A3D"/>
    <w:rsid w:val="00B10C0F"/>
    <w:rsid w:val="00B10C14"/>
    <w:rsid w:val="00B10C66"/>
    <w:rsid w:val="00B10C7C"/>
    <w:rsid w:val="00B10D62"/>
    <w:rsid w:val="00B10DE1"/>
    <w:rsid w:val="00B10F57"/>
    <w:rsid w:val="00B11096"/>
    <w:rsid w:val="00B11260"/>
    <w:rsid w:val="00B1137B"/>
    <w:rsid w:val="00B1143B"/>
    <w:rsid w:val="00B114D1"/>
    <w:rsid w:val="00B11796"/>
    <w:rsid w:val="00B118C6"/>
    <w:rsid w:val="00B1196C"/>
    <w:rsid w:val="00B1198E"/>
    <w:rsid w:val="00B119A9"/>
    <w:rsid w:val="00B119E8"/>
    <w:rsid w:val="00B11A34"/>
    <w:rsid w:val="00B11A47"/>
    <w:rsid w:val="00B11B6F"/>
    <w:rsid w:val="00B11B75"/>
    <w:rsid w:val="00B11C0E"/>
    <w:rsid w:val="00B11CBB"/>
    <w:rsid w:val="00B11CC9"/>
    <w:rsid w:val="00B11D0F"/>
    <w:rsid w:val="00B11D34"/>
    <w:rsid w:val="00B11DFA"/>
    <w:rsid w:val="00B1208C"/>
    <w:rsid w:val="00B1214A"/>
    <w:rsid w:val="00B12190"/>
    <w:rsid w:val="00B122BE"/>
    <w:rsid w:val="00B12300"/>
    <w:rsid w:val="00B12396"/>
    <w:rsid w:val="00B123F0"/>
    <w:rsid w:val="00B125B1"/>
    <w:rsid w:val="00B125F3"/>
    <w:rsid w:val="00B1261B"/>
    <w:rsid w:val="00B1266E"/>
    <w:rsid w:val="00B12697"/>
    <w:rsid w:val="00B12865"/>
    <w:rsid w:val="00B12A78"/>
    <w:rsid w:val="00B12B14"/>
    <w:rsid w:val="00B12C1A"/>
    <w:rsid w:val="00B12C3C"/>
    <w:rsid w:val="00B12D30"/>
    <w:rsid w:val="00B12E94"/>
    <w:rsid w:val="00B12F56"/>
    <w:rsid w:val="00B12FF0"/>
    <w:rsid w:val="00B13097"/>
    <w:rsid w:val="00B1312C"/>
    <w:rsid w:val="00B1321C"/>
    <w:rsid w:val="00B13397"/>
    <w:rsid w:val="00B13486"/>
    <w:rsid w:val="00B134B9"/>
    <w:rsid w:val="00B13886"/>
    <w:rsid w:val="00B13962"/>
    <w:rsid w:val="00B1398A"/>
    <w:rsid w:val="00B13A9B"/>
    <w:rsid w:val="00B13AB6"/>
    <w:rsid w:val="00B13B0E"/>
    <w:rsid w:val="00B13D36"/>
    <w:rsid w:val="00B13E05"/>
    <w:rsid w:val="00B13F7C"/>
    <w:rsid w:val="00B140D0"/>
    <w:rsid w:val="00B140EA"/>
    <w:rsid w:val="00B141C0"/>
    <w:rsid w:val="00B142C6"/>
    <w:rsid w:val="00B14489"/>
    <w:rsid w:val="00B145BE"/>
    <w:rsid w:val="00B14713"/>
    <w:rsid w:val="00B14823"/>
    <w:rsid w:val="00B1488A"/>
    <w:rsid w:val="00B14909"/>
    <w:rsid w:val="00B14A80"/>
    <w:rsid w:val="00B14B04"/>
    <w:rsid w:val="00B14B39"/>
    <w:rsid w:val="00B14C27"/>
    <w:rsid w:val="00B14D74"/>
    <w:rsid w:val="00B14D98"/>
    <w:rsid w:val="00B14DAE"/>
    <w:rsid w:val="00B14E16"/>
    <w:rsid w:val="00B14E94"/>
    <w:rsid w:val="00B14EA0"/>
    <w:rsid w:val="00B1501A"/>
    <w:rsid w:val="00B150CA"/>
    <w:rsid w:val="00B150CC"/>
    <w:rsid w:val="00B150EE"/>
    <w:rsid w:val="00B151DE"/>
    <w:rsid w:val="00B15219"/>
    <w:rsid w:val="00B15399"/>
    <w:rsid w:val="00B153AB"/>
    <w:rsid w:val="00B15463"/>
    <w:rsid w:val="00B15468"/>
    <w:rsid w:val="00B154E1"/>
    <w:rsid w:val="00B1557F"/>
    <w:rsid w:val="00B15699"/>
    <w:rsid w:val="00B156E5"/>
    <w:rsid w:val="00B157F2"/>
    <w:rsid w:val="00B159D9"/>
    <w:rsid w:val="00B15AE6"/>
    <w:rsid w:val="00B15B3C"/>
    <w:rsid w:val="00B15C8D"/>
    <w:rsid w:val="00B15F97"/>
    <w:rsid w:val="00B16078"/>
    <w:rsid w:val="00B160F3"/>
    <w:rsid w:val="00B1610B"/>
    <w:rsid w:val="00B1612E"/>
    <w:rsid w:val="00B16206"/>
    <w:rsid w:val="00B1637B"/>
    <w:rsid w:val="00B1637C"/>
    <w:rsid w:val="00B16479"/>
    <w:rsid w:val="00B1658F"/>
    <w:rsid w:val="00B16599"/>
    <w:rsid w:val="00B165CE"/>
    <w:rsid w:val="00B166B1"/>
    <w:rsid w:val="00B16732"/>
    <w:rsid w:val="00B16774"/>
    <w:rsid w:val="00B16849"/>
    <w:rsid w:val="00B1692F"/>
    <w:rsid w:val="00B16A64"/>
    <w:rsid w:val="00B16AA2"/>
    <w:rsid w:val="00B16B40"/>
    <w:rsid w:val="00B16C1A"/>
    <w:rsid w:val="00B16DDA"/>
    <w:rsid w:val="00B16DED"/>
    <w:rsid w:val="00B16E1F"/>
    <w:rsid w:val="00B16E69"/>
    <w:rsid w:val="00B16FE7"/>
    <w:rsid w:val="00B170A4"/>
    <w:rsid w:val="00B1710C"/>
    <w:rsid w:val="00B1718C"/>
    <w:rsid w:val="00B1720B"/>
    <w:rsid w:val="00B17295"/>
    <w:rsid w:val="00B17374"/>
    <w:rsid w:val="00B17612"/>
    <w:rsid w:val="00B17643"/>
    <w:rsid w:val="00B176BE"/>
    <w:rsid w:val="00B176C3"/>
    <w:rsid w:val="00B176CF"/>
    <w:rsid w:val="00B17826"/>
    <w:rsid w:val="00B17840"/>
    <w:rsid w:val="00B17A7A"/>
    <w:rsid w:val="00B17B34"/>
    <w:rsid w:val="00B17C34"/>
    <w:rsid w:val="00B17C56"/>
    <w:rsid w:val="00B17C62"/>
    <w:rsid w:val="00B17CAC"/>
    <w:rsid w:val="00B17E5E"/>
    <w:rsid w:val="00B17E70"/>
    <w:rsid w:val="00B17F88"/>
    <w:rsid w:val="00B2008B"/>
    <w:rsid w:val="00B200D8"/>
    <w:rsid w:val="00B2018C"/>
    <w:rsid w:val="00B201B3"/>
    <w:rsid w:val="00B20229"/>
    <w:rsid w:val="00B202AF"/>
    <w:rsid w:val="00B202E1"/>
    <w:rsid w:val="00B20320"/>
    <w:rsid w:val="00B20324"/>
    <w:rsid w:val="00B20346"/>
    <w:rsid w:val="00B205CF"/>
    <w:rsid w:val="00B20693"/>
    <w:rsid w:val="00B208D8"/>
    <w:rsid w:val="00B208F8"/>
    <w:rsid w:val="00B2091D"/>
    <w:rsid w:val="00B20E03"/>
    <w:rsid w:val="00B20E75"/>
    <w:rsid w:val="00B20F16"/>
    <w:rsid w:val="00B20F8A"/>
    <w:rsid w:val="00B210A4"/>
    <w:rsid w:val="00B2115A"/>
    <w:rsid w:val="00B211CB"/>
    <w:rsid w:val="00B211D2"/>
    <w:rsid w:val="00B213CB"/>
    <w:rsid w:val="00B2149E"/>
    <w:rsid w:val="00B21549"/>
    <w:rsid w:val="00B215A4"/>
    <w:rsid w:val="00B216CB"/>
    <w:rsid w:val="00B21753"/>
    <w:rsid w:val="00B2197E"/>
    <w:rsid w:val="00B219A3"/>
    <w:rsid w:val="00B21A69"/>
    <w:rsid w:val="00B21AB1"/>
    <w:rsid w:val="00B21B17"/>
    <w:rsid w:val="00B21BCA"/>
    <w:rsid w:val="00B21C3D"/>
    <w:rsid w:val="00B21CC5"/>
    <w:rsid w:val="00B21DD7"/>
    <w:rsid w:val="00B21E88"/>
    <w:rsid w:val="00B22050"/>
    <w:rsid w:val="00B220D8"/>
    <w:rsid w:val="00B221F5"/>
    <w:rsid w:val="00B22220"/>
    <w:rsid w:val="00B222B9"/>
    <w:rsid w:val="00B2232C"/>
    <w:rsid w:val="00B22381"/>
    <w:rsid w:val="00B223B6"/>
    <w:rsid w:val="00B2257A"/>
    <w:rsid w:val="00B225C5"/>
    <w:rsid w:val="00B226A5"/>
    <w:rsid w:val="00B228C8"/>
    <w:rsid w:val="00B22A59"/>
    <w:rsid w:val="00B22A75"/>
    <w:rsid w:val="00B22B5A"/>
    <w:rsid w:val="00B22BC1"/>
    <w:rsid w:val="00B22C6B"/>
    <w:rsid w:val="00B22CC3"/>
    <w:rsid w:val="00B22CD2"/>
    <w:rsid w:val="00B22E23"/>
    <w:rsid w:val="00B22F79"/>
    <w:rsid w:val="00B22FDF"/>
    <w:rsid w:val="00B23007"/>
    <w:rsid w:val="00B230EB"/>
    <w:rsid w:val="00B23133"/>
    <w:rsid w:val="00B23178"/>
    <w:rsid w:val="00B23216"/>
    <w:rsid w:val="00B2324D"/>
    <w:rsid w:val="00B23292"/>
    <w:rsid w:val="00B232BA"/>
    <w:rsid w:val="00B23455"/>
    <w:rsid w:val="00B23510"/>
    <w:rsid w:val="00B2352D"/>
    <w:rsid w:val="00B235B1"/>
    <w:rsid w:val="00B2366B"/>
    <w:rsid w:val="00B2368A"/>
    <w:rsid w:val="00B238D5"/>
    <w:rsid w:val="00B23BCF"/>
    <w:rsid w:val="00B23C14"/>
    <w:rsid w:val="00B23C1D"/>
    <w:rsid w:val="00B23D25"/>
    <w:rsid w:val="00B23D5D"/>
    <w:rsid w:val="00B23DE6"/>
    <w:rsid w:val="00B23E58"/>
    <w:rsid w:val="00B23F75"/>
    <w:rsid w:val="00B24043"/>
    <w:rsid w:val="00B24082"/>
    <w:rsid w:val="00B241A8"/>
    <w:rsid w:val="00B241B1"/>
    <w:rsid w:val="00B24225"/>
    <w:rsid w:val="00B24226"/>
    <w:rsid w:val="00B2424F"/>
    <w:rsid w:val="00B2475A"/>
    <w:rsid w:val="00B24807"/>
    <w:rsid w:val="00B248EC"/>
    <w:rsid w:val="00B24919"/>
    <w:rsid w:val="00B2491C"/>
    <w:rsid w:val="00B24978"/>
    <w:rsid w:val="00B24994"/>
    <w:rsid w:val="00B24C18"/>
    <w:rsid w:val="00B24D94"/>
    <w:rsid w:val="00B24DF8"/>
    <w:rsid w:val="00B24F38"/>
    <w:rsid w:val="00B24F53"/>
    <w:rsid w:val="00B24F66"/>
    <w:rsid w:val="00B25012"/>
    <w:rsid w:val="00B25144"/>
    <w:rsid w:val="00B2527F"/>
    <w:rsid w:val="00B252A0"/>
    <w:rsid w:val="00B252EC"/>
    <w:rsid w:val="00B2531C"/>
    <w:rsid w:val="00B25342"/>
    <w:rsid w:val="00B25387"/>
    <w:rsid w:val="00B253A1"/>
    <w:rsid w:val="00B253D7"/>
    <w:rsid w:val="00B255FE"/>
    <w:rsid w:val="00B256DB"/>
    <w:rsid w:val="00B2572F"/>
    <w:rsid w:val="00B2583F"/>
    <w:rsid w:val="00B2590A"/>
    <w:rsid w:val="00B25A59"/>
    <w:rsid w:val="00B25A65"/>
    <w:rsid w:val="00B25BA3"/>
    <w:rsid w:val="00B25BE9"/>
    <w:rsid w:val="00B25CF3"/>
    <w:rsid w:val="00B25E1F"/>
    <w:rsid w:val="00B25EBD"/>
    <w:rsid w:val="00B25F00"/>
    <w:rsid w:val="00B25F3B"/>
    <w:rsid w:val="00B26101"/>
    <w:rsid w:val="00B26251"/>
    <w:rsid w:val="00B262AB"/>
    <w:rsid w:val="00B262B6"/>
    <w:rsid w:val="00B26302"/>
    <w:rsid w:val="00B2630E"/>
    <w:rsid w:val="00B2637C"/>
    <w:rsid w:val="00B26391"/>
    <w:rsid w:val="00B263C3"/>
    <w:rsid w:val="00B26444"/>
    <w:rsid w:val="00B26488"/>
    <w:rsid w:val="00B2652F"/>
    <w:rsid w:val="00B265EE"/>
    <w:rsid w:val="00B266F8"/>
    <w:rsid w:val="00B266FD"/>
    <w:rsid w:val="00B2683C"/>
    <w:rsid w:val="00B268EE"/>
    <w:rsid w:val="00B269BB"/>
    <w:rsid w:val="00B269C8"/>
    <w:rsid w:val="00B26B2F"/>
    <w:rsid w:val="00B26C93"/>
    <w:rsid w:val="00B26D52"/>
    <w:rsid w:val="00B26DB6"/>
    <w:rsid w:val="00B26E12"/>
    <w:rsid w:val="00B26F97"/>
    <w:rsid w:val="00B26FD3"/>
    <w:rsid w:val="00B271A3"/>
    <w:rsid w:val="00B272E9"/>
    <w:rsid w:val="00B272F8"/>
    <w:rsid w:val="00B27301"/>
    <w:rsid w:val="00B2741D"/>
    <w:rsid w:val="00B2749B"/>
    <w:rsid w:val="00B274B9"/>
    <w:rsid w:val="00B274BF"/>
    <w:rsid w:val="00B274C3"/>
    <w:rsid w:val="00B27522"/>
    <w:rsid w:val="00B275E0"/>
    <w:rsid w:val="00B27634"/>
    <w:rsid w:val="00B276C0"/>
    <w:rsid w:val="00B2779C"/>
    <w:rsid w:val="00B27864"/>
    <w:rsid w:val="00B27AD4"/>
    <w:rsid w:val="00B27ADE"/>
    <w:rsid w:val="00B27C95"/>
    <w:rsid w:val="00B27E14"/>
    <w:rsid w:val="00B30016"/>
    <w:rsid w:val="00B301E3"/>
    <w:rsid w:val="00B3037A"/>
    <w:rsid w:val="00B3043D"/>
    <w:rsid w:val="00B30445"/>
    <w:rsid w:val="00B304F0"/>
    <w:rsid w:val="00B30568"/>
    <w:rsid w:val="00B30575"/>
    <w:rsid w:val="00B30914"/>
    <w:rsid w:val="00B309CE"/>
    <w:rsid w:val="00B30B19"/>
    <w:rsid w:val="00B30B26"/>
    <w:rsid w:val="00B30B44"/>
    <w:rsid w:val="00B30DC6"/>
    <w:rsid w:val="00B30E2A"/>
    <w:rsid w:val="00B30E3A"/>
    <w:rsid w:val="00B30E84"/>
    <w:rsid w:val="00B30E93"/>
    <w:rsid w:val="00B30F00"/>
    <w:rsid w:val="00B30F12"/>
    <w:rsid w:val="00B30F87"/>
    <w:rsid w:val="00B312B3"/>
    <w:rsid w:val="00B312DA"/>
    <w:rsid w:val="00B3146B"/>
    <w:rsid w:val="00B31475"/>
    <w:rsid w:val="00B315F5"/>
    <w:rsid w:val="00B316C3"/>
    <w:rsid w:val="00B3170E"/>
    <w:rsid w:val="00B317A8"/>
    <w:rsid w:val="00B317CF"/>
    <w:rsid w:val="00B31825"/>
    <w:rsid w:val="00B31847"/>
    <w:rsid w:val="00B31921"/>
    <w:rsid w:val="00B319C7"/>
    <w:rsid w:val="00B31A92"/>
    <w:rsid w:val="00B31A95"/>
    <w:rsid w:val="00B31ABE"/>
    <w:rsid w:val="00B31AC7"/>
    <w:rsid w:val="00B31B1B"/>
    <w:rsid w:val="00B31C87"/>
    <w:rsid w:val="00B31C9F"/>
    <w:rsid w:val="00B31CD5"/>
    <w:rsid w:val="00B31DC0"/>
    <w:rsid w:val="00B31E41"/>
    <w:rsid w:val="00B31EB2"/>
    <w:rsid w:val="00B31EE0"/>
    <w:rsid w:val="00B31EEA"/>
    <w:rsid w:val="00B32005"/>
    <w:rsid w:val="00B32077"/>
    <w:rsid w:val="00B32195"/>
    <w:rsid w:val="00B32278"/>
    <w:rsid w:val="00B325ED"/>
    <w:rsid w:val="00B325FB"/>
    <w:rsid w:val="00B32669"/>
    <w:rsid w:val="00B326F9"/>
    <w:rsid w:val="00B327B1"/>
    <w:rsid w:val="00B32A99"/>
    <w:rsid w:val="00B32B6C"/>
    <w:rsid w:val="00B32C4C"/>
    <w:rsid w:val="00B32C76"/>
    <w:rsid w:val="00B32D0F"/>
    <w:rsid w:val="00B32DD3"/>
    <w:rsid w:val="00B32DDB"/>
    <w:rsid w:val="00B32DF5"/>
    <w:rsid w:val="00B32E37"/>
    <w:rsid w:val="00B32E41"/>
    <w:rsid w:val="00B32EAE"/>
    <w:rsid w:val="00B33058"/>
    <w:rsid w:val="00B330BD"/>
    <w:rsid w:val="00B33113"/>
    <w:rsid w:val="00B33185"/>
    <w:rsid w:val="00B33367"/>
    <w:rsid w:val="00B33375"/>
    <w:rsid w:val="00B3339D"/>
    <w:rsid w:val="00B333DB"/>
    <w:rsid w:val="00B3349B"/>
    <w:rsid w:val="00B334BA"/>
    <w:rsid w:val="00B334C4"/>
    <w:rsid w:val="00B335A9"/>
    <w:rsid w:val="00B3363D"/>
    <w:rsid w:val="00B336F4"/>
    <w:rsid w:val="00B3370F"/>
    <w:rsid w:val="00B337B8"/>
    <w:rsid w:val="00B338FD"/>
    <w:rsid w:val="00B3391F"/>
    <w:rsid w:val="00B33937"/>
    <w:rsid w:val="00B339A9"/>
    <w:rsid w:val="00B33CB7"/>
    <w:rsid w:val="00B33D3A"/>
    <w:rsid w:val="00B33D7E"/>
    <w:rsid w:val="00B33F82"/>
    <w:rsid w:val="00B33FC4"/>
    <w:rsid w:val="00B34001"/>
    <w:rsid w:val="00B34031"/>
    <w:rsid w:val="00B34152"/>
    <w:rsid w:val="00B3435A"/>
    <w:rsid w:val="00B34384"/>
    <w:rsid w:val="00B34415"/>
    <w:rsid w:val="00B344E5"/>
    <w:rsid w:val="00B345E4"/>
    <w:rsid w:val="00B345FE"/>
    <w:rsid w:val="00B34716"/>
    <w:rsid w:val="00B3482B"/>
    <w:rsid w:val="00B3483D"/>
    <w:rsid w:val="00B348B1"/>
    <w:rsid w:val="00B34A7D"/>
    <w:rsid w:val="00B34A83"/>
    <w:rsid w:val="00B34AB7"/>
    <w:rsid w:val="00B34B06"/>
    <w:rsid w:val="00B34B92"/>
    <w:rsid w:val="00B34BD8"/>
    <w:rsid w:val="00B34C08"/>
    <w:rsid w:val="00B34CCC"/>
    <w:rsid w:val="00B34E2D"/>
    <w:rsid w:val="00B34F0C"/>
    <w:rsid w:val="00B34F64"/>
    <w:rsid w:val="00B34F9F"/>
    <w:rsid w:val="00B350DC"/>
    <w:rsid w:val="00B352FA"/>
    <w:rsid w:val="00B35396"/>
    <w:rsid w:val="00B3560A"/>
    <w:rsid w:val="00B3585B"/>
    <w:rsid w:val="00B3587D"/>
    <w:rsid w:val="00B35C4F"/>
    <w:rsid w:val="00B35D4B"/>
    <w:rsid w:val="00B35DDE"/>
    <w:rsid w:val="00B35F30"/>
    <w:rsid w:val="00B35F92"/>
    <w:rsid w:val="00B35FA1"/>
    <w:rsid w:val="00B3603E"/>
    <w:rsid w:val="00B360C0"/>
    <w:rsid w:val="00B36251"/>
    <w:rsid w:val="00B36292"/>
    <w:rsid w:val="00B36341"/>
    <w:rsid w:val="00B36480"/>
    <w:rsid w:val="00B3648D"/>
    <w:rsid w:val="00B365B9"/>
    <w:rsid w:val="00B365D5"/>
    <w:rsid w:val="00B367E6"/>
    <w:rsid w:val="00B36909"/>
    <w:rsid w:val="00B369E7"/>
    <w:rsid w:val="00B369EC"/>
    <w:rsid w:val="00B36AC0"/>
    <w:rsid w:val="00B36AC9"/>
    <w:rsid w:val="00B36B5C"/>
    <w:rsid w:val="00B36CDC"/>
    <w:rsid w:val="00B36D21"/>
    <w:rsid w:val="00B36D31"/>
    <w:rsid w:val="00B36D40"/>
    <w:rsid w:val="00B36DB8"/>
    <w:rsid w:val="00B36E26"/>
    <w:rsid w:val="00B36E6C"/>
    <w:rsid w:val="00B3706D"/>
    <w:rsid w:val="00B37094"/>
    <w:rsid w:val="00B37137"/>
    <w:rsid w:val="00B3718A"/>
    <w:rsid w:val="00B372A0"/>
    <w:rsid w:val="00B372C0"/>
    <w:rsid w:val="00B373B7"/>
    <w:rsid w:val="00B37427"/>
    <w:rsid w:val="00B3743E"/>
    <w:rsid w:val="00B37457"/>
    <w:rsid w:val="00B374B0"/>
    <w:rsid w:val="00B375E2"/>
    <w:rsid w:val="00B37695"/>
    <w:rsid w:val="00B3769E"/>
    <w:rsid w:val="00B3777E"/>
    <w:rsid w:val="00B3784B"/>
    <w:rsid w:val="00B37B90"/>
    <w:rsid w:val="00B37C16"/>
    <w:rsid w:val="00B37C77"/>
    <w:rsid w:val="00B37D02"/>
    <w:rsid w:val="00B40069"/>
    <w:rsid w:val="00B400DF"/>
    <w:rsid w:val="00B40143"/>
    <w:rsid w:val="00B40164"/>
    <w:rsid w:val="00B402BA"/>
    <w:rsid w:val="00B402BE"/>
    <w:rsid w:val="00B403D9"/>
    <w:rsid w:val="00B4040A"/>
    <w:rsid w:val="00B404C6"/>
    <w:rsid w:val="00B40547"/>
    <w:rsid w:val="00B40576"/>
    <w:rsid w:val="00B40615"/>
    <w:rsid w:val="00B4061A"/>
    <w:rsid w:val="00B40697"/>
    <w:rsid w:val="00B406AD"/>
    <w:rsid w:val="00B406E6"/>
    <w:rsid w:val="00B406EA"/>
    <w:rsid w:val="00B40700"/>
    <w:rsid w:val="00B40776"/>
    <w:rsid w:val="00B407B3"/>
    <w:rsid w:val="00B40915"/>
    <w:rsid w:val="00B4095E"/>
    <w:rsid w:val="00B40A51"/>
    <w:rsid w:val="00B40A78"/>
    <w:rsid w:val="00B40CB4"/>
    <w:rsid w:val="00B40D7F"/>
    <w:rsid w:val="00B40DC3"/>
    <w:rsid w:val="00B40E29"/>
    <w:rsid w:val="00B40E9E"/>
    <w:rsid w:val="00B40F4B"/>
    <w:rsid w:val="00B4102A"/>
    <w:rsid w:val="00B41033"/>
    <w:rsid w:val="00B41182"/>
    <w:rsid w:val="00B411AF"/>
    <w:rsid w:val="00B411F6"/>
    <w:rsid w:val="00B41368"/>
    <w:rsid w:val="00B41457"/>
    <w:rsid w:val="00B4145E"/>
    <w:rsid w:val="00B41556"/>
    <w:rsid w:val="00B41754"/>
    <w:rsid w:val="00B41781"/>
    <w:rsid w:val="00B4180C"/>
    <w:rsid w:val="00B41824"/>
    <w:rsid w:val="00B418F2"/>
    <w:rsid w:val="00B419F9"/>
    <w:rsid w:val="00B41B21"/>
    <w:rsid w:val="00B41CB4"/>
    <w:rsid w:val="00B41EDA"/>
    <w:rsid w:val="00B41F7C"/>
    <w:rsid w:val="00B42028"/>
    <w:rsid w:val="00B42120"/>
    <w:rsid w:val="00B42129"/>
    <w:rsid w:val="00B4216C"/>
    <w:rsid w:val="00B421E9"/>
    <w:rsid w:val="00B4240A"/>
    <w:rsid w:val="00B4240C"/>
    <w:rsid w:val="00B4250B"/>
    <w:rsid w:val="00B4251C"/>
    <w:rsid w:val="00B42580"/>
    <w:rsid w:val="00B425C2"/>
    <w:rsid w:val="00B425F6"/>
    <w:rsid w:val="00B425FD"/>
    <w:rsid w:val="00B427F7"/>
    <w:rsid w:val="00B42A6E"/>
    <w:rsid w:val="00B42B77"/>
    <w:rsid w:val="00B42C87"/>
    <w:rsid w:val="00B42C89"/>
    <w:rsid w:val="00B42CB3"/>
    <w:rsid w:val="00B42DE6"/>
    <w:rsid w:val="00B42E31"/>
    <w:rsid w:val="00B42F8C"/>
    <w:rsid w:val="00B42FF3"/>
    <w:rsid w:val="00B4306D"/>
    <w:rsid w:val="00B43146"/>
    <w:rsid w:val="00B431AC"/>
    <w:rsid w:val="00B432D4"/>
    <w:rsid w:val="00B433D8"/>
    <w:rsid w:val="00B4357B"/>
    <w:rsid w:val="00B435E4"/>
    <w:rsid w:val="00B4361A"/>
    <w:rsid w:val="00B437C5"/>
    <w:rsid w:val="00B4384A"/>
    <w:rsid w:val="00B438A4"/>
    <w:rsid w:val="00B43AAF"/>
    <w:rsid w:val="00B43ADE"/>
    <w:rsid w:val="00B43AEA"/>
    <w:rsid w:val="00B43B15"/>
    <w:rsid w:val="00B43BC5"/>
    <w:rsid w:val="00B43E53"/>
    <w:rsid w:val="00B43E91"/>
    <w:rsid w:val="00B43EF9"/>
    <w:rsid w:val="00B4413F"/>
    <w:rsid w:val="00B4419A"/>
    <w:rsid w:val="00B441D7"/>
    <w:rsid w:val="00B4433B"/>
    <w:rsid w:val="00B444B8"/>
    <w:rsid w:val="00B445BD"/>
    <w:rsid w:val="00B446FC"/>
    <w:rsid w:val="00B4479E"/>
    <w:rsid w:val="00B447AD"/>
    <w:rsid w:val="00B44993"/>
    <w:rsid w:val="00B44A23"/>
    <w:rsid w:val="00B44C1C"/>
    <w:rsid w:val="00B44C24"/>
    <w:rsid w:val="00B44CAD"/>
    <w:rsid w:val="00B44DE5"/>
    <w:rsid w:val="00B44E0C"/>
    <w:rsid w:val="00B44E72"/>
    <w:rsid w:val="00B44EB0"/>
    <w:rsid w:val="00B44EBC"/>
    <w:rsid w:val="00B44ED2"/>
    <w:rsid w:val="00B44F25"/>
    <w:rsid w:val="00B44F3A"/>
    <w:rsid w:val="00B44FDA"/>
    <w:rsid w:val="00B4522D"/>
    <w:rsid w:val="00B45230"/>
    <w:rsid w:val="00B45281"/>
    <w:rsid w:val="00B452F3"/>
    <w:rsid w:val="00B453C1"/>
    <w:rsid w:val="00B453C7"/>
    <w:rsid w:val="00B453C8"/>
    <w:rsid w:val="00B4547E"/>
    <w:rsid w:val="00B454ED"/>
    <w:rsid w:val="00B454F6"/>
    <w:rsid w:val="00B454FA"/>
    <w:rsid w:val="00B4564A"/>
    <w:rsid w:val="00B4571C"/>
    <w:rsid w:val="00B45722"/>
    <w:rsid w:val="00B4572A"/>
    <w:rsid w:val="00B4577C"/>
    <w:rsid w:val="00B457B3"/>
    <w:rsid w:val="00B457B6"/>
    <w:rsid w:val="00B457BD"/>
    <w:rsid w:val="00B45807"/>
    <w:rsid w:val="00B4588B"/>
    <w:rsid w:val="00B4589A"/>
    <w:rsid w:val="00B458D7"/>
    <w:rsid w:val="00B45910"/>
    <w:rsid w:val="00B4592A"/>
    <w:rsid w:val="00B45B31"/>
    <w:rsid w:val="00B45B71"/>
    <w:rsid w:val="00B45BF6"/>
    <w:rsid w:val="00B45C69"/>
    <w:rsid w:val="00B45CA4"/>
    <w:rsid w:val="00B45CBA"/>
    <w:rsid w:val="00B45CDF"/>
    <w:rsid w:val="00B45D0D"/>
    <w:rsid w:val="00B45D6B"/>
    <w:rsid w:val="00B45E34"/>
    <w:rsid w:val="00B45EC0"/>
    <w:rsid w:val="00B45EDF"/>
    <w:rsid w:val="00B45F64"/>
    <w:rsid w:val="00B46025"/>
    <w:rsid w:val="00B46030"/>
    <w:rsid w:val="00B461B7"/>
    <w:rsid w:val="00B461C6"/>
    <w:rsid w:val="00B46220"/>
    <w:rsid w:val="00B46240"/>
    <w:rsid w:val="00B4629C"/>
    <w:rsid w:val="00B46320"/>
    <w:rsid w:val="00B463C1"/>
    <w:rsid w:val="00B4641D"/>
    <w:rsid w:val="00B464C3"/>
    <w:rsid w:val="00B46524"/>
    <w:rsid w:val="00B46575"/>
    <w:rsid w:val="00B465A8"/>
    <w:rsid w:val="00B46664"/>
    <w:rsid w:val="00B4669C"/>
    <w:rsid w:val="00B4683A"/>
    <w:rsid w:val="00B46847"/>
    <w:rsid w:val="00B46969"/>
    <w:rsid w:val="00B469FA"/>
    <w:rsid w:val="00B46A1C"/>
    <w:rsid w:val="00B46A6F"/>
    <w:rsid w:val="00B46A77"/>
    <w:rsid w:val="00B46ABF"/>
    <w:rsid w:val="00B46B76"/>
    <w:rsid w:val="00B46C59"/>
    <w:rsid w:val="00B46CDA"/>
    <w:rsid w:val="00B46D21"/>
    <w:rsid w:val="00B46DB8"/>
    <w:rsid w:val="00B46ECA"/>
    <w:rsid w:val="00B46F0C"/>
    <w:rsid w:val="00B46F55"/>
    <w:rsid w:val="00B47069"/>
    <w:rsid w:val="00B473DF"/>
    <w:rsid w:val="00B473E3"/>
    <w:rsid w:val="00B47549"/>
    <w:rsid w:val="00B47598"/>
    <w:rsid w:val="00B47638"/>
    <w:rsid w:val="00B476AE"/>
    <w:rsid w:val="00B476D7"/>
    <w:rsid w:val="00B477E8"/>
    <w:rsid w:val="00B4781D"/>
    <w:rsid w:val="00B47829"/>
    <w:rsid w:val="00B4784F"/>
    <w:rsid w:val="00B478A1"/>
    <w:rsid w:val="00B4795E"/>
    <w:rsid w:val="00B47A1D"/>
    <w:rsid w:val="00B47A51"/>
    <w:rsid w:val="00B47B50"/>
    <w:rsid w:val="00B47C86"/>
    <w:rsid w:val="00B47CD3"/>
    <w:rsid w:val="00B47D57"/>
    <w:rsid w:val="00B47D71"/>
    <w:rsid w:val="00B47DC6"/>
    <w:rsid w:val="00B47F07"/>
    <w:rsid w:val="00B47FFB"/>
    <w:rsid w:val="00B50404"/>
    <w:rsid w:val="00B5046A"/>
    <w:rsid w:val="00B505B5"/>
    <w:rsid w:val="00B50631"/>
    <w:rsid w:val="00B50784"/>
    <w:rsid w:val="00B5088A"/>
    <w:rsid w:val="00B508A6"/>
    <w:rsid w:val="00B50A6A"/>
    <w:rsid w:val="00B50B55"/>
    <w:rsid w:val="00B50D1A"/>
    <w:rsid w:val="00B50D30"/>
    <w:rsid w:val="00B50D5E"/>
    <w:rsid w:val="00B5103D"/>
    <w:rsid w:val="00B51052"/>
    <w:rsid w:val="00B5120B"/>
    <w:rsid w:val="00B5120D"/>
    <w:rsid w:val="00B51248"/>
    <w:rsid w:val="00B514AE"/>
    <w:rsid w:val="00B514C2"/>
    <w:rsid w:val="00B515A2"/>
    <w:rsid w:val="00B51897"/>
    <w:rsid w:val="00B5192F"/>
    <w:rsid w:val="00B51A87"/>
    <w:rsid w:val="00B51AD0"/>
    <w:rsid w:val="00B51B89"/>
    <w:rsid w:val="00B51C5E"/>
    <w:rsid w:val="00B51CD2"/>
    <w:rsid w:val="00B51DD4"/>
    <w:rsid w:val="00B51DF1"/>
    <w:rsid w:val="00B51E5E"/>
    <w:rsid w:val="00B51EA3"/>
    <w:rsid w:val="00B52043"/>
    <w:rsid w:val="00B520BF"/>
    <w:rsid w:val="00B5210B"/>
    <w:rsid w:val="00B52222"/>
    <w:rsid w:val="00B52227"/>
    <w:rsid w:val="00B5224F"/>
    <w:rsid w:val="00B522DA"/>
    <w:rsid w:val="00B522F1"/>
    <w:rsid w:val="00B52413"/>
    <w:rsid w:val="00B5246A"/>
    <w:rsid w:val="00B524BE"/>
    <w:rsid w:val="00B524C0"/>
    <w:rsid w:val="00B524FA"/>
    <w:rsid w:val="00B52738"/>
    <w:rsid w:val="00B52798"/>
    <w:rsid w:val="00B52924"/>
    <w:rsid w:val="00B52AE3"/>
    <w:rsid w:val="00B52CDC"/>
    <w:rsid w:val="00B52D5D"/>
    <w:rsid w:val="00B52DB8"/>
    <w:rsid w:val="00B52DF2"/>
    <w:rsid w:val="00B52F8A"/>
    <w:rsid w:val="00B52FF0"/>
    <w:rsid w:val="00B53049"/>
    <w:rsid w:val="00B530B5"/>
    <w:rsid w:val="00B5313A"/>
    <w:rsid w:val="00B5314D"/>
    <w:rsid w:val="00B5332F"/>
    <w:rsid w:val="00B53353"/>
    <w:rsid w:val="00B5344F"/>
    <w:rsid w:val="00B5349C"/>
    <w:rsid w:val="00B5352B"/>
    <w:rsid w:val="00B53640"/>
    <w:rsid w:val="00B536E1"/>
    <w:rsid w:val="00B53780"/>
    <w:rsid w:val="00B5379C"/>
    <w:rsid w:val="00B537D6"/>
    <w:rsid w:val="00B538BD"/>
    <w:rsid w:val="00B53922"/>
    <w:rsid w:val="00B539AF"/>
    <w:rsid w:val="00B53A24"/>
    <w:rsid w:val="00B53A5F"/>
    <w:rsid w:val="00B53A74"/>
    <w:rsid w:val="00B53BCA"/>
    <w:rsid w:val="00B53C0C"/>
    <w:rsid w:val="00B53CE4"/>
    <w:rsid w:val="00B53D22"/>
    <w:rsid w:val="00B53D59"/>
    <w:rsid w:val="00B53DB3"/>
    <w:rsid w:val="00B53E02"/>
    <w:rsid w:val="00B53F59"/>
    <w:rsid w:val="00B54028"/>
    <w:rsid w:val="00B5403B"/>
    <w:rsid w:val="00B54042"/>
    <w:rsid w:val="00B5407F"/>
    <w:rsid w:val="00B540D6"/>
    <w:rsid w:val="00B540FC"/>
    <w:rsid w:val="00B5411F"/>
    <w:rsid w:val="00B5412F"/>
    <w:rsid w:val="00B54185"/>
    <w:rsid w:val="00B5418A"/>
    <w:rsid w:val="00B541D9"/>
    <w:rsid w:val="00B545E2"/>
    <w:rsid w:val="00B5474D"/>
    <w:rsid w:val="00B5479F"/>
    <w:rsid w:val="00B5481F"/>
    <w:rsid w:val="00B549B9"/>
    <w:rsid w:val="00B54AAD"/>
    <w:rsid w:val="00B54BCA"/>
    <w:rsid w:val="00B54CB4"/>
    <w:rsid w:val="00B54CDC"/>
    <w:rsid w:val="00B54D30"/>
    <w:rsid w:val="00B54E72"/>
    <w:rsid w:val="00B5508B"/>
    <w:rsid w:val="00B55241"/>
    <w:rsid w:val="00B552E3"/>
    <w:rsid w:val="00B55350"/>
    <w:rsid w:val="00B55513"/>
    <w:rsid w:val="00B555F2"/>
    <w:rsid w:val="00B5562E"/>
    <w:rsid w:val="00B556C0"/>
    <w:rsid w:val="00B5584C"/>
    <w:rsid w:val="00B5587C"/>
    <w:rsid w:val="00B558A9"/>
    <w:rsid w:val="00B558FE"/>
    <w:rsid w:val="00B559B0"/>
    <w:rsid w:val="00B559B8"/>
    <w:rsid w:val="00B559D3"/>
    <w:rsid w:val="00B55A15"/>
    <w:rsid w:val="00B55A38"/>
    <w:rsid w:val="00B55AEC"/>
    <w:rsid w:val="00B55C1A"/>
    <w:rsid w:val="00B55C89"/>
    <w:rsid w:val="00B55CCD"/>
    <w:rsid w:val="00B55D7F"/>
    <w:rsid w:val="00B55DC8"/>
    <w:rsid w:val="00B55E31"/>
    <w:rsid w:val="00B55E3C"/>
    <w:rsid w:val="00B55E47"/>
    <w:rsid w:val="00B56064"/>
    <w:rsid w:val="00B5608F"/>
    <w:rsid w:val="00B5615C"/>
    <w:rsid w:val="00B561BA"/>
    <w:rsid w:val="00B56444"/>
    <w:rsid w:val="00B56457"/>
    <w:rsid w:val="00B56660"/>
    <w:rsid w:val="00B56768"/>
    <w:rsid w:val="00B56796"/>
    <w:rsid w:val="00B568ED"/>
    <w:rsid w:val="00B56986"/>
    <w:rsid w:val="00B56CAF"/>
    <w:rsid w:val="00B56CDE"/>
    <w:rsid w:val="00B56CEA"/>
    <w:rsid w:val="00B56D2C"/>
    <w:rsid w:val="00B56DAC"/>
    <w:rsid w:val="00B56E08"/>
    <w:rsid w:val="00B56E4B"/>
    <w:rsid w:val="00B56FAB"/>
    <w:rsid w:val="00B56FC4"/>
    <w:rsid w:val="00B56FD9"/>
    <w:rsid w:val="00B56FED"/>
    <w:rsid w:val="00B57063"/>
    <w:rsid w:val="00B5714E"/>
    <w:rsid w:val="00B5720C"/>
    <w:rsid w:val="00B57393"/>
    <w:rsid w:val="00B573EB"/>
    <w:rsid w:val="00B57502"/>
    <w:rsid w:val="00B57652"/>
    <w:rsid w:val="00B57829"/>
    <w:rsid w:val="00B57938"/>
    <w:rsid w:val="00B579C7"/>
    <w:rsid w:val="00B57A82"/>
    <w:rsid w:val="00B57B41"/>
    <w:rsid w:val="00B57C59"/>
    <w:rsid w:val="00B57CBC"/>
    <w:rsid w:val="00B57EC8"/>
    <w:rsid w:val="00B60097"/>
    <w:rsid w:val="00B600EB"/>
    <w:rsid w:val="00B60167"/>
    <w:rsid w:val="00B602E2"/>
    <w:rsid w:val="00B6030F"/>
    <w:rsid w:val="00B60375"/>
    <w:rsid w:val="00B603B5"/>
    <w:rsid w:val="00B603D8"/>
    <w:rsid w:val="00B60454"/>
    <w:rsid w:val="00B605B8"/>
    <w:rsid w:val="00B60804"/>
    <w:rsid w:val="00B608A8"/>
    <w:rsid w:val="00B6098B"/>
    <w:rsid w:val="00B60A04"/>
    <w:rsid w:val="00B60C09"/>
    <w:rsid w:val="00B60D4F"/>
    <w:rsid w:val="00B60D67"/>
    <w:rsid w:val="00B60EDB"/>
    <w:rsid w:val="00B60F8F"/>
    <w:rsid w:val="00B60FFD"/>
    <w:rsid w:val="00B61263"/>
    <w:rsid w:val="00B61276"/>
    <w:rsid w:val="00B615D0"/>
    <w:rsid w:val="00B6169D"/>
    <w:rsid w:val="00B6171A"/>
    <w:rsid w:val="00B617B3"/>
    <w:rsid w:val="00B617CD"/>
    <w:rsid w:val="00B61879"/>
    <w:rsid w:val="00B618FC"/>
    <w:rsid w:val="00B61B0A"/>
    <w:rsid w:val="00B61B25"/>
    <w:rsid w:val="00B61BB7"/>
    <w:rsid w:val="00B61C4B"/>
    <w:rsid w:val="00B61C8A"/>
    <w:rsid w:val="00B61D04"/>
    <w:rsid w:val="00B61D47"/>
    <w:rsid w:val="00B61D95"/>
    <w:rsid w:val="00B61E27"/>
    <w:rsid w:val="00B61E83"/>
    <w:rsid w:val="00B62003"/>
    <w:rsid w:val="00B62005"/>
    <w:rsid w:val="00B62173"/>
    <w:rsid w:val="00B62188"/>
    <w:rsid w:val="00B621D7"/>
    <w:rsid w:val="00B622DF"/>
    <w:rsid w:val="00B622F4"/>
    <w:rsid w:val="00B62375"/>
    <w:rsid w:val="00B623C9"/>
    <w:rsid w:val="00B623CC"/>
    <w:rsid w:val="00B6242D"/>
    <w:rsid w:val="00B6259F"/>
    <w:rsid w:val="00B625FB"/>
    <w:rsid w:val="00B6260D"/>
    <w:rsid w:val="00B62641"/>
    <w:rsid w:val="00B62758"/>
    <w:rsid w:val="00B62766"/>
    <w:rsid w:val="00B6284E"/>
    <w:rsid w:val="00B62884"/>
    <w:rsid w:val="00B62939"/>
    <w:rsid w:val="00B629F3"/>
    <w:rsid w:val="00B62A69"/>
    <w:rsid w:val="00B62A86"/>
    <w:rsid w:val="00B62BAF"/>
    <w:rsid w:val="00B62BF6"/>
    <w:rsid w:val="00B62C5A"/>
    <w:rsid w:val="00B62D68"/>
    <w:rsid w:val="00B62F25"/>
    <w:rsid w:val="00B62F4D"/>
    <w:rsid w:val="00B62F53"/>
    <w:rsid w:val="00B62F54"/>
    <w:rsid w:val="00B62FEA"/>
    <w:rsid w:val="00B630E2"/>
    <w:rsid w:val="00B630F3"/>
    <w:rsid w:val="00B63170"/>
    <w:rsid w:val="00B6317A"/>
    <w:rsid w:val="00B6324C"/>
    <w:rsid w:val="00B63250"/>
    <w:rsid w:val="00B632F5"/>
    <w:rsid w:val="00B63339"/>
    <w:rsid w:val="00B633BE"/>
    <w:rsid w:val="00B63418"/>
    <w:rsid w:val="00B6367F"/>
    <w:rsid w:val="00B63811"/>
    <w:rsid w:val="00B638AF"/>
    <w:rsid w:val="00B63991"/>
    <w:rsid w:val="00B63A2A"/>
    <w:rsid w:val="00B63A58"/>
    <w:rsid w:val="00B63B0A"/>
    <w:rsid w:val="00B63B23"/>
    <w:rsid w:val="00B63B2D"/>
    <w:rsid w:val="00B63B35"/>
    <w:rsid w:val="00B63B3A"/>
    <w:rsid w:val="00B63B3F"/>
    <w:rsid w:val="00B63BD5"/>
    <w:rsid w:val="00B63DCE"/>
    <w:rsid w:val="00B63F1E"/>
    <w:rsid w:val="00B63F4A"/>
    <w:rsid w:val="00B63FCA"/>
    <w:rsid w:val="00B63FD3"/>
    <w:rsid w:val="00B6415B"/>
    <w:rsid w:val="00B64379"/>
    <w:rsid w:val="00B64431"/>
    <w:rsid w:val="00B644F5"/>
    <w:rsid w:val="00B6450C"/>
    <w:rsid w:val="00B64576"/>
    <w:rsid w:val="00B64589"/>
    <w:rsid w:val="00B645CA"/>
    <w:rsid w:val="00B645D6"/>
    <w:rsid w:val="00B645E2"/>
    <w:rsid w:val="00B645F9"/>
    <w:rsid w:val="00B6463E"/>
    <w:rsid w:val="00B6479F"/>
    <w:rsid w:val="00B64872"/>
    <w:rsid w:val="00B648D7"/>
    <w:rsid w:val="00B6498D"/>
    <w:rsid w:val="00B649C7"/>
    <w:rsid w:val="00B649D6"/>
    <w:rsid w:val="00B649F0"/>
    <w:rsid w:val="00B64A42"/>
    <w:rsid w:val="00B64A57"/>
    <w:rsid w:val="00B64ABE"/>
    <w:rsid w:val="00B64B3B"/>
    <w:rsid w:val="00B64B53"/>
    <w:rsid w:val="00B64B7B"/>
    <w:rsid w:val="00B64BDF"/>
    <w:rsid w:val="00B64CF0"/>
    <w:rsid w:val="00B64CFF"/>
    <w:rsid w:val="00B64D1B"/>
    <w:rsid w:val="00B64D93"/>
    <w:rsid w:val="00B64E3E"/>
    <w:rsid w:val="00B64F11"/>
    <w:rsid w:val="00B64F60"/>
    <w:rsid w:val="00B64FC0"/>
    <w:rsid w:val="00B64FD1"/>
    <w:rsid w:val="00B650A1"/>
    <w:rsid w:val="00B6514C"/>
    <w:rsid w:val="00B6522C"/>
    <w:rsid w:val="00B65285"/>
    <w:rsid w:val="00B6535E"/>
    <w:rsid w:val="00B65386"/>
    <w:rsid w:val="00B654A7"/>
    <w:rsid w:val="00B655CA"/>
    <w:rsid w:val="00B6569F"/>
    <w:rsid w:val="00B6570F"/>
    <w:rsid w:val="00B6578F"/>
    <w:rsid w:val="00B6579E"/>
    <w:rsid w:val="00B6597F"/>
    <w:rsid w:val="00B659C8"/>
    <w:rsid w:val="00B659E8"/>
    <w:rsid w:val="00B65AC1"/>
    <w:rsid w:val="00B65D0D"/>
    <w:rsid w:val="00B65D17"/>
    <w:rsid w:val="00B65DE5"/>
    <w:rsid w:val="00B66031"/>
    <w:rsid w:val="00B661A7"/>
    <w:rsid w:val="00B662E6"/>
    <w:rsid w:val="00B66327"/>
    <w:rsid w:val="00B663A9"/>
    <w:rsid w:val="00B663FE"/>
    <w:rsid w:val="00B66543"/>
    <w:rsid w:val="00B665B7"/>
    <w:rsid w:val="00B665DC"/>
    <w:rsid w:val="00B665F1"/>
    <w:rsid w:val="00B666E6"/>
    <w:rsid w:val="00B66739"/>
    <w:rsid w:val="00B66813"/>
    <w:rsid w:val="00B66864"/>
    <w:rsid w:val="00B66882"/>
    <w:rsid w:val="00B668C4"/>
    <w:rsid w:val="00B6699A"/>
    <w:rsid w:val="00B669AE"/>
    <w:rsid w:val="00B669F1"/>
    <w:rsid w:val="00B66A05"/>
    <w:rsid w:val="00B66B2B"/>
    <w:rsid w:val="00B66C81"/>
    <w:rsid w:val="00B66E21"/>
    <w:rsid w:val="00B66E62"/>
    <w:rsid w:val="00B66EFF"/>
    <w:rsid w:val="00B66F09"/>
    <w:rsid w:val="00B66F45"/>
    <w:rsid w:val="00B66F99"/>
    <w:rsid w:val="00B67352"/>
    <w:rsid w:val="00B673E2"/>
    <w:rsid w:val="00B673F0"/>
    <w:rsid w:val="00B675BC"/>
    <w:rsid w:val="00B6760C"/>
    <w:rsid w:val="00B676FC"/>
    <w:rsid w:val="00B67840"/>
    <w:rsid w:val="00B67881"/>
    <w:rsid w:val="00B67942"/>
    <w:rsid w:val="00B67B6A"/>
    <w:rsid w:val="00B67BB5"/>
    <w:rsid w:val="00B67C6B"/>
    <w:rsid w:val="00B67D3C"/>
    <w:rsid w:val="00B67D59"/>
    <w:rsid w:val="00B67E3B"/>
    <w:rsid w:val="00B67E53"/>
    <w:rsid w:val="00B67E55"/>
    <w:rsid w:val="00B67F05"/>
    <w:rsid w:val="00B67F55"/>
    <w:rsid w:val="00B67FB5"/>
    <w:rsid w:val="00B67FD3"/>
    <w:rsid w:val="00B70079"/>
    <w:rsid w:val="00B700D0"/>
    <w:rsid w:val="00B70185"/>
    <w:rsid w:val="00B703D8"/>
    <w:rsid w:val="00B70506"/>
    <w:rsid w:val="00B7068A"/>
    <w:rsid w:val="00B708D7"/>
    <w:rsid w:val="00B708E2"/>
    <w:rsid w:val="00B708FE"/>
    <w:rsid w:val="00B709A6"/>
    <w:rsid w:val="00B709D5"/>
    <w:rsid w:val="00B70B10"/>
    <w:rsid w:val="00B70CA7"/>
    <w:rsid w:val="00B70CFE"/>
    <w:rsid w:val="00B70F76"/>
    <w:rsid w:val="00B71039"/>
    <w:rsid w:val="00B713A4"/>
    <w:rsid w:val="00B713A5"/>
    <w:rsid w:val="00B714B6"/>
    <w:rsid w:val="00B71902"/>
    <w:rsid w:val="00B71904"/>
    <w:rsid w:val="00B71B0B"/>
    <w:rsid w:val="00B71C11"/>
    <w:rsid w:val="00B71C5B"/>
    <w:rsid w:val="00B71C6C"/>
    <w:rsid w:val="00B71CD1"/>
    <w:rsid w:val="00B71DAA"/>
    <w:rsid w:val="00B71E88"/>
    <w:rsid w:val="00B71FF9"/>
    <w:rsid w:val="00B72102"/>
    <w:rsid w:val="00B72132"/>
    <w:rsid w:val="00B721AD"/>
    <w:rsid w:val="00B72267"/>
    <w:rsid w:val="00B72331"/>
    <w:rsid w:val="00B723F2"/>
    <w:rsid w:val="00B72434"/>
    <w:rsid w:val="00B726C2"/>
    <w:rsid w:val="00B7277A"/>
    <w:rsid w:val="00B7281F"/>
    <w:rsid w:val="00B7285E"/>
    <w:rsid w:val="00B7289D"/>
    <w:rsid w:val="00B72927"/>
    <w:rsid w:val="00B7296F"/>
    <w:rsid w:val="00B72C06"/>
    <w:rsid w:val="00B72C0B"/>
    <w:rsid w:val="00B72C0C"/>
    <w:rsid w:val="00B72DA8"/>
    <w:rsid w:val="00B72E18"/>
    <w:rsid w:val="00B72E41"/>
    <w:rsid w:val="00B72EA0"/>
    <w:rsid w:val="00B72F03"/>
    <w:rsid w:val="00B73095"/>
    <w:rsid w:val="00B732BA"/>
    <w:rsid w:val="00B73332"/>
    <w:rsid w:val="00B73403"/>
    <w:rsid w:val="00B73475"/>
    <w:rsid w:val="00B7358A"/>
    <w:rsid w:val="00B73625"/>
    <w:rsid w:val="00B737D5"/>
    <w:rsid w:val="00B737F1"/>
    <w:rsid w:val="00B738AA"/>
    <w:rsid w:val="00B73BF2"/>
    <w:rsid w:val="00B73C4F"/>
    <w:rsid w:val="00B73C64"/>
    <w:rsid w:val="00B73ED9"/>
    <w:rsid w:val="00B73F11"/>
    <w:rsid w:val="00B73F47"/>
    <w:rsid w:val="00B73F62"/>
    <w:rsid w:val="00B74063"/>
    <w:rsid w:val="00B74079"/>
    <w:rsid w:val="00B740A4"/>
    <w:rsid w:val="00B740C4"/>
    <w:rsid w:val="00B74151"/>
    <w:rsid w:val="00B7432E"/>
    <w:rsid w:val="00B74378"/>
    <w:rsid w:val="00B74398"/>
    <w:rsid w:val="00B743C0"/>
    <w:rsid w:val="00B744B5"/>
    <w:rsid w:val="00B74518"/>
    <w:rsid w:val="00B74528"/>
    <w:rsid w:val="00B74593"/>
    <w:rsid w:val="00B746EB"/>
    <w:rsid w:val="00B747BA"/>
    <w:rsid w:val="00B7489A"/>
    <w:rsid w:val="00B748AC"/>
    <w:rsid w:val="00B74939"/>
    <w:rsid w:val="00B74942"/>
    <w:rsid w:val="00B749CC"/>
    <w:rsid w:val="00B74A00"/>
    <w:rsid w:val="00B74A6B"/>
    <w:rsid w:val="00B74ADE"/>
    <w:rsid w:val="00B74B8A"/>
    <w:rsid w:val="00B74BAF"/>
    <w:rsid w:val="00B74BED"/>
    <w:rsid w:val="00B74C06"/>
    <w:rsid w:val="00B74C14"/>
    <w:rsid w:val="00B74ED9"/>
    <w:rsid w:val="00B74FA4"/>
    <w:rsid w:val="00B74FD1"/>
    <w:rsid w:val="00B7506F"/>
    <w:rsid w:val="00B750F6"/>
    <w:rsid w:val="00B75132"/>
    <w:rsid w:val="00B751F4"/>
    <w:rsid w:val="00B75254"/>
    <w:rsid w:val="00B7532F"/>
    <w:rsid w:val="00B75446"/>
    <w:rsid w:val="00B75494"/>
    <w:rsid w:val="00B754B6"/>
    <w:rsid w:val="00B754C4"/>
    <w:rsid w:val="00B75686"/>
    <w:rsid w:val="00B756EF"/>
    <w:rsid w:val="00B757F1"/>
    <w:rsid w:val="00B7583B"/>
    <w:rsid w:val="00B75869"/>
    <w:rsid w:val="00B7586A"/>
    <w:rsid w:val="00B758E3"/>
    <w:rsid w:val="00B75965"/>
    <w:rsid w:val="00B7599B"/>
    <w:rsid w:val="00B75A92"/>
    <w:rsid w:val="00B75BBA"/>
    <w:rsid w:val="00B75BF4"/>
    <w:rsid w:val="00B75D3A"/>
    <w:rsid w:val="00B75E83"/>
    <w:rsid w:val="00B75F0E"/>
    <w:rsid w:val="00B75F5C"/>
    <w:rsid w:val="00B7600A"/>
    <w:rsid w:val="00B76025"/>
    <w:rsid w:val="00B7606A"/>
    <w:rsid w:val="00B76099"/>
    <w:rsid w:val="00B76160"/>
    <w:rsid w:val="00B761C0"/>
    <w:rsid w:val="00B762E2"/>
    <w:rsid w:val="00B7642E"/>
    <w:rsid w:val="00B764AE"/>
    <w:rsid w:val="00B764BC"/>
    <w:rsid w:val="00B7652A"/>
    <w:rsid w:val="00B7654B"/>
    <w:rsid w:val="00B766A9"/>
    <w:rsid w:val="00B7670E"/>
    <w:rsid w:val="00B76710"/>
    <w:rsid w:val="00B7684A"/>
    <w:rsid w:val="00B769A3"/>
    <w:rsid w:val="00B769A5"/>
    <w:rsid w:val="00B769BF"/>
    <w:rsid w:val="00B76A3A"/>
    <w:rsid w:val="00B76ACD"/>
    <w:rsid w:val="00B76AF5"/>
    <w:rsid w:val="00B76B35"/>
    <w:rsid w:val="00B76C82"/>
    <w:rsid w:val="00B76E4D"/>
    <w:rsid w:val="00B76F10"/>
    <w:rsid w:val="00B76F5D"/>
    <w:rsid w:val="00B76F64"/>
    <w:rsid w:val="00B77061"/>
    <w:rsid w:val="00B770EA"/>
    <w:rsid w:val="00B7714F"/>
    <w:rsid w:val="00B77251"/>
    <w:rsid w:val="00B7728D"/>
    <w:rsid w:val="00B7730D"/>
    <w:rsid w:val="00B77318"/>
    <w:rsid w:val="00B7734D"/>
    <w:rsid w:val="00B7769A"/>
    <w:rsid w:val="00B776FB"/>
    <w:rsid w:val="00B77701"/>
    <w:rsid w:val="00B77872"/>
    <w:rsid w:val="00B77873"/>
    <w:rsid w:val="00B7795E"/>
    <w:rsid w:val="00B77A2F"/>
    <w:rsid w:val="00B77A32"/>
    <w:rsid w:val="00B77AD5"/>
    <w:rsid w:val="00B77B6D"/>
    <w:rsid w:val="00B77DA4"/>
    <w:rsid w:val="00B77EC6"/>
    <w:rsid w:val="00B77FC2"/>
    <w:rsid w:val="00B77FF9"/>
    <w:rsid w:val="00B80087"/>
    <w:rsid w:val="00B80101"/>
    <w:rsid w:val="00B8016B"/>
    <w:rsid w:val="00B801C8"/>
    <w:rsid w:val="00B802AE"/>
    <w:rsid w:val="00B804AD"/>
    <w:rsid w:val="00B80514"/>
    <w:rsid w:val="00B805E0"/>
    <w:rsid w:val="00B806B4"/>
    <w:rsid w:val="00B806B5"/>
    <w:rsid w:val="00B80750"/>
    <w:rsid w:val="00B807B0"/>
    <w:rsid w:val="00B80A91"/>
    <w:rsid w:val="00B80AB9"/>
    <w:rsid w:val="00B80AC8"/>
    <w:rsid w:val="00B80B10"/>
    <w:rsid w:val="00B80C94"/>
    <w:rsid w:val="00B80D1E"/>
    <w:rsid w:val="00B80D5E"/>
    <w:rsid w:val="00B80D7C"/>
    <w:rsid w:val="00B81203"/>
    <w:rsid w:val="00B81311"/>
    <w:rsid w:val="00B8138A"/>
    <w:rsid w:val="00B814ED"/>
    <w:rsid w:val="00B81549"/>
    <w:rsid w:val="00B81560"/>
    <w:rsid w:val="00B8162B"/>
    <w:rsid w:val="00B81649"/>
    <w:rsid w:val="00B817A7"/>
    <w:rsid w:val="00B818DC"/>
    <w:rsid w:val="00B8198A"/>
    <w:rsid w:val="00B81A44"/>
    <w:rsid w:val="00B81A77"/>
    <w:rsid w:val="00B81B50"/>
    <w:rsid w:val="00B81C46"/>
    <w:rsid w:val="00B81CF8"/>
    <w:rsid w:val="00B81D5F"/>
    <w:rsid w:val="00B81DF1"/>
    <w:rsid w:val="00B8206A"/>
    <w:rsid w:val="00B820C4"/>
    <w:rsid w:val="00B821FF"/>
    <w:rsid w:val="00B8222E"/>
    <w:rsid w:val="00B8228C"/>
    <w:rsid w:val="00B822E2"/>
    <w:rsid w:val="00B82486"/>
    <w:rsid w:val="00B824D2"/>
    <w:rsid w:val="00B825B4"/>
    <w:rsid w:val="00B825CD"/>
    <w:rsid w:val="00B82605"/>
    <w:rsid w:val="00B82654"/>
    <w:rsid w:val="00B829A7"/>
    <w:rsid w:val="00B829FF"/>
    <w:rsid w:val="00B82A8A"/>
    <w:rsid w:val="00B82B12"/>
    <w:rsid w:val="00B82B34"/>
    <w:rsid w:val="00B82B8F"/>
    <w:rsid w:val="00B82C24"/>
    <w:rsid w:val="00B82C55"/>
    <w:rsid w:val="00B82D31"/>
    <w:rsid w:val="00B82D6A"/>
    <w:rsid w:val="00B82DA5"/>
    <w:rsid w:val="00B82E3D"/>
    <w:rsid w:val="00B82EA1"/>
    <w:rsid w:val="00B82FA1"/>
    <w:rsid w:val="00B8301C"/>
    <w:rsid w:val="00B830AF"/>
    <w:rsid w:val="00B83104"/>
    <w:rsid w:val="00B83204"/>
    <w:rsid w:val="00B832B2"/>
    <w:rsid w:val="00B834EC"/>
    <w:rsid w:val="00B83579"/>
    <w:rsid w:val="00B83600"/>
    <w:rsid w:val="00B8363A"/>
    <w:rsid w:val="00B8378D"/>
    <w:rsid w:val="00B83796"/>
    <w:rsid w:val="00B83986"/>
    <w:rsid w:val="00B839F7"/>
    <w:rsid w:val="00B83CAD"/>
    <w:rsid w:val="00B83D56"/>
    <w:rsid w:val="00B83D90"/>
    <w:rsid w:val="00B83E15"/>
    <w:rsid w:val="00B83E99"/>
    <w:rsid w:val="00B83FE0"/>
    <w:rsid w:val="00B8412C"/>
    <w:rsid w:val="00B84232"/>
    <w:rsid w:val="00B843F9"/>
    <w:rsid w:val="00B845D7"/>
    <w:rsid w:val="00B84958"/>
    <w:rsid w:val="00B84A21"/>
    <w:rsid w:val="00B84A34"/>
    <w:rsid w:val="00B84C83"/>
    <w:rsid w:val="00B84DEB"/>
    <w:rsid w:val="00B84EB6"/>
    <w:rsid w:val="00B84FAE"/>
    <w:rsid w:val="00B85331"/>
    <w:rsid w:val="00B85388"/>
    <w:rsid w:val="00B853F1"/>
    <w:rsid w:val="00B854A7"/>
    <w:rsid w:val="00B8564D"/>
    <w:rsid w:val="00B85672"/>
    <w:rsid w:val="00B858EB"/>
    <w:rsid w:val="00B8596D"/>
    <w:rsid w:val="00B85A66"/>
    <w:rsid w:val="00B85A74"/>
    <w:rsid w:val="00B85B9D"/>
    <w:rsid w:val="00B85C71"/>
    <w:rsid w:val="00B85CF5"/>
    <w:rsid w:val="00B85D29"/>
    <w:rsid w:val="00B85D90"/>
    <w:rsid w:val="00B85DA6"/>
    <w:rsid w:val="00B85E48"/>
    <w:rsid w:val="00B85EF6"/>
    <w:rsid w:val="00B85F5E"/>
    <w:rsid w:val="00B86094"/>
    <w:rsid w:val="00B861C3"/>
    <w:rsid w:val="00B86230"/>
    <w:rsid w:val="00B8623C"/>
    <w:rsid w:val="00B862EF"/>
    <w:rsid w:val="00B863EF"/>
    <w:rsid w:val="00B8643A"/>
    <w:rsid w:val="00B864E9"/>
    <w:rsid w:val="00B865E5"/>
    <w:rsid w:val="00B86649"/>
    <w:rsid w:val="00B866EF"/>
    <w:rsid w:val="00B86745"/>
    <w:rsid w:val="00B8680F"/>
    <w:rsid w:val="00B8681A"/>
    <w:rsid w:val="00B86907"/>
    <w:rsid w:val="00B869E8"/>
    <w:rsid w:val="00B86C2F"/>
    <w:rsid w:val="00B86C3C"/>
    <w:rsid w:val="00B86D36"/>
    <w:rsid w:val="00B86E85"/>
    <w:rsid w:val="00B86F5C"/>
    <w:rsid w:val="00B86FFC"/>
    <w:rsid w:val="00B87268"/>
    <w:rsid w:val="00B8745D"/>
    <w:rsid w:val="00B87518"/>
    <w:rsid w:val="00B8752E"/>
    <w:rsid w:val="00B87561"/>
    <w:rsid w:val="00B875BE"/>
    <w:rsid w:val="00B87661"/>
    <w:rsid w:val="00B87673"/>
    <w:rsid w:val="00B87862"/>
    <w:rsid w:val="00B8792D"/>
    <w:rsid w:val="00B87946"/>
    <w:rsid w:val="00B879EB"/>
    <w:rsid w:val="00B87A0F"/>
    <w:rsid w:val="00B87A92"/>
    <w:rsid w:val="00B87B3A"/>
    <w:rsid w:val="00B87C1D"/>
    <w:rsid w:val="00B87EAF"/>
    <w:rsid w:val="00B87ED3"/>
    <w:rsid w:val="00B87F9F"/>
    <w:rsid w:val="00B90152"/>
    <w:rsid w:val="00B902B1"/>
    <w:rsid w:val="00B90341"/>
    <w:rsid w:val="00B90384"/>
    <w:rsid w:val="00B90693"/>
    <w:rsid w:val="00B9080F"/>
    <w:rsid w:val="00B9082C"/>
    <w:rsid w:val="00B9084D"/>
    <w:rsid w:val="00B90857"/>
    <w:rsid w:val="00B90B2F"/>
    <w:rsid w:val="00B90BC0"/>
    <w:rsid w:val="00B90BD9"/>
    <w:rsid w:val="00B90CD0"/>
    <w:rsid w:val="00B90D3F"/>
    <w:rsid w:val="00B90D42"/>
    <w:rsid w:val="00B90EC4"/>
    <w:rsid w:val="00B90F45"/>
    <w:rsid w:val="00B90F6C"/>
    <w:rsid w:val="00B90FC6"/>
    <w:rsid w:val="00B9111C"/>
    <w:rsid w:val="00B911F5"/>
    <w:rsid w:val="00B912CF"/>
    <w:rsid w:val="00B91329"/>
    <w:rsid w:val="00B91411"/>
    <w:rsid w:val="00B91701"/>
    <w:rsid w:val="00B9193C"/>
    <w:rsid w:val="00B91A6F"/>
    <w:rsid w:val="00B91A8E"/>
    <w:rsid w:val="00B91B4F"/>
    <w:rsid w:val="00B91C8C"/>
    <w:rsid w:val="00B91D40"/>
    <w:rsid w:val="00B91D60"/>
    <w:rsid w:val="00B91DC1"/>
    <w:rsid w:val="00B91F71"/>
    <w:rsid w:val="00B91F7F"/>
    <w:rsid w:val="00B920DC"/>
    <w:rsid w:val="00B92171"/>
    <w:rsid w:val="00B923BA"/>
    <w:rsid w:val="00B923F2"/>
    <w:rsid w:val="00B924D8"/>
    <w:rsid w:val="00B92639"/>
    <w:rsid w:val="00B926A0"/>
    <w:rsid w:val="00B926A6"/>
    <w:rsid w:val="00B926B2"/>
    <w:rsid w:val="00B926BD"/>
    <w:rsid w:val="00B9280D"/>
    <w:rsid w:val="00B928BC"/>
    <w:rsid w:val="00B9296C"/>
    <w:rsid w:val="00B929A2"/>
    <w:rsid w:val="00B929D9"/>
    <w:rsid w:val="00B929F1"/>
    <w:rsid w:val="00B92A69"/>
    <w:rsid w:val="00B92C9B"/>
    <w:rsid w:val="00B92D43"/>
    <w:rsid w:val="00B92D9D"/>
    <w:rsid w:val="00B92DFC"/>
    <w:rsid w:val="00B92E34"/>
    <w:rsid w:val="00B92E94"/>
    <w:rsid w:val="00B93127"/>
    <w:rsid w:val="00B9317E"/>
    <w:rsid w:val="00B932AB"/>
    <w:rsid w:val="00B93366"/>
    <w:rsid w:val="00B9348F"/>
    <w:rsid w:val="00B9353A"/>
    <w:rsid w:val="00B935AF"/>
    <w:rsid w:val="00B935C1"/>
    <w:rsid w:val="00B938CF"/>
    <w:rsid w:val="00B938FA"/>
    <w:rsid w:val="00B93D7F"/>
    <w:rsid w:val="00B93FAA"/>
    <w:rsid w:val="00B93FB1"/>
    <w:rsid w:val="00B94054"/>
    <w:rsid w:val="00B941D7"/>
    <w:rsid w:val="00B94358"/>
    <w:rsid w:val="00B94405"/>
    <w:rsid w:val="00B944BA"/>
    <w:rsid w:val="00B94504"/>
    <w:rsid w:val="00B94535"/>
    <w:rsid w:val="00B9453B"/>
    <w:rsid w:val="00B94630"/>
    <w:rsid w:val="00B9465F"/>
    <w:rsid w:val="00B94689"/>
    <w:rsid w:val="00B946D7"/>
    <w:rsid w:val="00B9479B"/>
    <w:rsid w:val="00B947E9"/>
    <w:rsid w:val="00B94840"/>
    <w:rsid w:val="00B949B4"/>
    <w:rsid w:val="00B94AFF"/>
    <w:rsid w:val="00B94B63"/>
    <w:rsid w:val="00B94D72"/>
    <w:rsid w:val="00B94DF4"/>
    <w:rsid w:val="00B94F17"/>
    <w:rsid w:val="00B94F3D"/>
    <w:rsid w:val="00B95076"/>
    <w:rsid w:val="00B9520C"/>
    <w:rsid w:val="00B95272"/>
    <w:rsid w:val="00B95360"/>
    <w:rsid w:val="00B953A4"/>
    <w:rsid w:val="00B954E8"/>
    <w:rsid w:val="00B9551C"/>
    <w:rsid w:val="00B95584"/>
    <w:rsid w:val="00B955FF"/>
    <w:rsid w:val="00B95654"/>
    <w:rsid w:val="00B95848"/>
    <w:rsid w:val="00B9588B"/>
    <w:rsid w:val="00B95C42"/>
    <w:rsid w:val="00B95D81"/>
    <w:rsid w:val="00B95DB5"/>
    <w:rsid w:val="00B96019"/>
    <w:rsid w:val="00B960B0"/>
    <w:rsid w:val="00B96182"/>
    <w:rsid w:val="00B961DA"/>
    <w:rsid w:val="00B962CB"/>
    <w:rsid w:val="00B963F3"/>
    <w:rsid w:val="00B9640F"/>
    <w:rsid w:val="00B96417"/>
    <w:rsid w:val="00B96475"/>
    <w:rsid w:val="00B965B6"/>
    <w:rsid w:val="00B9663A"/>
    <w:rsid w:val="00B9664E"/>
    <w:rsid w:val="00B96745"/>
    <w:rsid w:val="00B96805"/>
    <w:rsid w:val="00B9693D"/>
    <w:rsid w:val="00B9694F"/>
    <w:rsid w:val="00B96966"/>
    <w:rsid w:val="00B96AA6"/>
    <w:rsid w:val="00B96BB1"/>
    <w:rsid w:val="00B96DAF"/>
    <w:rsid w:val="00B96DC1"/>
    <w:rsid w:val="00B96F59"/>
    <w:rsid w:val="00B96F7A"/>
    <w:rsid w:val="00B96FF4"/>
    <w:rsid w:val="00B970E1"/>
    <w:rsid w:val="00B97266"/>
    <w:rsid w:val="00B973F3"/>
    <w:rsid w:val="00B97467"/>
    <w:rsid w:val="00B974A4"/>
    <w:rsid w:val="00B9764B"/>
    <w:rsid w:val="00B97714"/>
    <w:rsid w:val="00B979C6"/>
    <w:rsid w:val="00B97C5C"/>
    <w:rsid w:val="00B97D28"/>
    <w:rsid w:val="00B97DBF"/>
    <w:rsid w:val="00B97E1A"/>
    <w:rsid w:val="00B97E46"/>
    <w:rsid w:val="00BA00F1"/>
    <w:rsid w:val="00BA01CD"/>
    <w:rsid w:val="00BA01E8"/>
    <w:rsid w:val="00BA0291"/>
    <w:rsid w:val="00BA04DC"/>
    <w:rsid w:val="00BA04FA"/>
    <w:rsid w:val="00BA055D"/>
    <w:rsid w:val="00BA0698"/>
    <w:rsid w:val="00BA0705"/>
    <w:rsid w:val="00BA07BD"/>
    <w:rsid w:val="00BA0954"/>
    <w:rsid w:val="00BA0964"/>
    <w:rsid w:val="00BA0AB8"/>
    <w:rsid w:val="00BA0AED"/>
    <w:rsid w:val="00BA0B2E"/>
    <w:rsid w:val="00BA0B39"/>
    <w:rsid w:val="00BA0DD6"/>
    <w:rsid w:val="00BA0E05"/>
    <w:rsid w:val="00BA0E06"/>
    <w:rsid w:val="00BA0EAA"/>
    <w:rsid w:val="00BA0F55"/>
    <w:rsid w:val="00BA10C9"/>
    <w:rsid w:val="00BA119A"/>
    <w:rsid w:val="00BA12E9"/>
    <w:rsid w:val="00BA137A"/>
    <w:rsid w:val="00BA137C"/>
    <w:rsid w:val="00BA14AB"/>
    <w:rsid w:val="00BA16A1"/>
    <w:rsid w:val="00BA171C"/>
    <w:rsid w:val="00BA17B2"/>
    <w:rsid w:val="00BA17C8"/>
    <w:rsid w:val="00BA1884"/>
    <w:rsid w:val="00BA1A24"/>
    <w:rsid w:val="00BA1B7D"/>
    <w:rsid w:val="00BA1C09"/>
    <w:rsid w:val="00BA1CB4"/>
    <w:rsid w:val="00BA1CE9"/>
    <w:rsid w:val="00BA1FAC"/>
    <w:rsid w:val="00BA1FC8"/>
    <w:rsid w:val="00BA2023"/>
    <w:rsid w:val="00BA2138"/>
    <w:rsid w:val="00BA21EA"/>
    <w:rsid w:val="00BA22C5"/>
    <w:rsid w:val="00BA2343"/>
    <w:rsid w:val="00BA24B1"/>
    <w:rsid w:val="00BA260D"/>
    <w:rsid w:val="00BA2842"/>
    <w:rsid w:val="00BA288D"/>
    <w:rsid w:val="00BA297F"/>
    <w:rsid w:val="00BA2983"/>
    <w:rsid w:val="00BA29BE"/>
    <w:rsid w:val="00BA29F8"/>
    <w:rsid w:val="00BA2B92"/>
    <w:rsid w:val="00BA2C60"/>
    <w:rsid w:val="00BA3128"/>
    <w:rsid w:val="00BA314D"/>
    <w:rsid w:val="00BA316F"/>
    <w:rsid w:val="00BA31C3"/>
    <w:rsid w:val="00BA3279"/>
    <w:rsid w:val="00BA32B8"/>
    <w:rsid w:val="00BA33D0"/>
    <w:rsid w:val="00BA34EE"/>
    <w:rsid w:val="00BA358A"/>
    <w:rsid w:val="00BA35B4"/>
    <w:rsid w:val="00BA35DA"/>
    <w:rsid w:val="00BA3690"/>
    <w:rsid w:val="00BA36B5"/>
    <w:rsid w:val="00BA37C0"/>
    <w:rsid w:val="00BA3964"/>
    <w:rsid w:val="00BA3AFD"/>
    <w:rsid w:val="00BA3B40"/>
    <w:rsid w:val="00BA3BD8"/>
    <w:rsid w:val="00BA3BDD"/>
    <w:rsid w:val="00BA3C97"/>
    <w:rsid w:val="00BA3DAA"/>
    <w:rsid w:val="00BA3DD5"/>
    <w:rsid w:val="00BA3DF3"/>
    <w:rsid w:val="00BA3E1F"/>
    <w:rsid w:val="00BA3E41"/>
    <w:rsid w:val="00BA3E55"/>
    <w:rsid w:val="00BA3FD0"/>
    <w:rsid w:val="00BA4127"/>
    <w:rsid w:val="00BA41D9"/>
    <w:rsid w:val="00BA4266"/>
    <w:rsid w:val="00BA43CD"/>
    <w:rsid w:val="00BA4532"/>
    <w:rsid w:val="00BA4585"/>
    <w:rsid w:val="00BA4905"/>
    <w:rsid w:val="00BA4960"/>
    <w:rsid w:val="00BA49AF"/>
    <w:rsid w:val="00BA4A12"/>
    <w:rsid w:val="00BA4AA5"/>
    <w:rsid w:val="00BA4BD8"/>
    <w:rsid w:val="00BA4C56"/>
    <w:rsid w:val="00BA4DB6"/>
    <w:rsid w:val="00BA4DF0"/>
    <w:rsid w:val="00BA4E55"/>
    <w:rsid w:val="00BA4EC0"/>
    <w:rsid w:val="00BA4F1B"/>
    <w:rsid w:val="00BA5037"/>
    <w:rsid w:val="00BA5098"/>
    <w:rsid w:val="00BA51A9"/>
    <w:rsid w:val="00BA51FD"/>
    <w:rsid w:val="00BA523C"/>
    <w:rsid w:val="00BA526F"/>
    <w:rsid w:val="00BA533E"/>
    <w:rsid w:val="00BA5395"/>
    <w:rsid w:val="00BA53B6"/>
    <w:rsid w:val="00BA555D"/>
    <w:rsid w:val="00BA5575"/>
    <w:rsid w:val="00BA571C"/>
    <w:rsid w:val="00BA596C"/>
    <w:rsid w:val="00BA5A9F"/>
    <w:rsid w:val="00BA5B8D"/>
    <w:rsid w:val="00BA5FF6"/>
    <w:rsid w:val="00BA6007"/>
    <w:rsid w:val="00BA605D"/>
    <w:rsid w:val="00BA60EB"/>
    <w:rsid w:val="00BA60F5"/>
    <w:rsid w:val="00BA6148"/>
    <w:rsid w:val="00BA616D"/>
    <w:rsid w:val="00BA6468"/>
    <w:rsid w:val="00BA6518"/>
    <w:rsid w:val="00BA656B"/>
    <w:rsid w:val="00BA658B"/>
    <w:rsid w:val="00BA658C"/>
    <w:rsid w:val="00BA66E8"/>
    <w:rsid w:val="00BA6765"/>
    <w:rsid w:val="00BA6866"/>
    <w:rsid w:val="00BA69E4"/>
    <w:rsid w:val="00BA6A53"/>
    <w:rsid w:val="00BA6B41"/>
    <w:rsid w:val="00BA6B84"/>
    <w:rsid w:val="00BA6BCC"/>
    <w:rsid w:val="00BA6C58"/>
    <w:rsid w:val="00BA6CCB"/>
    <w:rsid w:val="00BA6F0E"/>
    <w:rsid w:val="00BA6F5B"/>
    <w:rsid w:val="00BA71A9"/>
    <w:rsid w:val="00BA71DC"/>
    <w:rsid w:val="00BA7399"/>
    <w:rsid w:val="00BA75E8"/>
    <w:rsid w:val="00BA7755"/>
    <w:rsid w:val="00BA78AB"/>
    <w:rsid w:val="00BA7920"/>
    <w:rsid w:val="00BA799B"/>
    <w:rsid w:val="00BA79F5"/>
    <w:rsid w:val="00BA7A56"/>
    <w:rsid w:val="00BA7A65"/>
    <w:rsid w:val="00BA7BA7"/>
    <w:rsid w:val="00BA7C08"/>
    <w:rsid w:val="00BA7C4C"/>
    <w:rsid w:val="00BA7C60"/>
    <w:rsid w:val="00BA7D1C"/>
    <w:rsid w:val="00BA7E19"/>
    <w:rsid w:val="00BA7F24"/>
    <w:rsid w:val="00BA7F77"/>
    <w:rsid w:val="00BB005D"/>
    <w:rsid w:val="00BB0154"/>
    <w:rsid w:val="00BB0194"/>
    <w:rsid w:val="00BB0256"/>
    <w:rsid w:val="00BB02DF"/>
    <w:rsid w:val="00BB043F"/>
    <w:rsid w:val="00BB0445"/>
    <w:rsid w:val="00BB057C"/>
    <w:rsid w:val="00BB0645"/>
    <w:rsid w:val="00BB0672"/>
    <w:rsid w:val="00BB06BE"/>
    <w:rsid w:val="00BB06C2"/>
    <w:rsid w:val="00BB06E1"/>
    <w:rsid w:val="00BB0717"/>
    <w:rsid w:val="00BB071A"/>
    <w:rsid w:val="00BB0784"/>
    <w:rsid w:val="00BB0843"/>
    <w:rsid w:val="00BB08E0"/>
    <w:rsid w:val="00BB092F"/>
    <w:rsid w:val="00BB09B3"/>
    <w:rsid w:val="00BB0B09"/>
    <w:rsid w:val="00BB0B9E"/>
    <w:rsid w:val="00BB0BDB"/>
    <w:rsid w:val="00BB0C10"/>
    <w:rsid w:val="00BB0C3A"/>
    <w:rsid w:val="00BB0DD4"/>
    <w:rsid w:val="00BB0EB0"/>
    <w:rsid w:val="00BB1056"/>
    <w:rsid w:val="00BB1293"/>
    <w:rsid w:val="00BB1381"/>
    <w:rsid w:val="00BB147E"/>
    <w:rsid w:val="00BB149C"/>
    <w:rsid w:val="00BB14DB"/>
    <w:rsid w:val="00BB163B"/>
    <w:rsid w:val="00BB168D"/>
    <w:rsid w:val="00BB195F"/>
    <w:rsid w:val="00BB1AD6"/>
    <w:rsid w:val="00BB1ADA"/>
    <w:rsid w:val="00BB1BBA"/>
    <w:rsid w:val="00BB1D40"/>
    <w:rsid w:val="00BB1D68"/>
    <w:rsid w:val="00BB1DB4"/>
    <w:rsid w:val="00BB1E4F"/>
    <w:rsid w:val="00BB1EA6"/>
    <w:rsid w:val="00BB1ECE"/>
    <w:rsid w:val="00BB20FB"/>
    <w:rsid w:val="00BB2177"/>
    <w:rsid w:val="00BB21CA"/>
    <w:rsid w:val="00BB2211"/>
    <w:rsid w:val="00BB2288"/>
    <w:rsid w:val="00BB2290"/>
    <w:rsid w:val="00BB2405"/>
    <w:rsid w:val="00BB26BF"/>
    <w:rsid w:val="00BB2713"/>
    <w:rsid w:val="00BB279A"/>
    <w:rsid w:val="00BB27BB"/>
    <w:rsid w:val="00BB2827"/>
    <w:rsid w:val="00BB28DA"/>
    <w:rsid w:val="00BB2901"/>
    <w:rsid w:val="00BB2931"/>
    <w:rsid w:val="00BB2964"/>
    <w:rsid w:val="00BB2C81"/>
    <w:rsid w:val="00BB2D2B"/>
    <w:rsid w:val="00BB2D67"/>
    <w:rsid w:val="00BB2D84"/>
    <w:rsid w:val="00BB2DBC"/>
    <w:rsid w:val="00BB2E04"/>
    <w:rsid w:val="00BB2F9E"/>
    <w:rsid w:val="00BB2FB4"/>
    <w:rsid w:val="00BB2FFC"/>
    <w:rsid w:val="00BB3068"/>
    <w:rsid w:val="00BB3208"/>
    <w:rsid w:val="00BB321B"/>
    <w:rsid w:val="00BB3419"/>
    <w:rsid w:val="00BB3476"/>
    <w:rsid w:val="00BB34CD"/>
    <w:rsid w:val="00BB352B"/>
    <w:rsid w:val="00BB3578"/>
    <w:rsid w:val="00BB3646"/>
    <w:rsid w:val="00BB3752"/>
    <w:rsid w:val="00BB3764"/>
    <w:rsid w:val="00BB3821"/>
    <w:rsid w:val="00BB3A4E"/>
    <w:rsid w:val="00BB3B43"/>
    <w:rsid w:val="00BB3BBC"/>
    <w:rsid w:val="00BB3CB5"/>
    <w:rsid w:val="00BB3CF8"/>
    <w:rsid w:val="00BB415C"/>
    <w:rsid w:val="00BB41F5"/>
    <w:rsid w:val="00BB41F7"/>
    <w:rsid w:val="00BB427E"/>
    <w:rsid w:val="00BB4389"/>
    <w:rsid w:val="00BB43BB"/>
    <w:rsid w:val="00BB4413"/>
    <w:rsid w:val="00BB4496"/>
    <w:rsid w:val="00BB44E0"/>
    <w:rsid w:val="00BB450C"/>
    <w:rsid w:val="00BB4559"/>
    <w:rsid w:val="00BB45A5"/>
    <w:rsid w:val="00BB461F"/>
    <w:rsid w:val="00BB462E"/>
    <w:rsid w:val="00BB46CA"/>
    <w:rsid w:val="00BB4706"/>
    <w:rsid w:val="00BB4747"/>
    <w:rsid w:val="00BB4A7A"/>
    <w:rsid w:val="00BB4B4B"/>
    <w:rsid w:val="00BB4B74"/>
    <w:rsid w:val="00BB4BB7"/>
    <w:rsid w:val="00BB4BE5"/>
    <w:rsid w:val="00BB4D0C"/>
    <w:rsid w:val="00BB4ECE"/>
    <w:rsid w:val="00BB5025"/>
    <w:rsid w:val="00BB5034"/>
    <w:rsid w:val="00BB50D6"/>
    <w:rsid w:val="00BB50D7"/>
    <w:rsid w:val="00BB5119"/>
    <w:rsid w:val="00BB5339"/>
    <w:rsid w:val="00BB534A"/>
    <w:rsid w:val="00BB542A"/>
    <w:rsid w:val="00BB559F"/>
    <w:rsid w:val="00BB55B6"/>
    <w:rsid w:val="00BB5697"/>
    <w:rsid w:val="00BB56B0"/>
    <w:rsid w:val="00BB573A"/>
    <w:rsid w:val="00BB5754"/>
    <w:rsid w:val="00BB576C"/>
    <w:rsid w:val="00BB581D"/>
    <w:rsid w:val="00BB5824"/>
    <w:rsid w:val="00BB5AE3"/>
    <w:rsid w:val="00BB5B44"/>
    <w:rsid w:val="00BB5BEA"/>
    <w:rsid w:val="00BB5C2F"/>
    <w:rsid w:val="00BB5C68"/>
    <w:rsid w:val="00BB5D17"/>
    <w:rsid w:val="00BB5DDD"/>
    <w:rsid w:val="00BB5E4F"/>
    <w:rsid w:val="00BB5E54"/>
    <w:rsid w:val="00BB5F64"/>
    <w:rsid w:val="00BB5FB0"/>
    <w:rsid w:val="00BB60A0"/>
    <w:rsid w:val="00BB612F"/>
    <w:rsid w:val="00BB622A"/>
    <w:rsid w:val="00BB623B"/>
    <w:rsid w:val="00BB62FD"/>
    <w:rsid w:val="00BB645D"/>
    <w:rsid w:val="00BB650A"/>
    <w:rsid w:val="00BB65E5"/>
    <w:rsid w:val="00BB65F9"/>
    <w:rsid w:val="00BB6649"/>
    <w:rsid w:val="00BB66BF"/>
    <w:rsid w:val="00BB67B6"/>
    <w:rsid w:val="00BB67F6"/>
    <w:rsid w:val="00BB68F2"/>
    <w:rsid w:val="00BB68F6"/>
    <w:rsid w:val="00BB6932"/>
    <w:rsid w:val="00BB6B1E"/>
    <w:rsid w:val="00BB6C06"/>
    <w:rsid w:val="00BB6C8E"/>
    <w:rsid w:val="00BB6CB3"/>
    <w:rsid w:val="00BB6D57"/>
    <w:rsid w:val="00BB6EA2"/>
    <w:rsid w:val="00BB6EF6"/>
    <w:rsid w:val="00BB6FEF"/>
    <w:rsid w:val="00BB6FF5"/>
    <w:rsid w:val="00BB71B2"/>
    <w:rsid w:val="00BB71CE"/>
    <w:rsid w:val="00BB7344"/>
    <w:rsid w:val="00BB748B"/>
    <w:rsid w:val="00BB7554"/>
    <w:rsid w:val="00BB75E7"/>
    <w:rsid w:val="00BB7615"/>
    <w:rsid w:val="00BB765D"/>
    <w:rsid w:val="00BB76E4"/>
    <w:rsid w:val="00BB7772"/>
    <w:rsid w:val="00BB790D"/>
    <w:rsid w:val="00BB7A17"/>
    <w:rsid w:val="00BB7A37"/>
    <w:rsid w:val="00BB7BCF"/>
    <w:rsid w:val="00BB7BD0"/>
    <w:rsid w:val="00BB7D35"/>
    <w:rsid w:val="00BB7D89"/>
    <w:rsid w:val="00BB7DE8"/>
    <w:rsid w:val="00BB7EAA"/>
    <w:rsid w:val="00BB7EDF"/>
    <w:rsid w:val="00BB7F6A"/>
    <w:rsid w:val="00BB7FA1"/>
    <w:rsid w:val="00BB7FEC"/>
    <w:rsid w:val="00BB7FFE"/>
    <w:rsid w:val="00BC0047"/>
    <w:rsid w:val="00BC0110"/>
    <w:rsid w:val="00BC017B"/>
    <w:rsid w:val="00BC01E7"/>
    <w:rsid w:val="00BC01ED"/>
    <w:rsid w:val="00BC048E"/>
    <w:rsid w:val="00BC0545"/>
    <w:rsid w:val="00BC074D"/>
    <w:rsid w:val="00BC091D"/>
    <w:rsid w:val="00BC0A2B"/>
    <w:rsid w:val="00BC0A8B"/>
    <w:rsid w:val="00BC0BF2"/>
    <w:rsid w:val="00BC0C4D"/>
    <w:rsid w:val="00BC0CA7"/>
    <w:rsid w:val="00BC0E84"/>
    <w:rsid w:val="00BC0F90"/>
    <w:rsid w:val="00BC115E"/>
    <w:rsid w:val="00BC11E1"/>
    <w:rsid w:val="00BC1305"/>
    <w:rsid w:val="00BC13D9"/>
    <w:rsid w:val="00BC1486"/>
    <w:rsid w:val="00BC14C2"/>
    <w:rsid w:val="00BC151A"/>
    <w:rsid w:val="00BC15E8"/>
    <w:rsid w:val="00BC16F2"/>
    <w:rsid w:val="00BC176A"/>
    <w:rsid w:val="00BC17E5"/>
    <w:rsid w:val="00BC189E"/>
    <w:rsid w:val="00BC1975"/>
    <w:rsid w:val="00BC1AD1"/>
    <w:rsid w:val="00BC1BAB"/>
    <w:rsid w:val="00BC1C33"/>
    <w:rsid w:val="00BC1C60"/>
    <w:rsid w:val="00BC1CB8"/>
    <w:rsid w:val="00BC1CE0"/>
    <w:rsid w:val="00BC1F51"/>
    <w:rsid w:val="00BC21F2"/>
    <w:rsid w:val="00BC237A"/>
    <w:rsid w:val="00BC241C"/>
    <w:rsid w:val="00BC248A"/>
    <w:rsid w:val="00BC2497"/>
    <w:rsid w:val="00BC2505"/>
    <w:rsid w:val="00BC2554"/>
    <w:rsid w:val="00BC25D4"/>
    <w:rsid w:val="00BC266F"/>
    <w:rsid w:val="00BC2677"/>
    <w:rsid w:val="00BC2679"/>
    <w:rsid w:val="00BC2785"/>
    <w:rsid w:val="00BC27D4"/>
    <w:rsid w:val="00BC27F2"/>
    <w:rsid w:val="00BC2830"/>
    <w:rsid w:val="00BC283F"/>
    <w:rsid w:val="00BC28C2"/>
    <w:rsid w:val="00BC2903"/>
    <w:rsid w:val="00BC2A47"/>
    <w:rsid w:val="00BC2AEC"/>
    <w:rsid w:val="00BC2B57"/>
    <w:rsid w:val="00BC2C06"/>
    <w:rsid w:val="00BC2C77"/>
    <w:rsid w:val="00BC2CCD"/>
    <w:rsid w:val="00BC2D99"/>
    <w:rsid w:val="00BC2E22"/>
    <w:rsid w:val="00BC2EC9"/>
    <w:rsid w:val="00BC3075"/>
    <w:rsid w:val="00BC3207"/>
    <w:rsid w:val="00BC3227"/>
    <w:rsid w:val="00BC32AA"/>
    <w:rsid w:val="00BC3351"/>
    <w:rsid w:val="00BC345C"/>
    <w:rsid w:val="00BC34DC"/>
    <w:rsid w:val="00BC34E1"/>
    <w:rsid w:val="00BC34FD"/>
    <w:rsid w:val="00BC34FF"/>
    <w:rsid w:val="00BC3554"/>
    <w:rsid w:val="00BC359B"/>
    <w:rsid w:val="00BC392D"/>
    <w:rsid w:val="00BC39C4"/>
    <w:rsid w:val="00BC3A15"/>
    <w:rsid w:val="00BC3A16"/>
    <w:rsid w:val="00BC3AC3"/>
    <w:rsid w:val="00BC3C0C"/>
    <w:rsid w:val="00BC3D27"/>
    <w:rsid w:val="00BC3EA4"/>
    <w:rsid w:val="00BC3EB8"/>
    <w:rsid w:val="00BC3F74"/>
    <w:rsid w:val="00BC404C"/>
    <w:rsid w:val="00BC407B"/>
    <w:rsid w:val="00BC450A"/>
    <w:rsid w:val="00BC45E3"/>
    <w:rsid w:val="00BC4617"/>
    <w:rsid w:val="00BC4697"/>
    <w:rsid w:val="00BC46F6"/>
    <w:rsid w:val="00BC4728"/>
    <w:rsid w:val="00BC4733"/>
    <w:rsid w:val="00BC4749"/>
    <w:rsid w:val="00BC478A"/>
    <w:rsid w:val="00BC4905"/>
    <w:rsid w:val="00BC4A55"/>
    <w:rsid w:val="00BC4A7E"/>
    <w:rsid w:val="00BC4B48"/>
    <w:rsid w:val="00BC4B57"/>
    <w:rsid w:val="00BC4B78"/>
    <w:rsid w:val="00BC4C09"/>
    <w:rsid w:val="00BC4C46"/>
    <w:rsid w:val="00BC4CA7"/>
    <w:rsid w:val="00BC4DDD"/>
    <w:rsid w:val="00BC4DE8"/>
    <w:rsid w:val="00BC4E21"/>
    <w:rsid w:val="00BC4F0F"/>
    <w:rsid w:val="00BC4F2E"/>
    <w:rsid w:val="00BC4FBA"/>
    <w:rsid w:val="00BC54EE"/>
    <w:rsid w:val="00BC5560"/>
    <w:rsid w:val="00BC5574"/>
    <w:rsid w:val="00BC56A8"/>
    <w:rsid w:val="00BC56FF"/>
    <w:rsid w:val="00BC577E"/>
    <w:rsid w:val="00BC587E"/>
    <w:rsid w:val="00BC5899"/>
    <w:rsid w:val="00BC58C9"/>
    <w:rsid w:val="00BC58E1"/>
    <w:rsid w:val="00BC5915"/>
    <w:rsid w:val="00BC5927"/>
    <w:rsid w:val="00BC595D"/>
    <w:rsid w:val="00BC5A57"/>
    <w:rsid w:val="00BC5A8D"/>
    <w:rsid w:val="00BC5BB1"/>
    <w:rsid w:val="00BC5BDF"/>
    <w:rsid w:val="00BC5C2A"/>
    <w:rsid w:val="00BC5CAB"/>
    <w:rsid w:val="00BC5EDE"/>
    <w:rsid w:val="00BC5F1B"/>
    <w:rsid w:val="00BC605A"/>
    <w:rsid w:val="00BC6071"/>
    <w:rsid w:val="00BC6133"/>
    <w:rsid w:val="00BC61E8"/>
    <w:rsid w:val="00BC620D"/>
    <w:rsid w:val="00BC65AB"/>
    <w:rsid w:val="00BC6669"/>
    <w:rsid w:val="00BC66CD"/>
    <w:rsid w:val="00BC66F5"/>
    <w:rsid w:val="00BC6757"/>
    <w:rsid w:val="00BC680F"/>
    <w:rsid w:val="00BC69EA"/>
    <w:rsid w:val="00BC6A47"/>
    <w:rsid w:val="00BC6B3A"/>
    <w:rsid w:val="00BC6BAA"/>
    <w:rsid w:val="00BC6C23"/>
    <w:rsid w:val="00BC6DAA"/>
    <w:rsid w:val="00BC6DC2"/>
    <w:rsid w:val="00BC6E1D"/>
    <w:rsid w:val="00BC6F01"/>
    <w:rsid w:val="00BC7219"/>
    <w:rsid w:val="00BC72BD"/>
    <w:rsid w:val="00BC72EC"/>
    <w:rsid w:val="00BC7313"/>
    <w:rsid w:val="00BC735D"/>
    <w:rsid w:val="00BC73A7"/>
    <w:rsid w:val="00BC74C1"/>
    <w:rsid w:val="00BC7518"/>
    <w:rsid w:val="00BC761E"/>
    <w:rsid w:val="00BC7674"/>
    <w:rsid w:val="00BC7721"/>
    <w:rsid w:val="00BC782F"/>
    <w:rsid w:val="00BC7875"/>
    <w:rsid w:val="00BC78D0"/>
    <w:rsid w:val="00BC79B4"/>
    <w:rsid w:val="00BC79D8"/>
    <w:rsid w:val="00BC7AFD"/>
    <w:rsid w:val="00BC7B04"/>
    <w:rsid w:val="00BC7B82"/>
    <w:rsid w:val="00BC7BBC"/>
    <w:rsid w:val="00BC7C64"/>
    <w:rsid w:val="00BC7DF2"/>
    <w:rsid w:val="00BC7E2D"/>
    <w:rsid w:val="00BC7E45"/>
    <w:rsid w:val="00BC7F1D"/>
    <w:rsid w:val="00BD0076"/>
    <w:rsid w:val="00BD0119"/>
    <w:rsid w:val="00BD0189"/>
    <w:rsid w:val="00BD01A4"/>
    <w:rsid w:val="00BD027A"/>
    <w:rsid w:val="00BD02AB"/>
    <w:rsid w:val="00BD02BD"/>
    <w:rsid w:val="00BD033E"/>
    <w:rsid w:val="00BD035D"/>
    <w:rsid w:val="00BD0385"/>
    <w:rsid w:val="00BD051F"/>
    <w:rsid w:val="00BD0552"/>
    <w:rsid w:val="00BD0637"/>
    <w:rsid w:val="00BD0690"/>
    <w:rsid w:val="00BD06D3"/>
    <w:rsid w:val="00BD07EF"/>
    <w:rsid w:val="00BD081B"/>
    <w:rsid w:val="00BD08D8"/>
    <w:rsid w:val="00BD09C1"/>
    <w:rsid w:val="00BD0A4A"/>
    <w:rsid w:val="00BD0A63"/>
    <w:rsid w:val="00BD0C16"/>
    <w:rsid w:val="00BD0C37"/>
    <w:rsid w:val="00BD0C3A"/>
    <w:rsid w:val="00BD0C74"/>
    <w:rsid w:val="00BD0C7F"/>
    <w:rsid w:val="00BD0D6A"/>
    <w:rsid w:val="00BD0DEF"/>
    <w:rsid w:val="00BD0E36"/>
    <w:rsid w:val="00BD0F3F"/>
    <w:rsid w:val="00BD12A2"/>
    <w:rsid w:val="00BD12A8"/>
    <w:rsid w:val="00BD12B7"/>
    <w:rsid w:val="00BD1377"/>
    <w:rsid w:val="00BD13E0"/>
    <w:rsid w:val="00BD1482"/>
    <w:rsid w:val="00BD14CD"/>
    <w:rsid w:val="00BD165D"/>
    <w:rsid w:val="00BD16DE"/>
    <w:rsid w:val="00BD1796"/>
    <w:rsid w:val="00BD181C"/>
    <w:rsid w:val="00BD18A3"/>
    <w:rsid w:val="00BD19A6"/>
    <w:rsid w:val="00BD1A8B"/>
    <w:rsid w:val="00BD1B77"/>
    <w:rsid w:val="00BD1BBC"/>
    <w:rsid w:val="00BD1C6F"/>
    <w:rsid w:val="00BD1CA9"/>
    <w:rsid w:val="00BD1CFC"/>
    <w:rsid w:val="00BD1D51"/>
    <w:rsid w:val="00BD1D7F"/>
    <w:rsid w:val="00BD1DC7"/>
    <w:rsid w:val="00BD1EF1"/>
    <w:rsid w:val="00BD1FC4"/>
    <w:rsid w:val="00BD2051"/>
    <w:rsid w:val="00BD2071"/>
    <w:rsid w:val="00BD2371"/>
    <w:rsid w:val="00BD2396"/>
    <w:rsid w:val="00BD2405"/>
    <w:rsid w:val="00BD2486"/>
    <w:rsid w:val="00BD25B6"/>
    <w:rsid w:val="00BD2667"/>
    <w:rsid w:val="00BD2699"/>
    <w:rsid w:val="00BD26D6"/>
    <w:rsid w:val="00BD2743"/>
    <w:rsid w:val="00BD27B5"/>
    <w:rsid w:val="00BD298F"/>
    <w:rsid w:val="00BD2A7D"/>
    <w:rsid w:val="00BD2ADF"/>
    <w:rsid w:val="00BD2C92"/>
    <w:rsid w:val="00BD2EDC"/>
    <w:rsid w:val="00BD3005"/>
    <w:rsid w:val="00BD3009"/>
    <w:rsid w:val="00BD30AE"/>
    <w:rsid w:val="00BD312A"/>
    <w:rsid w:val="00BD323B"/>
    <w:rsid w:val="00BD32BA"/>
    <w:rsid w:val="00BD334C"/>
    <w:rsid w:val="00BD346B"/>
    <w:rsid w:val="00BD3492"/>
    <w:rsid w:val="00BD34E2"/>
    <w:rsid w:val="00BD3512"/>
    <w:rsid w:val="00BD355C"/>
    <w:rsid w:val="00BD3561"/>
    <w:rsid w:val="00BD35FB"/>
    <w:rsid w:val="00BD3602"/>
    <w:rsid w:val="00BD3630"/>
    <w:rsid w:val="00BD36D3"/>
    <w:rsid w:val="00BD3776"/>
    <w:rsid w:val="00BD3793"/>
    <w:rsid w:val="00BD381D"/>
    <w:rsid w:val="00BD38BC"/>
    <w:rsid w:val="00BD38F6"/>
    <w:rsid w:val="00BD39C7"/>
    <w:rsid w:val="00BD39DD"/>
    <w:rsid w:val="00BD3B74"/>
    <w:rsid w:val="00BD3B94"/>
    <w:rsid w:val="00BD3C3F"/>
    <w:rsid w:val="00BD3CC0"/>
    <w:rsid w:val="00BD3CD1"/>
    <w:rsid w:val="00BD3E48"/>
    <w:rsid w:val="00BD3F45"/>
    <w:rsid w:val="00BD3F5D"/>
    <w:rsid w:val="00BD3F74"/>
    <w:rsid w:val="00BD4041"/>
    <w:rsid w:val="00BD4113"/>
    <w:rsid w:val="00BD424B"/>
    <w:rsid w:val="00BD42D0"/>
    <w:rsid w:val="00BD445F"/>
    <w:rsid w:val="00BD44D6"/>
    <w:rsid w:val="00BD4582"/>
    <w:rsid w:val="00BD4764"/>
    <w:rsid w:val="00BD477E"/>
    <w:rsid w:val="00BD47B5"/>
    <w:rsid w:val="00BD483D"/>
    <w:rsid w:val="00BD48F0"/>
    <w:rsid w:val="00BD498D"/>
    <w:rsid w:val="00BD499B"/>
    <w:rsid w:val="00BD4AE8"/>
    <w:rsid w:val="00BD4B43"/>
    <w:rsid w:val="00BD4B55"/>
    <w:rsid w:val="00BD4D66"/>
    <w:rsid w:val="00BD4D8A"/>
    <w:rsid w:val="00BD4DBF"/>
    <w:rsid w:val="00BD4DF7"/>
    <w:rsid w:val="00BD4E23"/>
    <w:rsid w:val="00BD4FD1"/>
    <w:rsid w:val="00BD503A"/>
    <w:rsid w:val="00BD5132"/>
    <w:rsid w:val="00BD5172"/>
    <w:rsid w:val="00BD5203"/>
    <w:rsid w:val="00BD531B"/>
    <w:rsid w:val="00BD533B"/>
    <w:rsid w:val="00BD534C"/>
    <w:rsid w:val="00BD53D9"/>
    <w:rsid w:val="00BD544D"/>
    <w:rsid w:val="00BD5453"/>
    <w:rsid w:val="00BD553B"/>
    <w:rsid w:val="00BD55D0"/>
    <w:rsid w:val="00BD55EA"/>
    <w:rsid w:val="00BD5741"/>
    <w:rsid w:val="00BD5804"/>
    <w:rsid w:val="00BD5823"/>
    <w:rsid w:val="00BD58B1"/>
    <w:rsid w:val="00BD58D9"/>
    <w:rsid w:val="00BD5ADB"/>
    <w:rsid w:val="00BD5BCC"/>
    <w:rsid w:val="00BD5D34"/>
    <w:rsid w:val="00BD5EF4"/>
    <w:rsid w:val="00BD6050"/>
    <w:rsid w:val="00BD6086"/>
    <w:rsid w:val="00BD6158"/>
    <w:rsid w:val="00BD6178"/>
    <w:rsid w:val="00BD6190"/>
    <w:rsid w:val="00BD61E0"/>
    <w:rsid w:val="00BD6228"/>
    <w:rsid w:val="00BD63B3"/>
    <w:rsid w:val="00BD64D9"/>
    <w:rsid w:val="00BD64F8"/>
    <w:rsid w:val="00BD6524"/>
    <w:rsid w:val="00BD6576"/>
    <w:rsid w:val="00BD6617"/>
    <w:rsid w:val="00BD6640"/>
    <w:rsid w:val="00BD6648"/>
    <w:rsid w:val="00BD6729"/>
    <w:rsid w:val="00BD67D7"/>
    <w:rsid w:val="00BD68C1"/>
    <w:rsid w:val="00BD68F9"/>
    <w:rsid w:val="00BD6A36"/>
    <w:rsid w:val="00BD6A4B"/>
    <w:rsid w:val="00BD6BA2"/>
    <w:rsid w:val="00BD6C59"/>
    <w:rsid w:val="00BD6C67"/>
    <w:rsid w:val="00BD6E5A"/>
    <w:rsid w:val="00BD6E9D"/>
    <w:rsid w:val="00BD6E9E"/>
    <w:rsid w:val="00BD6EF3"/>
    <w:rsid w:val="00BD7166"/>
    <w:rsid w:val="00BD716B"/>
    <w:rsid w:val="00BD71B8"/>
    <w:rsid w:val="00BD722E"/>
    <w:rsid w:val="00BD735D"/>
    <w:rsid w:val="00BD7390"/>
    <w:rsid w:val="00BD73AE"/>
    <w:rsid w:val="00BD74C3"/>
    <w:rsid w:val="00BD74C9"/>
    <w:rsid w:val="00BD7525"/>
    <w:rsid w:val="00BD7551"/>
    <w:rsid w:val="00BD7639"/>
    <w:rsid w:val="00BD7A6A"/>
    <w:rsid w:val="00BD7ADE"/>
    <w:rsid w:val="00BD7BD7"/>
    <w:rsid w:val="00BD7BF2"/>
    <w:rsid w:val="00BD7D20"/>
    <w:rsid w:val="00BD7F5C"/>
    <w:rsid w:val="00BE00FE"/>
    <w:rsid w:val="00BE0149"/>
    <w:rsid w:val="00BE015D"/>
    <w:rsid w:val="00BE01EA"/>
    <w:rsid w:val="00BE0416"/>
    <w:rsid w:val="00BE0430"/>
    <w:rsid w:val="00BE04B8"/>
    <w:rsid w:val="00BE05FF"/>
    <w:rsid w:val="00BE0629"/>
    <w:rsid w:val="00BE0850"/>
    <w:rsid w:val="00BE086F"/>
    <w:rsid w:val="00BE08CB"/>
    <w:rsid w:val="00BE0979"/>
    <w:rsid w:val="00BE0CD5"/>
    <w:rsid w:val="00BE0D1C"/>
    <w:rsid w:val="00BE0E6F"/>
    <w:rsid w:val="00BE0E71"/>
    <w:rsid w:val="00BE0EC6"/>
    <w:rsid w:val="00BE1018"/>
    <w:rsid w:val="00BE10E5"/>
    <w:rsid w:val="00BE1136"/>
    <w:rsid w:val="00BE14DA"/>
    <w:rsid w:val="00BE155C"/>
    <w:rsid w:val="00BE1673"/>
    <w:rsid w:val="00BE17E9"/>
    <w:rsid w:val="00BE187D"/>
    <w:rsid w:val="00BE18C7"/>
    <w:rsid w:val="00BE1992"/>
    <w:rsid w:val="00BE1A19"/>
    <w:rsid w:val="00BE1A56"/>
    <w:rsid w:val="00BE1BBF"/>
    <w:rsid w:val="00BE1BC0"/>
    <w:rsid w:val="00BE1C5A"/>
    <w:rsid w:val="00BE1E50"/>
    <w:rsid w:val="00BE1EAC"/>
    <w:rsid w:val="00BE1F86"/>
    <w:rsid w:val="00BE1FBA"/>
    <w:rsid w:val="00BE1FEF"/>
    <w:rsid w:val="00BE2056"/>
    <w:rsid w:val="00BE20A6"/>
    <w:rsid w:val="00BE2173"/>
    <w:rsid w:val="00BE219A"/>
    <w:rsid w:val="00BE21A1"/>
    <w:rsid w:val="00BE2210"/>
    <w:rsid w:val="00BE2392"/>
    <w:rsid w:val="00BE2398"/>
    <w:rsid w:val="00BE2449"/>
    <w:rsid w:val="00BE2516"/>
    <w:rsid w:val="00BE2518"/>
    <w:rsid w:val="00BE2556"/>
    <w:rsid w:val="00BE2662"/>
    <w:rsid w:val="00BE272D"/>
    <w:rsid w:val="00BE274E"/>
    <w:rsid w:val="00BE27E1"/>
    <w:rsid w:val="00BE285D"/>
    <w:rsid w:val="00BE28D0"/>
    <w:rsid w:val="00BE28EF"/>
    <w:rsid w:val="00BE2966"/>
    <w:rsid w:val="00BE2A2D"/>
    <w:rsid w:val="00BE2B23"/>
    <w:rsid w:val="00BE2B75"/>
    <w:rsid w:val="00BE2CAC"/>
    <w:rsid w:val="00BE2DFA"/>
    <w:rsid w:val="00BE2F84"/>
    <w:rsid w:val="00BE30B1"/>
    <w:rsid w:val="00BE312F"/>
    <w:rsid w:val="00BE3184"/>
    <w:rsid w:val="00BE319D"/>
    <w:rsid w:val="00BE3306"/>
    <w:rsid w:val="00BE3308"/>
    <w:rsid w:val="00BE336E"/>
    <w:rsid w:val="00BE350C"/>
    <w:rsid w:val="00BE3537"/>
    <w:rsid w:val="00BE3694"/>
    <w:rsid w:val="00BE372C"/>
    <w:rsid w:val="00BE3789"/>
    <w:rsid w:val="00BE38EA"/>
    <w:rsid w:val="00BE3909"/>
    <w:rsid w:val="00BE390C"/>
    <w:rsid w:val="00BE3A3D"/>
    <w:rsid w:val="00BE3A66"/>
    <w:rsid w:val="00BE3B57"/>
    <w:rsid w:val="00BE3D07"/>
    <w:rsid w:val="00BE3E7D"/>
    <w:rsid w:val="00BE3F18"/>
    <w:rsid w:val="00BE3F20"/>
    <w:rsid w:val="00BE3F6D"/>
    <w:rsid w:val="00BE3F7E"/>
    <w:rsid w:val="00BE40D9"/>
    <w:rsid w:val="00BE41FD"/>
    <w:rsid w:val="00BE4277"/>
    <w:rsid w:val="00BE438B"/>
    <w:rsid w:val="00BE43CE"/>
    <w:rsid w:val="00BE44C0"/>
    <w:rsid w:val="00BE482E"/>
    <w:rsid w:val="00BE4886"/>
    <w:rsid w:val="00BE4889"/>
    <w:rsid w:val="00BE4897"/>
    <w:rsid w:val="00BE48C6"/>
    <w:rsid w:val="00BE48D2"/>
    <w:rsid w:val="00BE49C0"/>
    <w:rsid w:val="00BE4A28"/>
    <w:rsid w:val="00BE4A51"/>
    <w:rsid w:val="00BE4A54"/>
    <w:rsid w:val="00BE4AB6"/>
    <w:rsid w:val="00BE4C4D"/>
    <w:rsid w:val="00BE4C4F"/>
    <w:rsid w:val="00BE4CE5"/>
    <w:rsid w:val="00BE4D09"/>
    <w:rsid w:val="00BE4D5B"/>
    <w:rsid w:val="00BE4E8A"/>
    <w:rsid w:val="00BE510A"/>
    <w:rsid w:val="00BE5121"/>
    <w:rsid w:val="00BE51BF"/>
    <w:rsid w:val="00BE52B5"/>
    <w:rsid w:val="00BE54CC"/>
    <w:rsid w:val="00BE552D"/>
    <w:rsid w:val="00BE5613"/>
    <w:rsid w:val="00BE577E"/>
    <w:rsid w:val="00BE57F6"/>
    <w:rsid w:val="00BE583E"/>
    <w:rsid w:val="00BE586B"/>
    <w:rsid w:val="00BE597E"/>
    <w:rsid w:val="00BE5A35"/>
    <w:rsid w:val="00BE5B65"/>
    <w:rsid w:val="00BE5CA2"/>
    <w:rsid w:val="00BE5D02"/>
    <w:rsid w:val="00BE5D0D"/>
    <w:rsid w:val="00BE5D84"/>
    <w:rsid w:val="00BE5DA4"/>
    <w:rsid w:val="00BE5DA9"/>
    <w:rsid w:val="00BE5E09"/>
    <w:rsid w:val="00BE5E20"/>
    <w:rsid w:val="00BE5F5E"/>
    <w:rsid w:val="00BE6093"/>
    <w:rsid w:val="00BE6135"/>
    <w:rsid w:val="00BE6202"/>
    <w:rsid w:val="00BE6203"/>
    <w:rsid w:val="00BE6340"/>
    <w:rsid w:val="00BE636F"/>
    <w:rsid w:val="00BE63A3"/>
    <w:rsid w:val="00BE63F7"/>
    <w:rsid w:val="00BE6560"/>
    <w:rsid w:val="00BE66EE"/>
    <w:rsid w:val="00BE690A"/>
    <w:rsid w:val="00BE6A43"/>
    <w:rsid w:val="00BE6A6F"/>
    <w:rsid w:val="00BE6B72"/>
    <w:rsid w:val="00BE6C02"/>
    <w:rsid w:val="00BE6C35"/>
    <w:rsid w:val="00BE6C4F"/>
    <w:rsid w:val="00BE6E46"/>
    <w:rsid w:val="00BE6F44"/>
    <w:rsid w:val="00BE7058"/>
    <w:rsid w:val="00BE711A"/>
    <w:rsid w:val="00BE711C"/>
    <w:rsid w:val="00BE718D"/>
    <w:rsid w:val="00BE7360"/>
    <w:rsid w:val="00BE73C8"/>
    <w:rsid w:val="00BE7531"/>
    <w:rsid w:val="00BE763F"/>
    <w:rsid w:val="00BE7646"/>
    <w:rsid w:val="00BE77B1"/>
    <w:rsid w:val="00BE7930"/>
    <w:rsid w:val="00BE7A52"/>
    <w:rsid w:val="00BE7C2A"/>
    <w:rsid w:val="00BE7D0D"/>
    <w:rsid w:val="00BE7E41"/>
    <w:rsid w:val="00BF008A"/>
    <w:rsid w:val="00BF0091"/>
    <w:rsid w:val="00BF00AD"/>
    <w:rsid w:val="00BF00FF"/>
    <w:rsid w:val="00BF012D"/>
    <w:rsid w:val="00BF029F"/>
    <w:rsid w:val="00BF03B9"/>
    <w:rsid w:val="00BF0482"/>
    <w:rsid w:val="00BF04EE"/>
    <w:rsid w:val="00BF061C"/>
    <w:rsid w:val="00BF07A7"/>
    <w:rsid w:val="00BF07F7"/>
    <w:rsid w:val="00BF09A5"/>
    <w:rsid w:val="00BF09FA"/>
    <w:rsid w:val="00BF0A81"/>
    <w:rsid w:val="00BF0AB5"/>
    <w:rsid w:val="00BF0AFD"/>
    <w:rsid w:val="00BF0B30"/>
    <w:rsid w:val="00BF0B40"/>
    <w:rsid w:val="00BF0BA5"/>
    <w:rsid w:val="00BF0E1A"/>
    <w:rsid w:val="00BF0EE5"/>
    <w:rsid w:val="00BF103D"/>
    <w:rsid w:val="00BF1077"/>
    <w:rsid w:val="00BF10E9"/>
    <w:rsid w:val="00BF1164"/>
    <w:rsid w:val="00BF116C"/>
    <w:rsid w:val="00BF1186"/>
    <w:rsid w:val="00BF11D8"/>
    <w:rsid w:val="00BF11E2"/>
    <w:rsid w:val="00BF1255"/>
    <w:rsid w:val="00BF132C"/>
    <w:rsid w:val="00BF13AB"/>
    <w:rsid w:val="00BF14F5"/>
    <w:rsid w:val="00BF1585"/>
    <w:rsid w:val="00BF15F1"/>
    <w:rsid w:val="00BF1672"/>
    <w:rsid w:val="00BF187F"/>
    <w:rsid w:val="00BF1890"/>
    <w:rsid w:val="00BF1901"/>
    <w:rsid w:val="00BF19BD"/>
    <w:rsid w:val="00BF1A98"/>
    <w:rsid w:val="00BF1A99"/>
    <w:rsid w:val="00BF1B2F"/>
    <w:rsid w:val="00BF1B96"/>
    <w:rsid w:val="00BF1C03"/>
    <w:rsid w:val="00BF1C08"/>
    <w:rsid w:val="00BF1D32"/>
    <w:rsid w:val="00BF1D33"/>
    <w:rsid w:val="00BF1D70"/>
    <w:rsid w:val="00BF1DFB"/>
    <w:rsid w:val="00BF202D"/>
    <w:rsid w:val="00BF2056"/>
    <w:rsid w:val="00BF21BD"/>
    <w:rsid w:val="00BF22CE"/>
    <w:rsid w:val="00BF23F7"/>
    <w:rsid w:val="00BF2485"/>
    <w:rsid w:val="00BF2569"/>
    <w:rsid w:val="00BF26BE"/>
    <w:rsid w:val="00BF272D"/>
    <w:rsid w:val="00BF27C1"/>
    <w:rsid w:val="00BF28A8"/>
    <w:rsid w:val="00BF293B"/>
    <w:rsid w:val="00BF2946"/>
    <w:rsid w:val="00BF297A"/>
    <w:rsid w:val="00BF2996"/>
    <w:rsid w:val="00BF2A55"/>
    <w:rsid w:val="00BF2DB2"/>
    <w:rsid w:val="00BF2E09"/>
    <w:rsid w:val="00BF2E25"/>
    <w:rsid w:val="00BF2E6B"/>
    <w:rsid w:val="00BF2EF2"/>
    <w:rsid w:val="00BF309F"/>
    <w:rsid w:val="00BF30F3"/>
    <w:rsid w:val="00BF3109"/>
    <w:rsid w:val="00BF321A"/>
    <w:rsid w:val="00BF325B"/>
    <w:rsid w:val="00BF3260"/>
    <w:rsid w:val="00BF326C"/>
    <w:rsid w:val="00BF32EF"/>
    <w:rsid w:val="00BF3319"/>
    <w:rsid w:val="00BF3343"/>
    <w:rsid w:val="00BF33EF"/>
    <w:rsid w:val="00BF374B"/>
    <w:rsid w:val="00BF379A"/>
    <w:rsid w:val="00BF37D1"/>
    <w:rsid w:val="00BF388E"/>
    <w:rsid w:val="00BF38CD"/>
    <w:rsid w:val="00BF3A36"/>
    <w:rsid w:val="00BF3A89"/>
    <w:rsid w:val="00BF3BD5"/>
    <w:rsid w:val="00BF3C07"/>
    <w:rsid w:val="00BF3C60"/>
    <w:rsid w:val="00BF3CB8"/>
    <w:rsid w:val="00BF3D3C"/>
    <w:rsid w:val="00BF3D5C"/>
    <w:rsid w:val="00BF3D7E"/>
    <w:rsid w:val="00BF3DE3"/>
    <w:rsid w:val="00BF3E90"/>
    <w:rsid w:val="00BF3F30"/>
    <w:rsid w:val="00BF3F7A"/>
    <w:rsid w:val="00BF4152"/>
    <w:rsid w:val="00BF4169"/>
    <w:rsid w:val="00BF41C1"/>
    <w:rsid w:val="00BF41E7"/>
    <w:rsid w:val="00BF41ED"/>
    <w:rsid w:val="00BF4216"/>
    <w:rsid w:val="00BF4246"/>
    <w:rsid w:val="00BF42C6"/>
    <w:rsid w:val="00BF42EA"/>
    <w:rsid w:val="00BF4472"/>
    <w:rsid w:val="00BF4495"/>
    <w:rsid w:val="00BF45F7"/>
    <w:rsid w:val="00BF468D"/>
    <w:rsid w:val="00BF4732"/>
    <w:rsid w:val="00BF481E"/>
    <w:rsid w:val="00BF4839"/>
    <w:rsid w:val="00BF4844"/>
    <w:rsid w:val="00BF48AA"/>
    <w:rsid w:val="00BF4A42"/>
    <w:rsid w:val="00BF4A91"/>
    <w:rsid w:val="00BF4B8A"/>
    <w:rsid w:val="00BF4BAC"/>
    <w:rsid w:val="00BF4BED"/>
    <w:rsid w:val="00BF4C1F"/>
    <w:rsid w:val="00BF506B"/>
    <w:rsid w:val="00BF506F"/>
    <w:rsid w:val="00BF5092"/>
    <w:rsid w:val="00BF5143"/>
    <w:rsid w:val="00BF53E7"/>
    <w:rsid w:val="00BF53EF"/>
    <w:rsid w:val="00BF550A"/>
    <w:rsid w:val="00BF5538"/>
    <w:rsid w:val="00BF561A"/>
    <w:rsid w:val="00BF565F"/>
    <w:rsid w:val="00BF5694"/>
    <w:rsid w:val="00BF56C2"/>
    <w:rsid w:val="00BF5718"/>
    <w:rsid w:val="00BF57B9"/>
    <w:rsid w:val="00BF59D8"/>
    <w:rsid w:val="00BF5A71"/>
    <w:rsid w:val="00BF5D1B"/>
    <w:rsid w:val="00BF5E52"/>
    <w:rsid w:val="00BF5F50"/>
    <w:rsid w:val="00BF602D"/>
    <w:rsid w:val="00BF6337"/>
    <w:rsid w:val="00BF640B"/>
    <w:rsid w:val="00BF6545"/>
    <w:rsid w:val="00BF6681"/>
    <w:rsid w:val="00BF676F"/>
    <w:rsid w:val="00BF67C6"/>
    <w:rsid w:val="00BF67EE"/>
    <w:rsid w:val="00BF683C"/>
    <w:rsid w:val="00BF6845"/>
    <w:rsid w:val="00BF6866"/>
    <w:rsid w:val="00BF6918"/>
    <w:rsid w:val="00BF6A17"/>
    <w:rsid w:val="00BF6B82"/>
    <w:rsid w:val="00BF6C5D"/>
    <w:rsid w:val="00BF6CAE"/>
    <w:rsid w:val="00BF6CF2"/>
    <w:rsid w:val="00BF6D0B"/>
    <w:rsid w:val="00BF6D16"/>
    <w:rsid w:val="00BF6D65"/>
    <w:rsid w:val="00BF6DF0"/>
    <w:rsid w:val="00BF6E3A"/>
    <w:rsid w:val="00BF6E49"/>
    <w:rsid w:val="00BF6E4B"/>
    <w:rsid w:val="00BF6EE6"/>
    <w:rsid w:val="00BF6F14"/>
    <w:rsid w:val="00BF6F54"/>
    <w:rsid w:val="00BF6F8B"/>
    <w:rsid w:val="00BF6FE2"/>
    <w:rsid w:val="00BF7035"/>
    <w:rsid w:val="00BF7078"/>
    <w:rsid w:val="00BF70B0"/>
    <w:rsid w:val="00BF720D"/>
    <w:rsid w:val="00BF729A"/>
    <w:rsid w:val="00BF74CB"/>
    <w:rsid w:val="00BF74D3"/>
    <w:rsid w:val="00BF7637"/>
    <w:rsid w:val="00BF76C1"/>
    <w:rsid w:val="00BF770C"/>
    <w:rsid w:val="00BF77B1"/>
    <w:rsid w:val="00BF781C"/>
    <w:rsid w:val="00BF7834"/>
    <w:rsid w:val="00BF7853"/>
    <w:rsid w:val="00BF790F"/>
    <w:rsid w:val="00BF79CD"/>
    <w:rsid w:val="00BF7B0D"/>
    <w:rsid w:val="00BF7B54"/>
    <w:rsid w:val="00BF7D72"/>
    <w:rsid w:val="00BF7E92"/>
    <w:rsid w:val="00BF7ED2"/>
    <w:rsid w:val="00BF7F58"/>
    <w:rsid w:val="00C000C1"/>
    <w:rsid w:val="00C00161"/>
    <w:rsid w:val="00C00186"/>
    <w:rsid w:val="00C00428"/>
    <w:rsid w:val="00C00458"/>
    <w:rsid w:val="00C0059F"/>
    <w:rsid w:val="00C006E8"/>
    <w:rsid w:val="00C007FB"/>
    <w:rsid w:val="00C00845"/>
    <w:rsid w:val="00C008CC"/>
    <w:rsid w:val="00C008E7"/>
    <w:rsid w:val="00C0090D"/>
    <w:rsid w:val="00C00B5A"/>
    <w:rsid w:val="00C00B7A"/>
    <w:rsid w:val="00C00BA0"/>
    <w:rsid w:val="00C00C4D"/>
    <w:rsid w:val="00C00CAF"/>
    <w:rsid w:val="00C00CFD"/>
    <w:rsid w:val="00C00D71"/>
    <w:rsid w:val="00C00D78"/>
    <w:rsid w:val="00C00DF3"/>
    <w:rsid w:val="00C00E90"/>
    <w:rsid w:val="00C00EFE"/>
    <w:rsid w:val="00C00FC2"/>
    <w:rsid w:val="00C01121"/>
    <w:rsid w:val="00C0119C"/>
    <w:rsid w:val="00C012BF"/>
    <w:rsid w:val="00C012C0"/>
    <w:rsid w:val="00C013E8"/>
    <w:rsid w:val="00C01482"/>
    <w:rsid w:val="00C01571"/>
    <w:rsid w:val="00C01644"/>
    <w:rsid w:val="00C016A3"/>
    <w:rsid w:val="00C01771"/>
    <w:rsid w:val="00C01848"/>
    <w:rsid w:val="00C01A21"/>
    <w:rsid w:val="00C01A34"/>
    <w:rsid w:val="00C01B0F"/>
    <w:rsid w:val="00C01B71"/>
    <w:rsid w:val="00C01BA5"/>
    <w:rsid w:val="00C01CA2"/>
    <w:rsid w:val="00C01DEA"/>
    <w:rsid w:val="00C01F16"/>
    <w:rsid w:val="00C01FC2"/>
    <w:rsid w:val="00C0208E"/>
    <w:rsid w:val="00C0227F"/>
    <w:rsid w:val="00C022E4"/>
    <w:rsid w:val="00C02325"/>
    <w:rsid w:val="00C02371"/>
    <w:rsid w:val="00C023C6"/>
    <w:rsid w:val="00C0276B"/>
    <w:rsid w:val="00C02849"/>
    <w:rsid w:val="00C028B4"/>
    <w:rsid w:val="00C02936"/>
    <w:rsid w:val="00C02A2B"/>
    <w:rsid w:val="00C02A54"/>
    <w:rsid w:val="00C02D3F"/>
    <w:rsid w:val="00C02E37"/>
    <w:rsid w:val="00C02EF3"/>
    <w:rsid w:val="00C0301C"/>
    <w:rsid w:val="00C031A3"/>
    <w:rsid w:val="00C0328E"/>
    <w:rsid w:val="00C032FE"/>
    <w:rsid w:val="00C03367"/>
    <w:rsid w:val="00C033B8"/>
    <w:rsid w:val="00C03528"/>
    <w:rsid w:val="00C0363C"/>
    <w:rsid w:val="00C03653"/>
    <w:rsid w:val="00C0368B"/>
    <w:rsid w:val="00C037CB"/>
    <w:rsid w:val="00C0380C"/>
    <w:rsid w:val="00C03872"/>
    <w:rsid w:val="00C03A94"/>
    <w:rsid w:val="00C03B4A"/>
    <w:rsid w:val="00C03BA2"/>
    <w:rsid w:val="00C03C6D"/>
    <w:rsid w:val="00C03D64"/>
    <w:rsid w:val="00C03D6A"/>
    <w:rsid w:val="00C03DC3"/>
    <w:rsid w:val="00C03DD3"/>
    <w:rsid w:val="00C03E19"/>
    <w:rsid w:val="00C03E25"/>
    <w:rsid w:val="00C03EFF"/>
    <w:rsid w:val="00C03F8C"/>
    <w:rsid w:val="00C03FD8"/>
    <w:rsid w:val="00C04148"/>
    <w:rsid w:val="00C04241"/>
    <w:rsid w:val="00C0428F"/>
    <w:rsid w:val="00C0466A"/>
    <w:rsid w:val="00C0467C"/>
    <w:rsid w:val="00C046B8"/>
    <w:rsid w:val="00C046C5"/>
    <w:rsid w:val="00C046E5"/>
    <w:rsid w:val="00C047AC"/>
    <w:rsid w:val="00C047F6"/>
    <w:rsid w:val="00C0486D"/>
    <w:rsid w:val="00C04932"/>
    <w:rsid w:val="00C0495E"/>
    <w:rsid w:val="00C04BCF"/>
    <w:rsid w:val="00C04BDB"/>
    <w:rsid w:val="00C04D5E"/>
    <w:rsid w:val="00C04DCF"/>
    <w:rsid w:val="00C04E2D"/>
    <w:rsid w:val="00C04EF4"/>
    <w:rsid w:val="00C04EF6"/>
    <w:rsid w:val="00C050B2"/>
    <w:rsid w:val="00C0540F"/>
    <w:rsid w:val="00C054B7"/>
    <w:rsid w:val="00C054E2"/>
    <w:rsid w:val="00C054EB"/>
    <w:rsid w:val="00C0557C"/>
    <w:rsid w:val="00C055C8"/>
    <w:rsid w:val="00C055D9"/>
    <w:rsid w:val="00C0571A"/>
    <w:rsid w:val="00C05756"/>
    <w:rsid w:val="00C058F4"/>
    <w:rsid w:val="00C05A98"/>
    <w:rsid w:val="00C05AC9"/>
    <w:rsid w:val="00C05AEA"/>
    <w:rsid w:val="00C05B38"/>
    <w:rsid w:val="00C05BE9"/>
    <w:rsid w:val="00C05C71"/>
    <w:rsid w:val="00C05CDA"/>
    <w:rsid w:val="00C05CF2"/>
    <w:rsid w:val="00C05D73"/>
    <w:rsid w:val="00C05EE2"/>
    <w:rsid w:val="00C06177"/>
    <w:rsid w:val="00C06242"/>
    <w:rsid w:val="00C06332"/>
    <w:rsid w:val="00C063BF"/>
    <w:rsid w:val="00C06487"/>
    <w:rsid w:val="00C0650C"/>
    <w:rsid w:val="00C06570"/>
    <w:rsid w:val="00C066B1"/>
    <w:rsid w:val="00C06714"/>
    <w:rsid w:val="00C0682B"/>
    <w:rsid w:val="00C06887"/>
    <w:rsid w:val="00C0690D"/>
    <w:rsid w:val="00C06CD1"/>
    <w:rsid w:val="00C06CFC"/>
    <w:rsid w:val="00C06D19"/>
    <w:rsid w:val="00C06D39"/>
    <w:rsid w:val="00C06E12"/>
    <w:rsid w:val="00C06EC4"/>
    <w:rsid w:val="00C07024"/>
    <w:rsid w:val="00C07041"/>
    <w:rsid w:val="00C07042"/>
    <w:rsid w:val="00C070E9"/>
    <w:rsid w:val="00C07138"/>
    <w:rsid w:val="00C0714C"/>
    <w:rsid w:val="00C07446"/>
    <w:rsid w:val="00C07513"/>
    <w:rsid w:val="00C0751A"/>
    <w:rsid w:val="00C07587"/>
    <w:rsid w:val="00C0758D"/>
    <w:rsid w:val="00C075EA"/>
    <w:rsid w:val="00C0768B"/>
    <w:rsid w:val="00C078C5"/>
    <w:rsid w:val="00C078E1"/>
    <w:rsid w:val="00C078FC"/>
    <w:rsid w:val="00C07A71"/>
    <w:rsid w:val="00C07B07"/>
    <w:rsid w:val="00C07D0D"/>
    <w:rsid w:val="00C07D96"/>
    <w:rsid w:val="00C07DCE"/>
    <w:rsid w:val="00C07EA0"/>
    <w:rsid w:val="00C07ECB"/>
    <w:rsid w:val="00C07F2B"/>
    <w:rsid w:val="00C07F36"/>
    <w:rsid w:val="00C10075"/>
    <w:rsid w:val="00C10178"/>
    <w:rsid w:val="00C101B4"/>
    <w:rsid w:val="00C1025A"/>
    <w:rsid w:val="00C102DD"/>
    <w:rsid w:val="00C1032E"/>
    <w:rsid w:val="00C10401"/>
    <w:rsid w:val="00C104B4"/>
    <w:rsid w:val="00C10508"/>
    <w:rsid w:val="00C1052E"/>
    <w:rsid w:val="00C1061B"/>
    <w:rsid w:val="00C106BD"/>
    <w:rsid w:val="00C10821"/>
    <w:rsid w:val="00C10884"/>
    <w:rsid w:val="00C109B1"/>
    <w:rsid w:val="00C10AF3"/>
    <w:rsid w:val="00C10B26"/>
    <w:rsid w:val="00C10C9C"/>
    <w:rsid w:val="00C10DCD"/>
    <w:rsid w:val="00C10F39"/>
    <w:rsid w:val="00C10FAA"/>
    <w:rsid w:val="00C1111B"/>
    <w:rsid w:val="00C11194"/>
    <w:rsid w:val="00C111E7"/>
    <w:rsid w:val="00C11359"/>
    <w:rsid w:val="00C113F0"/>
    <w:rsid w:val="00C114CF"/>
    <w:rsid w:val="00C114EA"/>
    <w:rsid w:val="00C115DC"/>
    <w:rsid w:val="00C118F8"/>
    <w:rsid w:val="00C1197E"/>
    <w:rsid w:val="00C11A2D"/>
    <w:rsid w:val="00C11A47"/>
    <w:rsid w:val="00C11A4D"/>
    <w:rsid w:val="00C11AA2"/>
    <w:rsid w:val="00C11CAE"/>
    <w:rsid w:val="00C11D12"/>
    <w:rsid w:val="00C11D75"/>
    <w:rsid w:val="00C11F2A"/>
    <w:rsid w:val="00C11F5B"/>
    <w:rsid w:val="00C11F70"/>
    <w:rsid w:val="00C121C6"/>
    <w:rsid w:val="00C1223D"/>
    <w:rsid w:val="00C1226C"/>
    <w:rsid w:val="00C122BB"/>
    <w:rsid w:val="00C122F5"/>
    <w:rsid w:val="00C12432"/>
    <w:rsid w:val="00C124B1"/>
    <w:rsid w:val="00C124DE"/>
    <w:rsid w:val="00C125B5"/>
    <w:rsid w:val="00C125F6"/>
    <w:rsid w:val="00C12619"/>
    <w:rsid w:val="00C12748"/>
    <w:rsid w:val="00C1276F"/>
    <w:rsid w:val="00C127EC"/>
    <w:rsid w:val="00C12847"/>
    <w:rsid w:val="00C128C1"/>
    <w:rsid w:val="00C12AC4"/>
    <w:rsid w:val="00C12AEC"/>
    <w:rsid w:val="00C13089"/>
    <w:rsid w:val="00C130C0"/>
    <w:rsid w:val="00C130E5"/>
    <w:rsid w:val="00C131AD"/>
    <w:rsid w:val="00C131FF"/>
    <w:rsid w:val="00C13210"/>
    <w:rsid w:val="00C13367"/>
    <w:rsid w:val="00C13465"/>
    <w:rsid w:val="00C135AF"/>
    <w:rsid w:val="00C135E8"/>
    <w:rsid w:val="00C13631"/>
    <w:rsid w:val="00C13669"/>
    <w:rsid w:val="00C137DF"/>
    <w:rsid w:val="00C13839"/>
    <w:rsid w:val="00C138AB"/>
    <w:rsid w:val="00C138BA"/>
    <w:rsid w:val="00C13A84"/>
    <w:rsid w:val="00C13AC1"/>
    <w:rsid w:val="00C13AE6"/>
    <w:rsid w:val="00C13B34"/>
    <w:rsid w:val="00C13B8C"/>
    <w:rsid w:val="00C13B94"/>
    <w:rsid w:val="00C13C05"/>
    <w:rsid w:val="00C13CE3"/>
    <w:rsid w:val="00C13D7F"/>
    <w:rsid w:val="00C13E9A"/>
    <w:rsid w:val="00C1402A"/>
    <w:rsid w:val="00C140E9"/>
    <w:rsid w:val="00C141F9"/>
    <w:rsid w:val="00C1429B"/>
    <w:rsid w:val="00C14312"/>
    <w:rsid w:val="00C143ED"/>
    <w:rsid w:val="00C144C6"/>
    <w:rsid w:val="00C14660"/>
    <w:rsid w:val="00C14759"/>
    <w:rsid w:val="00C1485A"/>
    <w:rsid w:val="00C14908"/>
    <w:rsid w:val="00C14A77"/>
    <w:rsid w:val="00C14B5E"/>
    <w:rsid w:val="00C14C96"/>
    <w:rsid w:val="00C14C9C"/>
    <w:rsid w:val="00C14D9E"/>
    <w:rsid w:val="00C14EAB"/>
    <w:rsid w:val="00C14EAD"/>
    <w:rsid w:val="00C14F70"/>
    <w:rsid w:val="00C14FDA"/>
    <w:rsid w:val="00C15080"/>
    <w:rsid w:val="00C15152"/>
    <w:rsid w:val="00C1516B"/>
    <w:rsid w:val="00C1516D"/>
    <w:rsid w:val="00C151F8"/>
    <w:rsid w:val="00C15467"/>
    <w:rsid w:val="00C15537"/>
    <w:rsid w:val="00C15683"/>
    <w:rsid w:val="00C1569B"/>
    <w:rsid w:val="00C156CD"/>
    <w:rsid w:val="00C15803"/>
    <w:rsid w:val="00C1587E"/>
    <w:rsid w:val="00C158DA"/>
    <w:rsid w:val="00C15928"/>
    <w:rsid w:val="00C15B63"/>
    <w:rsid w:val="00C15B80"/>
    <w:rsid w:val="00C15BE2"/>
    <w:rsid w:val="00C15C5E"/>
    <w:rsid w:val="00C15CF4"/>
    <w:rsid w:val="00C15D3B"/>
    <w:rsid w:val="00C15D4E"/>
    <w:rsid w:val="00C15D6A"/>
    <w:rsid w:val="00C15DA0"/>
    <w:rsid w:val="00C15EB6"/>
    <w:rsid w:val="00C15EE7"/>
    <w:rsid w:val="00C15EF5"/>
    <w:rsid w:val="00C15FFF"/>
    <w:rsid w:val="00C16003"/>
    <w:rsid w:val="00C16140"/>
    <w:rsid w:val="00C163B3"/>
    <w:rsid w:val="00C16546"/>
    <w:rsid w:val="00C1655C"/>
    <w:rsid w:val="00C165B6"/>
    <w:rsid w:val="00C16635"/>
    <w:rsid w:val="00C1673B"/>
    <w:rsid w:val="00C16810"/>
    <w:rsid w:val="00C1693C"/>
    <w:rsid w:val="00C16986"/>
    <w:rsid w:val="00C16A3E"/>
    <w:rsid w:val="00C16B94"/>
    <w:rsid w:val="00C16C74"/>
    <w:rsid w:val="00C16D40"/>
    <w:rsid w:val="00C16D78"/>
    <w:rsid w:val="00C16E35"/>
    <w:rsid w:val="00C16ED9"/>
    <w:rsid w:val="00C16F29"/>
    <w:rsid w:val="00C16FED"/>
    <w:rsid w:val="00C16FF0"/>
    <w:rsid w:val="00C170CA"/>
    <w:rsid w:val="00C1723B"/>
    <w:rsid w:val="00C172A5"/>
    <w:rsid w:val="00C172EE"/>
    <w:rsid w:val="00C172F3"/>
    <w:rsid w:val="00C173EF"/>
    <w:rsid w:val="00C1747F"/>
    <w:rsid w:val="00C17686"/>
    <w:rsid w:val="00C177A2"/>
    <w:rsid w:val="00C177D2"/>
    <w:rsid w:val="00C179CC"/>
    <w:rsid w:val="00C179E8"/>
    <w:rsid w:val="00C179F2"/>
    <w:rsid w:val="00C17AFA"/>
    <w:rsid w:val="00C17B2D"/>
    <w:rsid w:val="00C17B36"/>
    <w:rsid w:val="00C17B45"/>
    <w:rsid w:val="00C17C67"/>
    <w:rsid w:val="00C17D68"/>
    <w:rsid w:val="00C17D89"/>
    <w:rsid w:val="00C17DC7"/>
    <w:rsid w:val="00C17E52"/>
    <w:rsid w:val="00C17E8C"/>
    <w:rsid w:val="00C17EB1"/>
    <w:rsid w:val="00C17EB6"/>
    <w:rsid w:val="00C17EDB"/>
    <w:rsid w:val="00C17EEF"/>
    <w:rsid w:val="00C200EE"/>
    <w:rsid w:val="00C20108"/>
    <w:rsid w:val="00C2017D"/>
    <w:rsid w:val="00C2024B"/>
    <w:rsid w:val="00C202C9"/>
    <w:rsid w:val="00C202E8"/>
    <w:rsid w:val="00C20317"/>
    <w:rsid w:val="00C204CE"/>
    <w:rsid w:val="00C20545"/>
    <w:rsid w:val="00C20574"/>
    <w:rsid w:val="00C205DD"/>
    <w:rsid w:val="00C2070E"/>
    <w:rsid w:val="00C207FF"/>
    <w:rsid w:val="00C20874"/>
    <w:rsid w:val="00C20969"/>
    <w:rsid w:val="00C20A71"/>
    <w:rsid w:val="00C20A89"/>
    <w:rsid w:val="00C20AF8"/>
    <w:rsid w:val="00C20C24"/>
    <w:rsid w:val="00C20CC6"/>
    <w:rsid w:val="00C20D40"/>
    <w:rsid w:val="00C20D49"/>
    <w:rsid w:val="00C20D82"/>
    <w:rsid w:val="00C20FD2"/>
    <w:rsid w:val="00C21052"/>
    <w:rsid w:val="00C21065"/>
    <w:rsid w:val="00C2111D"/>
    <w:rsid w:val="00C21170"/>
    <w:rsid w:val="00C2118B"/>
    <w:rsid w:val="00C211CD"/>
    <w:rsid w:val="00C21432"/>
    <w:rsid w:val="00C21570"/>
    <w:rsid w:val="00C21654"/>
    <w:rsid w:val="00C21663"/>
    <w:rsid w:val="00C216DE"/>
    <w:rsid w:val="00C21716"/>
    <w:rsid w:val="00C21757"/>
    <w:rsid w:val="00C21789"/>
    <w:rsid w:val="00C21832"/>
    <w:rsid w:val="00C218FA"/>
    <w:rsid w:val="00C21AF6"/>
    <w:rsid w:val="00C21B02"/>
    <w:rsid w:val="00C21B2B"/>
    <w:rsid w:val="00C21B30"/>
    <w:rsid w:val="00C21B49"/>
    <w:rsid w:val="00C21C43"/>
    <w:rsid w:val="00C21C4D"/>
    <w:rsid w:val="00C21CBA"/>
    <w:rsid w:val="00C21CD3"/>
    <w:rsid w:val="00C21CD6"/>
    <w:rsid w:val="00C21CE4"/>
    <w:rsid w:val="00C21CE8"/>
    <w:rsid w:val="00C21D66"/>
    <w:rsid w:val="00C21D97"/>
    <w:rsid w:val="00C21DAE"/>
    <w:rsid w:val="00C21E2F"/>
    <w:rsid w:val="00C21EA4"/>
    <w:rsid w:val="00C21EB5"/>
    <w:rsid w:val="00C22061"/>
    <w:rsid w:val="00C2225F"/>
    <w:rsid w:val="00C22303"/>
    <w:rsid w:val="00C223F3"/>
    <w:rsid w:val="00C2245D"/>
    <w:rsid w:val="00C22485"/>
    <w:rsid w:val="00C22507"/>
    <w:rsid w:val="00C225AC"/>
    <w:rsid w:val="00C22797"/>
    <w:rsid w:val="00C227AB"/>
    <w:rsid w:val="00C22890"/>
    <w:rsid w:val="00C228AF"/>
    <w:rsid w:val="00C22969"/>
    <w:rsid w:val="00C22AB2"/>
    <w:rsid w:val="00C22B3F"/>
    <w:rsid w:val="00C22B9F"/>
    <w:rsid w:val="00C22C01"/>
    <w:rsid w:val="00C22C1A"/>
    <w:rsid w:val="00C22E31"/>
    <w:rsid w:val="00C22E4A"/>
    <w:rsid w:val="00C22E64"/>
    <w:rsid w:val="00C22F9C"/>
    <w:rsid w:val="00C2306B"/>
    <w:rsid w:val="00C230F5"/>
    <w:rsid w:val="00C2310E"/>
    <w:rsid w:val="00C2316B"/>
    <w:rsid w:val="00C2316E"/>
    <w:rsid w:val="00C23177"/>
    <w:rsid w:val="00C234A9"/>
    <w:rsid w:val="00C235FB"/>
    <w:rsid w:val="00C2361E"/>
    <w:rsid w:val="00C2365F"/>
    <w:rsid w:val="00C23695"/>
    <w:rsid w:val="00C236C6"/>
    <w:rsid w:val="00C237BD"/>
    <w:rsid w:val="00C237F2"/>
    <w:rsid w:val="00C23839"/>
    <w:rsid w:val="00C2392E"/>
    <w:rsid w:val="00C23990"/>
    <w:rsid w:val="00C239EE"/>
    <w:rsid w:val="00C23AE5"/>
    <w:rsid w:val="00C23B3C"/>
    <w:rsid w:val="00C23D12"/>
    <w:rsid w:val="00C23D76"/>
    <w:rsid w:val="00C23DC2"/>
    <w:rsid w:val="00C23E33"/>
    <w:rsid w:val="00C23E90"/>
    <w:rsid w:val="00C23FBE"/>
    <w:rsid w:val="00C240C8"/>
    <w:rsid w:val="00C244E0"/>
    <w:rsid w:val="00C245E0"/>
    <w:rsid w:val="00C24726"/>
    <w:rsid w:val="00C248BB"/>
    <w:rsid w:val="00C249A0"/>
    <w:rsid w:val="00C24BB3"/>
    <w:rsid w:val="00C24C00"/>
    <w:rsid w:val="00C24D5E"/>
    <w:rsid w:val="00C24EC1"/>
    <w:rsid w:val="00C24F3A"/>
    <w:rsid w:val="00C24F7A"/>
    <w:rsid w:val="00C24FAF"/>
    <w:rsid w:val="00C2510D"/>
    <w:rsid w:val="00C253F2"/>
    <w:rsid w:val="00C254D6"/>
    <w:rsid w:val="00C2550E"/>
    <w:rsid w:val="00C25567"/>
    <w:rsid w:val="00C25767"/>
    <w:rsid w:val="00C25891"/>
    <w:rsid w:val="00C25898"/>
    <w:rsid w:val="00C25950"/>
    <w:rsid w:val="00C25994"/>
    <w:rsid w:val="00C259C8"/>
    <w:rsid w:val="00C25A7E"/>
    <w:rsid w:val="00C25B56"/>
    <w:rsid w:val="00C25D90"/>
    <w:rsid w:val="00C25DB9"/>
    <w:rsid w:val="00C25EB4"/>
    <w:rsid w:val="00C25EC1"/>
    <w:rsid w:val="00C25F08"/>
    <w:rsid w:val="00C25F9C"/>
    <w:rsid w:val="00C2608B"/>
    <w:rsid w:val="00C260AC"/>
    <w:rsid w:val="00C26132"/>
    <w:rsid w:val="00C26551"/>
    <w:rsid w:val="00C2657A"/>
    <w:rsid w:val="00C266C5"/>
    <w:rsid w:val="00C26856"/>
    <w:rsid w:val="00C268A2"/>
    <w:rsid w:val="00C2692A"/>
    <w:rsid w:val="00C26AC3"/>
    <w:rsid w:val="00C26B4A"/>
    <w:rsid w:val="00C26B56"/>
    <w:rsid w:val="00C26C4F"/>
    <w:rsid w:val="00C26C58"/>
    <w:rsid w:val="00C26DB9"/>
    <w:rsid w:val="00C26E00"/>
    <w:rsid w:val="00C26EC8"/>
    <w:rsid w:val="00C26F4D"/>
    <w:rsid w:val="00C26FD7"/>
    <w:rsid w:val="00C26FEA"/>
    <w:rsid w:val="00C27150"/>
    <w:rsid w:val="00C27270"/>
    <w:rsid w:val="00C27273"/>
    <w:rsid w:val="00C27478"/>
    <w:rsid w:val="00C2749E"/>
    <w:rsid w:val="00C274C8"/>
    <w:rsid w:val="00C274E9"/>
    <w:rsid w:val="00C2779A"/>
    <w:rsid w:val="00C277AE"/>
    <w:rsid w:val="00C277E4"/>
    <w:rsid w:val="00C27827"/>
    <w:rsid w:val="00C2782B"/>
    <w:rsid w:val="00C2799C"/>
    <w:rsid w:val="00C27C68"/>
    <w:rsid w:val="00C27F4E"/>
    <w:rsid w:val="00C30230"/>
    <w:rsid w:val="00C30331"/>
    <w:rsid w:val="00C305A8"/>
    <w:rsid w:val="00C30649"/>
    <w:rsid w:val="00C307B9"/>
    <w:rsid w:val="00C30847"/>
    <w:rsid w:val="00C308BF"/>
    <w:rsid w:val="00C308CB"/>
    <w:rsid w:val="00C30932"/>
    <w:rsid w:val="00C3093B"/>
    <w:rsid w:val="00C30956"/>
    <w:rsid w:val="00C30ABF"/>
    <w:rsid w:val="00C30B71"/>
    <w:rsid w:val="00C30B72"/>
    <w:rsid w:val="00C30BAE"/>
    <w:rsid w:val="00C30C61"/>
    <w:rsid w:val="00C30E2E"/>
    <w:rsid w:val="00C3105A"/>
    <w:rsid w:val="00C3108D"/>
    <w:rsid w:val="00C3115E"/>
    <w:rsid w:val="00C311F3"/>
    <w:rsid w:val="00C314B8"/>
    <w:rsid w:val="00C31597"/>
    <w:rsid w:val="00C31673"/>
    <w:rsid w:val="00C31723"/>
    <w:rsid w:val="00C317E9"/>
    <w:rsid w:val="00C317F1"/>
    <w:rsid w:val="00C318EE"/>
    <w:rsid w:val="00C31931"/>
    <w:rsid w:val="00C31ABC"/>
    <w:rsid w:val="00C31B9F"/>
    <w:rsid w:val="00C31C4E"/>
    <w:rsid w:val="00C31F3C"/>
    <w:rsid w:val="00C31FA6"/>
    <w:rsid w:val="00C3213F"/>
    <w:rsid w:val="00C321AA"/>
    <w:rsid w:val="00C321D8"/>
    <w:rsid w:val="00C32285"/>
    <w:rsid w:val="00C32296"/>
    <w:rsid w:val="00C32299"/>
    <w:rsid w:val="00C322C6"/>
    <w:rsid w:val="00C322CF"/>
    <w:rsid w:val="00C322E7"/>
    <w:rsid w:val="00C323CD"/>
    <w:rsid w:val="00C323EE"/>
    <w:rsid w:val="00C3248B"/>
    <w:rsid w:val="00C324D9"/>
    <w:rsid w:val="00C324E1"/>
    <w:rsid w:val="00C324F4"/>
    <w:rsid w:val="00C32554"/>
    <w:rsid w:val="00C325DF"/>
    <w:rsid w:val="00C32636"/>
    <w:rsid w:val="00C326BE"/>
    <w:rsid w:val="00C32790"/>
    <w:rsid w:val="00C3283D"/>
    <w:rsid w:val="00C3287B"/>
    <w:rsid w:val="00C32A6D"/>
    <w:rsid w:val="00C32ABD"/>
    <w:rsid w:val="00C32ACD"/>
    <w:rsid w:val="00C32B27"/>
    <w:rsid w:val="00C32CF2"/>
    <w:rsid w:val="00C32D21"/>
    <w:rsid w:val="00C32D53"/>
    <w:rsid w:val="00C32E5F"/>
    <w:rsid w:val="00C330D8"/>
    <w:rsid w:val="00C3318F"/>
    <w:rsid w:val="00C3332F"/>
    <w:rsid w:val="00C33398"/>
    <w:rsid w:val="00C33542"/>
    <w:rsid w:val="00C3362C"/>
    <w:rsid w:val="00C33801"/>
    <w:rsid w:val="00C3393B"/>
    <w:rsid w:val="00C33A23"/>
    <w:rsid w:val="00C33AA2"/>
    <w:rsid w:val="00C33BF3"/>
    <w:rsid w:val="00C33C44"/>
    <w:rsid w:val="00C33C51"/>
    <w:rsid w:val="00C33CD6"/>
    <w:rsid w:val="00C33D84"/>
    <w:rsid w:val="00C33E8E"/>
    <w:rsid w:val="00C34251"/>
    <w:rsid w:val="00C3437E"/>
    <w:rsid w:val="00C34481"/>
    <w:rsid w:val="00C34518"/>
    <w:rsid w:val="00C34698"/>
    <w:rsid w:val="00C346EC"/>
    <w:rsid w:val="00C34861"/>
    <w:rsid w:val="00C34876"/>
    <w:rsid w:val="00C34A3C"/>
    <w:rsid w:val="00C34C43"/>
    <w:rsid w:val="00C34C7D"/>
    <w:rsid w:val="00C34D8D"/>
    <w:rsid w:val="00C34E45"/>
    <w:rsid w:val="00C34E91"/>
    <w:rsid w:val="00C34F82"/>
    <w:rsid w:val="00C3535C"/>
    <w:rsid w:val="00C35376"/>
    <w:rsid w:val="00C353A9"/>
    <w:rsid w:val="00C353EA"/>
    <w:rsid w:val="00C35638"/>
    <w:rsid w:val="00C35709"/>
    <w:rsid w:val="00C357B2"/>
    <w:rsid w:val="00C357C2"/>
    <w:rsid w:val="00C358C4"/>
    <w:rsid w:val="00C35BAC"/>
    <w:rsid w:val="00C35BE1"/>
    <w:rsid w:val="00C35D53"/>
    <w:rsid w:val="00C35DA6"/>
    <w:rsid w:val="00C35ED0"/>
    <w:rsid w:val="00C36081"/>
    <w:rsid w:val="00C360A0"/>
    <w:rsid w:val="00C3624A"/>
    <w:rsid w:val="00C3630C"/>
    <w:rsid w:val="00C3630F"/>
    <w:rsid w:val="00C3640F"/>
    <w:rsid w:val="00C36470"/>
    <w:rsid w:val="00C36560"/>
    <w:rsid w:val="00C36852"/>
    <w:rsid w:val="00C368AA"/>
    <w:rsid w:val="00C368C4"/>
    <w:rsid w:val="00C3695C"/>
    <w:rsid w:val="00C3699F"/>
    <w:rsid w:val="00C36BEA"/>
    <w:rsid w:val="00C36C28"/>
    <w:rsid w:val="00C36F04"/>
    <w:rsid w:val="00C36F65"/>
    <w:rsid w:val="00C37021"/>
    <w:rsid w:val="00C37086"/>
    <w:rsid w:val="00C370EC"/>
    <w:rsid w:val="00C3714D"/>
    <w:rsid w:val="00C37158"/>
    <w:rsid w:val="00C371EF"/>
    <w:rsid w:val="00C3722D"/>
    <w:rsid w:val="00C37286"/>
    <w:rsid w:val="00C372AE"/>
    <w:rsid w:val="00C372EA"/>
    <w:rsid w:val="00C3758A"/>
    <w:rsid w:val="00C37629"/>
    <w:rsid w:val="00C377F6"/>
    <w:rsid w:val="00C378FC"/>
    <w:rsid w:val="00C37930"/>
    <w:rsid w:val="00C37BEC"/>
    <w:rsid w:val="00C37BF5"/>
    <w:rsid w:val="00C37CAF"/>
    <w:rsid w:val="00C37F52"/>
    <w:rsid w:val="00C400FB"/>
    <w:rsid w:val="00C40175"/>
    <w:rsid w:val="00C4032F"/>
    <w:rsid w:val="00C403DE"/>
    <w:rsid w:val="00C405F2"/>
    <w:rsid w:val="00C4071D"/>
    <w:rsid w:val="00C40799"/>
    <w:rsid w:val="00C408BB"/>
    <w:rsid w:val="00C409A3"/>
    <w:rsid w:val="00C409CA"/>
    <w:rsid w:val="00C409CC"/>
    <w:rsid w:val="00C40AD9"/>
    <w:rsid w:val="00C40B1A"/>
    <w:rsid w:val="00C40C0C"/>
    <w:rsid w:val="00C40C89"/>
    <w:rsid w:val="00C40D33"/>
    <w:rsid w:val="00C40D3B"/>
    <w:rsid w:val="00C40D46"/>
    <w:rsid w:val="00C40D83"/>
    <w:rsid w:val="00C40DAA"/>
    <w:rsid w:val="00C40E01"/>
    <w:rsid w:val="00C40EB3"/>
    <w:rsid w:val="00C40F4C"/>
    <w:rsid w:val="00C410F7"/>
    <w:rsid w:val="00C412C0"/>
    <w:rsid w:val="00C412F6"/>
    <w:rsid w:val="00C4131D"/>
    <w:rsid w:val="00C41398"/>
    <w:rsid w:val="00C413DB"/>
    <w:rsid w:val="00C4141D"/>
    <w:rsid w:val="00C4149C"/>
    <w:rsid w:val="00C41562"/>
    <w:rsid w:val="00C416DF"/>
    <w:rsid w:val="00C417E8"/>
    <w:rsid w:val="00C41851"/>
    <w:rsid w:val="00C41896"/>
    <w:rsid w:val="00C418D6"/>
    <w:rsid w:val="00C41981"/>
    <w:rsid w:val="00C41A41"/>
    <w:rsid w:val="00C41B63"/>
    <w:rsid w:val="00C41BE2"/>
    <w:rsid w:val="00C41BEB"/>
    <w:rsid w:val="00C41CA1"/>
    <w:rsid w:val="00C41E22"/>
    <w:rsid w:val="00C41ECB"/>
    <w:rsid w:val="00C41F3E"/>
    <w:rsid w:val="00C41FB6"/>
    <w:rsid w:val="00C42088"/>
    <w:rsid w:val="00C4215F"/>
    <w:rsid w:val="00C421D6"/>
    <w:rsid w:val="00C4220E"/>
    <w:rsid w:val="00C42300"/>
    <w:rsid w:val="00C4234A"/>
    <w:rsid w:val="00C42468"/>
    <w:rsid w:val="00C424DF"/>
    <w:rsid w:val="00C42577"/>
    <w:rsid w:val="00C42607"/>
    <w:rsid w:val="00C4264F"/>
    <w:rsid w:val="00C4271B"/>
    <w:rsid w:val="00C427A9"/>
    <w:rsid w:val="00C427DC"/>
    <w:rsid w:val="00C427E2"/>
    <w:rsid w:val="00C428CB"/>
    <w:rsid w:val="00C42990"/>
    <w:rsid w:val="00C42996"/>
    <w:rsid w:val="00C42AD4"/>
    <w:rsid w:val="00C42C6B"/>
    <w:rsid w:val="00C42C90"/>
    <w:rsid w:val="00C42CC4"/>
    <w:rsid w:val="00C42CF7"/>
    <w:rsid w:val="00C42DF0"/>
    <w:rsid w:val="00C42EFE"/>
    <w:rsid w:val="00C42F27"/>
    <w:rsid w:val="00C42FD2"/>
    <w:rsid w:val="00C43108"/>
    <w:rsid w:val="00C4324A"/>
    <w:rsid w:val="00C432CA"/>
    <w:rsid w:val="00C43347"/>
    <w:rsid w:val="00C43353"/>
    <w:rsid w:val="00C435B0"/>
    <w:rsid w:val="00C436F0"/>
    <w:rsid w:val="00C4374F"/>
    <w:rsid w:val="00C43ACD"/>
    <w:rsid w:val="00C43AD3"/>
    <w:rsid w:val="00C43BA7"/>
    <w:rsid w:val="00C43C64"/>
    <w:rsid w:val="00C43CA1"/>
    <w:rsid w:val="00C43D01"/>
    <w:rsid w:val="00C43D38"/>
    <w:rsid w:val="00C43DA8"/>
    <w:rsid w:val="00C43F9E"/>
    <w:rsid w:val="00C43FD4"/>
    <w:rsid w:val="00C44099"/>
    <w:rsid w:val="00C440ED"/>
    <w:rsid w:val="00C441FD"/>
    <w:rsid w:val="00C4425D"/>
    <w:rsid w:val="00C4439D"/>
    <w:rsid w:val="00C443CB"/>
    <w:rsid w:val="00C4442A"/>
    <w:rsid w:val="00C4453C"/>
    <w:rsid w:val="00C44568"/>
    <w:rsid w:val="00C445F8"/>
    <w:rsid w:val="00C44711"/>
    <w:rsid w:val="00C4471F"/>
    <w:rsid w:val="00C448D3"/>
    <w:rsid w:val="00C44AD3"/>
    <w:rsid w:val="00C44BB2"/>
    <w:rsid w:val="00C44C38"/>
    <w:rsid w:val="00C44D8E"/>
    <w:rsid w:val="00C44E31"/>
    <w:rsid w:val="00C44E6D"/>
    <w:rsid w:val="00C44E80"/>
    <w:rsid w:val="00C44ED5"/>
    <w:rsid w:val="00C44F4C"/>
    <w:rsid w:val="00C44F60"/>
    <w:rsid w:val="00C44F89"/>
    <w:rsid w:val="00C4502E"/>
    <w:rsid w:val="00C45068"/>
    <w:rsid w:val="00C45436"/>
    <w:rsid w:val="00C45453"/>
    <w:rsid w:val="00C455CE"/>
    <w:rsid w:val="00C4573A"/>
    <w:rsid w:val="00C457A9"/>
    <w:rsid w:val="00C45966"/>
    <w:rsid w:val="00C4599C"/>
    <w:rsid w:val="00C459E5"/>
    <w:rsid w:val="00C459EC"/>
    <w:rsid w:val="00C45A3F"/>
    <w:rsid w:val="00C45B1B"/>
    <w:rsid w:val="00C45B7F"/>
    <w:rsid w:val="00C45B8C"/>
    <w:rsid w:val="00C45BAC"/>
    <w:rsid w:val="00C45BCD"/>
    <w:rsid w:val="00C45E02"/>
    <w:rsid w:val="00C45EAB"/>
    <w:rsid w:val="00C45EE1"/>
    <w:rsid w:val="00C45F73"/>
    <w:rsid w:val="00C45FD4"/>
    <w:rsid w:val="00C460B4"/>
    <w:rsid w:val="00C462E0"/>
    <w:rsid w:val="00C463BB"/>
    <w:rsid w:val="00C463CF"/>
    <w:rsid w:val="00C466C2"/>
    <w:rsid w:val="00C4674B"/>
    <w:rsid w:val="00C46794"/>
    <w:rsid w:val="00C46C5A"/>
    <w:rsid w:val="00C46D90"/>
    <w:rsid w:val="00C46EA9"/>
    <w:rsid w:val="00C46F03"/>
    <w:rsid w:val="00C4704B"/>
    <w:rsid w:val="00C47081"/>
    <w:rsid w:val="00C4712E"/>
    <w:rsid w:val="00C472D0"/>
    <w:rsid w:val="00C47321"/>
    <w:rsid w:val="00C4732E"/>
    <w:rsid w:val="00C474F5"/>
    <w:rsid w:val="00C47550"/>
    <w:rsid w:val="00C47590"/>
    <w:rsid w:val="00C4763A"/>
    <w:rsid w:val="00C47829"/>
    <w:rsid w:val="00C478E2"/>
    <w:rsid w:val="00C47984"/>
    <w:rsid w:val="00C47AA7"/>
    <w:rsid w:val="00C47C28"/>
    <w:rsid w:val="00C47CD0"/>
    <w:rsid w:val="00C47CE1"/>
    <w:rsid w:val="00C47D40"/>
    <w:rsid w:val="00C47E41"/>
    <w:rsid w:val="00C47E58"/>
    <w:rsid w:val="00C47F40"/>
    <w:rsid w:val="00C5007A"/>
    <w:rsid w:val="00C50087"/>
    <w:rsid w:val="00C5017D"/>
    <w:rsid w:val="00C5018F"/>
    <w:rsid w:val="00C501EA"/>
    <w:rsid w:val="00C501F8"/>
    <w:rsid w:val="00C502F1"/>
    <w:rsid w:val="00C50364"/>
    <w:rsid w:val="00C50434"/>
    <w:rsid w:val="00C50447"/>
    <w:rsid w:val="00C505CC"/>
    <w:rsid w:val="00C506A0"/>
    <w:rsid w:val="00C50735"/>
    <w:rsid w:val="00C5078C"/>
    <w:rsid w:val="00C509CC"/>
    <w:rsid w:val="00C50A26"/>
    <w:rsid w:val="00C50C0F"/>
    <w:rsid w:val="00C50CA1"/>
    <w:rsid w:val="00C50CAF"/>
    <w:rsid w:val="00C50D9F"/>
    <w:rsid w:val="00C50DB1"/>
    <w:rsid w:val="00C51093"/>
    <w:rsid w:val="00C5122B"/>
    <w:rsid w:val="00C51355"/>
    <w:rsid w:val="00C513FC"/>
    <w:rsid w:val="00C51462"/>
    <w:rsid w:val="00C514DE"/>
    <w:rsid w:val="00C5152A"/>
    <w:rsid w:val="00C515D0"/>
    <w:rsid w:val="00C516DB"/>
    <w:rsid w:val="00C51787"/>
    <w:rsid w:val="00C51853"/>
    <w:rsid w:val="00C51871"/>
    <w:rsid w:val="00C5191D"/>
    <w:rsid w:val="00C519F4"/>
    <w:rsid w:val="00C51A96"/>
    <w:rsid w:val="00C51C3C"/>
    <w:rsid w:val="00C51D2C"/>
    <w:rsid w:val="00C51DA6"/>
    <w:rsid w:val="00C51DBD"/>
    <w:rsid w:val="00C51FA6"/>
    <w:rsid w:val="00C51FAE"/>
    <w:rsid w:val="00C520FF"/>
    <w:rsid w:val="00C52118"/>
    <w:rsid w:val="00C5213C"/>
    <w:rsid w:val="00C52157"/>
    <w:rsid w:val="00C5228B"/>
    <w:rsid w:val="00C52343"/>
    <w:rsid w:val="00C523D0"/>
    <w:rsid w:val="00C523EC"/>
    <w:rsid w:val="00C52415"/>
    <w:rsid w:val="00C52424"/>
    <w:rsid w:val="00C5261D"/>
    <w:rsid w:val="00C5268C"/>
    <w:rsid w:val="00C526C8"/>
    <w:rsid w:val="00C5278F"/>
    <w:rsid w:val="00C527BF"/>
    <w:rsid w:val="00C52882"/>
    <w:rsid w:val="00C52910"/>
    <w:rsid w:val="00C5291F"/>
    <w:rsid w:val="00C529FD"/>
    <w:rsid w:val="00C52A9D"/>
    <w:rsid w:val="00C52E4B"/>
    <w:rsid w:val="00C52F18"/>
    <w:rsid w:val="00C52F86"/>
    <w:rsid w:val="00C52F89"/>
    <w:rsid w:val="00C5300E"/>
    <w:rsid w:val="00C530C2"/>
    <w:rsid w:val="00C530C9"/>
    <w:rsid w:val="00C530E1"/>
    <w:rsid w:val="00C5329C"/>
    <w:rsid w:val="00C53343"/>
    <w:rsid w:val="00C533E9"/>
    <w:rsid w:val="00C5343A"/>
    <w:rsid w:val="00C53478"/>
    <w:rsid w:val="00C534BD"/>
    <w:rsid w:val="00C5353D"/>
    <w:rsid w:val="00C535BB"/>
    <w:rsid w:val="00C5363E"/>
    <w:rsid w:val="00C5386C"/>
    <w:rsid w:val="00C538B0"/>
    <w:rsid w:val="00C53908"/>
    <w:rsid w:val="00C539A7"/>
    <w:rsid w:val="00C539D1"/>
    <w:rsid w:val="00C539F3"/>
    <w:rsid w:val="00C53A94"/>
    <w:rsid w:val="00C53B1D"/>
    <w:rsid w:val="00C53D04"/>
    <w:rsid w:val="00C53D51"/>
    <w:rsid w:val="00C53DEE"/>
    <w:rsid w:val="00C53E15"/>
    <w:rsid w:val="00C53F06"/>
    <w:rsid w:val="00C53F1D"/>
    <w:rsid w:val="00C53F23"/>
    <w:rsid w:val="00C53F4B"/>
    <w:rsid w:val="00C5409D"/>
    <w:rsid w:val="00C540CF"/>
    <w:rsid w:val="00C541AC"/>
    <w:rsid w:val="00C541F8"/>
    <w:rsid w:val="00C54271"/>
    <w:rsid w:val="00C544D2"/>
    <w:rsid w:val="00C544E6"/>
    <w:rsid w:val="00C54512"/>
    <w:rsid w:val="00C54523"/>
    <w:rsid w:val="00C54586"/>
    <w:rsid w:val="00C5460B"/>
    <w:rsid w:val="00C54653"/>
    <w:rsid w:val="00C54872"/>
    <w:rsid w:val="00C54918"/>
    <w:rsid w:val="00C5491A"/>
    <w:rsid w:val="00C54A58"/>
    <w:rsid w:val="00C54A94"/>
    <w:rsid w:val="00C54CC1"/>
    <w:rsid w:val="00C54E4A"/>
    <w:rsid w:val="00C54E60"/>
    <w:rsid w:val="00C54EA3"/>
    <w:rsid w:val="00C54EF1"/>
    <w:rsid w:val="00C54EFF"/>
    <w:rsid w:val="00C54F68"/>
    <w:rsid w:val="00C54FCB"/>
    <w:rsid w:val="00C550AA"/>
    <w:rsid w:val="00C550C5"/>
    <w:rsid w:val="00C550E2"/>
    <w:rsid w:val="00C550F8"/>
    <w:rsid w:val="00C5513E"/>
    <w:rsid w:val="00C551F4"/>
    <w:rsid w:val="00C55235"/>
    <w:rsid w:val="00C55318"/>
    <w:rsid w:val="00C553C1"/>
    <w:rsid w:val="00C55504"/>
    <w:rsid w:val="00C55653"/>
    <w:rsid w:val="00C556CA"/>
    <w:rsid w:val="00C556F3"/>
    <w:rsid w:val="00C5584E"/>
    <w:rsid w:val="00C5585F"/>
    <w:rsid w:val="00C558B6"/>
    <w:rsid w:val="00C55900"/>
    <w:rsid w:val="00C559AE"/>
    <w:rsid w:val="00C55A82"/>
    <w:rsid w:val="00C55B8D"/>
    <w:rsid w:val="00C55BBF"/>
    <w:rsid w:val="00C55BD4"/>
    <w:rsid w:val="00C55C03"/>
    <w:rsid w:val="00C55D2C"/>
    <w:rsid w:val="00C55D72"/>
    <w:rsid w:val="00C55DBD"/>
    <w:rsid w:val="00C55E98"/>
    <w:rsid w:val="00C55F4B"/>
    <w:rsid w:val="00C56024"/>
    <w:rsid w:val="00C5607A"/>
    <w:rsid w:val="00C56216"/>
    <w:rsid w:val="00C562A5"/>
    <w:rsid w:val="00C562BB"/>
    <w:rsid w:val="00C562C0"/>
    <w:rsid w:val="00C563B1"/>
    <w:rsid w:val="00C563B9"/>
    <w:rsid w:val="00C56479"/>
    <w:rsid w:val="00C564E4"/>
    <w:rsid w:val="00C564E8"/>
    <w:rsid w:val="00C5651A"/>
    <w:rsid w:val="00C56598"/>
    <w:rsid w:val="00C5660C"/>
    <w:rsid w:val="00C56743"/>
    <w:rsid w:val="00C56878"/>
    <w:rsid w:val="00C568D8"/>
    <w:rsid w:val="00C56943"/>
    <w:rsid w:val="00C5698B"/>
    <w:rsid w:val="00C56AEF"/>
    <w:rsid w:val="00C56B53"/>
    <w:rsid w:val="00C56B71"/>
    <w:rsid w:val="00C56BA0"/>
    <w:rsid w:val="00C56D19"/>
    <w:rsid w:val="00C56D25"/>
    <w:rsid w:val="00C56D2B"/>
    <w:rsid w:val="00C56D35"/>
    <w:rsid w:val="00C56E1E"/>
    <w:rsid w:val="00C56E30"/>
    <w:rsid w:val="00C56E8F"/>
    <w:rsid w:val="00C56E91"/>
    <w:rsid w:val="00C56E94"/>
    <w:rsid w:val="00C56F3C"/>
    <w:rsid w:val="00C57023"/>
    <w:rsid w:val="00C5706E"/>
    <w:rsid w:val="00C5711B"/>
    <w:rsid w:val="00C57151"/>
    <w:rsid w:val="00C57218"/>
    <w:rsid w:val="00C5725F"/>
    <w:rsid w:val="00C572F8"/>
    <w:rsid w:val="00C5753E"/>
    <w:rsid w:val="00C575E7"/>
    <w:rsid w:val="00C57601"/>
    <w:rsid w:val="00C57744"/>
    <w:rsid w:val="00C577E5"/>
    <w:rsid w:val="00C5792C"/>
    <w:rsid w:val="00C57945"/>
    <w:rsid w:val="00C5794A"/>
    <w:rsid w:val="00C57964"/>
    <w:rsid w:val="00C57A08"/>
    <w:rsid w:val="00C57A56"/>
    <w:rsid w:val="00C57AC5"/>
    <w:rsid w:val="00C57AEC"/>
    <w:rsid w:val="00C57BAF"/>
    <w:rsid w:val="00C57C0F"/>
    <w:rsid w:val="00C57EEB"/>
    <w:rsid w:val="00C57FDA"/>
    <w:rsid w:val="00C57FDB"/>
    <w:rsid w:val="00C600F8"/>
    <w:rsid w:val="00C6025D"/>
    <w:rsid w:val="00C60388"/>
    <w:rsid w:val="00C60565"/>
    <w:rsid w:val="00C6056A"/>
    <w:rsid w:val="00C605B5"/>
    <w:rsid w:val="00C60611"/>
    <w:rsid w:val="00C60648"/>
    <w:rsid w:val="00C607B4"/>
    <w:rsid w:val="00C607BD"/>
    <w:rsid w:val="00C60810"/>
    <w:rsid w:val="00C60817"/>
    <w:rsid w:val="00C60A25"/>
    <w:rsid w:val="00C60A59"/>
    <w:rsid w:val="00C60AE1"/>
    <w:rsid w:val="00C60B73"/>
    <w:rsid w:val="00C60BD2"/>
    <w:rsid w:val="00C60EFB"/>
    <w:rsid w:val="00C60F0D"/>
    <w:rsid w:val="00C60F8E"/>
    <w:rsid w:val="00C60F9D"/>
    <w:rsid w:val="00C60FC0"/>
    <w:rsid w:val="00C613A9"/>
    <w:rsid w:val="00C615CB"/>
    <w:rsid w:val="00C61685"/>
    <w:rsid w:val="00C616CE"/>
    <w:rsid w:val="00C61864"/>
    <w:rsid w:val="00C61876"/>
    <w:rsid w:val="00C61895"/>
    <w:rsid w:val="00C619CC"/>
    <w:rsid w:val="00C61A60"/>
    <w:rsid w:val="00C61AC6"/>
    <w:rsid w:val="00C61B08"/>
    <w:rsid w:val="00C61B48"/>
    <w:rsid w:val="00C61BBC"/>
    <w:rsid w:val="00C61CB4"/>
    <w:rsid w:val="00C61EC6"/>
    <w:rsid w:val="00C61F93"/>
    <w:rsid w:val="00C62129"/>
    <w:rsid w:val="00C623C9"/>
    <w:rsid w:val="00C6241D"/>
    <w:rsid w:val="00C6245E"/>
    <w:rsid w:val="00C624C7"/>
    <w:rsid w:val="00C62560"/>
    <w:rsid w:val="00C62650"/>
    <w:rsid w:val="00C62661"/>
    <w:rsid w:val="00C62738"/>
    <w:rsid w:val="00C627B1"/>
    <w:rsid w:val="00C628C3"/>
    <w:rsid w:val="00C62949"/>
    <w:rsid w:val="00C62A3E"/>
    <w:rsid w:val="00C62A46"/>
    <w:rsid w:val="00C62B1F"/>
    <w:rsid w:val="00C62B43"/>
    <w:rsid w:val="00C62BAB"/>
    <w:rsid w:val="00C62BB7"/>
    <w:rsid w:val="00C62C3C"/>
    <w:rsid w:val="00C62C45"/>
    <w:rsid w:val="00C62CE0"/>
    <w:rsid w:val="00C62E7F"/>
    <w:rsid w:val="00C62EED"/>
    <w:rsid w:val="00C62FF2"/>
    <w:rsid w:val="00C6307A"/>
    <w:rsid w:val="00C630D4"/>
    <w:rsid w:val="00C63284"/>
    <w:rsid w:val="00C63364"/>
    <w:rsid w:val="00C6348E"/>
    <w:rsid w:val="00C634CC"/>
    <w:rsid w:val="00C635FC"/>
    <w:rsid w:val="00C63721"/>
    <w:rsid w:val="00C63774"/>
    <w:rsid w:val="00C63799"/>
    <w:rsid w:val="00C638A7"/>
    <w:rsid w:val="00C638BC"/>
    <w:rsid w:val="00C638CF"/>
    <w:rsid w:val="00C6398A"/>
    <w:rsid w:val="00C639FD"/>
    <w:rsid w:val="00C63A04"/>
    <w:rsid w:val="00C63A3A"/>
    <w:rsid w:val="00C63B1F"/>
    <w:rsid w:val="00C63DAB"/>
    <w:rsid w:val="00C63E4F"/>
    <w:rsid w:val="00C63EC1"/>
    <w:rsid w:val="00C640F8"/>
    <w:rsid w:val="00C64123"/>
    <w:rsid w:val="00C641F3"/>
    <w:rsid w:val="00C64269"/>
    <w:rsid w:val="00C645BB"/>
    <w:rsid w:val="00C6460E"/>
    <w:rsid w:val="00C64635"/>
    <w:rsid w:val="00C64704"/>
    <w:rsid w:val="00C6475B"/>
    <w:rsid w:val="00C64836"/>
    <w:rsid w:val="00C64865"/>
    <w:rsid w:val="00C649FF"/>
    <w:rsid w:val="00C64A79"/>
    <w:rsid w:val="00C64AFB"/>
    <w:rsid w:val="00C64B5F"/>
    <w:rsid w:val="00C64B6F"/>
    <w:rsid w:val="00C64BDC"/>
    <w:rsid w:val="00C64D2C"/>
    <w:rsid w:val="00C64D94"/>
    <w:rsid w:val="00C64DF3"/>
    <w:rsid w:val="00C64EDD"/>
    <w:rsid w:val="00C64F7E"/>
    <w:rsid w:val="00C64F98"/>
    <w:rsid w:val="00C6508A"/>
    <w:rsid w:val="00C65188"/>
    <w:rsid w:val="00C65199"/>
    <w:rsid w:val="00C652F9"/>
    <w:rsid w:val="00C652FF"/>
    <w:rsid w:val="00C65437"/>
    <w:rsid w:val="00C654B1"/>
    <w:rsid w:val="00C655F6"/>
    <w:rsid w:val="00C65633"/>
    <w:rsid w:val="00C656AE"/>
    <w:rsid w:val="00C6575B"/>
    <w:rsid w:val="00C657A9"/>
    <w:rsid w:val="00C657B9"/>
    <w:rsid w:val="00C657DA"/>
    <w:rsid w:val="00C65807"/>
    <w:rsid w:val="00C658AC"/>
    <w:rsid w:val="00C65CA4"/>
    <w:rsid w:val="00C65D9B"/>
    <w:rsid w:val="00C65EC8"/>
    <w:rsid w:val="00C65F02"/>
    <w:rsid w:val="00C66048"/>
    <w:rsid w:val="00C661B8"/>
    <w:rsid w:val="00C66252"/>
    <w:rsid w:val="00C662DA"/>
    <w:rsid w:val="00C6636F"/>
    <w:rsid w:val="00C66374"/>
    <w:rsid w:val="00C663B8"/>
    <w:rsid w:val="00C663D0"/>
    <w:rsid w:val="00C66478"/>
    <w:rsid w:val="00C66541"/>
    <w:rsid w:val="00C6658A"/>
    <w:rsid w:val="00C66694"/>
    <w:rsid w:val="00C667B5"/>
    <w:rsid w:val="00C66907"/>
    <w:rsid w:val="00C66A62"/>
    <w:rsid w:val="00C66B1B"/>
    <w:rsid w:val="00C66B6C"/>
    <w:rsid w:val="00C66C4D"/>
    <w:rsid w:val="00C66C81"/>
    <w:rsid w:val="00C66D1F"/>
    <w:rsid w:val="00C66D60"/>
    <w:rsid w:val="00C66EE4"/>
    <w:rsid w:val="00C66EFD"/>
    <w:rsid w:val="00C66FB3"/>
    <w:rsid w:val="00C6713D"/>
    <w:rsid w:val="00C671DA"/>
    <w:rsid w:val="00C6728C"/>
    <w:rsid w:val="00C67342"/>
    <w:rsid w:val="00C67405"/>
    <w:rsid w:val="00C6741D"/>
    <w:rsid w:val="00C6761F"/>
    <w:rsid w:val="00C67779"/>
    <w:rsid w:val="00C678FC"/>
    <w:rsid w:val="00C679F3"/>
    <w:rsid w:val="00C67A5A"/>
    <w:rsid w:val="00C67B5D"/>
    <w:rsid w:val="00C67BB7"/>
    <w:rsid w:val="00C67DBF"/>
    <w:rsid w:val="00C67E7D"/>
    <w:rsid w:val="00C67FEF"/>
    <w:rsid w:val="00C7013C"/>
    <w:rsid w:val="00C7015F"/>
    <w:rsid w:val="00C701E1"/>
    <w:rsid w:val="00C702A1"/>
    <w:rsid w:val="00C702C7"/>
    <w:rsid w:val="00C70437"/>
    <w:rsid w:val="00C7062A"/>
    <w:rsid w:val="00C706ED"/>
    <w:rsid w:val="00C70795"/>
    <w:rsid w:val="00C707EC"/>
    <w:rsid w:val="00C70897"/>
    <w:rsid w:val="00C708A9"/>
    <w:rsid w:val="00C70A9C"/>
    <w:rsid w:val="00C70AC3"/>
    <w:rsid w:val="00C70ACE"/>
    <w:rsid w:val="00C70B43"/>
    <w:rsid w:val="00C70D3A"/>
    <w:rsid w:val="00C70D4E"/>
    <w:rsid w:val="00C70E84"/>
    <w:rsid w:val="00C7115A"/>
    <w:rsid w:val="00C71207"/>
    <w:rsid w:val="00C71296"/>
    <w:rsid w:val="00C7132B"/>
    <w:rsid w:val="00C7137D"/>
    <w:rsid w:val="00C713FC"/>
    <w:rsid w:val="00C7155A"/>
    <w:rsid w:val="00C7159A"/>
    <w:rsid w:val="00C71610"/>
    <w:rsid w:val="00C7172E"/>
    <w:rsid w:val="00C71744"/>
    <w:rsid w:val="00C7188A"/>
    <w:rsid w:val="00C718C9"/>
    <w:rsid w:val="00C718FC"/>
    <w:rsid w:val="00C719D5"/>
    <w:rsid w:val="00C71D32"/>
    <w:rsid w:val="00C71D59"/>
    <w:rsid w:val="00C71D71"/>
    <w:rsid w:val="00C71DF4"/>
    <w:rsid w:val="00C71E73"/>
    <w:rsid w:val="00C71F3C"/>
    <w:rsid w:val="00C71FB4"/>
    <w:rsid w:val="00C7210C"/>
    <w:rsid w:val="00C724B6"/>
    <w:rsid w:val="00C724E3"/>
    <w:rsid w:val="00C725B3"/>
    <w:rsid w:val="00C725B6"/>
    <w:rsid w:val="00C72791"/>
    <w:rsid w:val="00C72830"/>
    <w:rsid w:val="00C728CD"/>
    <w:rsid w:val="00C72947"/>
    <w:rsid w:val="00C72960"/>
    <w:rsid w:val="00C729B9"/>
    <w:rsid w:val="00C72B4F"/>
    <w:rsid w:val="00C72CE3"/>
    <w:rsid w:val="00C72F33"/>
    <w:rsid w:val="00C72F6E"/>
    <w:rsid w:val="00C7301B"/>
    <w:rsid w:val="00C730DC"/>
    <w:rsid w:val="00C73341"/>
    <w:rsid w:val="00C7344A"/>
    <w:rsid w:val="00C73488"/>
    <w:rsid w:val="00C734BA"/>
    <w:rsid w:val="00C734F2"/>
    <w:rsid w:val="00C7350D"/>
    <w:rsid w:val="00C73528"/>
    <w:rsid w:val="00C73729"/>
    <w:rsid w:val="00C737AF"/>
    <w:rsid w:val="00C73922"/>
    <w:rsid w:val="00C73AB0"/>
    <w:rsid w:val="00C73B55"/>
    <w:rsid w:val="00C73BE7"/>
    <w:rsid w:val="00C73C31"/>
    <w:rsid w:val="00C73D46"/>
    <w:rsid w:val="00C73DBD"/>
    <w:rsid w:val="00C73DE7"/>
    <w:rsid w:val="00C73F61"/>
    <w:rsid w:val="00C741AE"/>
    <w:rsid w:val="00C7429C"/>
    <w:rsid w:val="00C742B7"/>
    <w:rsid w:val="00C7445C"/>
    <w:rsid w:val="00C744F1"/>
    <w:rsid w:val="00C745A8"/>
    <w:rsid w:val="00C745BD"/>
    <w:rsid w:val="00C74738"/>
    <w:rsid w:val="00C7473C"/>
    <w:rsid w:val="00C74793"/>
    <w:rsid w:val="00C747B8"/>
    <w:rsid w:val="00C748C1"/>
    <w:rsid w:val="00C748E7"/>
    <w:rsid w:val="00C7493D"/>
    <w:rsid w:val="00C74A37"/>
    <w:rsid w:val="00C74A60"/>
    <w:rsid w:val="00C74A80"/>
    <w:rsid w:val="00C74A8C"/>
    <w:rsid w:val="00C74B4A"/>
    <w:rsid w:val="00C74C88"/>
    <w:rsid w:val="00C74CF4"/>
    <w:rsid w:val="00C74D00"/>
    <w:rsid w:val="00C74D15"/>
    <w:rsid w:val="00C74D2C"/>
    <w:rsid w:val="00C74F9A"/>
    <w:rsid w:val="00C74FDB"/>
    <w:rsid w:val="00C74FE2"/>
    <w:rsid w:val="00C7502E"/>
    <w:rsid w:val="00C75041"/>
    <w:rsid w:val="00C75081"/>
    <w:rsid w:val="00C75149"/>
    <w:rsid w:val="00C751DA"/>
    <w:rsid w:val="00C75205"/>
    <w:rsid w:val="00C752AA"/>
    <w:rsid w:val="00C7531D"/>
    <w:rsid w:val="00C75340"/>
    <w:rsid w:val="00C75374"/>
    <w:rsid w:val="00C7537F"/>
    <w:rsid w:val="00C75424"/>
    <w:rsid w:val="00C754A7"/>
    <w:rsid w:val="00C754F3"/>
    <w:rsid w:val="00C75692"/>
    <w:rsid w:val="00C756A5"/>
    <w:rsid w:val="00C759C8"/>
    <w:rsid w:val="00C759D3"/>
    <w:rsid w:val="00C75B5A"/>
    <w:rsid w:val="00C75BBF"/>
    <w:rsid w:val="00C75CC7"/>
    <w:rsid w:val="00C75FAF"/>
    <w:rsid w:val="00C760FB"/>
    <w:rsid w:val="00C76135"/>
    <w:rsid w:val="00C761FF"/>
    <w:rsid w:val="00C762AD"/>
    <w:rsid w:val="00C762EB"/>
    <w:rsid w:val="00C763DD"/>
    <w:rsid w:val="00C7647E"/>
    <w:rsid w:val="00C764FA"/>
    <w:rsid w:val="00C76566"/>
    <w:rsid w:val="00C7657D"/>
    <w:rsid w:val="00C766F9"/>
    <w:rsid w:val="00C76783"/>
    <w:rsid w:val="00C76785"/>
    <w:rsid w:val="00C7683E"/>
    <w:rsid w:val="00C768DE"/>
    <w:rsid w:val="00C7696D"/>
    <w:rsid w:val="00C76A85"/>
    <w:rsid w:val="00C76AAE"/>
    <w:rsid w:val="00C76AD9"/>
    <w:rsid w:val="00C76B0C"/>
    <w:rsid w:val="00C76B1F"/>
    <w:rsid w:val="00C76D66"/>
    <w:rsid w:val="00C76D8E"/>
    <w:rsid w:val="00C76E05"/>
    <w:rsid w:val="00C76E50"/>
    <w:rsid w:val="00C76EC3"/>
    <w:rsid w:val="00C76F8F"/>
    <w:rsid w:val="00C76FB5"/>
    <w:rsid w:val="00C770BA"/>
    <w:rsid w:val="00C772BE"/>
    <w:rsid w:val="00C774D7"/>
    <w:rsid w:val="00C77641"/>
    <w:rsid w:val="00C776E0"/>
    <w:rsid w:val="00C777C5"/>
    <w:rsid w:val="00C777F9"/>
    <w:rsid w:val="00C778D8"/>
    <w:rsid w:val="00C77979"/>
    <w:rsid w:val="00C77AED"/>
    <w:rsid w:val="00C77DEB"/>
    <w:rsid w:val="00C77EA4"/>
    <w:rsid w:val="00C800E4"/>
    <w:rsid w:val="00C801A9"/>
    <w:rsid w:val="00C803EC"/>
    <w:rsid w:val="00C8052F"/>
    <w:rsid w:val="00C80598"/>
    <w:rsid w:val="00C805B5"/>
    <w:rsid w:val="00C805DC"/>
    <w:rsid w:val="00C80626"/>
    <w:rsid w:val="00C80627"/>
    <w:rsid w:val="00C80679"/>
    <w:rsid w:val="00C806CC"/>
    <w:rsid w:val="00C808E4"/>
    <w:rsid w:val="00C8095F"/>
    <w:rsid w:val="00C809F7"/>
    <w:rsid w:val="00C80AE5"/>
    <w:rsid w:val="00C80B65"/>
    <w:rsid w:val="00C80BD4"/>
    <w:rsid w:val="00C80CA1"/>
    <w:rsid w:val="00C80CDA"/>
    <w:rsid w:val="00C80D6D"/>
    <w:rsid w:val="00C80DA9"/>
    <w:rsid w:val="00C80E9C"/>
    <w:rsid w:val="00C80F2C"/>
    <w:rsid w:val="00C81037"/>
    <w:rsid w:val="00C8106B"/>
    <w:rsid w:val="00C8108C"/>
    <w:rsid w:val="00C81104"/>
    <w:rsid w:val="00C81117"/>
    <w:rsid w:val="00C8111B"/>
    <w:rsid w:val="00C8118C"/>
    <w:rsid w:val="00C8124B"/>
    <w:rsid w:val="00C81358"/>
    <w:rsid w:val="00C814D0"/>
    <w:rsid w:val="00C81522"/>
    <w:rsid w:val="00C8161F"/>
    <w:rsid w:val="00C817E6"/>
    <w:rsid w:val="00C817FE"/>
    <w:rsid w:val="00C81833"/>
    <w:rsid w:val="00C81845"/>
    <w:rsid w:val="00C8198A"/>
    <w:rsid w:val="00C819B1"/>
    <w:rsid w:val="00C81B21"/>
    <w:rsid w:val="00C81E50"/>
    <w:rsid w:val="00C81EA4"/>
    <w:rsid w:val="00C82027"/>
    <w:rsid w:val="00C82074"/>
    <w:rsid w:val="00C8210C"/>
    <w:rsid w:val="00C82139"/>
    <w:rsid w:val="00C8214C"/>
    <w:rsid w:val="00C82208"/>
    <w:rsid w:val="00C82316"/>
    <w:rsid w:val="00C82335"/>
    <w:rsid w:val="00C8235F"/>
    <w:rsid w:val="00C823E4"/>
    <w:rsid w:val="00C824B1"/>
    <w:rsid w:val="00C8254E"/>
    <w:rsid w:val="00C8258D"/>
    <w:rsid w:val="00C8269D"/>
    <w:rsid w:val="00C826FA"/>
    <w:rsid w:val="00C827DA"/>
    <w:rsid w:val="00C828CF"/>
    <w:rsid w:val="00C8297B"/>
    <w:rsid w:val="00C82B68"/>
    <w:rsid w:val="00C82C24"/>
    <w:rsid w:val="00C82D41"/>
    <w:rsid w:val="00C82DB6"/>
    <w:rsid w:val="00C82E5F"/>
    <w:rsid w:val="00C82E82"/>
    <w:rsid w:val="00C82FA3"/>
    <w:rsid w:val="00C8317B"/>
    <w:rsid w:val="00C83231"/>
    <w:rsid w:val="00C8337D"/>
    <w:rsid w:val="00C833B9"/>
    <w:rsid w:val="00C83573"/>
    <w:rsid w:val="00C835D5"/>
    <w:rsid w:val="00C83922"/>
    <w:rsid w:val="00C83929"/>
    <w:rsid w:val="00C83947"/>
    <w:rsid w:val="00C83A5F"/>
    <w:rsid w:val="00C83BB0"/>
    <w:rsid w:val="00C83BD6"/>
    <w:rsid w:val="00C83BDF"/>
    <w:rsid w:val="00C83C86"/>
    <w:rsid w:val="00C83D1B"/>
    <w:rsid w:val="00C83DD3"/>
    <w:rsid w:val="00C83E36"/>
    <w:rsid w:val="00C83E9B"/>
    <w:rsid w:val="00C83F35"/>
    <w:rsid w:val="00C840DD"/>
    <w:rsid w:val="00C843DB"/>
    <w:rsid w:val="00C84402"/>
    <w:rsid w:val="00C84484"/>
    <w:rsid w:val="00C844CD"/>
    <w:rsid w:val="00C84572"/>
    <w:rsid w:val="00C8469C"/>
    <w:rsid w:val="00C84821"/>
    <w:rsid w:val="00C84825"/>
    <w:rsid w:val="00C8488B"/>
    <w:rsid w:val="00C848E8"/>
    <w:rsid w:val="00C8494D"/>
    <w:rsid w:val="00C84A1F"/>
    <w:rsid w:val="00C84B2F"/>
    <w:rsid w:val="00C84B6D"/>
    <w:rsid w:val="00C84BFC"/>
    <w:rsid w:val="00C84C7B"/>
    <w:rsid w:val="00C84CA8"/>
    <w:rsid w:val="00C84D17"/>
    <w:rsid w:val="00C84F9D"/>
    <w:rsid w:val="00C85053"/>
    <w:rsid w:val="00C85055"/>
    <w:rsid w:val="00C85085"/>
    <w:rsid w:val="00C850FB"/>
    <w:rsid w:val="00C8513D"/>
    <w:rsid w:val="00C851FB"/>
    <w:rsid w:val="00C8521B"/>
    <w:rsid w:val="00C85478"/>
    <w:rsid w:val="00C854E1"/>
    <w:rsid w:val="00C854FE"/>
    <w:rsid w:val="00C8550B"/>
    <w:rsid w:val="00C85539"/>
    <w:rsid w:val="00C85683"/>
    <w:rsid w:val="00C856AF"/>
    <w:rsid w:val="00C85871"/>
    <w:rsid w:val="00C85947"/>
    <w:rsid w:val="00C85948"/>
    <w:rsid w:val="00C85972"/>
    <w:rsid w:val="00C85980"/>
    <w:rsid w:val="00C85BE7"/>
    <w:rsid w:val="00C85D48"/>
    <w:rsid w:val="00C85D79"/>
    <w:rsid w:val="00C85D8D"/>
    <w:rsid w:val="00C85DFE"/>
    <w:rsid w:val="00C85FA6"/>
    <w:rsid w:val="00C8605D"/>
    <w:rsid w:val="00C8605E"/>
    <w:rsid w:val="00C861FD"/>
    <w:rsid w:val="00C8626A"/>
    <w:rsid w:val="00C8626C"/>
    <w:rsid w:val="00C862F5"/>
    <w:rsid w:val="00C864FE"/>
    <w:rsid w:val="00C86572"/>
    <w:rsid w:val="00C86740"/>
    <w:rsid w:val="00C8680C"/>
    <w:rsid w:val="00C86856"/>
    <w:rsid w:val="00C86869"/>
    <w:rsid w:val="00C869AE"/>
    <w:rsid w:val="00C86A13"/>
    <w:rsid w:val="00C86A9F"/>
    <w:rsid w:val="00C86B10"/>
    <w:rsid w:val="00C86C04"/>
    <w:rsid w:val="00C86DB3"/>
    <w:rsid w:val="00C86F5E"/>
    <w:rsid w:val="00C86F8D"/>
    <w:rsid w:val="00C86F97"/>
    <w:rsid w:val="00C86FF6"/>
    <w:rsid w:val="00C8703B"/>
    <w:rsid w:val="00C870FF"/>
    <w:rsid w:val="00C87102"/>
    <w:rsid w:val="00C8711F"/>
    <w:rsid w:val="00C87188"/>
    <w:rsid w:val="00C871A2"/>
    <w:rsid w:val="00C87249"/>
    <w:rsid w:val="00C8731E"/>
    <w:rsid w:val="00C8737E"/>
    <w:rsid w:val="00C873E9"/>
    <w:rsid w:val="00C87484"/>
    <w:rsid w:val="00C875AC"/>
    <w:rsid w:val="00C87663"/>
    <w:rsid w:val="00C87687"/>
    <w:rsid w:val="00C87804"/>
    <w:rsid w:val="00C879D6"/>
    <w:rsid w:val="00C87AC7"/>
    <w:rsid w:val="00C87ACF"/>
    <w:rsid w:val="00C87D28"/>
    <w:rsid w:val="00C90001"/>
    <w:rsid w:val="00C90099"/>
    <w:rsid w:val="00C900E6"/>
    <w:rsid w:val="00C9016F"/>
    <w:rsid w:val="00C9017C"/>
    <w:rsid w:val="00C90272"/>
    <w:rsid w:val="00C9034C"/>
    <w:rsid w:val="00C903C0"/>
    <w:rsid w:val="00C9042F"/>
    <w:rsid w:val="00C90573"/>
    <w:rsid w:val="00C90593"/>
    <w:rsid w:val="00C905AF"/>
    <w:rsid w:val="00C905ED"/>
    <w:rsid w:val="00C90676"/>
    <w:rsid w:val="00C906C7"/>
    <w:rsid w:val="00C9091E"/>
    <w:rsid w:val="00C90A3A"/>
    <w:rsid w:val="00C90A42"/>
    <w:rsid w:val="00C90DD3"/>
    <w:rsid w:val="00C90ECC"/>
    <w:rsid w:val="00C90EED"/>
    <w:rsid w:val="00C90F49"/>
    <w:rsid w:val="00C9105F"/>
    <w:rsid w:val="00C91082"/>
    <w:rsid w:val="00C91222"/>
    <w:rsid w:val="00C91278"/>
    <w:rsid w:val="00C915E0"/>
    <w:rsid w:val="00C915EB"/>
    <w:rsid w:val="00C91674"/>
    <w:rsid w:val="00C918CF"/>
    <w:rsid w:val="00C91963"/>
    <w:rsid w:val="00C91AF9"/>
    <w:rsid w:val="00C91B3C"/>
    <w:rsid w:val="00C91BA1"/>
    <w:rsid w:val="00C91BB4"/>
    <w:rsid w:val="00C91BB9"/>
    <w:rsid w:val="00C91BF4"/>
    <w:rsid w:val="00C91E86"/>
    <w:rsid w:val="00C91FA7"/>
    <w:rsid w:val="00C92068"/>
    <w:rsid w:val="00C921B6"/>
    <w:rsid w:val="00C921FD"/>
    <w:rsid w:val="00C9223B"/>
    <w:rsid w:val="00C92347"/>
    <w:rsid w:val="00C9237D"/>
    <w:rsid w:val="00C92384"/>
    <w:rsid w:val="00C92399"/>
    <w:rsid w:val="00C92471"/>
    <w:rsid w:val="00C92530"/>
    <w:rsid w:val="00C92537"/>
    <w:rsid w:val="00C9256E"/>
    <w:rsid w:val="00C92590"/>
    <w:rsid w:val="00C928DE"/>
    <w:rsid w:val="00C92A29"/>
    <w:rsid w:val="00C92A83"/>
    <w:rsid w:val="00C92AB8"/>
    <w:rsid w:val="00C92B41"/>
    <w:rsid w:val="00C92B71"/>
    <w:rsid w:val="00C92C93"/>
    <w:rsid w:val="00C92FFF"/>
    <w:rsid w:val="00C931E8"/>
    <w:rsid w:val="00C9321E"/>
    <w:rsid w:val="00C93250"/>
    <w:rsid w:val="00C93258"/>
    <w:rsid w:val="00C933BC"/>
    <w:rsid w:val="00C93620"/>
    <w:rsid w:val="00C9375A"/>
    <w:rsid w:val="00C9377F"/>
    <w:rsid w:val="00C937AC"/>
    <w:rsid w:val="00C937CC"/>
    <w:rsid w:val="00C93988"/>
    <w:rsid w:val="00C93A05"/>
    <w:rsid w:val="00C93AF6"/>
    <w:rsid w:val="00C93B06"/>
    <w:rsid w:val="00C93BB9"/>
    <w:rsid w:val="00C93C74"/>
    <w:rsid w:val="00C93CD2"/>
    <w:rsid w:val="00C93D3A"/>
    <w:rsid w:val="00C93DF7"/>
    <w:rsid w:val="00C93EB3"/>
    <w:rsid w:val="00C93EBC"/>
    <w:rsid w:val="00C93F09"/>
    <w:rsid w:val="00C9407B"/>
    <w:rsid w:val="00C941C1"/>
    <w:rsid w:val="00C941E6"/>
    <w:rsid w:val="00C9422D"/>
    <w:rsid w:val="00C94457"/>
    <w:rsid w:val="00C9453A"/>
    <w:rsid w:val="00C94623"/>
    <w:rsid w:val="00C94645"/>
    <w:rsid w:val="00C94766"/>
    <w:rsid w:val="00C9485A"/>
    <w:rsid w:val="00C9487C"/>
    <w:rsid w:val="00C94899"/>
    <w:rsid w:val="00C949D4"/>
    <w:rsid w:val="00C94A03"/>
    <w:rsid w:val="00C94A40"/>
    <w:rsid w:val="00C94B7C"/>
    <w:rsid w:val="00C94B9A"/>
    <w:rsid w:val="00C94CBC"/>
    <w:rsid w:val="00C94D01"/>
    <w:rsid w:val="00C94E0F"/>
    <w:rsid w:val="00C94E72"/>
    <w:rsid w:val="00C94EB5"/>
    <w:rsid w:val="00C95028"/>
    <w:rsid w:val="00C952B4"/>
    <w:rsid w:val="00C9531C"/>
    <w:rsid w:val="00C95433"/>
    <w:rsid w:val="00C95434"/>
    <w:rsid w:val="00C954E2"/>
    <w:rsid w:val="00C9553C"/>
    <w:rsid w:val="00C95699"/>
    <w:rsid w:val="00C95770"/>
    <w:rsid w:val="00C957F3"/>
    <w:rsid w:val="00C95917"/>
    <w:rsid w:val="00C95919"/>
    <w:rsid w:val="00C95932"/>
    <w:rsid w:val="00C959BA"/>
    <w:rsid w:val="00C95A31"/>
    <w:rsid w:val="00C95C0D"/>
    <w:rsid w:val="00C95CA9"/>
    <w:rsid w:val="00C95D88"/>
    <w:rsid w:val="00C95D8C"/>
    <w:rsid w:val="00C95E58"/>
    <w:rsid w:val="00C95E93"/>
    <w:rsid w:val="00C9602B"/>
    <w:rsid w:val="00C960AF"/>
    <w:rsid w:val="00C960B8"/>
    <w:rsid w:val="00C9621B"/>
    <w:rsid w:val="00C962C8"/>
    <w:rsid w:val="00C96314"/>
    <w:rsid w:val="00C96323"/>
    <w:rsid w:val="00C9634E"/>
    <w:rsid w:val="00C96358"/>
    <w:rsid w:val="00C96381"/>
    <w:rsid w:val="00C9640D"/>
    <w:rsid w:val="00C965B5"/>
    <w:rsid w:val="00C96636"/>
    <w:rsid w:val="00C96679"/>
    <w:rsid w:val="00C966AE"/>
    <w:rsid w:val="00C966D3"/>
    <w:rsid w:val="00C96990"/>
    <w:rsid w:val="00C969D0"/>
    <w:rsid w:val="00C96AED"/>
    <w:rsid w:val="00C96AF2"/>
    <w:rsid w:val="00C96B6F"/>
    <w:rsid w:val="00C96C63"/>
    <w:rsid w:val="00C96C6F"/>
    <w:rsid w:val="00C96CCE"/>
    <w:rsid w:val="00C96CF7"/>
    <w:rsid w:val="00C96D8D"/>
    <w:rsid w:val="00C96E1C"/>
    <w:rsid w:val="00C96E80"/>
    <w:rsid w:val="00C97145"/>
    <w:rsid w:val="00C972A7"/>
    <w:rsid w:val="00C97336"/>
    <w:rsid w:val="00C9751D"/>
    <w:rsid w:val="00C976EA"/>
    <w:rsid w:val="00C978EA"/>
    <w:rsid w:val="00C979E8"/>
    <w:rsid w:val="00C97A27"/>
    <w:rsid w:val="00C97B01"/>
    <w:rsid w:val="00C97DDF"/>
    <w:rsid w:val="00C97ECB"/>
    <w:rsid w:val="00C97EF4"/>
    <w:rsid w:val="00C97F07"/>
    <w:rsid w:val="00C97F43"/>
    <w:rsid w:val="00C97FCB"/>
    <w:rsid w:val="00CA000F"/>
    <w:rsid w:val="00CA00A1"/>
    <w:rsid w:val="00CA00A6"/>
    <w:rsid w:val="00CA0175"/>
    <w:rsid w:val="00CA01F0"/>
    <w:rsid w:val="00CA0209"/>
    <w:rsid w:val="00CA030B"/>
    <w:rsid w:val="00CA0321"/>
    <w:rsid w:val="00CA0385"/>
    <w:rsid w:val="00CA0422"/>
    <w:rsid w:val="00CA0487"/>
    <w:rsid w:val="00CA0540"/>
    <w:rsid w:val="00CA0569"/>
    <w:rsid w:val="00CA058D"/>
    <w:rsid w:val="00CA05E2"/>
    <w:rsid w:val="00CA06A8"/>
    <w:rsid w:val="00CA0756"/>
    <w:rsid w:val="00CA0775"/>
    <w:rsid w:val="00CA0776"/>
    <w:rsid w:val="00CA09FA"/>
    <w:rsid w:val="00CA0A18"/>
    <w:rsid w:val="00CA0BB3"/>
    <w:rsid w:val="00CA0BEE"/>
    <w:rsid w:val="00CA0C0E"/>
    <w:rsid w:val="00CA0D5B"/>
    <w:rsid w:val="00CA0E11"/>
    <w:rsid w:val="00CA0E49"/>
    <w:rsid w:val="00CA0F41"/>
    <w:rsid w:val="00CA0F9D"/>
    <w:rsid w:val="00CA107C"/>
    <w:rsid w:val="00CA10B1"/>
    <w:rsid w:val="00CA119A"/>
    <w:rsid w:val="00CA11A6"/>
    <w:rsid w:val="00CA13FB"/>
    <w:rsid w:val="00CA15C4"/>
    <w:rsid w:val="00CA163B"/>
    <w:rsid w:val="00CA1721"/>
    <w:rsid w:val="00CA172A"/>
    <w:rsid w:val="00CA17BB"/>
    <w:rsid w:val="00CA17E0"/>
    <w:rsid w:val="00CA18CB"/>
    <w:rsid w:val="00CA19ED"/>
    <w:rsid w:val="00CA1A0F"/>
    <w:rsid w:val="00CA1B04"/>
    <w:rsid w:val="00CA1B52"/>
    <w:rsid w:val="00CA1BC9"/>
    <w:rsid w:val="00CA1C50"/>
    <w:rsid w:val="00CA1CC5"/>
    <w:rsid w:val="00CA1D81"/>
    <w:rsid w:val="00CA1DD0"/>
    <w:rsid w:val="00CA1E3B"/>
    <w:rsid w:val="00CA1E5F"/>
    <w:rsid w:val="00CA1E62"/>
    <w:rsid w:val="00CA1EFF"/>
    <w:rsid w:val="00CA1F08"/>
    <w:rsid w:val="00CA2019"/>
    <w:rsid w:val="00CA211F"/>
    <w:rsid w:val="00CA221E"/>
    <w:rsid w:val="00CA221F"/>
    <w:rsid w:val="00CA22CA"/>
    <w:rsid w:val="00CA22E8"/>
    <w:rsid w:val="00CA233C"/>
    <w:rsid w:val="00CA2433"/>
    <w:rsid w:val="00CA249A"/>
    <w:rsid w:val="00CA2565"/>
    <w:rsid w:val="00CA270A"/>
    <w:rsid w:val="00CA273D"/>
    <w:rsid w:val="00CA290F"/>
    <w:rsid w:val="00CA2919"/>
    <w:rsid w:val="00CA2944"/>
    <w:rsid w:val="00CA29F2"/>
    <w:rsid w:val="00CA2A06"/>
    <w:rsid w:val="00CA2AD7"/>
    <w:rsid w:val="00CA2C3D"/>
    <w:rsid w:val="00CA2D04"/>
    <w:rsid w:val="00CA2E3A"/>
    <w:rsid w:val="00CA2F45"/>
    <w:rsid w:val="00CA302A"/>
    <w:rsid w:val="00CA3089"/>
    <w:rsid w:val="00CA3230"/>
    <w:rsid w:val="00CA32CD"/>
    <w:rsid w:val="00CA3432"/>
    <w:rsid w:val="00CA3541"/>
    <w:rsid w:val="00CA359A"/>
    <w:rsid w:val="00CA361C"/>
    <w:rsid w:val="00CA3A9A"/>
    <w:rsid w:val="00CA3AAB"/>
    <w:rsid w:val="00CA3AC2"/>
    <w:rsid w:val="00CA3D57"/>
    <w:rsid w:val="00CA3D61"/>
    <w:rsid w:val="00CA3D65"/>
    <w:rsid w:val="00CA3EAD"/>
    <w:rsid w:val="00CA3F5D"/>
    <w:rsid w:val="00CA4346"/>
    <w:rsid w:val="00CA43A2"/>
    <w:rsid w:val="00CA43E0"/>
    <w:rsid w:val="00CA4495"/>
    <w:rsid w:val="00CA44B6"/>
    <w:rsid w:val="00CA4628"/>
    <w:rsid w:val="00CA474A"/>
    <w:rsid w:val="00CA4884"/>
    <w:rsid w:val="00CA497D"/>
    <w:rsid w:val="00CA4ABC"/>
    <w:rsid w:val="00CA4C9C"/>
    <w:rsid w:val="00CA4CB7"/>
    <w:rsid w:val="00CA4D0A"/>
    <w:rsid w:val="00CA4D97"/>
    <w:rsid w:val="00CA4E29"/>
    <w:rsid w:val="00CA4E51"/>
    <w:rsid w:val="00CA4E63"/>
    <w:rsid w:val="00CA4EFE"/>
    <w:rsid w:val="00CA4F76"/>
    <w:rsid w:val="00CA507B"/>
    <w:rsid w:val="00CA50AA"/>
    <w:rsid w:val="00CA5108"/>
    <w:rsid w:val="00CA51A5"/>
    <w:rsid w:val="00CA5289"/>
    <w:rsid w:val="00CA5456"/>
    <w:rsid w:val="00CA5472"/>
    <w:rsid w:val="00CA550C"/>
    <w:rsid w:val="00CA559A"/>
    <w:rsid w:val="00CA562A"/>
    <w:rsid w:val="00CA5650"/>
    <w:rsid w:val="00CA57C7"/>
    <w:rsid w:val="00CA5837"/>
    <w:rsid w:val="00CA5859"/>
    <w:rsid w:val="00CA5899"/>
    <w:rsid w:val="00CA5909"/>
    <w:rsid w:val="00CA5915"/>
    <w:rsid w:val="00CA5964"/>
    <w:rsid w:val="00CA597D"/>
    <w:rsid w:val="00CA5A6F"/>
    <w:rsid w:val="00CA5B05"/>
    <w:rsid w:val="00CA5BB9"/>
    <w:rsid w:val="00CA5C1D"/>
    <w:rsid w:val="00CA5DC1"/>
    <w:rsid w:val="00CA5E41"/>
    <w:rsid w:val="00CA5F7A"/>
    <w:rsid w:val="00CA60AA"/>
    <w:rsid w:val="00CA60B3"/>
    <w:rsid w:val="00CA612B"/>
    <w:rsid w:val="00CA6154"/>
    <w:rsid w:val="00CA61EE"/>
    <w:rsid w:val="00CA6213"/>
    <w:rsid w:val="00CA624D"/>
    <w:rsid w:val="00CA6368"/>
    <w:rsid w:val="00CA6418"/>
    <w:rsid w:val="00CA6451"/>
    <w:rsid w:val="00CA6462"/>
    <w:rsid w:val="00CA64E2"/>
    <w:rsid w:val="00CA65C6"/>
    <w:rsid w:val="00CA6707"/>
    <w:rsid w:val="00CA6804"/>
    <w:rsid w:val="00CA6819"/>
    <w:rsid w:val="00CA6832"/>
    <w:rsid w:val="00CA68A6"/>
    <w:rsid w:val="00CA692F"/>
    <w:rsid w:val="00CA697B"/>
    <w:rsid w:val="00CA6D92"/>
    <w:rsid w:val="00CA6D95"/>
    <w:rsid w:val="00CA6DB5"/>
    <w:rsid w:val="00CA7215"/>
    <w:rsid w:val="00CA7456"/>
    <w:rsid w:val="00CA74CF"/>
    <w:rsid w:val="00CA7548"/>
    <w:rsid w:val="00CA763A"/>
    <w:rsid w:val="00CA7657"/>
    <w:rsid w:val="00CA76BD"/>
    <w:rsid w:val="00CA78F6"/>
    <w:rsid w:val="00CA7931"/>
    <w:rsid w:val="00CA79C9"/>
    <w:rsid w:val="00CA7A18"/>
    <w:rsid w:val="00CA7A9A"/>
    <w:rsid w:val="00CA7C3C"/>
    <w:rsid w:val="00CA7F41"/>
    <w:rsid w:val="00CA7F59"/>
    <w:rsid w:val="00CB01CC"/>
    <w:rsid w:val="00CB045A"/>
    <w:rsid w:val="00CB0539"/>
    <w:rsid w:val="00CB0735"/>
    <w:rsid w:val="00CB0942"/>
    <w:rsid w:val="00CB0961"/>
    <w:rsid w:val="00CB0AE0"/>
    <w:rsid w:val="00CB0B0D"/>
    <w:rsid w:val="00CB0B5E"/>
    <w:rsid w:val="00CB0BE8"/>
    <w:rsid w:val="00CB0C10"/>
    <w:rsid w:val="00CB0CB7"/>
    <w:rsid w:val="00CB0F60"/>
    <w:rsid w:val="00CB0FB8"/>
    <w:rsid w:val="00CB1002"/>
    <w:rsid w:val="00CB103C"/>
    <w:rsid w:val="00CB113D"/>
    <w:rsid w:val="00CB121C"/>
    <w:rsid w:val="00CB1332"/>
    <w:rsid w:val="00CB1359"/>
    <w:rsid w:val="00CB156A"/>
    <w:rsid w:val="00CB1574"/>
    <w:rsid w:val="00CB15C2"/>
    <w:rsid w:val="00CB16AE"/>
    <w:rsid w:val="00CB16FF"/>
    <w:rsid w:val="00CB172E"/>
    <w:rsid w:val="00CB1736"/>
    <w:rsid w:val="00CB1740"/>
    <w:rsid w:val="00CB179F"/>
    <w:rsid w:val="00CB17FF"/>
    <w:rsid w:val="00CB181F"/>
    <w:rsid w:val="00CB1888"/>
    <w:rsid w:val="00CB195F"/>
    <w:rsid w:val="00CB1A30"/>
    <w:rsid w:val="00CB1A6A"/>
    <w:rsid w:val="00CB1B51"/>
    <w:rsid w:val="00CB1BC4"/>
    <w:rsid w:val="00CB1BE0"/>
    <w:rsid w:val="00CB1C0A"/>
    <w:rsid w:val="00CB1C1A"/>
    <w:rsid w:val="00CB1C54"/>
    <w:rsid w:val="00CB1DBE"/>
    <w:rsid w:val="00CB1E9F"/>
    <w:rsid w:val="00CB1EC0"/>
    <w:rsid w:val="00CB1F3A"/>
    <w:rsid w:val="00CB1FBA"/>
    <w:rsid w:val="00CB2155"/>
    <w:rsid w:val="00CB21D3"/>
    <w:rsid w:val="00CB2294"/>
    <w:rsid w:val="00CB229C"/>
    <w:rsid w:val="00CB22E5"/>
    <w:rsid w:val="00CB2387"/>
    <w:rsid w:val="00CB23B8"/>
    <w:rsid w:val="00CB2442"/>
    <w:rsid w:val="00CB24EB"/>
    <w:rsid w:val="00CB24EF"/>
    <w:rsid w:val="00CB2685"/>
    <w:rsid w:val="00CB26A3"/>
    <w:rsid w:val="00CB2768"/>
    <w:rsid w:val="00CB280F"/>
    <w:rsid w:val="00CB29BC"/>
    <w:rsid w:val="00CB2BC1"/>
    <w:rsid w:val="00CB2BC7"/>
    <w:rsid w:val="00CB2C0B"/>
    <w:rsid w:val="00CB2D9F"/>
    <w:rsid w:val="00CB2EC7"/>
    <w:rsid w:val="00CB2EEE"/>
    <w:rsid w:val="00CB2FCC"/>
    <w:rsid w:val="00CB3091"/>
    <w:rsid w:val="00CB31BE"/>
    <w:rsid w:val="00CB349B"/>
    <w:rsid w:val="00CB35D1"/>
    <w:rsid w:val="00CB3767"/>
    <w:rsid w:val="00CB37DE"/>
    <w:rsid w:val="00CB382E"/>
    <w:rsid w:val="00CB38F7"/>
    <w:rsid w:val="00CB39C3"/>
    <w:rsid w:val="00CB39E3"/>
    <w:rsid w:val="00CB3A01"/>
    <w:rsid w:val="00CB3A51"/>
    <w:rsid w:val="00CB3A6C"/>
    <w:rsid w:val="00CB3AF7"/>
    <w:rsid w:val="00CB3BE5"/>
    <w:rsid w:val="00CB3D08"/>
    <w:rsid w:val="00CB3D93"/>
    <w:rsid w:val="00CB3DE1"/>
    <w:rsid w:val="00CB3E24"/>
    <w:rsid w:val="00CB3E59"/>
    <w:rsid w:val="00CB3EEB"/>
    <w:rsid w:val="00CB3FA2"/>
    <w:rsid w:val="00CB41BB"/>
    <w:rsid w:val="00CB4202"/>
    <w:rsid w:val="00CB4278"/>
    <w:rsid w:val="00CB42E8"/>
    <w:rsid w:val="00CB43B3"/>
    <w:rsid w:val="00CB440E"/>
    <w:rsid w:val="00CB44A0"/>
    <w:rsid w:val="00CB4599"/>
    <w:rsid w:val="00CB459E"/>
    <w:rsid w:val="00CB462F"/>
    <w:rsid w:val="00CB46F8"/>
    <w:rsid w:val="00CB4791"/>
    <w:rsid w:val="00CB4867"/>
    <w:rsid w:val="00CB492A"/>
    <w:rsid w:val="00CB495A"/>
    <w:rsid w:val="00CB499E"/>
    <w:rsid w:val="00CB49D5"/>
    <w:rsid w:val="00CB49FE"/>
    <w:rsid w:val="00CB4BF4"/>
    <w:rsid w:val="00CB4C7B"/>
    <w:rsid w:val="00CB4D06"/>
    <w:rsid w:val="00CB4DE7"/>
    <w:rsid w:val="00CB4E01"/>
    <w:rsid w:val="00CB4F45"/>
    <w:rsid w:val="00CB5022"/>
    <w:rsid w:val="00CB5030"/>
    <w:rsid w:val="00CB50A8"/>
    <w:rsid w:val="00CB50B7"/>
    <w:rsid w:val="00CB516D"/>
    <w:rsid w:val="00CB51CF"/>
    <w:rsid w:val="00CB51D0"/>
    <w:rsid w:val="00CB51E6"/>
    <w:rsid w:val="00CB526D"/>
    <w:rsid w:val="00CB5271"/>
    <w:rsid w:val="00CB528E"/>
    <w:rsid w:val="00CB52EC"/>
    <w:rsid w:val="00CB5332"/>
    <w:rsid w:val="00CB549B"/>
    <w:rsid w:val="00CB54A0"/>
    <w:rsid w:val="00CB54C9"/>
    <w:rsid w:val="00CB54F6"/>
    <w:rsid w:val="00CB553D"/>
    <w:rsid w:val="00CB5617"/>
    <w:rsid w:val="00CB564A"/>
    <w:rsid w:val="00CB5654"/>
    <w:rsid w:val="00CB5737"/>
    <w:rsid w:val="00CB5893"/>
    <w:rsid w:val="00CB594C"/>
    <w:rsid w:val="00CB5B50"/>
    <w:rsid w:val="00CB5B6F"/>
    <w:rsid w:val="00CB5C09"/>
    <w:rsid w:val="00CB5C84"/>
    <w:rsid w:val="00CB5CA6"/>
    <w:rsid w:val="00CB5CF4"/>
    <w:rsid w:val="00CB5D2A"/>
    <w:rsid w:val="00CB5DF9"/>
    <w:rsid w:val="00CB5EBE"/>
    <w:rsid w:val="00CB5EEB"/>
    <w:rsid w:val="00CB5F54"/>
    <w:rsid w:val="00CB5F6B"/>
    <w:rsid w:val="00CB6083"/>
    <w:rsid w:val="00CB60F0"/>
    <w:rsid w:val="00CB6139"/>
    <w:rsid w:val="00CB61EC"/>
    <w:rsid w:val="00CB6299"/>
    <w:rsid w:val="00CB62D5"/>
    <w:rsid w:val="00CB63A7"/>
    <w:rsid w:val="00CB63FD"/>
    <w:rsid w:val="00CB6529"/>
    <w:rsid w:val="00CB668F"/>
    <w:rsid w:val="00CB68F2"/>
    <w:rsid w:val="00CB6A1C"/>
    <w:rsid w:val="00CB6AC1"/>
    <w:rsid w:val="00CB6B86"/>
    <w:rsid w:val="00CB6BAC"/>
    <w:rsid w:val="00CB6C12"/>
    <w:rsid w:val="00CB6C2C"/>
    <w:rsid w:val="00CB6CF9"/>
    <w:rsid w:val="00CB6D15"/>
    <w:rsid w:val="00CB6E10"/>
    <w:rsid w:val="00CB6EB3"/>
    <w:rsid w:val="00CB6ECC"/>
    <w:rsid w:val="00CB7034"/>
    <w:rsid w:val="00CB7108"/>
    <w:rsid w:val="00CB7170"/>
    <w:rsid w:val="00CB7210"/>
    <w:rsid w:val="00CB72BE"/>
    <w:rsid w:val="00CB747E"/>
    <w:rsid w:val="00CB75CE"/>
    <w:rsid w:val="00CB764B"/>
    <w:rsid w:val="00CB782B"/>
    <w:rsid w:val="00CB7A12"/>
    <w:rsid w:val="00CB7B49"/>
    <w:rsid w:val="00CB7B67"/>
    <w:rsid w:val="00CB7BC5"/>
    <w:rsid w:val="00CB7EC2"/>
    <w:rsid w:val="00CB7F20"/>
    <w:rsid w:val="00CC0047"/>
    <w:rsid w:val="00CC018B"/>
    <w:rsid w:val="00CC02A1"/>
    <w:rsid w:val="00CC02C7"/>
    <w:rsid w:val="00CC02F0"/>
    <w:rsid w:val="00CC0351"/>
    <w:rsid w:val="00CC0360"/>
    <w:rsid w:val="00CC0589"/>
    <w:rsid w:val="00CC0671"/>
    <w:rsid w:val="00CC0797"/>
    <w:rsid w:val="00CC07E2"/>
    <w:rsid w:val="00CC0815"/>
    <w:rsid w:val="00CC087E"/>
    <w:rsid w:val="00CC08AF"/>
    <w:rsid w:val="00CC0920"/>
    <w:rsid w:val="00CC09D2"/>
    <w:rsid w:val="00CC0B7D"/>
    <w:rsid w:val="00CC0BC3"/>
    <w:rsid w:val="00CC0BD1"/>
    <w:rsid w:val="00CC0BDF"/>
    <w:rsid w:val="00CC0BF7"/>
    <w:rsid w:val="00CC0DB5"/>
    <w:rsid w:val="00CC0F7A"/>
    <w:rsid w:val="00CC10BA"/>
    <w:rsid w:val="00CC10C6"/>
    <w:rsid w:val="00CC10E3"/>
    <w:rsid w:val="00CC1156"/>
    <w:rsid w:val="00CC123A"/>
    <w:rsid w:val="00CC1251"/>
    <w:rsid w:val="00CC132C"/>
    <w:rsid w:val="00CC1341"/>
    <w:rsid w:val="00CC13DD"/>
    <w:rsid w:val="00CC13EB"/>
    <w:rsid w:val="00CC145C"/>
    <w:rsid w:val="00CC14E2"/>
    <w:rsid w:val="00CC14F4"/>
    <w:rsid w:val="00CC14F7"/>
    <w:rsid w:val="00CC15C8"/>
    <w:rsid w:val="00CC1625"/>
    <w:rsid w:val="00CC16C9"/>
    <w:rsid w:val="00CC1742"/>
    <w:rsid w:val="00CC1757"/>
    <w:rsid w:val="00CC177F"/>
    <w:rsid w:val="00CC1809"/>
    <w:rsid w:val="00CC180E"/>
    <w:rsid w:val="00CC1815"/>
    <w:rsid w:val="00CC1869"/>
    <w:rsid w:val="00CC199C"/>
    <w:rsid w:val="00CC1A4E"/>
    <w:rsid w:val="00CC1B63"/>
    <w:rsid w:val="00CC1C9E"/>
    <w:rsid w:val="00CC1D41"/>
    <w:rsid w:val="00CC1D6C"/>
    <w:rsid w:val="00CC1E0E"/>
    <w:rsid w:val="00CC1F87"/>
    <w:rsid w:val="00CC207B"/>
    <w:rsid w:val="00CC20AD"/>
    <w:rsid w:val="00CC2170"/>
    <w:rsid w:val="00CC238D"/>
    <w:rsid w:val="00CC24C0"/>
    <w:rsid w:val="00CC256F"/>
    <w:rsid w:val="00CC2726"/>
    <w:rsid w:val="00CC27D5"/>
    <w:rsid w:val="00CC27F2"/>
    <w:rsid w:val="00CC2941"/>
    <w:rsid w:val="00CC296B"/>
    <w:rsid w:val="00CC2A1A"/>
    <w:rsid w:val="00CC2AC5"/>
    <w:rsid w:val="00CC2D7F"/>
    <w:rsid w:val="00CC2E32"/>
    <w:rsid w:val="00CC2F58"/>
    <w:rsid w:val="00CC2FE4"/>
    <w:rsid w:val="00CC3047"/>
    <w:rsid w:val="00CC30A7"/>
    <w:rsid w:val="00CC30D2"/>
    <w:rsid w:val="00CC30EF"/>
    <w:rsid w:val="00CC31B2"/>
    <w:rsid w:val="00CC31D7"/>
    <w:rsid w:val="00CC333A"/>
    <w:rsid w:val="00CC33BE"/>
    <w:rsid w:val="00CC3402"/>
    <w:rsid w:val="00CC354F"/>
    <w:rsid w:val="00CC36DF"/>
    <w:rsid w:val="00CC36FE"/>
    <w:rsid w:val="00CC3755"/>
    <w:rsid w:val="00CC3811"/>
    <w:rsid w:val="00CC3866"/>
    <w:rsid w:val="00CC3B4F"/>
    <w:rsid w:val="00CC3B99"/>
    <w:rsid w:val="00CC3B9A"/>
    <w:rsid w:val="00CC3BE9"/>
    <w:rsid w:val="00CC3C54"/>
    <w:rsid w:val="00CC3CEE"/>
    <w:rsid w:val="00CC3DD5"/>
    <w:rsid w:val="00CC3E0A"/>
    <w:rsid w:val="00CC4014"/>
    <w:rsid w:val="00CC40DA"/>
    <w:rsid w:val="00CC411B"/>
    <w:rsid w:val="00CC4130"/>
    <w:rsid w:val="00CC4179"/>
    <w:rsid w:val="00CC4185"/>
    <w:rsid w:val="00CC4193"/>
    <w:rsid w:val="00CC41C6"/>
    <w:rsid w:val="00CC4200"/>
    <w:rsid w:val="00CC4317"/>
    <w:rsid w:val="00CC43BB"/>
    <w:rsid w:val="00CC4400"/>
    <w:rsid w:val="00CC441F"/>
    <w:rsid w:val="00CC4454"/>
    <w:rsid w:val="00CC464D"/>
    <w:rsid w:val="00CC464E"/>
    <w:rsid w:val="00CC4677"/>
    <w:rsid w:val="00CC468A"/>
    <w:rsid w:val="00CC4886"/>
    <w:rsid w:val="00CC4942"/>
    <w:rsid w:val="00CC4986"/>
    <w:rsid w:val="00CC49C9"/>
    <w:rsid w:val="00CC4A2D"/>
    <w:rsid w:val="00CC4B50"/>
    <w:rsid w:val="00CC4BDB"/>
    <w:rsid w:val="00CC4C8A"/>
    <w:rsid w:val="00CC4CB6"/>
    <w:rsid w:val="00CC4CB9"/>
    <w:rsid w:val="00CC4CEC"/>
    <w:rsid w:val="00CC4D20"/>
    <w:rsid w:val="00CC4DC6"/>
    <w:rsid w:val="00CC4F26"/>
    <w:rsid w:val="00CC4FCB"/>
    <w:rsid w:val="00CC5008"/>
    <w:rsid w:val="00CC50C7"/>
    <w:rsid w:val="00CC5135"/>
    <w:rsid w:val="00CC518E"/>
    <w:rsid w:val="00CC51B2"/>
    <w:rsid w:val="00CC51BE"/>
    <w:rsid w:val="00CC5224"/>
    <w:rsid w:val="00CC5276"/>
    <w:rsid w:val="00CC52C0"/>
    <w:rsid w:val="00CC52FA"/>
    <w:rsid w:val="00CC53C5"/>
    <w:rsid w:val="00CC53E9"/>
    <w:rsid w:val="00CC55FF"/>
    <w:rsid w:val="00CC5637"/>
    <w:rsid w:val="00CC564D"/>
    <w:rsid w:val="00CC568A"/>
    <w:rsid w:val="00CC590B"/>
    <w:rsid w:val="00CC5B62"/>
    <w:rsid w:val="00CC5C40"/>
    <w:rsid w:val="00CC5C87"/>
    <w:rsid w:val="00CC5D04"/>
    <w:rsid w:val="00CC5DDA"/>
    <w:rsid w:val="00CC5E8F"/>
    <w:rsid w:val="00CC5E9C"/>
    <w:rsid w:val="00CC5EAC"/>
    <w:rsid w:val="00CC5EE9"/>
    <w:rsid w:val="00CC60B2"/>
    <w:rsid w:val="00CC6246"/>
    <w:rsid w:val="00CC62A7"/>
    <w:rsid w:val="00CC6344"/>
    <w:rsid w:val="00CC636E"/>
    <w:rsid w:val="00CC6393"/>
    <w:rsid w:val="00CC640D"/>
    <w:rsid w:val="00CC6515"/>
    <w:rsid w:val="00CC66E7"/>
    <w:rsid w:val="00CC6791"/>
    <w:rsid w:val="00CC6902"/>
    <w:rsid w:val="00CC6AAF"/>
    <w:rsid w:val="00CC6AB9"/>
    <w:rsid w:val="00CC6C2F"/>
    <w:rsid w:val="00CC6EF5"/>
    <w:rsid w:val="00CC702D"/>
    <w:rsid w:val="00CC7077"/>
    <w:rsid w:val="00CC70B9"/>
    <w:rsid w:val="00CC71C3"/>
    <w:rsid w:val="00CC73DB"/>
    <w:rsid w:val="00CC74A8"/>
    <w:rsid w:val="00CC74DE"/>
    <w:rsid w:val="00CC7525"/>
    <w:rsid w:val="00CC75C4"/>
    <w:rsid w:val="00CC75FD"/>
    <w:rsid w:val="00CC77E1"/>
    <w:rsid w:val="00CC7965"/>
    <w:rsid w:val="00CC799E"/>
    <w:rsid w:val="00CC7A25"/>
    <w:rsid w:val="00CC7AEB"/>
    <w:rsid w:val="00CC7D8D"/>
    <w:rsid w:val="00CC7DBA"/>
    <w:rsid w:val="00CC7E1D"/>
    <w:rsid w:val="00CC7E71"/>
    <w:rsid w:val="00CC7F3C"/>
    <w:rsid w:val="00CD011A"/>
    <w:rsid w:val="00CD01C2"/>
    <w:rsid w:val="00CD0229"/>
    <w:rsid w:val="00CD03B1"/>
    <w:rsid w:val="00CD03B3"/>
    <w:rsid w:val="00CD0425"/>
    <w:rsid w:val="00CD0467"/>
    <w:rsid w:val="00CD061B"/>
    <w:rsid w:val="00CD0694"/>
    <w:rsid w:val="00CD06A2"/>
    <w:rsid w:val="00CD06E1"/>
    <w:rsid w:val="00CD072A"/>
    <w:rsid w:val="00CD074B"/>
    <w:rsid w:val="00CD078D"/>
    <w:rsid w:val="00CD07CF"/>
    <w:rsid w:val="00CD07E9"/>
    <w:rsid w:val="00CD0873"/>
    <w:rsid w:val="00CD088B"/>
    <w:rsid w:val="00CD0A44"/>
    <w:rsid w:val="00CD0AC5"/>
    <w:rsid w:val="00CD0BCA"/>
    <w:rsid w:val="00CD0C02"/>
    <w:rsid w:val="00CD0C24"/>
    <w:rsid w:val="00CD0D92"/>
    <w:rsid w:val="00CD0F1F"/>
    <w:rsid w:val="00CD0F8A"/>
    <w:rsid w:val="00CD1085"/>
    <w:rsid w:val="00CD11B6"/>
    <w:rsid w:val="00CD127E"/>
    <w:rsid w:val="00CD142D"/>
    <w:rsid w:val="00CD14ED"/>
    <w:rsid w:val="00CD1528"/>
    <w:rsid w:val="00CD1544"/>
    <w:rsid w:val="00CD15C0"/>
    <w:rsid w:val="00CD16FB"/>
    <w:rsid w:val="00CD178D"/>
    <w:rsid w:val="00CD17FF"/>
    <w:rsid w:val="00CD186A"/>
    <w:rsid w:val="00CD189F"/>
    <w:rsid w:val="00CD1988"/>
    <w:rsid w:val="00CD1C28"/>
    <w:rsid w:val="00CD1DF9"/>
    <w:rsid w:val="00CD1E9F"/>
    <w:rsid w:val="00CD1EC5"/>
    <w:rsid w:val="00CD1ECE"/>
    <w:rsid w:val="00CD1F2B"/>
    <w:rsid w:val="00CD1F70"/>
    <w:rsid w:val="00CD1F80"/>
    <w:rsid w:val="00CD2131"/>
    <w:rsid w:val="00CD21A2"/>
    <w:rsid w:val="00CD21FD"/>
    <w:rsid w:val="00CD222D"/>
    <w:rsid w:val="00CD2248"/>
    <w:rsid w:val="00CD2270"/>
    <w:rsid w:val="00CD233A"/>
    <w:rsid w:val="00CD23BC"/>
    <w:rsid w:val="00CD2497"/>
    <w:rsid w:val="00CD24FE"/>
    <w:rsid w:val="00CD252F"/>
    <w:rsid w:val="00CD2687"/>
    <w:rsid w:val="00CD276C"/>
    <w:rsid w:val="00CD278C"/>
    <w:rsid w:val="00CD27D5"/>
    <w:rsid w:val="00CD2AB3"/>
    <w:rsid w:val="00CD2B24"/>
    <w:rsid w:val="00CD2C65"/>
    <w:rsid w:val="00CD2C86"/>
    <w:rsid w:val="00CD2EDD"/>
    <w:rsid w:val="00CD2F20"/>
    <w:rsid w:val="00CD2F24"/>
    <w:rsid w:val="00CD2FA9"/>
    <w:rsid w:val="00CD30C2"/>
    <w:rsid w:val="00CD3245"/>
    <w:rsid w:val="00CD3274"/>
    <w:rsid w:val="00CD3277"/>
    <w:rsid w:val="00CD32C2"/>
    <w:rsid w:val="00CD32F5"/>
    <w:rsid w:val="00CD33BD"/>
    <w:rsid w:val="00CD3432"/>
    <w:rsid w:val="00CD36DD"/>
    <w:rsid w:val="00CD36F6"/>
    <w:rsid w:val="00CD379D"/>
    <w:rsid w:val="00CD37BB"/>
    <w:rsid w:val="00CD385E"/>
    <w:rsid w:val="00CD3945"/>
    <w:rsid w:val="00CD3B2C"/>
    <w:rsid w:val="00CD3C6A"/>
    <w:rsid w:val="00CD3D12"/>
    <w:rsid w:val="00CD3D16"/>
    <w:rsid w:val="00CD3DDE"/>
    <w:rsid w:val="00CD3F53"/>
    <w:rsid w:val="00CD3FDC"/>
    <w:rsid w:val="00CD3FE9"/>
    <w:rsid w:val="00CD4027"/>
    <w:rsid w:val="00CD405F"/>
    <w:rsid w:val="00CD4125"/>
    <w:rsid w:val="00CD4149"/>
    <w:rsid w:val="00CD41C6"/>
    <w:rsid w:val="00CD41CE"/>
    <w:rsid w:val="00CD427C"/>
    <w:rsid w:val="00CD434A"/>
    <w:rsid w:val="00CD4440"/>
    <w:rsid w:val="00CD4485"/>
    <w:rsid w:val="00CD44BC"/>
    <w:rsid w:val="00CD44C7"/>
    <w:rsid w:val="00CD4586"/>
    <w:rsid w:val="00CD4770"/>
    <w:rsid w:val="00CD4776"/>
    <w:rsid w:val="00CD47B3"/>
    <w:rsid w:val="00CD49E0"/>
    <w:rsid w:val="00CD4AD5"/>
    <w:rsid w:val="00CD4B7C"/>
    <w:rsid w:val="00CD4BB0"/>
    <w:rsid w:val="00CD4D4D"/>
    <w:rsid w:val="00CD4D99"/>
    <w:rsid w:val="00CD4ED9"/>
    <w:rsid w:val="00CD4F0C"/>
    <w:rsid w:val="00CD4F28"/>
    <w:rsid w:val="00CD4F2C"/>
    <w:rsid w:val="00CD4F56"/>
    <w:rsid w:val="00CD5182"/>
    <w:rsid w:val="00CD52A7"/>
    <w:rsid w:val="00CD52F4"/>
    <w:rsid w:val="00CD530A"/>
    <w:rsid w:val="00CD550A"/>
    <w:rsid w:val="00CD55AE"/>
    <w:rsid w:val="00CD55C6"/>
    <w:rsid w:val="00CD55E5"/>
    <w:rsid w:val="00CD55FC"/>
    <w:rsid w:val="00CD5608"/>
    <w:rsid w:val="00CD5959"/>
    <w:rsid w:val="00CD59E9"/>
    <w:rsid w:val="00CD5AE4"/>
    <w:rsid w:val="00CD5B1C"/>
    <w:rsid w:val="00CD5D27"/>
    <w:rsid w:val="00CD5D2A"/>
    <w:rsid w:val="00CD5E6B"/>
    <w:rsid w:val="00CD5E9A"/>
    <w:rsid w:val="00CD5F33"/>
    <w:rsid w:val="00CD5F81"/>
    <w:rsid w:val="00CD6113"/>
    <w:rsid w:val="00CD6125"/>
    <w:rsid w:val="00CD6127"/>
    <w:rsid w:val="00CD61B2"/>
    <w:rsid w:val="00CD61CA"/>
    <w:rsid w:val="00CD61F1"/>
    <w:rsid w:val="00CD6261"/>
    <w:rsid w:val="00CD6341"/>
    <w:rsid w:val="00CD638C"/>
    <w:rsid w:val="00CD6440"/>
    <w:rsid w:val="00CD647C"/>
    <w:rsid w:val="00CD662C"/>
    <w:rsid w:val="00CD6637"/>
    <w:rsid w:val="00CD664F"/>
    <w:rsid w:val="00CD6683"/>
    <w:rsid w:val="00CD66C3"/>
    <w:rsid w:val="00CD6A4B"/>
    <w:rsid w:val="00CD6C85"/>
    <w:rsid w:val="00CD6D4F"/>
    <w:rsid w:val="00CD6DAF"/>
    <w:rsid w:val="00CD6DD0"/>
    <w:rsid w:val="00CD6F0C"/>
    <w:rsid w:val="00CD6F60"/>
    <w:rsid w:val="00CD6FE3"/>
    <w:rsid w:val="00CD7150"/>
    <w:rsid w:val="00CD7219"/>
    <w:rsid w:val="00CD7223"/>
    <w:rsid w:val="00CD7290"/>
    <w:rsid w:val="00CD73A0"/>
    <w:rsid w:val="00CD73A2"/>
    <w:rsid w:val="00CD73A7"/>
    <w:rsid w:val="00CD7431"/>
    <w:rsid w:val="00CD74AA"/>
    <w:rsid w:val="00CD74C0"/>
    <w:rsid w:val="00CD7511"/>
    <w:rsid w:val="00CD757C"/>
    <w:rsid w:val="00CD7605"/>
    <w:rsid w:val="00CD7773"/>
    <w:rsid w:val="00CD779E"/>
    <w:rsid w:val="00CD77AA"/>
    <w:rsid w:val="00CD7A6C"/>
    <w:rsid w:val="00CD7C22"/>
    <w:rsid w:val="00CD7C7E"/>
    <w:rsid w:val="00CD7CFE"/>
    <w:rsid w:val="00CD7D4F"/>
    <w:rsid w:val="00CD7E6B"/>
    <w:rsid w:val="00CD7F79"/>
    <w:rsid w:val="00CD7F82"/>
    <w:rsid w:val="00CD7FB7"/>
    <w:rsid w:val="00CD7FC2"/>
    <w:rsid w:val="00CE0144"/>
    <w:rsid w:val="00CE027D"/>
    <w:rsid w:val="00CE0420"/>
    <w:rsid w:val="00CE05A1"/>
    <w:rsid w:val="00CE05B0"/>
    <w:rsid w:val="00CE05D9"/>
    <w:rsid w:val="00CE0788"/>
    <w:rsid w:val="00CE0822"/>
    <w:rsid w:val="00CE0944"/>
    <w:rsid w:val="00CE09C9"/>
    <w:rsid w:val="00CE0AC3"/>
    <w:rsid w:val="00CE0B3E"/>
    <w:rsid w:val="00CE0B57"/>
    <w:rsid w:val="00CE0CE6"/>
    <w:rsid w:val="00CE0E05"/>
    <w:rsid w:val="00CE104B"/>
    <w:rsid w:val="00CE10B4"/>
    <w:rsid w:val="00CE1237"/>
    <w:rsid w:val="00CE1248"/>
    <w:rsid w:val="00CE12EE"/>
    <w:rsid w:val="00CE13C8"/>
    <w:rsid w:val="00CE13DC"/>
    <w:rsid w:val="00CE13E9"/>
    <w:rsid w:val="00CE149B"/>
    <w:rsid w:val="00CE1659"/>
    <w:rsid w:val="00CE168E"/>
    <w:rsid w:val="00CE16B7"/>
    <w:rsid w:val="00CE1862"/>
    <w:rsid w:val="00CE18D0"/>
    <w:rsid w:val="00CE1966"/>
    <w:rsid w:val="00CE1998"/>
    <w:rsid w:val="00CE1A0C"/>
    <w:rsid w:val="00CE1A1C"/>
    <w:rsid w:val="00CE1BB0"/>
    <w:rsid w:val="00CE1C0B"/>
    <w:rsid w:val="00CE1C39"/>
    <w:rsid w:val="00CE1D9F"/>
    <w:rsid w:val="00CE1DFA"/>
    <w:rsid w:val="00CE1E88"/>
    <w:rsid w:val="00CE1E9E"/>
    <w:rsid w:val="00CE1F1F"/>
    <w:rsid w:val="00CE1F55"/>
    <w:rsid w:val="00CE2234"/>
    <w:rsid w:val="00CE22C2"/>
    <w:rsid w:val="00CE2397"/>
    <w:rsid w:val="00CE23BC"/>
    <w:rsid w:val="00CE2533"/>
    <w:rsid w:val="00CE25D1"/>
    <w:rsid w:val="00CE26D9"/>
    <w:rsid w:val="00CE2731"/>
    <w:rsid w:val="00CE281A"/>
    <w:rsid w:val="00CE2A2B"/>
    <w:rsid w:val="00CE2AE3"/>
    <w:rsid w:val="00CE2BDA"/>
    <w:rsid w:val="00CE2C6A"/>
    <w:rsid w:val="00CE2CD9"/>
    <w:rsid w:val="00CE2D39"/>
    <w:rsid w:val="00CE2E25"/>
    <w:rsid w:val="00CE2EA9"/>
    <w:rsid w:val="00CE3047"/>
    <w:rsid w:val="00CE3059"/>
    <w:rsid w:val="00CE30A1"/>
    <w:rsid w:val="00CE30CE"/>
    <w:rsid w:val="00CE31AC"/>
    <w:rsid w:val="00CE325C"/>
    <w:rsid w:val="00CE3317"/>
    <w:rsid w:val="00CE33B3"/>
    <w:rsid w:val="00CE34FC"/>
    <w:rsid w:val="00CE3677"/>
    <w:rsid w:val="00CE36E7"/>
    <w:rsid w:val="00CE37E6"/>
    <w:rsid w:val="00CE3A92"/>
    <w:rsid w:val="00CE3B1E"/>
    <w:rsid w:val="00CE3B8C"/>
    <w:rsid w:val="00CE3BD6"/>
    <w:rsid w:val="00CE3C07"/>
    <w:rsid w:val="00CE3CD7"/>
    <w:rsid w:val="00CE3DA8"/>
    <w:rsid w:val="00CE3E8D"/>
    <w:rsid w:val="00CE3F16"/>
    <w:rsid w:val="00CE3F39"/>
    <w:rsid w:val="00CE3FB1"/>
    <w:rsid w:val="00CE3FCD"/>
    <w:rsid w:val="00CE408F"/>
    <w:rsid w:val="00CE41CA"/>
    <w:rsid w:val="00CE4205"/>
    <w:rsid w:val="00CE423E"/>
    <w:rsid w:val="00CE4278"/>
    <w:rsid w:val="00CE428A"/>
    <w:rsid w:val="00CE4407"/>
    <w:rsid w:val="00CE4432"/>
    <w:rsid w:val="00CE44D4"/>
    <w:rsid w:val="00CE4606"/>
    <w:rsid w:val="00CE46BC"/>
    <w:rsid w:val="00CE46E4"/>
    <w:rsid w:val="00CE479A"/>
    <w:rsid w:val="00CE49A4"/>
    <w:rsid w:val="00CE4A0D"/>
    <w:rsid w:val="00CE4B43"/>
    <w:rsid w:val="00CE4B6C"/>
    <w:rsid w:val="00CE4BD2"/>
    <w:rsid w:val="00CE4C93"/>
    <w:rsid w:val="00CE4C9B"/>
    <w:rsid w:val="00CE4D38"/>
    <w:rsid w:val="00CE4D55"/>
    <w:rsid w:val="00CE500C"/>
    <w:rsid w:val="00CE5095"/>
    <w:rsid w:val="00CE50EB"/>
    <w:rsid w:val="00CE51EA"/>
    <w:rsid w:val="00CE5263"/>
    <w:rsid w:val="00CE534E"/>
    <w:rsid w:val="00CE537A"/>
    <w:rsid w:val="00CE547E"/>
    <w:rsid w:val="00CE54D0"/>
    <w:rsid w:val="00CE56D0"/>
    <w:rsid w:val="00CE56FE"/>
    <w:rsid w:val="00CE5892"/>
    <w:rsid w:val="00CE5A69"/>
    <w:rsid w:val="00CE5B21"/>
    <w:rsid w:val="00CE5B66"/>
    <w:rsid w:val="00CE5D3A"/>
    <w:rsid w:val="00CE5D68"/>
    <w:rsid w:val="00CE5E4C"/>
    <w:rsid w:val="00CE5EFE"/>
    <w:rsid w:val="00CE5F14"/>
    <w:rsid w:val="00CE5FAC"/>
    <w:rsid w:val="00CE6044"/>
    <w:rsid w:val="00CE609B"/>
    <w:rsid w:val="00CE6180"/>
    <w:rsid w:val="00CE61B3"/>
    <w:rsid w:val="00CE6220"/>
    <w:rsid w:val="00CE629A"/>
    <w:rsid w:val="00CE652A"/>
    <w:rsid w:val="00CE655D"/>
    <w:rsid w:val="00CE669F"/>
    <w:rsid w:val="00CE66A8"/>
    <w:rsid w:val="00CE688D"/>
    <w:rsid w:val="00CE691D"/>
    <w:rsid w:val="00CE6956"/>
    <w:rsid w:val="00CE69F1"/>
    <w:rsid w:val="00CE6A2B"/>
    <w:rsid w:val="00CE6B28"/>
    <w:rsid w:val="00CE6BB4"/>
    <w:rsid w:val="00CE6BCF"/>
    <w:rsid w:val="00CE6C0E"/>
    <w:rsid w:val="00CE6CE3"/>
    <w:rsid w:val="00CE6D51"/>
    <w:rsid w:val="00CE6D8E"/>
    <w:rsid w:val="00CE6E71"/>
    <w:rsid w:val="00CE6EEF"/>
    <w:rsid w:val="00CE6FBC"/>
    <w:rsid w:val="00CE70C6"/>
    <w:rsid w:val="00CE718D"/>
    <w:rsid w:val="00CE72CD"/>
    <w:rsid w:val="00CE7572"/>
    <w:rsid w:val="00CE75E9"/>
    <w:rsid w:val="00CE75F2"/>
    <w:rsid w:val="00CE7634"/>
    <w:rsid w:val="00CE7BBE"/>
    <w:rsid w:val="00CE7CA6"/>
    <w:rsid w:val="00CE7CBE"/>
    <w:rsid w:val="00CE7D4A"/>
    <w:rsid w:val="00CE7F7E"/>
    <w:rsid w:val="00CF0105"/>
    <w:rsid w:val="00CF0113"/>
    <w:rsid w:val="00CF0340"/>
    <w:rsid w:val="00CF0439"/>
    <w:rsid w:val="00CF052B"/>
    <w:rsid w:val="00CF07A3"/>
    <w:rsid w:val="00CF0817"/>
    <w:rsid w:val="00CF0825"/>
    <w:rsid w:val="00CF08A9"/>
    <w:rsid w:val="00CF0912"/>
    <w:rsid w:val="00CF0A50"/>
    <w:rsid w:val="00CF0ACC"/>
    <w:rsid w:val="00CF0CBA"/>
    <w:rsid w:val="00CF0D67"/>
    <w:rsid w:val="00CF0DD9"/>
    <w:rsid w:val="00CF0E7B"/>
    <w:rsid w:val="00CF0EFA"/>
    <w:rsid w:val="00CF0F00"/>
    <w:rsid w:val="00CF0F0F"/>
    <w:rsid w:val="00CF10B4"/>
    <w:rsid w:val="00CF1111"/>
    <w:rsid w:val="00CF11FE"/>
    <w:rsid w:val="00CF1260"/>
    <w:rsid w:val="00CF1265"/>
    <w:rsid w:val="00CF12E5"/>
    <w:rsid w:val="00CF1313"/>
    <w:rsid w:val="00CF137A"/>
    <w:rsid w:val="00CF13F9"/>
    <w:rsid w:val="00CF1490"/>
    <w:rsid w:val="00CF14A0"/>
    <w:rsid w:val="00CF15B5"/>
    <w:rsid w:val="00CF1609"/>
    <w:rsid w:val="00CF1628"/>
    <w:rsid w:val="00CF1783"/>
    <w:rsid w:val="00CF1844"/>
    <w:rsid w:val="00CF18B9"/>
    <w:rsid w:val="00CF1AF3"/>
    <w:rsid w:val="00CF1B3F"/>
    <w:rsid w:val="00CF1BA2"/>
    <w:rsid w:val="00CF1C2C"/>
    <w:rsid w:val="00CF1FC2"/>
    <w:rsid w:val="00CF1FE9"/>
    <w:rsid w:val="00CF2018"/>
    <w:rsid w:val="00CF208F"/>
    <w:rsid w:val="00CF20B7"/>
    <w:rsid w:val="00CF21B5"/>
    <w:rsid w:val="00CF2211"/>
    <w:rsid w:val="00CF23B5"/>
    <w:rsid w:val="00CF23CD"/>
    <w:rsid w:val="00CF244F"/>
    <w:rsid w:val="00CF2548"/>
    <w:rsid w:val="00CF25D2"/>
    <w:rsid w:val="00CF2674"/>
    <w:rsid w:val="00CF26DB"/>
    <w:rsid w:val="00CF2700"/>
    <w:rsid w:val="00CF272F"/>
    <w:rsid w:val="00CF2873"/>
    <w:rsid w:val="00CF28DA"/>
    <w:rsid w:val="00CF2928"/>
    <w:rsid w:val="00CF2AEA"/>
    <w:rsid w:val="00CF2B46"/>
    <w:rsid w:val="00CF2C61"/>
    <w:rsid w:val="00CF2D63"/>
    <w:rsid w:val="00CF2EA1"/>
    <w:rsid w:val="00CF2F61"/>
    <w:rsid w:val="00CF2FFC"/>
    <w:rsid w:val="00CF3003"/>
    <w:rsid w:val="00CF310B"/>
    <w:rsid w:val="00CF3180"/>
    <w:rsid w:val="00CF318D"/>
    <w:rsid w:val="00CF31A7"/>
    <w:rsid w:val="00CF329E"/>
    <w:rsid w:val="00CF3303"/>
    <w:rsid w:val="00CF3343"/>
    <w:rsid w:val="00CF3365"/>
    <w:rsid w:val="00CF3566"/>
    <w:rsid w:val="00CF3613"/>
    <w:rsid w:val="00CF3689"/>
    <w:rsid w:val="00CF375F"/>
    <w:rsid w:val="00CF3779"/>
    <w:rsid w:val="00CF37B1"/>
    <w:rsid w:val="00CF37CE"/>
    <w:rsid w:val="00CF37D2"/>
    <w:rsid w:val="00CF389F"/>
    <w:rsid w:val="00CF38A5"/>
    <w:rsid w:val="00CF3928"/>
    <w:rsid w:val="00CF39BE"/>
    <w:rsid w:val="00CF39D5"/>
    <w:rsid w:val="00CF3A15"/>
    <w:rsid w:val="00CF3A32"/>
    <w:rsid w:val="00CF3A35"/>
    <w:rsid w:val="00CF3A6C"/>
    <w:rsid w:val="00CF3AE8"/>
    <w:rsid w:val="00CF3B4F"/>
    <w:rsid w:val="00CF3BA4"/>
    <w:rsid w:val="00CF3BD2"/>
    <w:rsid w:val="00CF3BDF"/>
    <w:rsid w:val="00CF3C1D"/>
    <w:rsid w:val="00CF3CA4"/>
    <w:rsid w:val="00CF3CD8"/>
    <w:rsid w:val="00CF3D1F"/>
    <w:rsid w:val="00CF3D3A"/>
    <w:rsid w:val="00CF3D9F"/>
    <w:rsid w:val="00CF3E00"/>
    <w:rsid w:val="00CF3EC6"/>
    <w:rsid w:val="00CF3F81"/>
    <w:rsid w:val="00CF4050"/>
    <w:rsid w:val="00CF435D"/>
    <w:rsid w:val="00CF43D7"/>
    <w:rsid w:val="00CF44F6"/>
    <w:rsid w:val="00CF45C3"/>
    <w:rsid w:val="00CF46A8"/>
    <w:rsid w:val="00CF46C1"/>
    <w:rsid w:val="00CF488D"/>
    <w:rsid w:val="00CF4A3A"/>
    <w:rsid w:val="00CF4A43"/>
    <w:rsid w:val="00CF4AE9"/>
    <w:rsid w:val="00CF4B78"/>
    <w:rsid w:val="00CF4B8E"/>
    <w:rsid w:val="00CF4D64"/>
    <w:rsid w:val="00CF4DEA"/>
    <w:rsid w:val="00CF4E1D"/>
    <w:rsid w:val="00CF4E83"/>
    <w:rsid w:val="00CF4F7C"/>
    <w:rsid w:val="00CF4FC3"/>
    <w:rsid w:val="00CF4FDD"/>
    <w:rsid w:val="00CF50DA"/>
    <w:rsid w:val="00CF511E"/>
    <w:rsid w:val="00CF51A5"/>
    <w:rsid w:val="00CF5200"/>
    <w:rsid w:val="00CF5202"/>
    <w:rsid w:val="00CF52C0"/>
    <w:rsid w:val="00CF5348"/>
    <w:rsid w:val="00CF5411"/>
    <w:rsid w:val="00CF546E"/>
    <w:rsid w:val="00CF54C5"/>
    <w:rsid w:val="00CF5563"/>
    <w:rsid w:val="00CF563A"/>
    <w:rsid w:val="00CF56BF"/>
    <w:rsid w:val="00CF573F"/>
    <w:rsid w:val="00CF58F6"/>
    <w:rsid w:val="00CF59EB"/>
    <w:rsid w:val="00CF5AD3"/>
    <w:rsid w:val="00CF5B8C"/>
    <w:rsid w:val="00CF5C47"/>
    <w:rsid w:val="00CF5C67"/>
    <w:rsid w:val="00CF5C6D"/>
    <w:rsid w:val="00CF5CC3"/>
    <w:rsid w:val="00CF5D62"/>
    <w:rsid w:val="00CF5DC1"/>
    <w:rsid w:val="00CF5DD4"/>
    <w:rsid w:val="00CF5E6E"/>
    <w:rsid w:val="00CF5E7B"/>
    <w:rsid w:val="00CF5ECD"/>
    <w:rsid w:val="00CF5F51"/>
    <w:rsid w:val="00CF5FD6"/>
    <w:rsid w:val="00CF6011"/>
    <w:rsid w:val="00CF6070"/>
    <w:rsid w:val="00CF6340"/>
    <w:rsid w:val="00CF6515"/>
    <w:rsid w:val="00CF6523"/>
    <w:rsid w:val="00CF65D5"/>
    <w:rsid w:val="00CF65E7"/>
    <w:rsid w:val="00CF660B"/>
    <w:rsid w:val="00CF662C"/>
    <w:rsid w:val="00CF663A"/>
    <w:rsid w:val="00CF67DB"/>
    <w:rsid w:val="00CF67FB"/>
    <w:rsid w:val="00CF6B0B"/>
    <w:rsid w:val="00CF6B41"/>
    <w:rsid w:val="00CF6B92"/>
    <w:rsid w:val="00CF6BA6"/>
    <w:rsid w:val="00CF6C44"/>
    <w:rsid w:val="00CF6CD0"/>
    <w:rsid w:val="00CF6D72"/>
    <w:rsid w:val="00CF6DF5"/>
    <w:rsid w:val="00CF6E04"/>
    <w:rsid w:val="00CF6FF7"/>
    <w:rsid w:val="00CF70FE"/>
    <w:rsid w:val="00CF732F"/>
    <w:rsid w:val="00CF7353"/>
    <w:rsid w:val="00CF7382"/>
    <w:rsid w:val="00CF73F9"/>
    <w:rsid w:val="00CF750D"/>
    <w:rsid w:val="00CF77B2"/>
    <w:rsid w:val="00CF7848"/>
    <w:rsid w:val="00CF787D"/>
    <w:rsid w:val="00CF78F8"/>
    <w:rsid w:val="00CF796F"/>
    <w:rsid w:val="00CF7A11"/>
    <w:rsid w:val="00CF7A38"/>
    <w:rsid w:val="00CF7B3D"/>
    <w:rsid w:val="00CF7C60"/>
    <w:rsid w:val="00CF7D6E"/>
    <w:rsid w:val="00CF7D85"/>
    <w:rsid w:val="00CF7E6E"/>
    <w:rsid w:val="00CF7F16"/>
    <w:rsid w:val="00CF7F1E"/>
    <w:rsid w:val="00CF7F65"/>
    <w:rsid w:val="00CF7F7F"/>
    <w:rsid w:val="00CF7FF1"/>
    <w:rsid w:val="00D00090"/>
    <w:rsid w:val="00D0023B"/>
    <w:rsid w:val="00D0025D"/>
    <w:rsid w:val="00D002F2"/>
    <w:rsid w:val="00D002FB"/>
    <w:rsid w:val="00D0048F"/>
    <w:rsid w:val="00D0072F"/>
    <w:rsid w:val="00D00866"/>
    <w:rsid w:val="00D00930"/>
    <w:rsid w:val="00D009CE"/>
    <w:rsid w:val="00D00A69"/>
    <w:rsid w:val="00D00BEA"/>
    <w:rsid w:val="00D00C0C"/>
    <w:rsid w:val="00D00C71"/>
    <w:rsid w:val="00D00C79"/>
    <w:rsid w:val="00D00DBC"/>
    <w:rsid w:val="00D00DC5"/>
    <w:rsid w:val="00D00DDE"/>
    <w:rsid w:val="00D00E9C"/>
    <w:rsid w:val="00D01089"/>
    <w:rsid w:val="00D011BE"/>
    <w:rsid w:val="00D01239"/>
    <w:rsid w:val="00D012DD"/>
    <w:rsid w:val="00D012E7"/>
    <w:rsid w:val="00D013E1"/>
    <w:rsid w:val="00D01409"/>
    <w:rsid w:val="00D0145F"/>
    <w:rsid w:val="00D01476"/>
    <w:rsid w:val="00D0147E"/>
    <w:rsid w:val="00D014FD"/>
    <w:rsid w:val="00D01500"/>
    <w:rsid w:val="00D01617"/>
    <w:rsid w:val="00D01634"/>
    <w:rsid w:val="00D01926"/>
    <w:rsid w:val="00D01AAC"/>
    <w:rsid w:val="00D01AC7"/>
    <w:rsid w:val="00D01B9B"/>
    <w:rsid w:val="00D01C33"/>
    <w:rsid w:val="00D01C44"/>
    <w:rsid w:val="00D01CDB"/>
    <w:rsid w:val="00D01CE5"/>
    <w:rsid w:val="00D01D47"/>
    <w:rsid w:val="00D01D49"/>
    <w:rsid w:val="00D01D95"/>
    <w:rsid w:val="00D01DA9"/>
    <w:rsid w:val="00D01E29"/>
    <w:rsid w:val="00D01FAD"/>
    <w:rsid w:val="00D02019"/>
    <w:rsid w:val="00D0208D"/>
    <w:rsid w:val="00D02211"/>
    <w:rsid w:val="00D02453"/>
    <w:rsid w:val="00D0247A"/>
    <w:rsid w:val="00D025E1"/>
    <w:rsid w:val="00D027AC"/>
    <w:rsid w:val="00D0280B"/>
    <w:rsid w:val="00D0281B"/>
    <w:rsid w:val="00D028D9"/>
    <w:rsid w:val="00D02970"/>
    <w:rsid w:val="00D02A17"/>
    <w:rsid w:val="00D02ADA"/>
    <w:rsid w:val="00D02ADC"/>
    <w:rsid w:val="00D02B0B"/>
    <w:rsid w:val="00D02B6A"/>
    <w:rsid w:val="00D02CCD"/>
    <w:rsid w:val="00D02F2A"/>
    <w:rsid w:val="00D02F6C"/>
    <w:rsid w:val="00D02F83"/>
    <w:rsid w:val="00D03145"/>
    <w:rsid w:val="00D031C9"/>
    <w:rsid w:val="00D031D4"/>
    <w:rsid w:val="00D03308"/>
    <w:rsid w:val="00D033E5"/>
    <w:rsid w:val="00D03845"/>
    <w:rsid w:val="00D03861"/>
    <w:rsid w:val="00D03885"/>
    <w:rsid w:val="00D03922"/>
    <w:rsid w:val="00D039E0"/>
    <w:rsid w:val="00D03A31"/>
    <w:rsid w:val="00D03A6E"/>
    <w:rsid w:val="00D03C2D"/>
    <w:rsid w:val="00D03CC5"/>
    <w:rsid w:val="00D03E62"/>
    <w:rsid w:val="00D03E8B"/>
    <w:rsid w:val="00D03EDF"/>
    <w:rsid w:val="00D03EEF"/>
    <w:rsid w:val="00D03EF9"/>
    <w:rsid w:val="00D03F9F"/>
    <w:rsid w:val="00D040D2"/>
    <w:rsid w:val="00D04168"/>
    <w:rsid w:val="00D041D1"/>
    <w:rsid w:val="00D04256"/>
    <w:rsid w:val="00D043DC"/>
    <w:rsid w:val="00D04467"/>
    <w:rsid w:val="00D046B1"/>
    <w:rsid w:val="00D0470C"/>
    <w:rsid w:val="00D048E1"/>
    <w:rsid w:val="00D048FD"/>
    <w:rsid w:val="00D04A77"/>
    <w:rsid w:val="00D04AD2"/>
    <w:rsid w:val="00D04B88"/>
    <w:rsid w:val="00D04B9A"/>
    <w:rsid w:val="00D04C1C"/>
    <w:rsid w:val="00D04CEE"/>
    <w:rsid w:val="00D04E7A"/>
    <w:rsid w:val="00D04F16"/>
    <w:rsid w:val="00D04F73"/>
    <w:rsid w:val="00D04FB5"/>
    <w:rsid w:val="00D05135"/>
    <w:rsid w:val="00D05163"/>
    <w:rsid w:val="00D05167"/>
    <w:rsid w:val="00D051C6"/>
    <w:rsid w:val="00D0528E"/>
    <w:rsid w:val="00D0529B"/>
    <w:rsid w:val="00D052F4"/>
    <w:rsid w:val="00D05525"/>
    <w:rsid w:val="00D05573"/>
    <w:rsid w:val="00D055FE"/>
    <w:rsid w:val="00D0565E"/>
    <w:rsid w:val="00D0573A"/>
    <w:rsid w:val="00D05907"/>
    <w:rsid w:val="00D05B2A"/>
    <w:rsid w:val="00D05BB4"/>
    <w:rsid w:val="00D05BD9"/>
    <w:rsid w:val="00D05D2F"/>
    <w:rsid w:val="00D05E71"/>
    <w:rsid w:val="00D05FA0"/>
    <w:rsid w:val="00D060CD"/>
    <w:rsid w:val="00D061D8"/>
    <w:rsid w:val="00D06258"/>
    <w:rsid w:val="00D062B4"/>
    <w:rsid w:val="00D0630A"/>
    <w:rsid w:val="00D0633B"/>
    <w:rsid w:val="00D063F3"/>
    <w:rsid w:val="00D06431"/>
    <w:rsid w:val="00D06516"/>
    <w:rsid w:val="00D066D8"/>
    <w:rsid w:val="00D0691C"/>
    <w:rsid w:val="00D06935"/>
    <w:rsid w:val="00D069D5"/>
    <w:rsid w:val="00D069DF"/>
    <w:rsid w:val="00D069EF"/>
    <w:rsid w:val="00D069F7"/>
    <w:rsid w:val="00D069FC"/>
    <w:rsid w:val="00D06A5A"/>
    <w:rsid w:val="00D06AE8"/>
    <w:rsid w:val="00D06C65"/>
    <w:rsid w:val="00D06C6A"/>
    <w:rsid w:val="00D06E86"/>
    <w:rsid w:val="00D06FB6"/>
    <w:rsid w:val="00D07191"/>
    <w:rsid w:val="00D072C8"/>
    <w:rsid w:val="00D0738A"/>
    <w:rsid w:val="00D0739B"/>
    <w:rsid w:val="00D07420"/>
    <w:rsid w:val="00D0748B"/>
    <w:rsid w:val="00D075BC"/>
    <w:rsid w:val="00D076DD"/>
    <w:rsid w:val="00D0775A"/>
    <w:rsid w:val="00D07784"/>
    <w:rsid w:val="00D077AB"/>
    <w:rsid w:val="00D077D8"/>
    <w:rsid w:val="00D07826"/>
    <w:rsid w:val="00D078D9"/>
    <w:rsid w:val="00D078F4"/>
    <w:rsid w:val="00D07996"/>
    <w:rsid w:val="00D079B4"/>
    <w:rsid w:val="00D079F5"/>
    <w:rsid w:val="00D07A29"/>
    <w:rsid w:val="00D07ABF"/>
    <w:rsid w:val="00D07AFF"/>
    <w:rsid w:val="00D07B7B"/>
    <w:rsid w:val="00D07C88"/>
    <w:rsid w:val="00D07DEF"/>
    <w:rsid w:val="00D07E88"/>
    <w:rsid w:val="00D10183"/>
    <w:rsid w:val="00D101B9"/>
    <w:rsid w:val="00D10219"/>
    <w:rsid w:val="00D1032C"/>
    <w:rsid w:val="00D105B4"/>
    <w:rsid w:val="00D105BC"/>
    <w:rsid w:val="00D10634"/>
    <w:rsid w:val="00D106EF"/>
    <w:rsid w:val="00D107F3"/>
    <w:rsid w:val="00D10970"/>
    <w:rsid w:val="00D109EE"/>
    <w:rsid w:val="00D10B04"/>
    <w:rsid w:val="00D10B91"/>
    <w:rsid w:val="00D10BF2"/>
    <w:rsid w:val="00D10C86"/>
    <w:rsid w:val="00D10E01"/>
    <w:rsid w:val="00D10E2E"/>
    <w:rsid w:val="00D10E5E"/>
    <w:rsid w:val="00D10E69"/>
    <w:rsid w:val="00D10E71"/>
    <w:rsid w:val="00D10EDE"/>
    <w:rsid w:val="00D10F7A"/>
    <w:rsid w:val="00D11010"/>
    <w:rsid w:val="00D11051"/>
    <w:rsid w:val="00D1117D"/>
    <w:rsid w:val="00D1130B"/>
    <w:rsid w:val="00D113E0"/>
    <w:rsid w:val="00D1141F"/>
    <w:rsid w:val="00D114A6"/>
    <w:rsid w:val="00D114F4"/>
    <w:rsid w:val="00D1171B"/>
    <w:rsid w:val="00D1190A"/>
    <w:rsid w:val="00D11A6F"/>
    <w:rsid w:val="00D11AB8"/>
    <w:rsid w:val="00D11AC3"/>
    <w:rsid w:val="00D11AF9"/>
    <w:rsid w:val="00D11BD2"/>
    <w:rsid w:val="00D11C7B"/>
    <w:rsid w:val="00D11C7F"/>
    <w:rsid w:val="00D11F44"/>
    <w:rsid w:val="00D11F55"/>
    <w:rsid w:val="00D11F7D"/>
    <w:rsid w:val="00D11F9C"/>
    <w:rsid w:val="00D1211B"/>
    <w:rsid w:val="00D12257"/>
    <w:rsid w:val="00D1227C"/>
    <w:rsid w:val="00D122EC"/>
    <w:rsid w:val="00D12320"/>
    <w:rsid w:val="00D1235B"/>
    <w:rsid w:val="00D12364"/>
    <w:rsid w:val="00D1252B"/>
    <w:rsid w:val="00D1259D"/>
    <w:rsid w:val="00D125AC"/>
    <w:rsid w:val="00D125C6"/>
    <w:rsid w:val="00D12A83"/>
    <w:rsid w:val="00D12AA7"/>
    <w:rsid w:val="00D12BA5"/>
    <w:rsid w:val="00D12BC0"/>
    <w:rsid w:val="00D12CDF"/>
    <w:rsid w:val="00D12D59"/>
    <w:rsid w:val="00D12DF3"/>
    <w:rsid w:val="00D12E95"/>
    <w:rsid w:val="00D12EC6"/>
    <w:rsid w:val="00D12EE0"/>
    <w:rsid w:val="00D12F69"/>
    <w:rsid w:val="00D12FDC"/>
    <w:rsid w:val="00D1320E"/>
    <w:rsid w:val="00D1325F"/>
    <w:rsid w:val="00D132EE"/>
    <w:rsid w:val="00D13334"/>
    <w:rsid w:val="00D133B7"/>
    <w:rsid w:val="00D133C6"/>
    <w:rsid w:val="00D13661"/>
    <w:rsid w:val="00D13846"/>
    <w:rsid w:val="00D13879"/>
    <w:rsid w:val="00D13D46"/>
    <w:rsid w:val="00D13E54"/>
    <w:rsid w:val="00D13FC0"/>
    <w:rsid w:val="00D14058"/>
    <w:rsid w:val="00D14095"/>
    <w:rsid w:val="00D14173"/>
    <w:rsid w:val="00D1429E"/>
    <w:rsid w:val="00D142C8"/>
    <w:rsid w:val="00D143CD"/>
    <w:rsid w:val="00D1444F"/>
    <w:rsid w:val="00D145AD"/>
    <w:rsid w:val="00D147C9"/>
    <w:rsid w:val="00D149A2"/>
    <w:rsid w:val="00D149B8"/>
    <w:rsid w:val="00D149EC"/>
    <w:rsid w:val="00D149FB"/>
    <w:rsid w:val="00D14A8D"/>
    <w:rsid w:val="00D14A94"/>
    <w:rsid w:val="00D14B29"/>
    <w:rsid w:val="00D14B4F"/>
    <w:rsid w:val="00D14B7E"/>
    <w:rsid w:val="00D1500B"/>
    <w:rsid w:val="00D15092"/>
    <w:rsid w:val="00D150A2"/>
    <w:rsid w:val="00D15218"/>
    <w:rsid w:val="00D1529B"/>
    <w:rsid w:val="00D15417"/>
    <w:rsid w:val="00D15420"/>
    <w:rsid w:val="00D15498"/>
    <w:rsid w:val="00D1551B"/>
    <w:rsid w:val="00D15582"/>
    <w:rsid w:val="00D15655"/>
    <w:rsid w:val="00D156A8"/>
    <w:rsid w:val="00D159C1"/>
    <w:rsid w:val="00D15A61"/>
    <w:rsid w:val="00D15A6F"/>
    <w:rsid w:val="00D15A72"/>
    <w:rsid w:val="00D15A8A"/>
    <w:rsid w:val="00D15AF4"/>
    <w:rsid w:val="00D15B2F"/>
    <w:rsid w:val="00D15BCD"/>
    <w:rsid w:val="00D15BEE"/>
    <w:rsid w:val="00D15D0E"/>
    <w:rsid w:val="00D15D8D"/>
    <w:rsid w:val="00D15F3B"/>
    <w:rsid w:val="00D16031"/>
    <w:rsid w:val="00D160CB"/>
    <w:rsid w:val="00D1611E"/>
    <w:rsid w:val="00D162CB"/>
    <w:rsid w:val="00D16374"/>
    <w:rsid w:val="00D16632"/>
    <w:rsid w:val="00D16642"/>
    <w:rsid w:val="00D1666F"/>
    <w:rsid w:val="00D16794"/>
    <w:rsid w:val="00D1689D"/>
    <w:rsid w:val="00D168AD"/>
    <w:rsid w:val="00D169DF"/>
    <w:rsid w:val="00D16C08"/>
    <w:rsid w:val="00D16C69"/>
    <w:rsid w:val="00D16CB5"/>
    <w:rsid w:val="00D16CB9"/>
    <w:rsid w:val="00D16DFA"/>
    <w:rsid w:val="00D16E67"/>
    <w:rsid w:val="00D16E69"/>
    <w:rsid w:val="00D1700A"/>
    <w:rsid w:val="00D170A5"/>
    <w:rsid w:val="00D170AD"/>
    <w:rsid w:val="00D170B3"/>
    <w:rsid w:val="00D170B4"/>
    <w:rsid w:val="00D17140"/>
    <w:rsid w:val="00D17356"/>
    <w:rsid w:val="00D17464"/>
    <w:rsid w:val="00D1749D"/>
    <w:rsid w:val="00D1759E"/>
    <w:rsid w:val="00D177F1"/>
    <w:rsid w:val="00D17881"/>
    <w:rsid w:val="00D17AD0"/>
    <w:rsid w:val="00D17B8A"/>
    <w:rsid w:val="00D17D14"/>
    <w:rsid w:val="00D17E8D"/>
    <w:rsid w:val="00D17FC9"/>
    <w:rsid w:val="00D200DD"/>
    <w:rsid w:val="00D20143"/>
    <w:rsid w:val="00D20250"/>
    <w:rsid w:val="00D20269"/>
    <w:rsid w:val="00D203F5"/>
    <w:rsid w:val="00D20486"/>
    <w:rsid w:val="00D2049E"/>
    <w:rsid w:val="00D20585"/>
    <w:rsid w:val="00D206D2"/>
    <w:rsid w:val="00D206F5"/>
    <w:rsid w:val="00D20734"/>
    <w:rsid w:val="00D207A6"/>
    <w:rsid w:val="00D209CB"/>
    <w:rsid w:val="00D20A8C"/>
    <w:rsid w:val="00D20C7A"/>
    <w:rsid w:val="00D20FB0"/>
    <w:rsid w:val="00D21072"/>
    <w:rsid w:val="00D210D2"/>
    <w:rsid w:val="00D2123A"/>
    <w:rsid w:val="00D2137F"/>
    <w:rsid w:val="00D213A8"/>
    <w:rsid w:val="00D21466"/>
    <w:rsid w:val="00D21541"/>
    <w:rsid w:val="00D2168E"/>
    <w:rsid w:val="00D21780"/>
    <w:rsid w:val="00D217B3"/>
    <w:rsid w:val="00D217B9"/>
    <w:rsid w:val="00D21891"/>
    <w:rsid w:val="00D21933"/>
    <w:rsid w:val="00D219CF"/>
    <w:rsid w:val="00D21A41"/>
    <w:rsid w:val="00D21AB2"/>
    <w:rsid w:val="00D21B1C"/>
    <w:rsid w:val="00D21BC1"/>
    <w:rsid w:val="00D21C25"/>
    <w:rsid w:val="00D21F5D"/>
    <w:rsid w:val="00D2209C"/>
    <w:rsid w:val="00D220E8"/>
    <w:rsid w:val="00D220EB"/>
    <w:rsid w:val="00D222C5"/>
    <w:rsid w:val="00D2236F"/>
    <w:rsid w:val="00D22455"/>
    <w:rsid w:val="00D224A9"/>
    <w:rsid w:val="00D2253D"/>
    <w:rsid w:val="00D22558"/>
    <w:rsid w:val="00D2258E"/>
    <w:rsid w:val="00D225B7"/>
    <w:rsid w:val="00D225E8"/>
    <w:rsid w:val="00D22829"/>
    <w:rsid w:val="00D2289C"/>
    <w:rsid w:val="00D22973"/>
    <w:rsid w:val="00D22979"/>
    <w:rsid w:val="00D22993"/>
    <w:rsid w:val="00D229F3"/>
    <w:rsid w:val="00D22B29"/>
    <w:rsid w:val="00D22BBB"/>
    <w:rsid w:val="00D22C01"/>
    <w:rsid w:val="00D22C7F"/>
    <w:rsid w:val="00D22D86"/>
    <w:rsid w:val="00D22DE8"/>
    <w:rsid w:val="00D22E7F"/>
    <w:rsid w:val="00D22EA2"/>
    <w:rsid w:val="00D22EFE"/>
    <w:rsid w:val="00D22FB2"/>
    <w:rsid w:val="00D2303A"/>
    <w:rsid w:val="00D23074"/>
    <w:rsid w:val="00D230FC"/>
    <w:rsid w:val="00D23172"/>
    <w:rsid w:val="00D2317F"/>
    <w:rsid w:val="00D23245"/>
    <w:rsid w:val="00D232C5"/>
    <w:rsid w:val="00D23319"/>
    <w:rsid w:val="00D2331A"/>
    <w:rsid w:val="00D2333B"/>
    <w:rsid w:val="00D23538"/>
    <w:rsid w:val="00D235DB"/>
    <w:rsid w:val="00D236E8"/>
    <w:rsid w:val="00D23754"/>
    <w:rsid w:val="00D23935"/>
    <w:rsid w:val="00D23954"/>
    <w:rsid w:val="00D23B6A"/>
    <w:rsid w:val="00D23B96"/>
    <w:rsid w:val="00D23BA2"/>
    <w:rsid w:val="00D23C11"/>
    <w:rsid w:val="00D23CEB"/>
    <w:rsid w:val="00D23E47"/>
    <w:rsid w:val="00D24092"/>
    <w:rsid w:val="00D24099"/>
    <w:rsid w:val="00D240A9"/>
    <w:rsid w:val="00D2429E"/>
    <w:rsid w:val="00D242E9"/>
    <w:rsid w:val="00D2433F"/>
    <w:rsid w:val="00D2439B"/>
    <w:rsid w:val="00D246A9"/>
    <w:rsid w:val="00D246DC"/>
    <w:rsid w:val="00D246F1"/>
    <w:rsid w:val="00D24713"/>
    <w:rsid w:val="00D247B8"/>
    <w:rsid w:val="00D24870"/>
    <w:rsid w:val="00D24B22"/>
    <w:rsid w:val="00D24C6B"/>
    <w:rsid w:val="00D24D3E"/>
    <w:rsid w:val="00D24D69"/>
    <w:rsid w:val="00D24EBF"/>
    <w:rsid w:val="00D25010"/>
    <w:rsid w:val="00D2506B"/>
    <w:rsid w:val="00D250D7"/>
    <w:rsid w:val="00D250EF"/>
    <w:rsid w:val="00D25187"/>
    <w:rsid w:val="00D2518E"/>
    <w:rsid w:val="00D251A2"/>
    <w:rsid w:val="00D2539A"/>
    <w:rsid w:val="00D253F8"/>
    <w:rsid w:val="00D25417"/>
    <w:rsid w:val="00D25453"/>
    <w:rsid w:val="00D254C4"/>
    <w:rsid w:val="00D254D1"/>
    <w:rsid w:val="00D25676"/>
    <w:rsid w:val="00D256F2"/>
    <w:rsid w:val="00D25739"/>
    <w:rsid w:val="00D257A4"/>
    <w:rsid w:val="00D257F5"/>
    <w:rsid w:val="00D25AE7"/>
    <w:rsid w:val="00D25B7C"/>
    <w:rsid w:val="00D25C46"/>
    <w:rsid w:val="00D25CA6"/>
    <w:rsid w:val="00D25EEB"/>
    <w:rsid w:val="00D25F22"/>
    <w:rsid w:val="00D25F45"/>
    <w:rsid w:val="00D25F52"/>
    <w:rsid w:val="00D2604C"/>
    <w:rsid w:val="00D26062"/>
    <w:rsid w:val="00D260A6"/>
    <w:rsid w:val="00D26179"/>
    <w:rsid w:val="00D262AC"/>
    <w:rsid w:val="00D262B7"/>
    <w:rsid w:val="00D26313"/>
    <w:rsid w:val="00D263A3"/>
    <w:rsid w:val="00D264C8"/>
    <w:rsid w:val="00D264CD"/>
    <w:rsid w:val="00D2679B"/>
    <w:rsid w:val="00D267A3"/>
    <w:rsid w:val="00D267F9"/>
    <w:rsid w:val="00D267FD"/>
    <w:rsid w:val="00D2681F"/>
    <w:rsid w:val="00D268B7"/>
    <w:rsid w:val="00D268BD"/>
    <w:rsid w:val="00D26958"/>
    <w:rsid w:val="00D269EB"/>
    <w:rsid w:val="00D26AE5"/>
    <w:rsid w:val="00D26AFC"/>
    <w:rsid w:val="00D26C45"/>
    <w:rsid w:val="00D26C8C"/>
    <w:rsid w:val="00D26D1B"/>
    <w:rsid w:val="00D26D6D"/>
    <w:rsid w:val="00D26DA7"/>
    <w:rsid w:val="00D26E09"/>
    <w:rsid w:val="00D26E58"/>
    <w:rsid w:val="00D26F02"/>
    <w:rsid w:val="00D26FF0"/>
    <w:rsid w:val="00D27192"/>
    <w:rsid w:val="00D271BB"/>
    <w:rsid w:val="00D27487"/>
    <w:rsid w:val="00D2750D"/>
    <w:rsid w:val="00D27717"/>
    <w:rsid w:val="00D27721"/>
    <w:rsid w:val="00D27746"/>
    <w:rsid w:val="00D2781F"/>
    <w:rsid w:val="00D2787F"/>
    <w:rsid w:val="00D27A49"/>
    <w:rsid w:val="00D27AAF"/>
    <w:rsid w:val="00D27B73"/>
    <w:rsid w:val="00D27BDA"/>
    <w:rsid w:val="00D27C4C"/>
    <w:rsid w:val="00D27C5F"/>
    <w:rsid w:val="00D27D35"/>
    <w:rsid w:val="00D27EB0"/>
    <w:rsid w:val="00D27F13"/>
    <w:rsid w:val="00D30079"/>
    <w:rsid w:val="00D301FE"/>
    <w:rsid w:val="00D30208"/>
    <w:rsid w:val="00D30317"/>
    <w:rsid w:val="00D3033C"/>
    <w:rsid w:val="00D3037B"/>
    <w:rsid w:val="00D30393"/>
    <w:rsid w:val="00D30453"/>
    <w:rsid w:val="00D30543"/>
    <w:rsid w:val="00D3059C"/>
    <w:rsid w:val="00D30657"/>
    <w:rsid w:val="00D30851"/>
    <w:rsid w:val="00D308A6"/>
    <w:rsid w:val="00D308B3"/>
    <w:rsid w:val="00D30A2D"/>
    <w:rsid w:val="00D30A9A"/>
    <w:rsid w:val="00D30C11"/>
    <w:rsid w:val="00D30DC5"/>
    <w:rsid w:val="00D30F80"/>
    <w:rsid w:val="00D3100C"/>
    <w:rsid w:val="00D3103E"/>
    <w:rsid w:val="00D3103F"/>
    <w:rsid w:val="00D3115F"/>
    <w:rsid w:val="00D3116F"/>
    <w:rsid w:val="00D313CE"/>
    <w:rsid w:val="00D31533"/>
    <w:rsid w:val="00D31629"/>
    <w:rsid w:val="00D3167C"/>
    <w:rsid w:val="00D31730"/>
    <w:rsid w:val="00D317B3"/>
    <w:rsid w:val="00D3181A"/>
    <w:rsid w:val="00D31997"/>
    <w:rsid w:val="00D31A18"/>
    <w:rsid w:val="00D31BE5"/>
    <w:rsid w:val="00D31C8A"/>
    <w:rsid w:val="00D31F7C"/>
    <w:rsid w:val="00D3203E"/>
    <w:rsid w:val="00D32054"/>
    <w:rsid w:val="00D32174"/>
    <w:rsid w:val="00D32328"/>
    <w:rsid w:val="00D32373"/>
    <w:rsid w:val="00D32399"/>
    <w:rsid w:val="00D32432"/>
    <w:rsid w:val="00D32472"/>
    <w:rsid w:val="00D32560"/>
    <w:rsid w:val="00D325F0"/>
    <w:rsid w:val="00D32683"/>
    <w:rsid w:val="00D326BC"/>
    <w:rsid w:val="00D3274C"/>
    <w:rsid w:val="00D327C3"/>
    <w:rsid w:val="00D32996"/>
    <w:rsid w:val="00D329C2"/>
    <w:rsid w:val="00D329DF"/>
    <w:rsid w:val="00D329E2"/>
    <w:rsid w:val="00D32A6C"/>
    <w:rsid w:val="00D32AFB"/>
    <w:rsid w:val="00D32B00"/>
    <w:rsid w:val="00D32D8F"/>
    <w:rsid w:val="00D32DB9"/>
    <w:rsid w:val="00D32DBE"/>
    <w:rsid w:val="00D32DFE"/>
    <w:rsid w:val="00D32EB9"/>
    <w:rsid w:val="00D32F45"/>
    <w:rsid w:val="00D33010"/>
    <w:rsid w:val="00D330D5"/>
    <w:rsid w:val="00D330F3"/>
    <w:rsid w:val="00D331A2"/>
    <w:rsid w:val="00D33276"/>
    <w:rsid w:val="00D33284"/>
    <w:rsid w:val="00D332EE"/>
    <w:rsid w:val="00D33343"/>
    <w:rsid w:val="00D33414"/>
    <w:rsid w:val="00D33485"/>
    <w:rsid w:val="00D334BB"/>
    <w:rsid w:val="00D33884"/>
    <w:rsid w:val="00D33952"/>
    <w:rsid w:val="00D339AB"/>
    <w:rsid w:val="00D33A2B"/>
    <w:rsid w:val="00D33A57"/>
    <w:rsid w:val="00D33A60"/>
    <w:rsid w:val="00D33A8A"/>
    <w:rsid w:val="00D33AB5"/>
    <w:rsid w:val="00D33B58"/>
    <w:rsid w:val="00D33B63"/>
    <w:rsid w:val="00D33BFF"/>
    <w:rsid w:val="00D33CA5"/>
    <w:rsid w:val="00D33CE3"/>
    <w:rsid w:val="00D33D74"/>
    <w:rsid w:val="00D33D90"/>
    <w:rsid w:val="00D33DA7"/>
    <w:rsid w:val="00D33E47"/>
    <w:rsid w:val="00D33FC7"/>
    <w:rsid w:val="00D34009"/>
    <w:rsid w:val="00D340FB"/>
    <w:rsid w:val="00D34149"/>
    <w:rsid w:val="00D34175"/>
    <w:rsid w:val="00D341B8"/>
    <w:rsid w:val="00D34229"/>
    <w:rsid w:val="00D342EF"/>
    <w:rsid w:val="00D34374"/>
    <w:rsid w:val="00D343CB"/>
    <w:rsid w:val="00D344A7"/>
    <w:rsid w:val="00D344B1"/>
    <w:rsid w:val="00D3452A"/>
    <w:rsid w:val="00D3459A"/>
    <w:rsid w:val="00D345D8"/>
    <w:rsid w:val="00D346CF"/>
    <w:rsid w:val="00D3472B"/>
    <w:rsid w:val="00D349FC"/>
    <w:rsid w:val="00D34B78"/>
    <w:rsid w:val="00D34D6C"/>
    <w:rsid w:val="00D34E1C"/>
    <w:rsid w:val="00D34FCA"/>
    <w:rsid w:val="00D34FD5"/>
    <w:rsid w:val="00D3503B"/>
    <w:rsid w:val="00D35057"/>
    <w:rsid w:val="00D35109"/>
    <w:rsid w:val="00D351C3"/>
    <w:rsid w:val="00D35265"/>
    <w:rsid w:val="00D35269"/>
    <w:rsid w:val="00D352EA"/>
    <w:rsid w:val="00D35358"/>
    <w:rsid w:val="00D3557D"/>
    <w:rsid w:val="00D355C2"/>
    <w:rsid w:val="00D3569E"/>
    <w:rsid w:val="00D35708"/>
    <w:rsid w:val="00D357CE"/>
    <w:rsid w:val="00D358A0"/>
    <w:rsid w:val="00D358C1"/>
    <w:rsid w:val="00D35993"/>
    <w:rsid w:val="00D35A0F"/>
    <w:rsid w:val="00D35AEE"/>
    <w:rsid w:val="00D35B4E"/>
    <w:rsid w:val="00D35BD7"/>
    <w:rsid w:val="00D35D10"/>
    <w:rsid w:val="00D35D70"/>
    <w:rsid w:val="00D35DC6"/>
    <w:rsid w:val="00D35E6D"/>
    <w:rsid w:val="00D36032"/>
    <w:rsid w:val="00D360D1"/>
    <w:rsid w:val="00D360F6"/>
    <w:rsid w:val="00D36175"/>
    <w:rsid w:val="00D362A1"/>
    <w:rsid w:val="00D362DC"/>
    <w:rsid w:val="00D36646"/>
    <w:rsid w:val="00D367C1"/>
    <w:rsid w:val="00D367D9"/>
    <w:rsid w:val="00D36828"/>
    <w:rsid w:val="00D36AC5"/>
    <w:rsid w:val="00D36CB6"/>
    <w:rsid w:val="00D36CD2"/>
    <w:rsid w:val="00D36D63"/>
    <w:rsid w:val="00D36D9B"/>
    <w:rsid w:val="00D36E16"/>
    <w:rsid w:val="00D36E73"/>
    <w:rsid w:val="00D36F14"/>
    <w:rsid w:val="00D37003"/>
    <w:rsid w:val="00D3708F"/>
    <w:rsid w:val="00D3746D"/>
    <w:rsid w:val="00D37523"/>
    <w:rsid w:val="00D3776D"/>
    <w:rsid w:val="00D37863"/>
    <w:rsid w:val="00D378A3"/>
    <w:rsid w:val="00D378BE"/>
    <w:rsid w:val="00D37B2A"/>
    <w:rsid w:val="00D37B7D"/>
    <w:rsid w:val="00D37C90"/>
    <w:rsid w:val="00D37FA8"/>
    <w:rsid w:val="00D40082"/>
    <w:rsid w:val="00D400BF"/>
    <w:rsid w:val="00D4013F"/>
    <w:rsid w:val="00D401DE"/>
    <w:rsid w:val="00D40287"/>
    <w:rsid w:val="00D402B7"/>
    <w:rsid w:val="00D402B9"/>
    <w:rsid w:val="00D40362"/>
    <w:rsid w:val="00D403B7"/>
    <w:rsid w:val="00D404C6"/>
    <w:rsid w:val="00D40545"/>
    <w:rsid w:val="00D405A9"/>
    <w:rsid w:val="00D4065E"/>
    <w:rsid w:val="00D407F0"/>
    <w:rsid w:val="00D408B6"/>
    <w:rsid w:val="00D40A22"/>
    <w:rsid w:val="00D40B29"/>
    <w:rsid w:val="00D40BD5"/>
    <w:rsid w:val="00D40C95"/>
    <w:rsid w:val="00D40CC1"/>
    <w:rsid w:val="00D40D4B"/>
    <w:rsid w:val="00D40D87"/>
    <w:rsid w:val="00D40DE5"/>
    <w:rsid w:val="00D40E60"/>
    <w:rsid w:val="00D40EAB"/>
    <w:rsid w:val="00D4123B"/>
    <w:rsid w:val="00D41266"/>
    <w:rsid w:val="00D41434"/>
    <w:rsid w:val="00D41717"/>
    <w:rsid w:val="00D41831"/>
    <w:rsid w:val="00D418F8"/>
    <w:rsid w:val="00D41930"/>
    <w:rsid w:val="00D419CA"/>
    <w:rsid w:val="00D41A6D"/>
    <w:rsid w:val="00D41C04"/>
    <w:rsid w:val="00D41C2B"/>
    <w:rsid w:val="00D41C53"/>
    <w:rsid w:val="00D41E35"/>
    <w:rsid w:val="00D41EDD"/>
    <w:rsid w:val="00D41F38"/>
    <w:rsid w:val="00D4204A"/>
    <w:rsid w:val="00D420CA"/>
    <w:rsid w:val="00D4214E"/>
    <w:rsid w:val="00D42253"/>
    <w:rsid w:val="00D4241D"/>
    <w:rsid w:val="00D42420"/>
    <w:rsid w:val="00D424E7"/>
    <w:rsid w:val="00D42542"/>
    <w:rsid w:val="00D426CF"/>
    <w:rsid w:val="00D4270F"/>
    <w:rsid w:val="00D427D7"/>
    <w:rsid w:val="00D427FE"/>
    <w:rsid w:val="00D4280B"/>
    <w:rsid w:val="00D4280C"/>
    <w:rsid w:val="00D4287B"/>
    <w:rsid w:val="00D428AB"/>
    <w:rsid w:val="00D428DC"/>
    <w:rsid w:val="00D42900"/>
    <w:rsid w:val="00D42944"/>
    <w:rsid w:val="00D429CC"/>
    <w:rsid w:val="00D429CE"/>
    <w:rsid w:val="00D42B02"/>
    <w:rsid w:val="00D42C45"/>
    <w:rsid w:val="00D42C61"/>
    <w:rsid w:val="00D42D02"/>
    <w:rsid w:val="00D42D12"/>
    <w:rsid w:val="00D42D6F"/>
    <w:rsid w:val="00D42D75"/>
    <w:rsid w:val="00D42EB9"/>
    <w:rsid w:val="00D42EDF"/>
    <w:rsid w:val="00D4304C"/>
    <w:rsid w:val="00D430DF"/>
    <w:rsid w:val="00D43184"/>
    <w:rsid w:val="00D431D5"/>
    <w:rsid w:val="00D4332C"/>
    <w:rsid w:val="00D43367"/>
    <w:rsid w:val="00D4340B"/>
    <w:rsid w:val="00D4353D"/>
    <w:rsid w:val="00D435C2"/>
    <w:rsid w:val="00D4362B"/>
    <w:rsid w:val="00D4370F"/>
    <w:rsid w:val="00D4382F"/>
    <w:rsid w:val="00D438E5"/>
    <w:rsid w:val="00D43978"/>
    <w:rsid w:val="00D43ACB"/>
    <w:rsid w:val="00D43B8A"/>
    <w:rsid w:val="00D43BC2"/>
    <w:rsid w:val="00D43C2F"/>
    <w:rsid w:val="00D43C45"/>
    <w:rsid w:val="00D43C8F"/>
    <w:rsid w:val="00D43D9C"/>
    <w:rsid w:val="00D43F7D"/>
    <w:rsid w:val="00D43FDB"/>
    <w:rsid w:val="00D44022"/>
    <w:rsid w:val="00D440EE"/>
    <w:rsid w:val="00D440FE"/>
    <w:rsid w:val="00D44184"/>
    <w:rsid w:val="00D4419A"/>
    <w:rsid w:val="00D442CB"/>
    <w:rsid w:val="00D4437B"/>
    <w:rsid w:val="00D4439D"/>
    <w:rsid w:val="00D44453"/>
    <w:rsid w:val="00D44454"/>
    <w:rsid w:val="00D444A6"/>
    <w:rsid w:val="00D444CC"/>
    <w:rsid w:val="00D444EF"/>
    <w:rsid w:val="00D44533"/>
    <w:rsid w:val="00D446D2"/>
    <w:rsid w:val="00D4486A"/>
    <w:rsid w:val="00D448BA"/>
    <w:rsid w:val="00D44992"/>
    <w:rsid w:val="00D449B4"/>
    <w:rsid w:val="00D449ED"/>
    <w:rsid w:val="00D44A5D"/>
    <w:rsid w:val="00D44C72"/>
    <w:rsid w:val="00D44D52"/>
    <w:rsid w:val="00D44E2C"/>
    <w:rsid w:val="00D44E8C"/>
    <w:rsid w:val="00D45170"/>
    <w:rsid w:val="00D452AF"/>
    <w:rsid w:val="00D453DA"/>
    <w:rsid w:val="00D45546"/>
    <w:rsid w:val="00D45687"/>
    <w:rsid w:val="00D45746"/>
    <w:rsid w:val="00D45B6E"/>
    <w:rsid w:val="00D45D2E"/>
    <w:rsid w:val="00D45E02"/>
    <w:rsid w:val="00D45E24"/>
    <w:rsid w:val="00D45EEE"/>
    <w:rsid w:val="00D460C3"/>
    <w:rsid w:val="00D460F0"/>
    <w:rsid w:val="00D461E0"/>
    <w:rsid w:val="00D46357"/>
    <w:rsid w:val="00D464E8"/>
    <w:rsid w:val="00D46649"/>
    <w:rsid w:val="00D466A2"/>
    <w:rsid w:val="00D4672F"/>
    <w:rsid w:val="00D467EC"/>
    <w:rsid w:val="00D46816"/>
    <w:rsid w:val="00D46869"/>
    <w:rsid w:val="00D4695D"/>
    <w:rsid w:val="00D469E2"/>
    <w:rsid w:val="00D46A76"/>
    <w:rsid w:val="00D46BAF"/>
    <w:rsid w:val="00D46BE7"/>
    <w:rsid w:val="00D46C16"/>
    <w:rsid w:val="00D46D26"/>
    <w:rsid w:val="00D46E14"/>
    <w:rsid w:val="00D46ECB"/>
    <w:rsid w:val="00D46FD7"/>
    <w:rsid w:val="00D47076"/>
    <w:rsid w:val="00D47184"/>
    <w:rsid w:val="00D47204"/>
    <w:rsid w:val="00D473D5"/>
    <w:rsid w:val="00D47435"/>
    <w:rsid w:val="00D4751D"/>
    <w:rsid w:val="00D4761A"/>
    <w:rsid w:val="00D47803"/>
    <w:rsid w:val="00D478A2"/>
    <w:rsid w:val="00D478BC"/>
    <w:rsid w:val="00D47929"/>
    <w:rsid w:val="00D47A57"/>
    <w:rsid w:val="00D47B06"/>
    <w:rsid w:val="00D47B10"/>
    <w:rsid w:val="00D47B1B"/>
    <w:rsid w:val="00D47C58"/>
    <w:rsid w:val="00D47DCF"/>
    <w:rsid w:val="00D47E4B"/>
    <w:rsid w:val="00D47FF6"/>
    <w:rsid w:val="00D50005"/>
    <w:rsid w:val="00D50018"/>
    <w:rsid w:val="00D50025"/>
    <w:rsid w:val="00D5045C"/>
    <w:rsid w:val="00D50853"/>
    <w:rsid w:val="00D5091C"/>
    <w:rsid w:val="00D509FD"/>
    <w:rsid w:val="00D50A40"/>
    <w:rsid w:val="00D50AD5"/>
    <w:rsid w:val="00D50AEC"/>
    <w:rsid w:val="00D50C1D"/>
    <w:rsid w:val="00D50D9B"/>
    <w:rsid w:val="00D50F5B"/>
    <w:rsid w:val="00D51034"/>
    <w:rsid w:val="00D510D4"/>
    <w:rsid w:val="00D511E5"/>
    <w:rsid w:val="00D5124A"/>
    <w:rsid w:val="00D51420"/>
    <w:rsid w:val="00D51467"/>
    <w:rsid w:val="00D5146E"/>
    <w:rsid w:val="00D51487"/>
    <w:rsid w:val="00D5158B"/>
    <w:rsid w:val="00D515C2"/>
    <w:rsid w:val="00D515FA"/>
    <w:rsid w:val="00D51631"/>
    <w:rsid w:val="00D516AA"/>
    <w:rsid w:val="00D516F6"/>
    <w:rsid w:val="00D5170B"/>
    <w:rsid w:val="00D517F2"/>
    <w:rsid w:val="00D519F8"/>
    <w:rsid w:val="00D51A95"/>
    <w:rsid w:val="00D51AC6"/>
    <w:rsid w:val="00D51ADF"/>
    <w:rsid w:val="00D51EAB"/>
    <w:rsid w:val="00D520AD"/>
    <w:rsid w:val="00D52233"/>
    <w:rsid w:val="00D522A0"/>
    <w:rsid w:val="00D52315"/>
    <w:rsid w:val="00D5240C"/>
    <w:rsid w:val="00D52703"/>
    <w:rsid w:val="00D52724"/>
    <w:rsid w:val="00D5297D"/>
    <w:rsid w:val="00D52987"/>
    <w:rsid w:val="00D52A44"/>
    <w:rsid w:val="00D52A5C"/>
    <w:rsid w:val="00D52A65"/>
    <w:rsid w:val="00D52A6A"/>
    <w:rsid w:val="00D52B1A"/>
    <w:rsid w:val="00D52BEC"/>
    <w:rsid w:val="00D52BF6"/>
    <w:rsid w:val="00D52CE2"/>
    <w:rsid w:val="00D52E77"/>
    <w:rsid w:val="00D52EE2"/>
    <w:rsid w:val="00D52FFA"/>
    <w:rsid w:val="00D5304E"/>
    <w:rsid w:val="00D530DE"/>
    <w:rsid w:val="00D53293"/>
    <w:rsid w:val="00D53347"/>
    <w:rsid w:val="00D533B0"/>
    <w:rsid w:val="00D534BC"/>
    <w:rsid w:val="00D534E8"/>
    <w:rsid w:val="00D53507"/>
    <w:rsid w:val="00D53531"/>
    <w:rsid w:val="00D53547"/>
    <w:rsid w:val="00D535B6"/>
    <w:rsid w:val="00D53659"/>
    <w:rsid w:val="00D5372A"/>
    <w:rsid w:val="00D53786"/>
    <w:rsid w:val="00D53938"/>
    <w:rsid w:val="00D53988"/>
    <w:rsid w:val="00D539BB"/>
    <w:rsid w:val="00D53A76"/>
    <w:rsid w:val="00D53B44"/>
    <w:rsid w:val="00D53DA5"/>
    <w:rsid w:val="00D53DED"/>
    <w:rsid w:val="00D53F03"/>
    <w:rsid w:val="00D541FD"/>
    <w:rsid w:val="00D54259"/>
    <w:rsid w:val="00D54260"/>
    <w:rsid w:val="00D542BD"/>
    <w:rsid w:val="00D54359"/>
    <w:rsid w:val="00D543A5"/>
    <w:rsid w:val="00D543D2"/>
    <w:rsid w:val="00D544AB"/>
    <w:rsid w:val="00D545C0"/>
    <w:rsid w:val="00D54612"/>
    <w:rsid w:val="00D5462D"/>
    <w:rsid w:val="00D5473F"/>
    <w:rsid w:val="00D5474D"/>
    <w:rsid w:val="00D547D4"/>
    <w:rsid w:val="00D5486F"/>
    <w:rsid w:val="00D54878"/>
    <w:rsid w:val="00D54AE3"/>
    <w:rsid w:val="00D54D1D"/>
    <w:rsid w:val="00D54D25"/>
    <w:rsid w:val="00D54E32"/>
    <w:rsid w:val="00D54E35"/>
    <w:rsid w:val="00D54F04"/>
    <w:rsid w:val="00D54F06"/>
    <w:rsid w:val="00D54FAA"/>
    <w:rsid w:val="00D5517B"/>
    <w:rsid w:val="00D553E1"/>
    <w:rsid w:val="00D5560B"/>
    <w:rsid w:val="00D556FB"/>
    <w:rsid w:val="00D5571F"/>
    <w:rsid w:val="00D558C2"/>
    <w:rsid w:val="00D55BCE"/>
    <w:rsid w:val="00D55D61"/>
    <w:rsid w:val="00D55D94"/>
    <w:rsid w:val="00D55F5F"/>
    <w:rsid w:val="00D55FCE"/>
    <w:rsid w:val="00D55FFD"/>
    <w:rsid w:val="00D5600C"/>
    <w:rsid w:val="00D56071"/>
    <w:rsid w:val="00D56131"/>
    <w:rsid w:val="00D562B7"/>
    <w:rsid w:val="00D56377"/>
    <w:rsid w:val="00D56453"/>
    <w:rsid w:val="00D5658E"/>
    <w:rsid w:val="00D56602"/>
    <w:rsid w:val="00D56649"/>
    <w:rsid w:val="00D5667B"/>
    <w:rsid w:val="00D566C3"/>
    <w:rsid w:val="00D567FB"/>
    <w:rsid w:val="00D568EE"/>
    <w:rsid w:val="00D569EB"/>
    <w:rsid w:val="00D56B51"/>
    <w:rsid w:val="00D56D4C"/>
    <w:rsid w:val="00D56DE3"/>
    <w:rsid w:val="00D56E3B"/>
    <w:rsid w:val="00D56E94"/>
    <w:rsid w:val="00D56EE9"/>
    <w:rsid w:val="00D57238"/>
    <w:rsid w:val="00D5744A"/>
    <w:rsid w:val="00D5746A"/>
    <w:rsid w:val="00D5752D"/>
    <w:rsid w:val="00D57557"/>
    <w:rsid w:val="00D57662"/>
    <w:rsid w:val="00D576D6"/>
    <w:rsid w:val="00D57708"/>
    <w:rsid w:val="00D578A2"/>
    <w:rsid w:val="00D579B8"/>
    <w:rsid w:val="00D57A76"/>
    <w:rsid w:val="00D57D14"/>
    <w:rsid w:val="00D57D5A"/>
    <w:rsid w:val="00D57E07"/>
    <w:rsid w:val="00D57E86"/>
    <w:rsid w:val="00D57EF1"/>
    <w:rsid w:val="00D57EF8"/>
    <w:rsid w:val="00D60073"/>
    <w:rsid w:val="00D60082"/>
    <w:rsid w:val="00D600B0"/>
    <w:rsid w:val="00D60166"/>
    <w:rsid w:val="00D6016C"/>
    <w:rsid w:val="00D60178"/>
    <w:rsid w:val="00D601CC"/>
    <w:rsid w:val="00D604F3"/>
    <w:rsid w:val="00D60546"/>
    <w:rsid w:val="00D60640"/>
    <w:rsid w:val="00D60680"/>
    <w:rsid w:val="00D607DB"/>
    <w:rsid w:val="00D60808"/>
    <w:rsid w:val="00D6084B"/>
    <w:rsid w:val="00D6088B"/>
    <w:rsid w:val="00D608FD"/>
    <w:rsid w:val="00D609BE"/>
    <w:rsid w:val="00D60B52"/>
    <w:rsid w:val="00D60B8A"/>
    <w:rsid w:val="00D60CE9"/>
    <w:rsid w:val="00D60D29"/>
    <w:rsid w:val="00D60D4D"/>
    <w:rsid w:val="00D60D81"/>
    <w:rsid w:val="00D60D92"/>
    <w:rsid w:val="00D60FA6"/>
    <w:rsid w:val="00D61159"/>
    <w:rsid w:val="00D61391"/>
    <w:rsid w:val="00D6145A"/>
    <w:rsid w:val="00D6155E"/>
    <w:rsid w:val="00D617D4"/>
    <w:rsid w:val="00D617EB"/>
    <w:rsid w:val="00D61884"/>
    <w:rsid w:val="00D618F6"/>
    <w:rsid w:val="00D619EE"/>
    <w:rsid w:val="00D61A4D"/>
    <w:rsid w:val="00D61A77"/>
    <w:rsid w:val="00D61AD2"/>
    <w:rsid w:val="00D61ADF"/>
    <w:rsid w:val="00D61B01"/>
    <w:rsid w:val="00D61C0D"/>
    <w:rsid w:val="00D61CC3"/>
    <w:rsid w:val="00D61DFC"/>
    <w:rsid w:val="00D61E41"/>
    <w:rsid w:val="00D61F35"/>
    <w:rsid w:val="00D62182"/>
    <w:rsid w:val="00D6221D"/>
    <w:rsid w:val="00D6221E"/>
    <w:rsid w:val="00D622B2"/>
    <w:rsid w:val="00D622EA"/>
    <w:rsid w:val="00D624CC"/>
    <w:rsid w:val="00D624E5"/>
    <w:rsid w:val="00D62573"/>
    <w:rsid w:val="00D6262C"/>
    <w:rsid w:val="00D6277A"/>
    <w:rsid w:val="00D62C70"/>
    <w:rsid w:val="00D62C7C"/>
    <w:rsid w:val="00D62DEF"/>
    <w:rsid w:val="00D62E21"/>
    <w:rsid w:val="00D62E78"/>
    <w:rsid w:val="00D62EED"/>
    <w:rsid w:val="00D63001"/>
    <w:rsid w:val="00D63280"/>
    <w:rsid w:val="00D632CD"/>
    <w:rsid w:val="00D63419"/>
    <w:rsid w:val="00D63436"/>
    <w:rsid w:val="00D63512"/>
    <w:rsid w:val="00D63690"/>
    <w:rsid w:val="00D636A7"/>
    <w:rsid w:val="00D63863"/>
    <w:rsid w:val="00D638C7"/>
    <w:rsid w:val="00D63926"/>
    <w:rsid w:val="00D63A70"/>
    <w:rsid w:val="00D63A7B"/>
    <w:rsid w:val="00D63DD4"/>
    <w:rsid w:val="00D63DE2"/>
    <w:rsid w:val="00D64029"/>
    <w:rsid w:val="00D6405F"/>
    <w:rsid w:val="00D640E3"/>
    <w:rsid w:val="00D640EE"/>
    <w:rsid w:val="00D64179"/>
    <w:rsid w:val="00D6418F"/>
    <w:rsid w:val="00D64227"/>
    <w:rsid w:val="00D642F1"/>
    <w:rsid w:val="00D64304"/>
    <w:rsid w:val="00D646B2"/>
    <w:rsid w:val="00D647F6"/>
    <w:rsid w:val="00D648DA"/>
    <w:rsid w:val="00D64913"/>
    <w:rsid w:val="00D649DA"/>
    <w:rsid w:val="00D64A06"/>
    <w:rsid w:val="00D64A55"/>
    <w:rsid w:val="00D64D53"/>
    <w:rsid w:val="00D64E28"/>
    <w:rsid w:val="00D64EFC"/>
    <w:rsid w:val="00D64F7C"/>
    <w:rsid w:val="00D65060"/>
    <w:rsid w:val="00D650F5"/>
    <w:rsid w:val="00D651EF"/>
    <w:rsid w:val="00D65429"/>
    <w:rsid w:val="00D65491"/>
    <w:rsid w:val="00D654D3"/>
    <w:rsid w:val="00D654DC"/>
    <w:rsid w:val="00D65539"/>
    <w:rsid w:val="00D655AC"/>
    <w:rsid w:val="00D65609"/>
    <w:rsid w:val="00D65691"/>
    <w:rsid w:val="00D65744"/>
    <w:rsid w:val="00D65886"/>
    <w:rsid w:val="00D659A5"/>
    <w:rsid w:val="00D65B3D"/>
    <w:rsid w:val="00D65B88"/>
    <w:rsid w:val="00D65BFA"/>
    <w:rsid w:val="00D65C3C"/>
    <w:rsid w:val="00D65CAA"/>
    <w:rsid w:val="00D65D4B"/>
    <w:rsid w:val="00D65EE0"/>
    <w:rsid w:val="00D65EF2"/>
    <w:rsid w:val="00D65FF2"/>
    <w:rsid w:val="00D6617C"/>
    <w:rsid w:val="00D662C5"/>
    <w:rsid w:val="00D662C7"/>
    <w:rsid w:val="00D66468"/>
    <w:rsid w:val="00D66594"/>
    <w:rsid w:val="00D66794"/>
    <w:rsid w:val="00D66799"/>
    <w:rsid w:val="00D667B9"/>
    <w:rsid w:val="00D667CB"/>
    <w:rsid w:val="00D66804"/>
    <w:rsid w:val="00D6687C"/>
    <w:rsid w:val="00D6689C"/>
    <w:rsid w:val="00D66ACC"/>
    <w:rsid w:val="00D66B60"/>
    <w:rsid w:val="00D66C0B"/>
    <w:rsid w:val="00D66CBB"/>
    <w:rsid w:val="00D66E52"/>
    <w:rsid w:val="00D66FA8"/>
    <w:rsid w:val="00D6711A"/>
    <w:rsid w:val="00D6712E"/>
    <w:rsid w:val="00D67157"/>
    <w:rsid w:val="00D671E8"/>
    <w:rsid w:val="00D671EE"/>
    <w:rsid w:val="00D67205"/>
    <w:rsid w:val="00D67232"/>
    <w:rsid w:val="00D67279"/>
    <w:rsid w:val="00D67329"/>
    <w:rsid w:val="00D673B5"/>
    <w:rsid w:val="00D67400"/>
    <w:rsid w:val="00D67409"/>
    <w:rsid w:val="00D6755A"/>
    <w:rsid w:val="00D675CA"/>
    <w:rsid w:val="00D675DA"/>
    <w:rsid w:val="00D67668"/>
    <w:rsid w:val="00D67741"/>
    <w:rsid w:val="00D67745"/>
    <w:rsid w:val="00D677CB"/>
    <w:rsid w:val="00D67839"/>
    <w:rsid w:val="00D67894"/>
    <w:rsid w:val="00D678CE"/>
    <w:rsid w:val="00D67BD4"/>
    <w:rsid w:val="00D67D81"/>
    <w:rsid w:val="00D67F76"/>
    <w:rsid w:val="00D7000B"/>
    <w:rsid w:val="00D70014"/>
    <w:rsid w:val="00D7002A"/>
    <w:rsid w:val="00D700C3"/>
    <w:rsid w:val="00D70117"/>
    <w:rsid w:val="00D70134"/>
    <w:rsid w:val="00D70154"/>
    <w:rsid w:val="00D701BE"/>
    <w:rsid w:val="00D70218"/>
    <w:rsid w:val="00D7023E"/>
    <w:rsid w:val="00D70286"/>
    <w:rsid w:val="00D702C4"/>
    <w:rsid w:val="00D70433"/>
    <w:rsid w:val="00D70436"/>
    <w:rsid w:val="00D7046E"/>
    <w:rsid w:val="00D70595"/>
    <w:rsid w:val="00D70664"/>
    <w:rsid w:val="00D706A0"/>
    <w:rsid w:val="00D709CC"/>
    <w:rsid w:val="00D709D2"/>
    <w:rsid w:val="00D70CA7"/>
    <w:rsid w:val="00D70CAA"/>
    <w:rsid w:val="00D70CB4"/>
    <w:rsid w:val="00D70D78"/>
    <w:rsid w:val="00D70F01"/>
    <w:rsid w:val="00D7108B"/>
    <w:rsid w:val="00D71210"/>
    <w:rsid w:val="00D7121E"/>
    <w:rsid w:val="00D712F4"/>
    <w:rsid w:val="00D713C0"/>
    <w:rsid w:val="00D714D8"/>
    <w:rsid w:val="00D714E9"/>
    <w:rsid w:val="00D71505"/>
    <w:rsid w:val="00D71553"/>
    <w:rsid w:val="00D71649"/>
    <w:rsid w:val="00D717FD"/>
    <w:rsid w:val="00D71806"/>
    <w:rsid w:val="00D71875"/>
    <w:rsid w:val="00D718C4"/>
    <w:rsid w:val="00D71A4B"/>
    <w:rsid w:val="00D71AEB"/>
    <w:rsid w:val="00D71B48"/>
    <w:rsid w:val="00D71B68"/>
    <w:rsid w:val="00D71B7F"/>
    <w:rsid w:val="00D71BA8"/>
    <w:rsid w:val="00D71C21"/>
    <w:rsid w:val="00D71C2D"/>
    <w:rsid w:val="00D71C4C"/>
    <w:rsid w:val="00D71D20"/>
    <w:rsid w:val="00D71D50"/>
    <w:rsid w:val="00D71D5E"/>
    <w:rsid w:val="00D71E64"/>
    <w:rsid w:val="00D7201E"/>
    <w:rsid w:val="00D72081"/>
    <w:rsid w:val="00D72082"/>
    <w:rsid w:val="00D7208D"/>
    <w:rsid w:val="00D72305"/>
    <w:rsid w:val="00D72388"/>
    <w:rsid w:val="00D72534"/>
    <w:rsid w:val="00D7260A"/>
    <w:rsid w:val="00D72637"/>
    <w:rsid w:val="00D72806"/>
    <w:rsid w:val="00D72822"/>
    <w:rsid w:val="00D7298E"/>
    <w:rsid w:val="00D7299F"/>
    <w:rsid w:val="00D72B2C"/>
    <w:rsid w:val="00D72CC5"/>
    <w:rsid w:val="00D72D13"/>
    <w:rsid w:val="00D72DAF"/>
    <w:rsid w:val="00D72E84"/>
    <w:rsid w:val="00D72EAD"/>
    <w:rsid w:val="00D72EB9"/>
    <w:rsid w:val="00D72ED0"/>
    <w:rsid w:val="00D72F02"/>
    <w:rsid w:val="00D72F46"/>
    <w:rsid w:val="00D72F86"/>
    <w:rsid w:val="00D73151"/>
    <w:rsid w:val="00D732C0"/>
    <w:rsid w:val="00D732E7"/>
    <w:rsid w:val="00D73398"/>
    <w:rsid w:val="00D73411"/>
    <w:rsid w:val="00D7359E"/>
    <w:rsid w:val="00D7364F"/>
    <w:rsid w:val="00D7368D"/>
    <w:rsid w:val="00D73696"/>
    <w:rsid w:val="00D73803"/>
    <w:rsid w:val="00D7399C"/>
    <w:rsid w:val="00D739FE"/>
    <w:rsid w:val="00D73A8C"/>
    <w:rsid w:val="00D73A92"/>
    <w:rsid w:val="00D73AA4"/>
    <w:rsid w:val="00D73AC4"/>
    <w:rsid w:val="00D73B02"/>
    <w:rsid w:val="00D73BC6"/>
    <w:rsid w:val="00D73C8C"/>
    <w:rsid w:val="00D73CB7"/>
    <w:rsid w:val="00D73EB3"/>
    <w:rsid w:val="00D73ECA"/>
    <w:rsid w:val="00D73F3F"/>
    <w:rsid w:val="00D73FD9"/>
    <w:rsid w:val="00D740AC"/>
    <w:rsid w:val="00D7413A"/>
    <w:rsid w:val="00D741A1"/>
    <w:rsid w:val="00D741A3"/>
    <w:rsid w:val="00D741C3"/>
    <w:rsid w:val="00D74276"/>
    <w:rsid w:val="00D74327"/>
    <w:rsid w:val="00D743AA"/>
    <w:rsid w:val="00D7468F"/>
    <w:rsid w:val="00D747E5"/>
    <w:rsid w:val="00D747F8"/>
    <w:rsid w:val="00D7481F"/>
    <w:rsid w:val="00D7498B"/>
    <w:rsid w:val="00D74A90"/>
    <w:rsid w:val="00D74B48"/>
    <w:rsid w:val="00D751B4"/>
    <w:rsid w:val="00D75367"/>
    <w:rsid w:val="00D7536D"/>
    <w:rsid w:val="00D7542C"/>
    <w:rsid w:val="00D75519"/>
    <w:rsid w:val="00D75550"/>
    <w:rsid w:val="00D75595"/>
    <w:rsid w:val="00D75705"/>
    <w:rsid w:val="00D75708"/>
    <w:rsid w:val="00D75801"/>
    <w:rsid w:val="00D759F3"/>
    <w:rsid w:val="00D75A80"/>
    <w:rsid w:val="00D75AEC"/>
    <w:rsid w:val="00D75C78"/>
    <w:rsid w:val="00D75D58"/>
    <w:rsid w:val="00D75E95"/>
    <w:rsid w:val="00D75FC0"/>
    <w:rsid w:val="00D7607A"/>
    <w:rsid w:val="00D761B5"/>
    <w:rsid w:val="00D763FE"/>
    <w:rsid w:val="00D7640C"/>
    <w:rsid w:val="00D7641F"/>
    <w:rsid w:val="00D76491"/>
    <w:rsid w:val="00D76504"/>
    <w:rsid w:val="00D7652A"/>
    <w:rsid w:val="00D765B0"/>
    <w:rsid w:val="00D76630"/>
    <w:rsid w:val="00D766F6"/>
    <w:rsid w:val="00D76708"/>
    <w:rsid w:val="00D7675A"/>
    <w:rsid w:val="00D768A4"/>
    <w:rsid w:val="00D768FD"/>
    <w:rsid w:val="00D76944"/>
    <w:rsid w:val="00D76A9D"/>
    <w:rsid w:val="00D76AFE"/>
    <w:rsid w:val="00D76B0E"/>
    <w:rsid w:val="00D76B2C"/>
    <w:rsid w:val="00D76BA7"/>
    <w:rsid w:val="00D76C43"/>
    <w:rsid w:val="00D76C65"/>
    <w:rsid w:val="00D76CB1"/>
    <w:rsid w:val="00D76E6F"/>
    <w:rsid w:val="00D76EAC"/>
    <w:rsid w:val="00D76EE4"/>
    <w:rsid w:val="00D76F25"/>
    <w:rsid w:val="00D76F3F"/>
    <w:rsid w:val="00D76F88"/>
    <w:rsid w:val="00D76FCF"/>
    <w:rsid w:val="00D77061"/>
    <w:rsid w:val="00D77164"/>
    <w:rsid w:val="00D771CB"/>
    <w:rsid w:val="00D7723B"/>
    <w:rsid w:val="00D7732D"/>
    <w:rsid w:val="00D77345"/>
    <w:rsid w:val="00D77347"/>
    <w:rsid w:val="00D7736A"/>
    <w:rsid w:val="00D77468"/>
    <w:rsid w:val="00D774C6"/>
    <w:rsid w:val="00D7751D"/>
    <w:rsid w:val="00D77650"/>
    <w:rsid w:val="00D777F9"/>
    <w:rsid w:val="00D7782B"/>
    <w:rsid w:val="00D778BB"/>
    <w:rsid w:val="00D77997"/>
    <w:rsid w:val="00D77A01"/>
    <w:rsid w:val="00D77A49"/>
    <w:rsid w:val="00D77A53"/>
    <w:rsid w:val="00D77A6A"/>
    <w:rsid w:val="00D77AD1"/>
    <w:rsid w:val="00D77D10"/>
    <w:rsid w:val="00D77D69"/>
    <w:rsid w:val="00D77DCC"/>
    <w:rsid w:val="00D77EC2"/>
    <w:rsid w:val="00D77F9A"/>
    <w:rsid w:val="00D77FE4"/>
    <w:rsid w:val="00D800B1"/>
    <w:rsid w:val="00D801AE"/>
    <w:rsid w:val="00D801BA"/>
    <w:rsid w:val="00D802E8"/>
    <w:rsid w:val="00D8030A"/>
    <w:rsid w:val="00D8031D"/>
    <w:rsid w:val="00D80328"/>
    <w:rsid w:val="00D803F4"/>
    <w:rsid w:val="00D80426"/>
    <w:rsid w:val="00D80478"/>
    <w:rsid w:val="00D8048D"/>
    <w:rsid w:val="00D804BF"/>
    <w:rsid w:val="00D80597"/>
    <w:rsid w:val="00D805A6"/>
    <w:rsid w:val="00D8067D"/>
    <w:rsid w:val="00D806F2"/>
    <w:rsid w:val="00D808B0"/>
    <w:rsid w:val="00D808B1"/>
    <w:rsid w:val="00D80948"/>
    <w:rsid w:val="00D80A6C"/>
    <w:rsid w:val="00D80A7E"/>
    <w:rsid w:val="00D80AAD"/>
    <w:rsid w:val="00D80C3E"/>
    <w:rsid w:val="00D80C78"/>
    <w:rsid w:val="00D80CE4"/>
    <w:rsid w:val="00D80E67"/>
    <w:rsid w:val="00D80EC9"/>
    <w:rsid w:val="00D80EEB"/>
    <w:rsid w:val="00D80F04"/>
    <w:rsid w:val="00D80F8C"/>
    <w:rsid w:val="00D80FD3"/>
    <w:rsid w:val="00D81048"/>
    <w:rsid w:val="00D81093"/>
    <w:rsid w:val="00D810BB"/>
    <w:rsid w:val="00D810E8"/>
    <w:rsid w:val="00D81112"/>
    <w:rsid w:val="00D812A8"/>
    <w:rsid w:val="00D81320"/>
    <w:rsid w:val="00D81477"/>
    <w:rsid w:val="00D814E9"/>
    <w:rsid w:val="00D814FA"/>
    <w:rsid w:val="00D815D0"/>
    <w:rsid w:val="00D8162C"/>
    <w:rsid w:val="00D817BD"/>
    <w:rsid w:val="00D81A37"/>
    <w:rsid w:val="00D81A7A"/>
    <w:rsid w:val="00D81D5D"/>
    <w:rsid w:val="00D81E20"/>
    <w:rsid w:val="00D81E9E"/>
    <w:rsid w:val="00D81F52"/>
    <w:rsid w:val="00D81FCF"/>
    <w:rsid w:val="00D821B9"/>
    <w:rsid w:val="00D82290"/>
    <w:rsid w:val="00D8241C"/>
    <w:rsid w:val="00D82425"/>
    <w:rsid w:val="00D8250E"/>
    <w:rsid w:val="00D8258B"/>
    <w:rsid w:val="00D8265D"/>
    <w:rsid w:val="00D826BF"/>
    <w:rsid w:val="00D827CF"/>
    <w:rsid w:val="00D82864"/>
    <w:rsid w:val="00D828A8"/>
    <w:rsid w:val="00D82971"/>
    <w:rsid w:val="00D82B85"/>
    <w:rsid w:val="00D82BF9"/>
    <w:rsid w:val="00D82C0C"/>
    <w:rsid w:val="00D82C20"/>
    <w:rsid w:val="00D82C2E"/>
    <w:rsid w:val="00D82C61"/>
    <w:rsid w:val="00D82EC7"/>
    <w:rsid w:val="00D82F12"/>
    <w:rsid w:val="00D82F37"/>
    <w:rsid w:val="00D82FD0"/>
    <w:rsid w:val="00D8301B"/>
    <w:rsid w:val="00D830E5"/>
    <w:rsid w:val="00D83181"/>
    <w:rsid w:val="00D8323E"/>
    <w:rsid w:val="00D832D4"/>
    <w:rsid w:val="00D8331D"/>
    <w:rsid w:val="00D83346"/>
    <w:rsid w:val="00D83430"/>
    <w:rsid w:val="00D83451"/>
    <w:rsid w:val="00D834FF"/>
    <w:rsid w:val="00D83508"/>
    <w:rsid w:val="00D836A4"/>
    <w:rsid w:val="00D836C0"/>
    <w:rsid w:val="00D836E5"/>
    <w:rsid w:val="00D8374F"/>
    <w:rsid w:val="00D83942"/>
    <w:rsid w:val="00D8397C"/>
    <w:rsid w:val="00D83A14"/>
    <w:rsid w:val="00D83AC4"/>
    <w:rsid w:val="00D83AEA"/>
    <w:rsid w:val="00D83B21"/>
    <w:rsid w:val="00D83B2E"/>
    <w:rsid w:val="00D83B3E"/>
    <w:rsid w:val="00D83DB1"/>
    <w:rsid w:val="00D83E3A"/>
    <w:rsid w:val="00D83E51"/>
    <w:rsid w:val="00D83E59"/>
    <w:rsid w:val="00D83FBB"/>
    <w:rsid w:val="00D83FE6"/>
    <w:rsid w:val="00D841AE"/>
    <w:rsid w:val="00D841DD"/>
    <w:rsid w:val="00D841E1"/>
    <w:rsid w:val="00D84338"/>
    <w:rsid w:val="00D8434A"/>
    <w:rsid w:val="00D84412"/>
    <w:rsid w:val="00D84445"/>
    <w:rsid w:val="00D844A0"/>
    <w:rsid w:val="00D8469C"/>
    <w:rsid w:val="00D84717"/>
    <w:rsid w:val="00D84725"/>
    <w:rsid w:val="00D8476C"/>
    <w:rsid w:val="00D84891"/>
    <w:rsid w:val="00D848D4"/>
    <w:rsid w:val="00D8490F"/>
    <w:rsid w:val="00D8499E"/>
    <w:rsid w:val="00D84A62"/>
    <w:rsid w:val="00D84AED"/>
    <w:rsid w:val="00D84B98"/>
    <w:rsid w:val="00D84C8C"/>
    <w:rsid w:val="00D84CCD"/>
    <w:rsid w:val="00D84CD9"/>
    <w:rsid w:val="00D84D11"/>
    <w:rsid w:val="00D84D5E"/>
    <w:rsid w:val="00D84ECB"/>
    <w:rsid w:val="00D84F9E"/>
    <w:rsid w:val="00D84FCE"/>
    <w:rsid w:val="00D84FD5"/>
    <w:rsid w:val="00D85091"/>
    <w:rsid w:val="00D850A6"/>
    <w:rsid w:val="00D851FC"/>
    <w:rsid w:val="00D852ED"/>
    <w:rsid w:val="00D85315"/>
    <w:rsid w:val="00D8538E"/>
    <w:rsid w:val="00D85543"/>
    <w:rsid w:val="00D8560E"/>
    <w:rsid w:val="00D8563E"/>
    <w:rsid w:val="00D85749"/>
    <w:rsid w:val="00D85769"/>
    <w:rsid w:val="00D85864"/>
    <w:rsid w:val="00D8586B"/>
    <w:rsid w:val="00D85887"/>
    <w:rsid w:val="00D85944"/>
    <w:rsid w:val="00D85985"/>
    <w:rsid w:val="00D85A0A"/>
    <w:rsid w:val="00D85E00"/>
    <w:rsid w:val="00D85E3E"/>
    <w:rsid w:val="00D85ED3"/>
    <w:rsid w:val="00D85F05"/>
    <w:rsid w:val="00D85F9A"/>
    <w:rsid w:val="00D85FB3"/>
    <w:rsid w:val="00D860AF"/>
    <w:rsid w:val="00D860BE"/>
    <w:rsid w:val="00D8610B"/>
    <w:rsid w:val="00D8615F"/>
    <w:rsid w:val="00D86338"/>
    <w:rsid w:val="00D86360"/>
    <w:rsid w:val="00D863A2"/>
    <w:rsid w:val="00D863A5"/>
    <w:rsid w:val="00D86405"/>
    <w:rsid w:val="00D8655C"/>
    <w:rsid w:val="00D865DA"/>
    <w:rsid w:val="00D8662B"/>
    <w:rsid w:val="00D8671B"/>
    <w:rsid w:val="00D86962"/>
    <w:rsid w:val="00D86A06"/>
    <w:rsid w:val="00D86AB2"/>
    <w:rsid w:val="00D86C5A"/>
    <w:rsid w:val="00D86C6C"/>
    <w:rsid w:val="00D86E8B"/>
    <w:rsid w:val="00D86EA5"/>
    <w:rsid w:val="00D86F7C"/>
    <w:rsid w:val="00D87001"/>
    <w:rsid w:val="00D8703F"/>
    <w:rsid w:val="00D8707B"/>
    <w:rsid w:val="00D8708F"/>
    <w:rsid w:val="00D870CF"/>
    <w:rsid w:val="00D87191"/>
    <w:rsid w:val="00D871CA"/>
    <w:rsid w:val="00D871E1"/>
    <w:rsid w:val="00D87294"/>
    <w:rsid w:val="00D87309"/>
    <w:rsid w:val="00D87565"/>
    <w:rsid w:val="00D8783F"/>
    <w:rsid w:val="00D8796A"/>
    <w:rsid w:val="00D87A05"/>
    <w:rsid w:val="00D87A81"/>
    <w:rsid w:val="00D87B7C"/>
    <w:rsid w:val="00D87BD2"/>
    <w:rsid w:val="00D87C02"/>
    <w:rsid w:val="00D87C2C"/>
    <w:rsid w:val="00D87EEC"/>
    <w:rsid w:val="00D87FF1"/>
    <w:rsid w:val="00D87FF5"/>
    <w:rsid w:val="00D90096"/>
    <w:rsid w:val="00D900EF"/>
    <w:rsid w:val="00D90203"/>
    <w:rsid w:val="00D90445"/>
    <w:rsid w:val="00D90490"/>
    <w:rsid w:val="00D904A6"/>
    <w:rsid w:val="00D9057D"/>
    <w:rsid w:val="00D905CE"/>
    <w:rsid w:val="00D9073B"/>
    <w:rsid w:val="00D90742"/>
    <w:rsid w:val="00D908C1"/>
    <w:rsid w:val="00D908E3"/>
    <w:rsid w:val="00D9093A"/>
    <w:rsid w:val="00D9098E"/>
    <w:rsid w:val="00D90A66"/>
    <w:rsid w:val="00D90AB9"/>
    <w:rsid w:val="00D90AD2"/>
    <w:rsid w:val="00D90B1F"/>
    <w:rsid w:val="00D90C2E"/>
    <w:rsid w:val="00D90CCB"/>
    <w:rsid w:val="00D90D33"/>
    <w:rsid w:val="00D90E24"/>
    <w:rsid w:val="00D90E3C"/>
    <w:rsid w:val="00D90E76"/>
    <w:rsid w:val="00D91191"/>
    <w:rsid w:val="00D911E6"/>
    <w:rsid w:val="00D9139D"/>
    <w:rsid w:val="00D91416"/>
    <w:rsid w:val="00D9151B"/>
    <w:rsid w:val="00D915AF"/>
    <w:rsid w:val="00D915C0"/>
    <w:rsid w:val="00D91630"/>
    <w:rsid w:val="00D9181D"/>
    <w:rsid w:val="00D918D6"/>
    <w:rsid w:val="00D918F7"/>
    <w:rsid w:val="00D91939"/>
    <w:rsid w:val="00D9193E"/>
    <w:rsid w:val="00D9197B"/>
    <w:rsid w:val="00D91A15"/>
    <w:rsid w:val="00D91A99"/>
    <w:rsid w:val="00D91BCC"/>
    <w:rsid w:val="00D91C0D"/>
    <w:rsid w:val="00D91C58"/>
    <w:rsid w:val="00D91C70"/>
    <w:rsid w:val="00D91D63"/>
    <w:rsid w:val="00D91FDF"/>
    <w:rsid w:val="00D91FF7"/>
    <w:rsid w:val="00D92015"/>
    <w:rsid w:val="00D920A4"/>
    <w:rsid w:val="00D92192"/>
    <w:rsid w:val="00D9234D"/>
    <w:rsid w:val="00D92382"/>
    <w:rsid w:val="00D92387"/>
    <w:rsid w:val="00D923B2"/>
    <w:rsid w:val="00D923F7"/>
    <w:rsid w:val="00D9240E"/>
    <w:rsid w:val="00D92461"/>
    <w:rsid w:val="00D92482"/>
    <w:rsid w:val="00D924BB"/>
    <w:rsid w:val="00D92539"/>
    <w:rsid w:val="00D92732"/>
    <w:rsid w:val="00D92736"/>
    <w:rsid w:val="00D92A85"/>
    <w:rsid w:val="00D92BF1"/>
    <w:rsid w:val="00D92C65"/>
    <w:rsid w:val="00D92C8F"/>
    <w:rsid w:val="00D92CB0"/>
    <w:rsid w:val="00D92CD3"/>
    <w:rsid w:val="00D92DCE"/>
    <w:rsid w:val="00D92E31"/>
    <w:rsid w:val="00D92E9F"/>
    <w:rsid w:val="00D92FC0"/>
    <w:rsid w:val="00D92FCD"/>
    <w:rsid w:val="00D92FD0"/>
    <w:rsid w:val="00D93087"/>
    <w:rsid w:val="00D93112"/>
    <w:rsid w:val="00D9322B"/>
    <w:rsid w:val="00D932CE"/>
    <w:rsid w:val="00D93321"/>
    <w:rsid w:val="00D93363"/>
    <w:rsid w:val="00D9338E"/>
    <w:rsid w:val="00D93481"/>
    <w:rsid w:val="00D93675"/>
    <w:rsid w:val="00D9367A"/>
    <w:rsid w:val="00D9369F"/>
    <w:rsid w:val="00D937A0"/>
    <w:rsid w:val="00D937AA"/>
    <w:rsid w:val="00D937CF"/>
    <w:rsid w:val="00D93859"/>
    <w:rsid w:val="00D9394A"/>
    <w:rsid w:val="00D93954"/>
    <w:rsid w:val="00D93967"/>
    <w:rsid w:val="00D93971"/>
    <w:rsid w:val="00D9397B"/>
    <w:rsid w:val="00D93A4D"/>
    <w:rsid w:val="00D93CEA"/>
    <w:rsid w:val="00D93D9C"/>
    <w:rsid w:val="00D93D9E"/>
    <w:rsid w:val="00D93DAE"/>
    <w:rsid w:val="00D93EC9"/>
    <w:rsid w:val="00D93ED5"/>
    <w:rsid w:val="00D93FF0"/>
    <w:rsid w:val="00D93FF2"/>
    <w:rsid w:val="00D94064"/>
    <w:rsid w:val="00D9413B"/>
    <w:rsid w:val="00D9434C"/>
    <w:rsid w:val="00D9441E"/>
    <w:rsid w:val="00D9442A"/>
    <w:rsid w:val="00D94434"/>
    <w:rsid w:val="00D944D9"/>
    <w:rsid w:val="00D94689"/>
    <w:rsid w:val="00D946B3"/>
    <w:rsid w:val="00D946D1"/>
    <w:rsid w:val="00D94702"/>
    <w:rsid w:val="00D947A2"/>
    <w:rsid w:val="00D94938"/>
    <w:rsid w:val="00D9498E"/>
    <w:rsid w:val="00D949B7"/>
    <w:rsid w:val="00D94A13"/>
    <w:rsid w:val="00D94A8D"/>
    <w:rsid w:val="00D94B82"/>
    <w:rsid w:val="00D94D6C"/>
    <w:rsid w:val="00D94DC9"/>
    <w:rsid w:val="00D94E61"/>
    <w:rsid w:val="00D94E8E"/>
    <w:rsid w:val="00D94EB8"/>
    <w:rsid w:val="00D94F0B"/>
    <w:rsid w:val="00D9526F"/>
    <w:rsid w:val="00D9538B"/>
    <w:rsid w:val="00D954C7"/>
    <w:rsid w:val="00D9558D"/>
    <w:rsid w:val="00D95590"/>
    <w:rsid w:val="00D95593"/>
    <w:rsid w:val="00D9562F"/>
    <w:rsid w:val="00D95664"/>
    <w:rsid w:val="00D956CE"/>
    <w:rsid w:val="00D9582C"/>
    <w:rsid w:val="00D95848"/>
    <w:rsid w:val="00D9584C"/>
    <w:rsid w:val="00D95938"/>
    <w:rsid w:val="00D959DB"/>
    <w:rsid w:val="00D959F1"/>
    <w:rsid w:val="00D95A03"/>
    <w:rsid w:val="00D95A77"/>
    <w:rsid w:val="00D95AA1"/>
    <w:rsid w:val="00D95B30"/>
    <w:rsid w:val="00D95B9F"/>
    <w:rsid w:val="00D95BCE"/>
    <w:rsid w:val="00D95D5E"/>
    <w:rsid w:val="00D95E38"/>
    <w:rsid w:val="00D95EFE"/>
    <w:rsid w:val="00D95F86"/>
    <w:rsid w:val="00D96132"/>
    <w:rsid w:val="00D9617E"/>
    <w:rsid w:val="00D96193"/>
    <w:rsid w:val="00D961B5"/>
    <w:rsid w:val="00D9622C"/>
    <w:rsid w:val="00D96296"/>
    <w:rsid w:val="00D96543"/>
    <w:rsid w:val="00D96557"/>
    <w:rsid w:val="00D9657B"/>
    <w:rsid w:val="00D96597"/>
    <w:rsid w:val="00D965F4"/>
    <w:rsid w:val="00D9670F"/>
    <w:rsid w:val="00D967A4"/>
    <w:rsid w:val="00D967F8"/>
    <w:rsid w:val="00D968EA"/>
    <w:rsid w:val="00D96909"/>
    <w:rsid w:val="00D96A66"/>
    <w:rsid w:val="00D96AFB"/>
    <w:rsid w:val="00D96C1E"/>
    <w:rsid w:val="00D96CEC"/>
    <w:rsid w:val="00D96CFE"/>
    <w:rsid w:val="00D96F9F"/>
    <w:rsid w:val="00D9701A"/>
    <w:rsid w:val="00D97193"/>
    <w:rsid w:val="00D97345"/>
    <w:rsid w:val="00D974D7"/>
    <w:rsid w:val="00D97676"/>
    <w:rsid w:val="00D9768C"/>
    <w:rsid w:val="00D9768D"/>
    <w:rsid w:val="00D977B4"/>
    <w:rsid w:val="00D97902"/>
    <w:rsid w:val="00D97979"/>
    <w:rsid w:val="00D97995"/>
    <w:rsid w:val="00D97A3B"/>
    <w:rsid w:val="00D97A96"/>
    <w:rsid w:val="00D97C51"/>
    <w:rsid w:val="00D97C6A"/>
    <w:rsid w:val="00D97D45"/>
    <w:rsid w:val="00D97D6C"/>
    <w:rsid w:val="00D97F64"/>
    <w:rsid w:val="00DA01EC"/>
    <w:rsid w:val="00DA02E8"/>
    <w:rsid w:val="00DA044D"/>
    <w:rsid w:val="00DA04CD"/>
    <w:rsid w:val="00DA0501"/>
    <w:rsid w:val="00DA05BF"/>
    <w:rsid w:val="00DA074F"/>
    <w:rsid w:val="00DA0841"/>
    <w:rsid w:val="00DA0895"/>
    <w:rsid w:val="00DA0964"/>
    <w:rsid w:val="00DA09C6"/>
    <w:rsid w:val="00DA0AD4"/>
    <w:rsid w:val="00DA0F2D"/>
    <w:rsid w:val="00DA0FB0"/>
    <w:rsid w:val="00DA10B4"/>
    <w:rsid w:val="00DA112E"/>
    <w:rsid w:val="00DA12CE"/>
    <w:rsid w:val="00DA142B"/>
    <w:rsid w:val="00DA1557"/>
    <w:rsid w:val="00DA15E4"/>
    <w:rsid w:val="00DA1720"/>
    <w:rsid w:val="00DA184C"/>
    <w:rsid w:val="00DA191B"/>
    <w:rsid w:val="00DA1924"/>
    <w:rsid w:val="00DA1962"/>
    <w:rsid w:val="00DA1B09"/>
    <w:rsid w:val="00DA1B0A"/>
    <w:rsid w:val="00DA1B9C"/>
    <w:rsid w:val="00DA1C24"/>
    <w:rsid w:val="00DA1C5D"/>
    <w:rsid w:val="00DA1CA6"/>
    <w:rsid w:val="00DA1EBA"/>
    <w:rsid w:val="00DA1F67"/>
    <w:rsid w:val="00DA1F8F"/>
    <w:rsid w:val="00DA1FE3"/>
    <w:rsid w:val="00DA2353"/>
    <w:rsid w:val="00DA23DA"/>
    <w:rsid w:val="00DA2440"/>
    <w:rsid w:val="00DA2571"/>
    <w:rsid w:val="00DA2575"/>
    <w:rsid w:val="00DA2751"/>
    <w:rsid w:val="00DA2BF2"/>
    <w:rsid w:val="00DA2C86"/>
    <w:rsid w:val="00DA2D11"/>
    <w:rsid w:val="00DA2D1F"/>
    <w:rsid w:val="00DA2E85"/>
    <w:rsid w:val="00DA305A"/>
    <w:rsid w:val="00DA30BF"/>
    <w:rsid w:val="00DA3279"/>
    <w:rsid w:val="00DA32D7"/>
    <w:rsid w:val="00DA32F3"/>
    <w:rsid w:val="00DA344A"/>
    <w:rsid w:val="00DA34A8"/>
    <w:rsid w:val="00DA3507"/>
    <w:rsid w:val="00DA3574"/>
    <w:rsid w:val="00DA3577"/>
    <w:rsid w:val="00DA35BF"/>
    <w:rsid w:val="00DA36B5"/>
    <w:rsid w:val="00DA36B9"/>
    <w:rsid w:val="00DA36DC"/>
    <w:rsid w:val="00DA3724"/>
    <w:rsid w:val="00DA382E"/>
    <w:rsid w:val="00DA3C28"/>
    <w:rsid w:val="00DA3C72"/>
    <w:rsid w:val="00DA3CD4"/>
    <w:rsid w:val="00DA3D2C"/>
    <w:rsid w:val="00DA3DDA"/>
    <w:rsid w:val="00DA3DE3"/>
    <w:rsid w:val="00DA3EFB"/>
    <w:rsid w:val="00DA3FDB"/>
    <w:rsid w:val="00DA41C8"/>
    <w:rsid w:val="00DA41D6"/>
    <w:rsid w:val="00DA424A"/>
    <w:rsid w:val="00DA4446"/>
    <w:rsid w:val="00DA4538"/>
    <w:rsid w:val="00DA4610"/>
    <w:rsid w:val="00DA4619"/>
    <w:rsid w:val="00DA4624"/>
    <w:rsid w:val="00DA4681"/>
    <w:rsid w:val="00DA46F8"/>
    <w:rsid w:val="00DA4774"/>
    <w:rsid w:val="00DA48FA"/>
    <w:rsid w:val="00DA49C2"/>
    <w:rsid w:val="00DA4A06"/>
    <w:rsid w:val="00DA4ADA"/>
    <w:rsid w:val="00DA4D84"/>
    <w:rsid w:val="00DA4EE2"/>
    <w:rsid w:val="00DA4EF1"/>
    <w:rsid w:val="00DA4EF4"/>
    <w:rsid w:val="00DA4F29"/>
    <w:rsid w:val="00DA4F32"/>
    <w:rsid w:val="00DA4F41"/>
    <w:rsid w:val="00DA5024"/>
    <w:rsid w:val="00DA5064"/>
    <w:rsid w:val="00DA50C6"/>
    <w:rsid w:val="00DA510A"/>
    <w:rsid w:val="00DA51CF"/>
    <w:rsid w:val="00DA52D4"/>
    <w:rsid w:val="00DA530A"/>
    <w:rsid w:val="00DA537F"/>
    <w:rsid w:val="00DA5383"/>
    <w:rsid w:val="00DA5397"/>
    <w:rsid w:val="00DA544E"/>
    <w:rsid w:val="00DA5450"/>
    <w:rsid w:val="00DA545B"/>
    <w:rsid w:val="00DA5705"/>
    <w:rsid w:val="00DA572F"/>
    <w:rsid w:val="00DA581B"/>
    <w:rsid w:val="00DA58ED"/>
    <w:rsid w:val="00DA596D"/>
    <w:rsid w:val="00DA59C4"/>
    <w:rsid w:val="00DA5B0D"/>
    <w:rsid w:val="00DA5B96"/>
    <w:rsid w:val="00DA5C13"/>
    <w:rsid w:val="00DA5E53"/>
    <w:rsid w:val="00DA5EF8"/>
    <w:rsid w:val="00DA5EFF"/>
    <w:rsid w:val="00DA5F2A"/>
    <w:rsid w:val="00DA626A"/>
    <w:rsid w:val="00DA6336"/>
    <w:rsid w:val="00DA6348"/>
    <w:rsid w:val="00DA63BC"/>
    <w:rsid w:val="00DA643E"/>
    <w:rsid w:val="00DA6458"/>
    <w:rsid w:val="00DA6578"/>
    <w:rsid w:val="00DA6666"/>
    <w:rsid w:val="00DA669B"/>
    <w:rsid w:val="00DA66CF"/>
    <w:rsid w:val="00DA6732"/>
    <w:rsid w:val="00DA6753"/>
    <w:rsid w:val="00DA692F"/>
    <w:rsid w:val="00DA6952"/>
    <w:rsid w:val="00DA6A2D"/>
    <w:rsid w:val="00DA6E49"/>
    <w:rsid w:val="00DA6EE7"/>
    <w:rsid w:val="00DA6FB7"/>
    <w:rsid w:val="00DA7030"/>
    <w:rsid w:val="00DA7093"/>
    <w:rsid w:val="00DA7180"/>
    <w:rsid w:val="00DA71BC"/>
    <w:rsid w:val="00DA7229"/>
    <w:rsid w:val="00DA732E"/>
    <w:rsid w:val="00DA739D"/>
    <w:rsid w:val="00DA7461"/>
    <w:rsid w:val="00DA746A"/>
    <w:rsid w:val="00DA74B4"/>
    <w:rsid w:val="00DA74FB"/>
    <w:rsid w:val="00DA7518"/>
    <w:rsid w:val="00DA75FF"/>
    <w:rsid w:val="00DA763E"/>
    <w:rsid w:val="00DA7752"/>
    <w:rsid w:val="00DA7769"/>
    <w:rsid w:val="00DA77F5"/>
    <w:rsid w:val="00DA783B"/>
    <w:rsid w:val="00DA784C"/>
    <w:rsid w:val="00DA785F"/>
    <w:rsid w:val="00DA7866"/>
    <w:rsid w:val="00DA7893"/>
    <w:rsid w:val="00DA78C8"/>
    <w:rsid w:val="00DA7915"/>
    <w:rsid w:val="00DA7918"/>
    <w:rsid w:val="00DA7949"/>
    <w:rsid w:val="00DA7A1C"/>
    <w:rsid w:val="00DA7B99"/>
    <w:rsid w:val="00DA7BCA"/>
    <w:rsid w:val="00DA7C59"/>
    <w:rsid w:val="00DA7C9F"/>
    <w:rsid w:val="00DA7D97"/>
    <w:rsid w:val="00DA7FF2"/>
    <w:rsid w:val="00DB0068"/>
    <w:rsid w:val="00DB0112"/>
    <w:rsid w:val="00DB0117"/>
    <w:rsid w:val="00DB016D"/>
    <w:rsid w:val="00DB01F1"/>
    <w:rsid w:val="00DB04AB"/>
    <w:rsid w:val="00DB0606"/>
    <w:rsid w:val="00DB0673"/>
    <w:rsid w:val="00DB0696"/>
    <w:rsid w:val="00DB0729"/>
    <w:rsid w:val="00DB0732"/>
    <w:rsid w:val="00DB07EF"/>
    <w:rsid w:val="00DB0810"/>
    <w:rsid w:val="00DB0847"/>
    <w:rsid w:val="00DB08BE"/>
    <w:rsid w:val="00DB09B1"/>
    <w:rsid w:val="00DB0C25"/>
    <w:rsid w:val="00DB0CB1"/>
    <w:rsid w:val="00DB0FB7"/>
    <w:rsid w:val="00DB10C2"/>
    <w:rsid w:val="00DB1168"/>
    <w:rsid w:val="00DB117A"/>
    <w:rsid w:val="00DB11ED"/>
    <w:rsid w:val="00DB12F5"/>
    <w:rsid w:val="00DB1314"/>
    <w:rsid w:val="00DB144F"/>
    <w:rsid w:val="00DB14F9"/>
    <w:rsid w:val="00DB16A6"/>
    <w:rsid w:val="00DB17FD"/>
    <w:rsid w:val="00DB191F"/>
    <w:rsid w:val="00DB19A0"/>
    <w:rsid w:val="00DB1A1B"/>
    <w:rsid w:val="00DB1A51"/>
    <w:rsid w:val="00DB1A61"/>
    <w:rsid w:val="00DB1A6D"/>
    <w:rsid w:val="00DB1A9E"/>
    <w:rsid w:val="00DB1AB2"/>
    <w:rsid w:val="00DB1D3C"/>
    <w:rsid w:val="00DB1E1B"/>
    <w:rsid w:val="00DB1FBB"/>
    <w:rsid w:val="00DB208E"/>
    <w:rsid w:val="00DB20D5"/>
    <w:rsid w:val="00DB211E"/>
    <w:rsid w:val="00DB2144"/>
    <w:rsid w:val="00DB21E4"/>
    <w:rsid w:val="00DB2248"/>
    <w:rsid w:val="00DB2252"/>
    <w:rsid w:val="00DB22A0"/>
    <w:rsid w:val="00DB22A9"/>
    <w:rsid w:val="00DB2464"/>
    <w:rsid w:val="00DB253A"/>
    <w:rsid w:val="00DB271D"/>
    <w:rsid w:val="00DB28CC"/>
    <w:rsid w:val="00DB2992"/>
    <w:rsid w:val="00DB2B17"/>
    <w:rsid w:val="00DB2B62"/>
    <w:rsid w:val="00DB2C13"/>
    <w:rsid w:val="00DB2D07"/>
    <w:rsid w:val="00DB2DBC"/>
    <w:rsid w:val="00DB2DDD"/>
    <w:rsid w:val="00DB2DF6"/>
    <w:rsid w:val="00DB2EBE"/>
    <w:rsid w:val="00DB2FC4"/>
    <w:rsid w:val="00DB329B"/>
    <w:rsid w:val="00DB3319"/>
    <w:rsid w:val="00DB33AA"/>
    <w:rsid w:val="00DB3415"/>
    <w:rsid w:val="00DB3512"/>
    <w:rsid w:val="00DB3634"/>
    <w:rsid w:val="00DB365E"/>
    <w:rsid w:val="00DB3706"/>
    <w:rsid w:val="00DB388B"/>
    <w:rsid w:val="00DB3A6C"/>
    <w:rsid w:val="00DB3C13"/>
    <w:rsid w:val="00DB3CF6"/>
    <w:rsid w:val="00DB3DC3"/>
    <w:rsid w:val="00DB3EA2"/>
    <w:rsid w:val="00DB3EB8"/>
    <w:rsid w:val="00DB3F2D"/>
    <w:rsid w:val="00DB3F69"/>
    <w:rsid w:val="00DB3FFB"/>
    <w:rsid w:val="00DB40CE"/>
    <w:rsid w:val="00DB4148"/>
    <w:rsid w:val="00DB419A"/>
    <w:rsid w:val="00DB42B2"/>
    <w:rsid w:val="00DB42F4"/>
    <w:rsid w:val="00DB4410"/>
    <w:rsid w:val="00DB455E"/>
    <w:rsid w:val="00DB4580"/>
    <w:rsid w:val="00DB460C"/>
    <w:rsid w:val="00DB46B3"/>
    <w:rsid w:val="00DB47F3"/>
    <w:rsid w:val="00DB482B"/>
    <w:rsid w:val="00DB48F0"/>
    <w:rsid w:val="00DB49D7"/>
    <w:rsid w:val="00DB4A8D"/>
    <w:rsid w:val="00DB4AAE"/>
    <w:rsid w:val="00DB4BBD"/>
    <w:rsid w:val="00DB4E4A"/>
    <w:rsid w:val="00DB4E69"/>
    <w:rsid w:val="00DB4E90"/>
    <w:rsid w:val="00DB4FB9"/>
    <w:rsid w:val="00DB513E"/>
    <w:rsid w:val="00DB5248"/>
    <w:rsid w:val="00DB5354"/>
    <w:rsid w:val="00DB5428"/>
    <w:rsid w:val="00DB5433"/>
    <w:rsid w:val="00DB5564"/>
    <w:rsid w:val="00DB5618"/>
    <w:rsid w:val="00DB569F"/>
    <w:rsid w:val="00DB56B6"/>
    <w:rsid w:val="00DB5720"/>
    <w:rsid w:val="00DB57D2"/>
    <w:rsid w:val="00DB5834"/>
    <w:rsid w:val="00DB585F"/>
    <w:rsid w:val="00DB589F"/>
    <w:rsid w:val="00DB58EE"/>
    <w:rsid w:val="00DB58EF"/>
    <w:rsid w:val="00DB58F2"/>
    <w:rsid w:val="00DB594C"/>
    <w:rsid w:val="00DB5A3B"/>
    <w:rsid w:val="00DB5A66"/>
    <w:rsid w:val="00DB5B79"/>
    <w:rsid w:val="00DB5BA7"/>
    <w:rsid w:val="00DB5BE3"/>
    <w:rsid w:val="00DB5D79"/>
    <w:rsid w:val="00DB5E01"/>
    <w:rsid w:val="00DB5E29"/>
    <w:rsid w:val="00DB5E4E"/>
    <w:rsid w:val="00DB608B"/>
    <w:rsid w:val="00DB60FF"/>
    <w:rsid w:val="00DB6172"/>
    <w:rsid w:val="00DB617D"/>
    <w:rsid w:val="00DB61B7"/>
    <w:rsid w:val="00DB62A6"/>
    <w:rsid w:val="00DB62D4"/>
    <w:rsid w:val="00DB63AE"/>
    <w:rsid w:val="00DB641A"/>
    <w:rsid w:val="00DB64A0"/>
    <w:rsid w:val="00DB6591"/>
    <w:rsid w:val="00DB65A0"/>
    <w:rsid w:val="00DB6754"/>
    <w:rsid w:val="00DB6869"/>
    <w:rsid w:val="00DB6873"/>
    <w:rsid w:val="00DB68CE"/>
    <w:rsid w:val="00DB69A4"/>
    <w:rsid w:val="00DB69D1"/>
    <w:rsid w:val="00DB6A93"/>
    <w:rsid w:val="00DB6B3A"/>
    <w:rsid w:val="00DB6B57"/>
    <w:rsid w:val="00DB6E2C"/>
    <w:rsid w:val="00DB6ECE"/>
    <w:rsid w:val="00DB6F0C"/>
    <w:rsid w:val="00DB70DE"/>
    <w:rsid w:val="00DB70F5"/>
    <w:rsid w:val="00DB70F7"/>
    <w:rsid w:val="00DB713C"/>
    <w:rsid w:val="00DB7183"/>
    <w:rsid w:val="00DB72AC"/>
    <w:rsid w:val="00DB737F"/>
    <w:rsid w:val="00DB7394"/>
    <w:rsid w:val="00DB7484"/>
    <w:rsid w:val="00DB74BC"/>
    <w:rsid w:val="00DB7697"/>
    <w:rsid w:val="00DB76F1"/>
    <w:rsid w:val="00DB7709"/>
    <w:rsid w:val="00DB7789"/>
    <w:rsid w:val="00DB784F"/>
    <w:rsid w:val="00DB7A32"/>
    <w:rsid w:val="00DB7A5A"/>
    <w:rsid w:val="00DB7A6A"/>
    <w:rsid w:val="00DB7D48"/>
    <w:rsid w:val="00DB7D59"/>
    <w:rsid w:val="00DB7DA4"/>
    <w:rsid w:val="00DB7E5B"/>
    <w:rsid w:val="00DB7EAB"/>
    <w:rsid w:val="00DB7FE4"/>
    <w:rsid w:val="00DC0023"/>
    <w:rsid w:val="00DC0061"/>
    <w:rsid w:val="00DC00AC"/>
    <w:rsid w:val="00DC015B"/>
    <w:rsid w:val="00DC02A1"/>
    <w:rsid w:val="00DC0434"/>
    <w:rsid w:val="00DC04E2"/>
    <w:rsid w:val="00DC0528"/>
    <w:rsid w:val="00DC0579"/>
    <w:rsid w:val="00DC063D"/>
    <w:rsid w:val="00DC06D5"/>
    <w:rsid w:val="00DC0740"/>
    <w:rsid w:val="00DC07C3"/>
    <w:rsid w:val="00DC08A8"/>
    <w:rsid w:val="00DC09DB"/>
    <w:rsid w:val="00DC09EB"/>
    <w:rsid w:val="00DC0A98"/>
    <w:rsid w:val="00DC0BC5"/>
    <w:rsid w:val="00DC0C31"/>
    <w:rsid w:val="00DC0C35"/>
    <w:rsid w:val="00DC0C71"/>
    <w:rsid w:val="00DC0C9B"/>
    <w:rsid w:val="00DC0DD2"/>
    <w:rsid w:val="00DC0E67"/>
    <w:rsid w:val="00DC0EB9"/>
    <w:rsid w:val="00DC1156"/>
    <w:rsid w:val="00DC1175"/>
    <w:rsid w:val="00DC1185"/>
    <w:rsid w:val="00DC11C2"/>
    <w:rsid w:val="00DC1266"/>
    <w:rsid w:val="00DC140E"/>
    <w:rsid w:val="00DC159A"/>
    <w:rsid w:val="00DC16C3"/>
    <w:rsid w:val="00DC1707"/>
    <w:rsid w:val="00DC1711"/>
    <w:rsid w:val="00DC17D3"/>
    <w:rsid w:val="00DC1814"/>
    <w:rsid w:val="00DC1845"/>
    <w:rsid w:val="00DC184D"/>
    <w:rsid w:val="00DC192E"/>
    <w:rsid w:val="00DC19A3"/>
    <w:rsid w:val="00DC1B2E"/>
    <w:rsid w:val="00DC1B32"/>
    <w:rsid w:val="00DC1BD8"/>
    <w:rsid w:val="00DC1C69"/>
    <w:rsid w:val="00DC1CD2"/>
    <w:rsid w:val="00DC1CFE"/>
    <w:rsid w:val="00DC1FB5"/>
    <w:rsid w:val="00DC2031"/>
    <w:rsid w:val="00DC2267"/>
    <w:rsid w:val="00DC229A"/>
    <w:rsid w:val="00DC2306"/>
    <w:rsid w:val="00DC2336"/>
    <w:rsid w:val="00DC243B"/>
    <w:rsid w:val="00DC249B"/>
    <w:rsid w:val="00DC24E9"/>
    <w:rsid w:val="00DC255E"/>
    <w:rsid w:val="00DC27EF"/>
    <w:rsid w:val="00DC2873"/>
    <w:rsid w:val="00DC28BB"/>
    <w:rsid w:val="00DC2915"/>
    <w:rsid w:val="00DC2A92"/>
    <w:rsid w:val="00DC2AB2"/>
    <w:rsid w:val="00DC2C04"/>
    <w:rsid w:val="00DC2C75"/>
    <w:rsid w:val="00DC2CBD"/>
    <w:rsid w:val="00DC2CDD"/>
    <w:rsid w:val="00DC2D31"/>
    <w:rsid w:val="00DC2D7E"/>
    <w:rsid w:val="00DC2EA0"/>
    <w:rsid w:val="00DC2EAE"/>
    <w:rsid w:val="00DC2ECD"/>
    <w:rsid w:val="00DC3037"/>
    <w:rsid w:val="00DC3046"/>
    <w:rsid w:val="00DC30FB"/>
    <w:rsid w:val="00DC315A"/>
    <w:rsid w:val="00DC315E"/>
    <w:rsid w:val="00DC349F"/>
    <w:rsid w:val="00DC34FC"/>
    <w:rsid w:val="00DC352E"/>
    <w:rsid w:val="00DC363A"/>
    <w:rsid w:val="00DC36C9"/>
    <w:rsid w:val="00DC3735"/>
    <w:rsid w:val="00DC374F"/>
    <w:rsid w:val="00DC37C4"/>
    <w:rsid w:val="00DC382E"/>
    <w:rsid w:val="00DC397D"/>
    <w:rsid w:val="00DC39C3"/>
    <w:rsid w:val="00DC3ACD"/>
    <w:rsid w:val="00DC3D11"/>
    <w:rsid w:val="00DC3D9F"/>
    <w:rsid w:val="00DC3ECB"/>
    <w:rsid w:val="00DC3F39"/>
    <w:rsid w:val="00DC3F57"/>
    <w:rsid w:val="00DC401C"/>
    <w:rsid w:val="00DC4021"/>
    <w:rsid w:val="00DC4074"/>
    <w:rsid w:val="00DC4289"/>
    <w:rsid w:val="00DC430E"/>
    <w:rsid w:val="00DC4541"/>
    <w:rsid w:val="00DC4574"/>
    <w:rsid w:val="00DC465D"/>
    <w:rsid w:val="00DC46B0"/>
    <w:rsid w:val="00DC4963"/>
    <w:rsid w:val="00DC4A7E"/>
    <w:rsid w:val="00DC4C7F"/>
    <w:rsid w:val="00DC4CAB"/>
    <w:rsid w:val="00DC4D09"/>
    <w:rsid w:val="00DC4D85"/>
    <w:rsid w:val="00DC4D91"/>
    <w:rsid w:val="00DC4EA6"/>
    <w:rsid w:val="00DC4F01"/>
    <w:rsid w:val="00DC501A"/>
    <w:rsid w:val="00DC5040"/>
    <w:rsid w:val="00DC5072"/>
    <w:rsid w:val="00DC50D9"/>
    <w:rsid w:val="00DC513C"/>
    <w:rsid w:val="00DC5188"/>
    <w:rsid w:val="00DC538E"/>
    <w:rsid w:val="00DC5444"/>
    <w:rsid w:val="00DC554A"/>
    <w:rsid w:val="00DC5588"/>
    <w:rsid w:val="00DC55CD"/>
    <w:rsid w:val="00DC55F1"/>
    <w:rsid w:val="00DC5720"/>
    <w:rsid w:val="00DC5881"/>
    <w:rsid w:val="00DC589C"/>
    <w:rsid w:val="00DC59C6"/>
    <w:rsid w:val="00DC59E0"/>
    <w:rsid w:val="00DC5A43"/>
    <w:rsid w:val="00DC5A9C"/>
    <w:rsid w:val="00DC5AFF"/>
    <w:rsid w:val="00DC5B64"/>
    <w:rsid w:val="00DC5BF8"/>
    <w:rsid w:val="00DC5D9C"/>
    <w:rsid w:val="00DC5E11"/>
    <w:rsid w:val="00DC5EA1"/>
    <w:rsid w:val="00DC5F11"/>
    <w:rsid w:val="00DC6178"/>
    <w:rsid w:val="00DC61C6"/>
    <w:rsid w:val="00DC61E2"/>
    <w:rsid w:val="00DC6229"/>
    <w:rsid w:val="00DC628F"/>
    <w:rsid w:val="00DC6299"/>
    <w:rsid w:val="00DC62BE"/>
    <w:rsid w:val="00DC6396"/>
    <w:rsid w:val="00DC6471"/>
    <w:rsid w:val="00DC6492"/>
    <w:rsid w:val="00DC65D0"/>
    <w:rsid w:val="00DC65F1"/>
    <w:rsid w:val="00DC6640"/>
    <w:rsid w:val="00DC664E"/>
    <w:rsid w:val="00DC68C5"/>
    <w:rsid w:val="00DC69E6"/>
    <w:rsid w:val="00DC6A33"/>
    <w:rsid w:val="00DC6A45"/>
    <w:rsid w:val="00DC6B3A"/>
    <w:rsid w:val="00DC6B65"/>
    <w:rsid w:val="00DC6BAF"/>
    <w:rsid w:val="00DC6BED"/>
    <w:rsid w:val="00DC6CDF"/>
    <w:rsid w:val="00DC6D34"/>
    <w:rsid w:val="00DC6D4B"/>
    <w:rsid w:val="00DC6F55"/>
    <w:rsid w:val="00DC6F70"/>
    <w:rsid w:val="00DC7071"/>
    <w:rsid w:val="00DC7105"/>
    <w:rsid w:val="00DC7179"/>
    <w:rsid w:val="00DC71B3"/>
    <w:rsid w:val="00DC7270"/>
    <w:rsid w:val="00DC733A"/>
    <w:rsid w:val="00DC736B"/>
    <w:rsid w:val="00DC73E8"/>
    <w:rsid w:val="00DC7542"/>
    <w:rsid w:val="00DC7546"/>
    <w:rsid w:val="00DC7579"/>
    <w:rsid w:val="00DC75D1"/>
    <w:rsid w:val="00DC7704"/>
    <w:rsid w:val="00DC7840"/>
    <w:rsid w:val="00DC7853"/>
    <w:rsid w:val="00DC797D"/>
    <w:rsid w:val="00DC79B1"/>
    <w:rsid w:val="00DC7B3B"/>
    <w:rsid w:val="00DC7D34"/>
    <w:rsid w:val="00DC7E69"/>
    <w:rsid w:val="00DC7E9F"/>
    <w:rsid w:val="00DD0106"/>
    <w:rsid w:val="00DD011D"/>
    <w:rsid w:val="00DD028D"/>
    <w:rsid w:val="00DD02D9"/>
    <w:rsid w:val="00DD0384"/>
    <w:rsid w:val="00DD03B3"/>
    <w:rsid w:val="00DD03B5"/>
    <w:rsid w:val="00DD0411"/>
    <w:rsid w:val="00DD043A"/>
    <w:rsid w:val="00DD04C4"/>
    <w:rsid w:val="00DD0605"/>
    <w:rsid w:val="00DD0746"/>
    <w:rsid w:val="00DD07AC"/>
    <w:rsid w:val="00DD080B"/>
    <w:rsid w:val="00DD0826"/>
    <w:rsid w:val="00DD0933"/>
    <w:rsid w:val="00DD0AD5"/>
    <w:rsid w:val="00DD0C2D"/>
    <w:rsid w:val="00DD0C8A"/>
    <w:rsid w:val="00DD0CE7"/>
    <w:rsid w:val="00DD0E27"/>
    <w:rsid w:val="00DD0E98"/>
    <w:rsid w:val="00DD0EA5"/>
    <w:rsid w:val="00DD0FBC"/>
    <w:rsid w:val="00DD1148"/>
    <w:rsid w:val="00DD1281"/>
    <w:rsid w:val="00DD1318"/>
    <w:rsid w:val="00DD1451"/>
    <w:rsid w:val="00DD1513"/>
    <w:rsid w:val="00DD162F"/>
    <w:rsid w:val="00DD163E"/>
    <w:rsid w:val="00DD1697"/>
    <w:rsid w:val="00DD1722"/>
    <w:rsid w:val="00DD1759"/>
    <w:rsid w:val="00DD17A2"/>
    <w:rsid w:val="00DD1958"/>
    <w:rsid w:val="00DD19B2"/>
    <w:rsid w:val="00DD1AAB"/>
    <w:rsid w:val="00DD1AF7"/>
    <w:rsid w:val="00DD1C3F"/>
    <w:rsid w:val="00DD1E1B"/>
    <w:rsid w:val="00DD1FE6"/>
    <w:rsid w:val="00DD2181"/>
    <w:rsid w:val="00DD22FF"/>
    <w:rsid w:val="00DD239D"/>
    <w:rsid w:val="00DD24A0"/>
    <w:rsid w:val="00DD24A6"/>
    <w:rsid w:val="00DD2503"/>
    <w:rsid w:val="00DD25A6"/>
    <w:rsid w:val="00DD25D8"/>
    <w:rsid w:val="00DD25F3"/>
    <w:rsid w:val="00DD266C"/>
    <w:rsid w:val="00DD26AC"/>
    <w:rsid w:val="00DD2708"/>
    <w:rsid w:val="00DD2757"/>
    <w:rsid w:val="00DD2785"/>
    <w:rsid w:val="00DD27A6"/>
    <w:rsid w:val="00DD2889"/>
    <w:rsid w:val="00DD28D4"/>
    <w:rsid w:val="00DD2977"/>
    <w:rsid w:val="00DD2A6A"/>
    <w:rsid w:val="00DD2AF7"/>
    <w:rsid w:val="00DD2B8C"/>
    <w:rsid w:val="00DD2BDA"/>
    <w:rsid w:val="00DD2C9D"/>
    <w:rsid w:val="00DD2D37"/>
    <w:rsid w:val="00DD2D45"/>
    <w:rsid w:val="00DD2DF4"/>
    <w:rsid w:val="00DD2EF1"/>
    <w:rsid w:val="00DD2F02"/>
    <w:rsid w:val="00DD2FC1"/>
    <w:rsid w:val="00DD32C7"/>
    <w:rsid w:val="00DD3383"/>
    <w:rsid w:val="00DD35F0"/>
    <w:rsid w:val="00DD3657"/>
    <w:rsid w:val="00DD365B"/>
    <w:rsid w:val="00DD369D"/>
    <w:rsid w:val="00DD37A1"/>
    <w:rsid w:val="00DD37C0"/>
    <w:rsid w:val="00DD37E4"/>
    <w:rsid w:val="00DD3809"/>
    <w:rsid w:val="00DD3830"/>
    <w:rsid w:val="00DD38A2"/>
    <w:rsid w:val="00DD3A6C"/>
    <w:rsid w:val="00DD3C4F"/>
    <w:rsid w:val="00DD3C89"/>
    <w:rsid w:val="00DD3D74"/>
    <w:rsid w:val="00DD3EC5"/>
    <w:rsid w:val="00DD3ECC"/>
    <w:rsid w:val="00DD3EE9"/>
    <w:rsid w:val="00DD3F70"/>
    <w:rsid w:val="00DD4106"/>
    <w:rsid w:val="00DD42D0"/>
    <w:rsid w:val="00DD42DB"/>
    <w:rsid w:val="00DD43FE"/>
    <w:rsid w:val="00DD4420"/>
    <w:rsid w:val="00DD4481"/>
    <w:rsid w:val="00DD45D3"/>
    <w:rsid w:val="00DD48A8"/>
    <w:rsid w:val="00DD4924"/>
    <w:rsid w:val="00DD496E"/>
    <w:rsid w:val="00DD4B7D"/>
    <w:rsid w:val="00DD4B7E"/>
    <w:rsid w:val="00DD4F37"/>
    <w:rsid w:val="00DD5116"/>
    <w:rsid w:val="00DD51C0"/>
    <w:rsid w:val="00DD5498"/>
    <w:rsid w:val="00DD56B1"/>
    <w:rsid w:val="00DD56FF"/>
    <w:rsid w:val="00DD579A"/>
    <w:rsid w:val="00DD59F9"/>
    <w:rsid w:val="00DD5A1B"/>
    <w:rsid w:val="00DD5AA4"/>
    <w:rsid w:val="00DD5B3C"/>
    <w:rsid w:val="00DD5B4E"/>
    <w:rsid w:val="00DD5C8E"/>
    <w:rsid w:val="00DD5ECC"/>
    <w:rsid w:val="00DD5F3C"/>
    <w:rsid w:val="00DD5F41"/>
    <w:rsid w:val="00DD600C"/>
    <w:rsid w:val="00DD60DA"/>
    <w:rsid w:val="00DD6102"/>
    <w:rsid w:val="00DD62ED"/>
    <w:rsid w:val="00DD63E5"/>
    <w:rsid w:val="00DD643B"/>
    <w:rsid w:val="00DD64A9"/>
    <w:rsid w:val="00DD670A"/>
    <w:rsid w:val="00DD67CE"/>
    <w:rsid w:val="00DD6811"/>
    <w:rsid w:val="00DD686F"/>
    <w:rsid w:val="00DD6898"/>
    <w:rsid w:val="00DD693D"/>
    <w:rsid w:val="00DD6983"/>
    <w:rsid w:val="00DD69C3"/>
    <w:rsid w:val="00DD6A66"/>
    <w:rsid w:val="00DD6A73"/>
    <w:rsid w:val="00DD6AAB"/>
    <w:rsid w:val="00DD6B59"/>
    <w:rsid w:val="00DD6C53"/>
    <w:rsid w:val="00DD6CCD"/>
    <w:rsid w:val="00DD6DC3"/>
    <w:rsid w:val="00DD6EC1"/>
    <w:rsid w:val="00DD6FD8"/>
    <w:rsid w:val="00DD715C"/>
    <w:rsid w:val="00DD724C"/>
    <w:rsid w:val="00DD75B5"/>
    <w:rsid w:val="00DD773A"/>
    <w:rsid w:val="00DD7818"/>
    <w:rsid w:val="00DD7842"/>
    <w:rsid w:val="00DD7A87"/>
    <w:rsid w:val="00DD7AD6"/>
    <w:rsid w:val="00DD7D24"/>
    <w:rsid w:val="00DD7E4C"/>
    <w:rsid w:val="00DE0079"/>
    <w:rsid w:val="00DE02D3"/>
    <w:rsid w:val="00DE02E6"/>
    <w:rsid w:val="00DE031A"/>
    <w:rsid w:val="00DE04EE"/>
    <w:rsid w:val="00DE054F"/>
    <w:rsid w:val="00DE0634"/>
    <w:rsid w:val="00DE065F"/>
    <w:rsid w:val="00DE070A"/>
    <w:rsid w:val="00DE08A3"/>
    <w:rsid w:val="00DE091C"/>
    <w:rsid w:val="00DE091D"/>
    <w:rsid w:val="00DE0A92"/>
    <w:rsid w:val="00DE0B13"/>
    <w:rsid w:val="00DE0B2F"/>
    <w:rsid w:val="00DE0C5F"/>
    <w:rsid w:val="00DE0C85"/>
    <w:rsid w:val="00DE0D65"/>
    <w:rsid w:val="00DE0E9C"/>
    <w:rsid w:val="00DE1005"/>
    <w:rsid w:val="00DE109F"/>
    <w:rsid w:val="00DE10B3"/>
    <w:rsid w:val="00DE10D3"/>
    <w:rsid w:val="00DE1355"/>
    <w:rsid w:val="00DE13B1"/>
    <w:rsid w:val="00DE13CB"/>
    <w:rsid w:val="00DE13E9"/>
    <w:rsid w:val="00DE14EF"/>
    <w:rsid w:val="00DE1746"/>
    <w:rsid w:val="00DE1846"/>
    <w:rsid w:val="00DE18A7"/>
    <w:rsid w:val="00DE18BC"/>
    <w:rsid w:val="00DE18BF"/>
    <w:rsid w:val="00DE1A74"/>
    <w:rsid w:val="00DE1B04"/>
    <w:rsid w:val="00DE1B31"/>
    <w:rsid w:val="00DE1BAA"/>
    <w:rsid w:val="00DE1C74"/>
    <w:rsid w:val="00DE1CA1"/>
    <w:rsid w:val="00DE1CF5"/>
    <w:rsid w:val="00DE1D01"/>
    <w:rsid w:val="00DE1D1D"/>
    <w:rsid w:val="00DE1FD5"/>
    <w:rsid w:val="00DE201A"/>
    <w:rsid w:val="00DE202D"/>
    <w:rsid w:val="00DE2091"/>
    <w:rsid w:val="00DE216A"/>
    <w:rsid w:val="00DE216E"/>
    <w:rsid w:val="00DE2237"/>
    <w:rsid w:val="00DE226D"/>
    <w:rsid w:val="00DE239E"/>
    <w:rsid w:val="00DE25F3"/>
    <w:rsid w:val="00DE2682"/>
    <w:rsid w:val="00DE26A3"/>
    <w:rsid w:val="00DE2702"/>
    <w:rsid w:val="00DE2808"/>
    <w:rsid w:val="00DE2838"/>
    <w:rsid w:val="00DE2A09"/>
    <w:rsid w:val="00DE2A8F"/>
    <w:rsid w:val="00DE2ABE"/>
    <w:rsid w:val="00DE2AF0"/>
    <w:rsid w:val="00DE2B19"/>
    <w:rsid w:val="00DE2B82"/>
    <w:rsid w:val="00DE2EDC"/>
    <w:rsid w:val="00DE313E"/>
    <w:rsid w:val="00DE359B"/>
    <w:rsid w:val="00DE3676"/>
    <w:rsid w:val="00DE36E3"/>
    <w:rsid w:val="00DE3948"/>
    <w:rsid w:val="00DE39AB"/>
    <w:rsid w:val="00DE3B1F"/>
    <w:rsid w:val="00DE3CD2"/>
    <w:rsid w:val="00DE3DDC"/>
    <w:rsid w:val="00DE3E9F"/>
    <w:rsid w:val="00DE4203"/>
    <w:rsid w:val="00DE420F"/>
    <w:rsid w:val="00DE4485"/>
    <w:rsid w:val="00DE44DC"/>
    <w:rsid w:val="00DE44FB"/>
    <w:rsid w:val="00DE4591"/>
    <w:rsid w:val="00DE46A8"/>
    <w:rsid w:val="00DE46EE"/>
    <w:rsid w:val="00DE4717"/>
    <w:rsid w:val="00DE4881"/>
    <w:rsid w:val="00DE4A36"/>
    <w:rsid w:val="00DE4AB7"/>
    <w:rsid w:val="00DE4C1E"/>
    <w:rsid w:val="00DE4C96"/>
    <w:rsid w:val="00DE4CA5"/>
    <w:rsid w:val="00DE4E5E"/>
    <w:rsid w:val="00DE4F46"/>
    <w:rsid w:val="00DE5058"/>
    <w:rsid w:val="00DE5063"/>
    <w:rsid w:val="00DE50E5"/>
    <w:rsid w:val="00DE5189"/>
    <w:rsid w:val="00DE5197"/>
    <w:rsid w:val="00DE52E5"/>
    <w:rsid w:val="00DE5302"/>
    <w:rsid w:val="00DE5344"/>
    <w:rsid w:val="00DE53C8"/>
    <w:rsid w:val="00DE5400"/>
    <w:rsid w:val="00DE5446"/>
    <w:rsid w:val="00DE54F1"/>
    <w:rsid w:val="00DE5524"/>
    <w:rsid w:val="00DE5558"/>
    <w:rsid w:val="00DE5647"/>
    <w:rsid w:val="00DE56D6"/>
    <w:rsid w:val="00DE571B"/>
    <w:rsid w:val="00DE57A2"/>
    <w:rsid w:val="00DE57F0"/>
    <w:rsid w:val="00DE592B"/>
    <w:rsid w:val="00DE5A2E"/>
    <w:rsid w:val="00DE5BDB"/>
    <w:rsid w:val="00DE5CC9"/>
    <w:rsid w:val="00DE5D6B"/>
    <w:rsid w:val="00DE5E8C"/>
    <w:rsid w:val="00DE5FE4"/>
    <w:rsid w:val="00DE6021"/>
    <w:rsid w:val="00DE603F"/>
    <w:rsid w:val="00DE610A"/>
    <w:rsid w:val="00DE6117"/>
    <w:rsid w:val="00DE61D7"/>
    <w:rsid w:val="00DE6280"/>
    <w:rsid w:val="00DE6457"/>
    <w:rsid w:val="00DE6479"/>
    <w:rsid w:val="00DE647A"/>
    <w:rsid w:val="00DE6641"/>
    <w:rsid w:val="00DE668F"/>
    <w:rsid w:val="00DE66B5"/>
    <w:rsid w:val="00DE66C1"/>
    <w:rsid w:val="00DE6766"/>
    <w:rsid w:val="00DE67B4"/>
    <w:rsid w:val="00DE67C5"/>
    <w:rsid w:val="00DE6827"/>
    <w:rsid w:val="00DE688B"/>
    <w:rsid w:val="00DE6A90"/>
    <w:rsid w:val="00DE6AFC"/>
    <w:rsid w:val="00DE6B54"/>
    <w:rsid w:val="00DE6BEB"/>
    <w:rsid w:val="00DE6C2A"/>
    <w:rsid w:val="00DE6C9E"/>
    <w:rsid w:val="00DE6D7B"/>
    <w:rsid w:val="00DE6F40"/>
    <w:rsid w:val="00DE6FF0"/>
    <w:rsid w:val="00DE7015"/>
    <w:rsid w:val="00DE7076"/>
    <w:rsid w:val="00DE70FE"/>
    <w:rsid w:val="00DE71BB"/>
    <w:rsid w:val="00DE7206"/>
    <w:rsid w:val="00DE720F"/>
    <w:rsid w:val="00DE7247"/>
    <w:rsid w:val="00DE7468"/>
    <w:rsid w:val="00DE74A1"/>
    <w:rsid w:val="00DE74D1"/>
    <w:rsid w:val="00DE74D7"/>
    <w:rsid w:val="00DE7513"/>
    <w:rsid w:val="00DE75BE"/>
    <w:rsid w:val="00DE78DB"/>
    <w:rsid w:val="00DE7985"/>
    <w:rsid w:val="00DE7999"/>
    <w:rsid w:val="00DE7A8C"/>
    <w:rsid w:val="00DE7B31"/>
    <w:rsid w:val="00DE7C61"/>
    <w:rsid w:val="00DE7D27"/>
    <w:rsid w:val="00DE7D3D"/>
    <w:rsid w:val="00DE7DB1"/>
    <w:rsid w:val="00DE7E3E"/>
    <w:rsid w:val="00DE7E44"/>
    <w:rsid w:val="00DE7EA4"/>
    <w:rsid w:val="00DE7FA2"/>
    <w:rsid w:val="00DE7FB6"/>
    <w:rsid w:val="00DF0052"/>
    <w:rsid w:val="00DF00E9"/>
    <w:rsid w:val="00DF01F6"/>
    <w:rsid w:val="00DF02B0"/>
    <w:rsid w:val="00DF04F2"/>
    <w:rsid w:val="00DF0591"/>
    <w:rsid w:val="00DF05A8"/>
    <w:rsid w:val="00DF05C1"/>
    <w:rsid w:val="00DF0618"/>
    <w:rsid w:val="00DF0670"/>
    <w:rsid w:val="00DF0690"/>
    <w:rsid w:val="00DF06E9"/>
    <w:rsid w:val="00DF0AC4"/>
    <w:rsid w:val="00DF0CB6"/>
    <w:rsid w:val="00DF0E39"/>
    <w:rsid w:val="00DF0E41"/>
    <w:rsid w:val="00DF0EDB"/>
    <w:rsid w:val="00DF100A"/>
    <w:rsid w:val="00DF106F"/>
    <w:rsid w:val="00DF10AA"/>
    <w:rsid w:val="00DF10BE"/>
    <w:rsid w:val="00DF1170"/>
    <w:rsid w:val="00DF1219"/>
    <w:rsid w:val="00DF1467"/>
    <w:rsid w:val="00DF1507"/>
    <w:rsid w:val="00DF1519"/>
    <w:rsid w:val="00DF16C9"/>
    <w:rsid w:val="00DF170C"/>
    <w:rsid w:val="00DF1864"/>
    <w:rsid w:val="00DF1921"/>
    <w:rsid w:val="00DF198A"/>
    <w:rsid w:val="00DF1A0E"/>
    <w:rsid w:val="00DF1A47"/>
    <w:rsid w:val="00DF1AA3"/>
    <w:rsid w:val="00DF1B0C"/>
    <w:rsid w:val="00DF1B19"/>
    <w:rsid w:val="00DF1B87"/>
    <w:rsid w:val="00DF1CD4"/>
    <w:rsid w:val="00DF1D89"/>
    <w:rsid w:val="00DF1E64"/>
    <w:rsid w:val="00DF201A"/>
    <w:rsid w:val="00DF2154"/>
    <w:rsid w:val="00DF21F4"/>
    <w:rsid w:val="00DF2213"/>
    <w:rsid w:val="00DF2243"/>
    <w:rsid w:val="00DF23C2"/>
    <w:rsid w:val="00DF24BD"/>
    <w:rsid w:val="00DF254C"/>
    <w:rsid w:val="00DF256A"/>
    <w:rsid w:val="00DF2686"/>
    <w:rsid w:val="00DF26C9"/>
    <w:rsid w:val="00DF2745"/>
    <w:rsid w:val="00DF2876"/>
    <w:rsid w:val="00DF288A"/>
    <w:rsid w:val="00DF2901"/>
    <w:rsid w:val="00DF2A33"/>
    <w:rsid w:val="00DF2B1B"/>
    <w:rsid w:val="00DF2B9F"/>
    <w:rsid w:val="00DF2E27"/>
    <w:rsid w:val="00DF2E9F"/>
    <w:rsid w:val="00DF308C"/>
    <w:rsid w:val="00DF30E3"/>
    <w:rsid w:val="00DF31B7"/>
    <w:rsid w:val="00DF31DE"/>
    <w:rsid w:val="00DF31E1"/>
    <w:rsid w:val="00DF3209"/>
    <w:rsid w:val="00DF32AE"/>
    <w:rsid w:val="00DF32B6"/>
    <w:rsid w:val="00DF32E2"/>
    <w:rsid w:val="00DF333E"/>
    <w:rsid w:val="00DF3479"/>
    <w:rsid w:val="00DF380E"/>
    <w:rsid w:val="00DF3849"/>
    <w:rsid w:val="00DF3AFF"/>
    <w:rsid w:val="00DF3B8C"/>
    <w:rsid w:val="00DF3C15"/>
    <w:rsid w:val="00DF3C52"/>
    <w:rsid w:val="00DF3C56"/>
    <w:rsid w:val="00DF3D47"/>
    <w:rsid w:val="00DF3E41"/>
    <w:rsid w:val="00DF3F12"/>
    <w:rsid w:val="00DF3F16"/>
    <w:rsid w:val="00DF3F64"/>
    <w:rsid w:val="00DF3F95"/>
    <w:rsid w:val="00DF3FF4"/>
    <w:rsid w:val="00DF4030"/>
    <w:rsid w:val="00DF408C"/>
    <w:rsid w:val="00DF40C4"/>
    <w:rsid w:val="00DF4113"/>
    <w:rsid w:val="00DF4471"/>
    <w:rsid w:val="00DF44D4"/>
    <w:rsid w:val="00DF45CC"/>
    <w:rsid w:val="00DF46B0"/>
    <w:rsid w:val="00DF4719"/>
    <w:rsid w:val="00DF4986"/>
    <w:rsid w:val="00DF4A02"/>
    <w:rsid w:val="00DF4B62"/>
    <w:rsid w:val="00DF4DF2"/>
    <w:rsid w:val="00DF4E44"/>
    <w:rsid w:val="00DF4F66"/>
    <w:rsid w:val="00DF4FE6"/>
    <w:rsid w:val="00DF50AC"/>
    <w:rsid w:val="00DF50FB"/>
    <w:rsid w:val="00DF516F"/>
    <w:rsid w:val="00DF533D"/>
    <w:rsid w:val="00DF5611"/>
    <w:rsid w:val="00DF567F"/>
    <w:rsid w:val="00DF576C"/>
    <w:rsid w:val="00DF5781"/>
    <w:rsid w:val="00DF5792"/>
    <w:rsid w:val="00DF586A"/>
    <w:rsid w:val="00DF592D"/>
    <w:rsid w:val="00DF5A5C"/>
    <w:rsid w:val="00DF5A9F"/>
    <w:rsid w:val="00DF5AFA"/>
    <w:rsid w:val="00DF5B40"/>
    <w:rsid w:val="00DF5B54"/>
    <w:rsid w:val="00DF5C85"/>
    <w:rsid w:val="00DF5CB1"/>
    <w:rsid w:val="00DF5D09"/>
    <w:rsid w:val="00DF5DC1"/>
    <w:rsid w:val="00DF5F0A"/>
    <w:rsid w:val="00DF5F20"/>
    <w:rsid w:val="00DF607C"/>
    <w:rsid w:val="00DF61B9"/>
    <w:rsid w:val="00DF61C2"/>
    <w:rsid w:val="00DF658E"/>
    <w:rsid w:val="00DF65A0"/>
    <w:rsid w:val="00DF660B"/>
    <w:rsid w:val="00DF6614"/>
    <w:rsid w:val="00DF6699"/>
    <w:rsid w:val="00DF67B5"/>
    <w:rsid w:val="00DF6868"/>
    <w:rsid w:val="00DF6904"/>
    <w:rsid w:val="00DF6965"/>
    <w:rsid w:val="00DF6967"/>
    <w:rsid w:val="00DF6977"/>
    <w:rsid w:val="00DF69EE"/>
    <w:rsid w:val="00DF6BF5"/>
    <w:rsid w:val="00DF6CC4"/>
    <w:rsid w:val="00DF6CFA"/>
    <w:rsid w:val="00DF6D05"/>
    <w:rsid w:val="00DF6D0D"/>
    <w:rsid w:val="00DF6EFD"/>
    <w:rsid w:val="00DF6FD7"/>
    <w:rsid w:val="00DF7045"/>
    <w:rsid w:val="00DF712F"/>
    <w:rsid w:val="00DF731C"/>
    <w:rsid w:val="00DF7378"/>
    <w:rsid w:val="00DF7389"/>
    <w:rsid w:val="00DF73DE"/>
    <w:rsid w:val="00DF7573"/>
    <w:rsid w:val="00DF7585"/>
    <w:rsid w:val="00DF7802"/>
    <w:rsid w:val="00DF7812"/>
    <w:rsid w:val="00DF7819"/>
    <w:rsid w:val="00DF7952"/>
    <w:rsid w:val="00DF7A72"/>
    <w:rsid w:val="00DF7AC7"/>
    <w:rsid w:val="00DF7CE7"/>
    <w:rsid w:val="00DF7CF9"/>
    <w:rsid w:val="00DF7D72"/>
    <w:rsid w:val="00DF7E10"/>
    <w:rsid w:val="00DF7E8A"/>
    <w:rsid w:val="00DF7EF3"/>
    <w:rsid w:val="00DF7F10"/>
    <w:rsid w:val="00DF7FFA"/>
    <w:rsid w:val="00E00055"/>
    <w:rsid w:val="00E00125"/>
    <w:rsid w:val="00E00136"/>
    <w:rsid w:val="00E001F1"/>
    <w:rsid w:val="00E003CA"/>
    <w:rsid w:val="00E003EA"/>
    <w:rsid w:val="00E0047C"/>
    <w:rsid w:val="00E005C4"/>
    <w:rsid w:val="00E0064A"/>
    <w:rsid w:val="00E00829"/>
    <w:rsid w:val="00E00987"/>
    <w:rsid w:val="00E009A1"/>
    <w:rsid w:val="00E00B59"/>
    <w:rsid w:val="00E00B5B"/>
    <w:rsid w:val="00E00BA8"/>
    <w:rsid w:val="00E00D57"/>
    <w:rsid w:val="00E00D5D"/>
    <w:rsid w:val="00E00EF0"/>
    <w:rsid w:val="00E00F38"/>
    <w:rsid w:val="00E01020"/>
    <w:rsid w:val="00E011F9"/>
    <w:rsid w:val="00E01217"/>
    <w:rsid w:val="00E012D2"/>
    <w:rsid w:val="00E014A2"/>
    <w:rsid w:val="00E01565"/>
    <w:rsid w:val="00E0161E"/>
    <w:rsid w:val="00E01625"/>
    <w:rsid w:val="00E01683"/>
    <w:rsid w:val="00E016AC"/>
    <w:rsid w:val="00E01817"/>
    <w:rsid w:val="00E01837"/>
    <w:rsid w:val="00E0186C"/>
    <w:rsid w:val="00E01874"/>
    <w:rsid w:val="00E01889"/>
    <w:rsid w:val="00E018C2"/>
    <w:rsid w:val="00E01961"/>
    <w:rsid w:val="00E019DB"/>
    <w:rsid w:val="00E019FA"/>
    <w:rsid w:val="00E01A07"/>
    <w:rsid w:val="00E01A18"/>
    <w:rsid w:val="00E01B2A"/>
    <w:rsid w:val="00E01C7F"/>
    <w:rsid w:val="00E01C8B"/>
    <w:rsid w:val="00E01D13"/>
    <w:rsid w:val="00E01D69"/>
    <w:rsid w:val="00E01EC5"/>
    <w:rsid w:val="00E01F51"/>
    <w:rsid w:val="00E01F89"/>
    <w:rsid w:val="00E0209D"/>
    <w:rsid w:val="00E020A1"/>
    <w:rsid w:val="00E020C3"/>
    <w:rsid w:val="00E02102"/>
    <w:rsid w:val="00E021B4"/>
    <w:rsid w:val="00E02556"/>
    <w:rsid w:val="00E026F3"/>
    <w:rsid w:val="00E02851"/>
    <w:rsid w:val="00E0298F"/>
    <w:rsid w:val="00E02AE4"/>
    <w:rsid w:val="00E02BE0"/>
    <w:rsid w:val="00E02CCD"/>
    <w:rsid w:val="00E02DA8"/>
    <w:rsid w:val="00E02E09"/>
    <w:rsid w:val="00E03019"/>
    <w:rsid w:val="00E03039"/>
    <w:rsid w:val="00E03109"/>
    <w:rsid w:val="00E03159"/>
    <w:rsid w:val="00E031B9"/>
    <w:rsid w:val="00E031E7"/>
    <w:rsid w:val="00E0335D"/>
    <w:rsid w:val="00E03390"/>
    <w:rsid w:val="00E0350F"/>
    <w:rsid w:val="00E03647"/>
    <w:rsid w:val="00E0379C"/>
    <w:rsid w:val="00E037F9"/>
    <w:rsid w:val="00E0388B"/>
    <w:rsid w:val="00E038B4"/>
    <w:rsid w:val="00E03A17"/>
    <w:rsid w:val="00E03A53"/>
    <w:rsid w:val="00E03B52"/>
    <w:rsid w:val="00E03B6B"/>
    <w:rsid w:val="00E03BFA"/>
    <w:rsid w:val="00E03CDD"/>
    <w:rsid w:val="00E03D59"/>
    <w:rsid w:val="00E03D76"/>
    <w:rsid w:val="00E03EF7"/>
    <w:rsid w:val="00E03F32"/>
    <w:rsid w:val="00E03F3E"/>
    <w:rsid w:val="00E03FDC"/>
    <w:rsid w:val="00E040ED"/>
    <w:rsid w:val="00E04108"/>
    <w:rsid w:val="00E0412A"/>
    <w:rsid w:val="00E0428A"/>
    <w:rsid w:val="00E0433C"/>
    <w:rsid w:val="00E0443F"/>
    <w:rsid w:val="00E045BF"/>
    <w:rsid w:val="00E045E1"/>
    <w:rsid w:val="00E0465D"/>
    <w:rsid w:val="00E046A6"/>
    <w:rsid w:val="00E046BA"/>
    <w:rsid w:val="00E04709"/>
    <w:rsid w:val="00E0472F"/>
    <w:rsid w:val="00E0478F"/>
    <w:rsid w:val="00E048E2"/>
    <w:rsid w:val="00E048FA"/>
    <w:rsid w:val="00E0496B"/>
    <w:rsid w:val="00E04A93"/>
    <w:rsid w:val="00E04C37"/>
    <w:rsid w:val="00E04CF7"/>
    <w:rsid w:val="00E04D8F"/>
    <w:rsid w:val="00E04DDA"/>
    <w:rsid w:val="00E04F59"/>
    <w:rsid w:val="00E04F9B"/>
    <w:rsid w:val="00E04FAF"/>
    <w:rsid w:val="00E04FD5"/>
    <w:rsid w:val="00E0503C"/>
    <w:rsid w:val="00E050A9"/>
    <w:rsid w:val="00E050FF"/>
    <w:rsid w:val="00E05122"/>
    <w:rsid w:val="00E0517E"/>
    <w:rsid w:val="00E0520B"/>
    <w:rsid w:val="00E05263"/>
    <w:rsid w:val="00E05274"/>
    <w:rsid w:val="00E052AC"/>
    <w:rsid w:val="00E0543C"/>
    <w:rsid w:val="00E0545C"/>
    <w:rsid w:val="00E05460"/>
    <w:rsid w:val="00E0551E"/>
    <w:rsid w:val="00E056C6"/>
    <w:rsid w:val="00E05779"/>
    <w:rsid w:val="00E058E1"/>
    <w:rsid w:val="00E05EAA"/>
    <w:rsid w:val="00E060B2"/>
    <w:rsid w:val="00E060FD"/>
    <w:rsid w:val="00E06134"/>
    <w:rsid w:val="00E0614F"/>
    <w:rsid w:val="00E06190"/>
    <w:rsid w:val="00E0619F"/>
    <w:rsid w:val="00E061D9"/>
    <w:rsid w:val="00E0620B"/>
    <w:rsid w:val="00E06237"/>
    <w:rsid w:val="00E062F6"/>
    <w:rsid w:val="00E06339"/>
    <w:rsid w:val="00E06365"/>
    <w:rsid w:val="00E063D1"/>
    <w:rsid w:val="00E06670"/>
    <w:rsid w:val="00E06697"/>
    <w:rsid w:val="00E06723"/>
    <w:rsid w:val="00E06770"/>
    <w:rsid w:val="00E0684E"/>
    <w:rsid w:val="00E06934"/>
    <w:rsid w:val="00E06A88"/>
    <w:rsid w:val="00E06B0E"/>
    <w:rsid w:val="00E06B70"/>
    <w:rsid w:val="00E06BDD"/>
    <w:rsid w:val="00E06C36"/>
    <w:rsid w:val="00E06C54"/>
    <w:rsid w:val="00E06EAD"/>
    <w:rsid w:val="00E06F00"/>
    <w:rsid w:val="00E06F2E"/>
    <w:rsid w:val="00E06F71"/>
    <w:rsid w:val="00E06F87"/>
    <w:rsid w:val="00E06F91"/>
    <w:rsid w:val="00E0703F"/>
    <w:rsid w:val="00E07172"/>
    <w:rsid w:val="00E0726B"/>
    <w:rsid w:val="00E072B5"/>
    <w:rsid w:val="00E072CB"/>
    <w:rsid w:val="00E0741E"/>
    <w:rsid w:val="00E075A7"/>
    <w:rsid w:val="00E07720"/>
    <w:rsid w:val="00E07817"/>
    <w:rsid w:val="00E07988"/>
    <w:rsid w:val="00E07B6E"/>
    <w:rsid w:val="00E07B7C"/>
    <w:rsid w:val="00E07C24"/>
    <w:rsid w:val="00E07CCA"/>
    <w:rsid w:val="00E07CCE"/>
    <w:rsid w:val="00E07D00"/>
    <w:rsid w:val="00E07D76"/>
    <w:rsid w:val="00E07F8F"/>
    <w:rsid w:val="00E07FD3"/>
    <w:rsid w:val="00E101BF"/>
    <w:rsid w:val="00E1045D"/>
    <w:rsid w:val="00E10487"/>
    <w:rsid w:val="00E106E5"/>
    <w:rsid w:val="00E10EDC"/>
    <w:rsid w:val="00E10F59"/>
    <w:rsid w:val="00E10F5F"/>
    <w:rsid w:val="00E10F81"/>
    <w:rsid w:val="00E11080"/>
    <w:rsid w:val="00E1108C"/>
    <w:rsid w:val="00E11377"/>
    <w:rsid w:val="00E113BC"/>
    <w:rsid w:val="00E113C9"/>
    <w:rsid w:val="00E11464"/>
    <w:rsid w:val="00E1156B"/>
    <w:rsid w:val="00E11653"/>
    <w:rsid w:val="00E11664"/>
    <w:rsid w:val="00E118D7"/>
    <w:rsid w:val="00E11955"/>
    <w:rsid w:val="00E11B1E"/>
    <w:rsid w:val="00E11BBD"/>
    <w:rsid w:val="00E11BD3"/>
    <w:rsid w:val="00E11C9F"/>
    <w:rsid w:val="00E11CE1"/>
    <w:rsid w:val="00E11D28"/>
    <w:rsid w:val="00E11D89"/>
    <w:rsid w:val="00E11E85"/>
    <w:rsid w:val="00E11EA6"/>
    <w:rsid w:val="00E120BD"/>
    <w:rsid w:val="00E120C6"/>
    <w:rsid w:val="00E120F3"/>
    <w:rsid w:val="00E121FB"/>
    <w:rsid w:val="00E12291"/>
    <w:rsid w:val="00E123BB"/>
    <w:rsid w:val="00E123C4"/>
    <w:rsid w:val="00E12475"/>
    <w:rsid w:val="00E1256D"/>
    <w:rsid w:val="00E12587"/>
    <w:rsid w:val="00E12596"/>
    <w:rsid w:val="00E125D7"/>
    <w:rsid w:val="00E125DF"/>
    <w:rsid w:val="00E12681"/>
    <w:rsid w:val="00E126E4"/>
    <w:rsid w:val="00E12808"/>
    <w:rsid w:val="00E1286B"/>
    <w:rsid w:val="00E12975"/>
    <w:rsid w:val="00E12C12"/>
    <w:rsid w:val="00E12D03"/>
    <w:rsid w:val="00E12D1C"/>
    <w:rsid w:val="00E12D85"/>
    <w:rsid w:val="00E12D9A"/>
    <w:rsid w:val="00E12E2B"/>
    <w:rsid w:val="00E12E48"/>
    <w:rsid w:val="00E12EBD"/>
    <w:rsid w:val="00E12EBE"/>
    <w:rsid w:val="00E1322A"/>
    <w:rsid w:val="00E132A4"/>
    <w:rsid w:val="00E132EC"/>
    <w:rsid w:val="00E1340F"/>
    <w:rsid w:val="00E134D9"/>
    <w:rsid w:val="00E134DD"/>
    <w:rsid w:val="00E13542"/>
    <w:rsid w:val="00E1365C"/>
    <w:rsid w:val="00E1375C"/>
    <w:rsid w:val="00E13785"/>
    <w:rsid w:val="00E138AA"/>
    <w:rsid w:val="00E138FC"/>
    <w:rsid w:val="00E139C9"/>
    <w:rsid w:val="00E139CD"/>
    <w:rsid w:val="00E139FE"/>
    <w:rsid w:val="00E13A12"/>
    <w:rsid w:val="00E13A17"/>
    <w:rsid w:val="00E13AD4"/>
    <w:rsid w:val="00E13C28"/>
    <w:rsid w:val="00E13C62"/>
    <w:rsid w:val="00E13CBD"/>
    <w:rsid w:val="00E13D4E"/>
    <w:rsid w:val="00E13D81"/>
    <w:rsid w:val="00E13E91"/>
    <w:rsid w:val="00E14049"/>
    <w:rsid w:val="00E140C1"/>
    <w:rsid w:val="00E1413A"/>
    <w:rsid w:val="00E1418D"/>
    <w:rsid w:val="00E141F1"/>
    <w:rsid w:val="00E142C6"/>
    <w:rsid w:val="00E1434B"/>
    <w:rsid w:val="00E143ED"/>
    <w:rsid w:val="00E14435"/>
    <w:rsid w:val="00E1450C"/>
    <w:rsid w:val="00E145C9"/>
    <w:rsid w:val="00E146BA"/>
    <w:rsid w:val="00E146F2"/>
    <w:rsid w:val="00E1478A"/>
    <w:rsid w:val="00E147E5"/>
    <w:rsid w:val="00E149F9"/>
    <w:rsid w:val="00E14A0B"/>
    <w:rsid w:val="00E14A34"/>
    <w:rsid w:val="00E14DC7"/>
    <w:rsid w:val="00E14E2A"/>
    <w:rsid w:val="00E14E4B"/>
    <w:rsid w:val="00E14E77"/>
    <w:rsid w:val="00E14E9B"/>
    <w:rsid w:val="00E14F24"/>
    <w:rsid w:val="00E14F4F"/>
    <w:rsid w:val="00E14FEB"/>
    <w:rsid w:val="00E1500D"/>
    <w:rsid w:val="00E15038"/>
    <w:rsid w:val="00E1534A"/>
    <w:rsid w:val="00E15446"/>
    <w:rsid w:val="00E1557B"/>
    <w:rsid w:val="00E1587D"/>
    <w:rsid w:val="00E159F7"/>
    <w:rsid w:val="00E15ADB"/>
    <w:rsid w:val="00E15BB3"/>
    <w:rsid w:val="00E15CAA"/>
    <w:rsid w:val="00E15DB8"/>
    <w:rsid w:val="00E15DEE"/>
    <w:rsid w:val="00E15DEF"/>
    <w:rsid w:val="00E15E9E"/>
    <w:rsid w:val="00E15F28"/>
    <w:rsid w:val="00E15F6C"/>
    <w:rsid w:val="00E16125"/>
    <w:rsid w:val="00E16177"/>
    <w:rsid w:val="00E1621E"/>
    <w:rsid w:val="00E16255"/>
    <w:rsid w:val="00E16272"/>
    <w:rsid w:val="00E163E1"/>
    <w:rsid w:val="00E165B7"/>
    <w:rsid w:val="00E16716"/>
    <w:rsid w:val="00E1674D"/>
    <w:rsid w:val="00E16940"/>
    <w:rsid w:val="00E16B09"/>
    <w:rsid w:val="00E16B37"/>
    <w:rsid w:val="00E16B95"/>
    <w:rsid w:val="00E16BFD"/>
    <w:rsid w:val="00E16C26"/>
    <w:rsid w:val="00E16CE3"/>
    <w:rsid w:val="00E16D5F"/>
    <w:rsid w:val="00E16E46"/>
    <w:rsid w:val="00E16EC2"/>
    <w:rsid w:val="00E16FAF"/>
    <w:rsid w:val="00E16FBE"/>
    <w:rsid w:val="00E1711B"/>
    <w:rsid w:val="00E1716B"/>
    <w:rsid w:val="00E1716E"/>
    <w:rsid w:val="00E172E5"/>
    <w:rsid w:val="00E173D2"/>
    <w:rsid w:val="00E174F1"/>
    <w:rsid w:val="00E17657"/>
    <w:rsid w:val="00E176D1"/>
    <w:rsid w:val="00E17818"/>
    <w:rsid w:val="00E1785C"/>
    <w:rsid w:val="00E179DA"/>
    <w:rsid w:val="00E17C53"/>
    <w:rsid w:val="00E17C55"/>
    <w:rsid w:val="00E17C9C"/>
    <w:rsid w:val="00E17DA0"/>
    <w:rsid w:val="00E17DBB"/>
    <w:rsid w:val="00E17DCA"/>
    <w:rsid w:val="00E17DE5"/>
    <w:rsid w:val="00E17E03"/>
    <w:rsid w:val="00E17E15"/>
    <w:rsid w:val="00E17F67"/>
    <w:rsid w:val="00E20022"/>
    <w:rsid w:val="00E20173"/>
    <w:rsid w:val="00E201E6"/>
    <w:rsid w:val="00E2026D"/>
    <w:rsid w:val="00E202F2"/>
    <w:rsid w:val="00E204FA"/>
    <w:rsid w:val="00E2053B"/>
    <w:rsid w:val="00E20549"/>
    <w:rsid w:val="00E205F8"/>
    <w:rsid w:val="00E20656"/>
    <w:rsid w:val="00E20733"/>
    <w:rsid w:val="00E20738"/>
    <w:rsid w:val="00E20790"/>
    <w:rsid w:val="00E20851"/>
    <w:rsid w:val="00E2096C"/>
    <w:rsid w:val="00E20ADC"/>
    <w:rsid w:val="00E20B63"/>
    <w:rsid w:val="00E20C3D"/>
    <w:rsid w:val="00E20D62"/>
    <w:rsid w:val="00E20E5C"/>
    <w:rsid w:val="00E20FBE"/>
    <w:rsid w:val="00E20FEA"/>
    <w:rsid w:val="00E2113D"/>
    <w:rsid w:val="00E21199"/>
    <w:rsid w:val="00E21301"/>
    <w:rsid w:val="00E214BF"/>
    <w:rsid w:val="00E214E7"/>
    <w:rsid w:val="00E21522"/>
    <w:rsid w:val="00E216EE"/>
    <w:rsid w:val="00E217AC"/>
    <w:rsid w:val="00E21844"/>
    <w:rsid w:val="00E21903"/>
    <w:rsid w:val="00E21915"/>
    <w:rsid w:val="00E21918"/>
    <w:rsid w:val="00E21935"/>
    <w:rsid w:val="00E21940"/>
    <w:rsid w:val="00E21993"/>
    <w:rsid w:val="00E21A24"/>
    <w:rsid w:val="00E21A40"/>
    <w:rsid w:val="00E21BE7"/>
    <w:rsid w:val="00E21C11"/>
    <w:rsid w:val="00E21D79"/>
    <w:rsid w:val="00E21DE0"/>
    <w:rsid w:val="00E21DF1"/>
    <w:rsid w:val="00E21FF1"/>
    <w:rsid w:val="00E22108"/>
    <w:rsid w:val="00E22175"/>
    <w:rsid w:val="00E2223E"/>
    <w:rsid w:val="00E2238B"/>
    <w:rsid w:val="00E2238D"/>
    <w:rsid w:val="00E223D0"/>
    <w:rsid w:val="00E22463"/>
    <w:rsid w:val="00E22572"/>
    <w:rsid w:val="00E225B9"/>
    <w:rsid w:val="00E225D5"/>
    <w:rsid w:val="00E225F2"/>
    <w:rsid w:val="00E225FF"/>
    <w:rsid w:val="00E2262E"/>
    <w:rsid w:val="00E2267F"/>
    <w:rsid w:val="00E226EF"/>
    <w:rsid w:val="00E22780"/>
    <w:rsid w:val="00E2281C"/>
    <w:rsid w:val="00E2282A"/>
    <w:rsid w:val="00E22985"/>
    <w:rsid w:val="00E22AC6"/>
    <w:rsid w:val="00E22B11"/>
    <w:rsid w:val="00E22CC8"/>
    <w:rsid w:val="00E22DEB"/>
    <w:rsid w:val="00E22DF4"/>
    <w:rsid w:val="00E22E00"/>
    <w:rsid w:val="00E22E43"/>
    <w:rsid w:val="00E22F88"/>
    <w:rsid w:val="00E2313B"/>
    <w:rsid w:val="00E23152"/>
    <w:rsid w:val="00E232A8"/>
    <w:rsid w:val="00E232C5"/>
    <w:rsid w:val="00E23349"/>
    <w:rsid w:val="00E234DF"/>
    <w:rsid w:val="00E23601"/>
    <w:rsid w:val="00E23690"/>
    <w:rsid w:val="00E236A5"/>
    <w:rsid w:val="00E23837"/>
    <w:rsid w:val="00E2390C"/>
    <w:rsid w:val="00E23910"/>
    <w:rsid w:val="00E23980"/>
    <w:rsid w:val="00E23A2E"/>
    <w:rsid w:val="00E23A3C"/>
    <w:rsid w:val="00E23AC1"/>
    <w:rsid w:val="00E23AD9"/>
    <w:rsid w:val="00E23B27"/>
    <w:rsid w:val="00E23BF5"/>
    <w:rsid w:val="00E23C44"/>
    <w:rsid w:val="00E23D2E"/>
    <w:rsid w:val="00E23E4E"/>
    <w:rsid w:val="00E23E5B"/>
    <w:rsid w:val="00E23F36"/>
    <w:rsid w:val="00E23FFC"/>
    <w:rsid w:val="00E2406B"/>
    <w:rsid w:val="00E24132"/>
    <w:rsid w:val="00E24232"/>
    <w:rsid w:val="00E2423E"/>
    <w:rsid w:val="00E2435D"/>
    <w:rsid w:val="00E24378"/>
    <w:rsid w:val="00E24454"/>
    <w:rsid w:val="00E244A4"/>
    <w:rsid w:val="00E24523"/>
    <w:rsid w:val="00E245AD"/>
    <w:rsid w:val="00E245D8"/>
    <w:rsid w:val="00E24610"/>
    <w:rsid w:val="00E246B0"/>
    <w:rsid w:val="00E24702"/>
    <w:rsid w:val="00E24721"/>
    <w:rsid w:val="00E2476E"/>
    <w:rsid w:val="00E24A70"/>
    <w:rsid w:val="00E24ACE"/>
    <w:rsid w:val="00E24C0F"/>
    <w:rsid w:val="00E24E65"/>
    <w:rsid w:val="00E24F3C"/>
    <w:rsid w:val="00E24F8D"/>
    <w:rsid w:val="00E24FFD"/>
    <w:rsid w:val="00E2503A"/>
    <w:rsid w:val="00E2504A"/>
    <w:rsid w:val="00E252D8"/>
    <w:rsid w:val="00E25310"/>
    <w:rsid w:val="00E25343"/>
    <w:rsid w:val="00E253F8"/>
    <w:rsid w:val="00E254E3"/>
    <w:rsid w:val="00E254FB"/>
    <w:rsid w:val="00E254FD"/>
    <w:rsid w:val="00E258EA"/>
    <w:rsid w:val="00E25938"/>
    <w:rsid w:val="00E25BE9"/>
    <w:rsid w:val="00E25CAF"/>
    <w:rsid w:val="00E25F3F"/>
    <w:rsid w:val="00E25F45"/>
    <w:rsid w:val="00E2600F"/>
    <w:rsid w:val="00E2608B"/>
    <w:rsid w:val="00E26113"/>
    <w:rsid w:val="00E26167"/>
    <w:rsid w:val="00E261B6"/>
    <w:rsid w:val="00E261CB"/>
    <w:rsid w:val="00E2624F"/>
    <w:rsid w:val="00E26273"/>
    <w:rsid w:val="00E262B2"/>
    <w:rsid w:val="00E26401"/>
    <w:rsid w:val="00E26436"/>
    <w:rsid w:val="00E264BA"/>
    <w:rsid w:val="00E264C3"/>
    <w:rsid w:val="00E26579"/>
    <w:rsid w:val="00E2660B"/>
    <w:rsid w:val="00E2662C"/>
    <w:rsid w:val="00E26685"/>
    <w:rsid w:val="00E266A4"/>
    <w:rsid w:val="00E26714"/>
    <w:rsid w:val="00E267D4"/>
    <w:rsid w:val="00E26945"/>
    <w:rsid w:val="00E269A6"/>
    <w:rsid w:val="00E269D2"/>
    <w:rsid w:val="00E269E2"/>
    <w:rsid w:val="00E26AB3"/>
    <w:rsid w:val="00E26B46"/>
    <w:rsid w:val="00E26D03"/>
    <w:rsid w:val="00E26E66"/>
    <w:rsid w:val="00E26E79"/>
    <w:rsid w:val="00E26F6C"/>
    <w:rsid w:val="00E26FE4"/>
    <w:rsid w:val="00E27065"/>
    <w:rsid w:val="00E27218"/>
    <w:rsid w:val="00E27221"/>
    <w:rsid w:val="00E2731E"/>
    <w:rsid w:val="00E27320"/>
    <w:rsid w:val="00E2741A"/>
    <w:rsid w:val="00E274EE"/>
    <w:rsid w:val="00E2764D"/>
    <w:rsid w:val="00E276C6"/>
    <w:rsid w:val="00E2782E"/>
    <w:rsid w:val="00E278CE"/>
    <w:rsid w:val="00E27A34"/>
    <w:rsid w:val="00E27AEE"/>
    <w:rsid w:val="00E27EC2"/>
    <w:rsid w:val="00E27F16"/>
    <w:rsid w:val="00E27F5B"/>
    <w:rsid w:val="00E30246"/>
    <w:rsid w:val="00E30260"/>
    <w:rsid w:val="00E302BE"/>
    <w:rsid w:val="00E30369"/>
    <w:rsid w:val="00E3049F"/>
    <w:rsid w:val="00E304E7"/>
    <w:rsid w:val="00E30501"/>
    <w:rsid w:val="00E30803"/>
    <w:rsid w:val="00E30840"/>
    <w:rsid w:val="00E3090A"/>
    <w:rsid w:val="00E309CE"/>
    <w:rsid w:val="00E30C1A"/>
    <w:rsid w:val="00E30DB3"/>
    <w:rsid w:val="00E30DFB"/>
    <w:rsid w:val="00E30E1B"/>
    <w:rsid w:val="00E30E28"/>
    <w:rsid w:val="00E30F7B"/>
    <w:rsid w:val="00E30F9D"/>
    <w:rsid w:val="00E30FE8"/>
    <w:rsid w:val="00E31051"/>
    <w:rsid w:val="00E31131"/>
    <w:rsid w:val="00E31189"/>
    <w:rsid w:val="00E3118D"/>
    <w:rsid w:val="00E3126B"/>
    <w:rsid w:val="00E31455"/>
    <w:rsid w:val="00E316AD"/>
    <w:rsid w:val="00E31725"/>
    <w:rsid w:val="00E31753"/>
    <w:rsid w:val="00E31776"/>
    <w:rsid w:val="00E31813"/>
    <w:rsid w:val="00E31912"/>
    <w:rsid w:val="00E31A44"/>
    <w:rsid w:val="00E31A53"/>
    <w:rsid w:val="00E31C4C"/>
    <w:rsid w:val="00E31D2D"/>
    <w:rsid w:val="00E31D63"/>
    <w:rsid w:val="00E31D88"/>
    <w:rsid w:val="00E31E93"/>
    <w:rsid w:val="00E31EED"/>
    <w:rsid w:val="00E31F03"/>
    <w:rsid w:val="00E31F97"/>
    <w:rsid w:val="00E32045"/>
    <w:rsid w:val="00E32057"/>
    <w:rsid w:val="00E32204"/>
    <w:rsid w:val="00E32244"/>
    <w:rsid w:val="00E32245"/>
    <w:rsid w:val="00E322B3"/>
    <w:rsid w:val="00E3235F"/>
    <w:rsid w:val="00E3237F"/>
    <w:rsid w:val="00E323AA"/>
    <w:rsid w:val="00E323D4"/>
    <w:rsid w:val="00E3242B"/>
    <w:rsid w:val="00E324B7"/>
    <w:rsid w:val="00E325C3"/>
    <w:rsid w:val="00E327A9"/>
    <w:rsid w:val="00E32855"/>
    <w:rsid w:val="00E32A0C"/>
    <w:rsid w:val="00E32AFD"/>
    <w:rsid w:val="00E32C7A"/>
    <w:rsid w:val="00E32CD5"/>
    <w:rsid w:val="00E32CED"/>
    <w:rsid w:val="00E32D1F"/>
    <w:rsid w:val="00E32E2A"/>
    <w:rsid w:val="00E32E7E"/>
    <w:rsid w:val="00E330C8"/>
    <w:rsid w:val="00E331AB"/>
    <w:rsid w:val="00E331B5"/>
    <w:rsid w:val="00E331DA"/>
    <w:rsid w:val="00E333B7"/>
    <w:rsid w:val="00E333C2"/>
    <w:rsid w:val="00E33425"/>
    <w:rsid w:val="00E3365B"/>
    <w:rsid w:val="00E33796"/>
    <w:rsid w:val="00E338F5"/>
    <w:rsid w:val="00E33919"/>
    <w:rsid w:val="00E33965"/>
    <w:rsid w:val="00E33975"/>
    <w:rsid w:val="00E33985"/>
    <w:rsid w:val="00E33A5E"/>
    <w:rsid w:val="00E33AEB"/>
    <w:rsid w:val="00E33B5F"/>
    <w:rsid w:val="00E33BDC"/>
    <w:rsid w:val="00E33D02"/>
    <w:rsid w:val="00E33D03"/>
    <w:rsid w:val="00E33D35"/>
    <w:rsid w:val="00E33DA8"/>
    <w:rsid w:val="00E33E94"/>
    <w:rsid w:val="00E34153"/>
    <w:rsid w:val="00E3417C"/>
    <w:rsid w:val="00E3423B"/>
    <w:rsid w:val="00E3434F"/>
    <w:rsid w:val="00E3436F"/>
    <w:rsid w:val="00E34483"/>
    <w:rsid w:val="00E346ED"/>
    <w:rsid w:val="00E3472B"/>
    <w:rsid w:val="00E34838"/>
    <w:rsid w:val="00E3494B"/>
    <w:rsid w:val="00E3498D"/>
    <w:rsid w:val="00E34A69"/>
    <w:rsid w:val="00E34A7C"/>
    <w:rsid w:val="00E34B21"/>
    <w:rsid w:val="00E34C34"/>
    <w:rsid w:val="00E34C4E"/>
    <w:rsid w:val="00E34DC9"/>
    <w:rsid w:val="00E34E13"/>
    <w:rsid w:val="00E34E87"/>
    <w:rsid w:val="00E34EB4"/>
    <w:rsid w:val="00E34EDA"/>
    <w:rsid w:val="00E35064"/>
    <w:rsid w:val="00E350DD"/>
    <w:rsid w:val="00E35122"/>
    <w:rsid w:val="00E35124"/>
    <w:rsid w:val="00E351EB"/>
    <w:rsid w:val="00E35201"/>
    <w:rsid w:val="00E352C9"/>
    <w:rsid w:val="00E352FC"/>
    <w:rsid w:val="00E35306"/>
    <w:rsid w:val="00E3537D"/>
    <w:rsid w:val="00E353A7"/>
    <w:rsid w:val="00E35599"/>
    <w:rsid w:val="00E35635"/>
    <w:rsid w:val="00E3565C"/>
    <w:rsid w:val="00E35847"/>
    <w:rsid w:val="00E35868"/>
    <w:rsid w:val="00E35876"/>
    <w:rsid w:val="00E358A2"/>
    <w:rsid w:val="00E35975"/>
    <w:rsid w:val="00E359E0"/>
    <w:rsid w:val="00E35A78"/>
    <w:rsid w:val="00E35A97"/>
    <w:rsid w:val="00E35ADE"/>
    <w:rsid w:val="00E35BB6"/>
    <w:rsid w:val="00E35BBE"/>
    <w:rsid w:val="00E35BC0"/>
    <w:rsid w:val="00E35BC6"/>
    <w:rsid w:val="00E35CE6"/>
    <w:rsid w:val="00E35E1E"/>
    <w:rsid w:val="00E35F21"/>
    <w:rsid w:val="00E36160"/>
    <w:rsid w:val="00E3625D"/>
    <w:rsid w:val="00E364B3"/>
    <w:rsid w:val="00E364EF"/>
    <w:rsid w:val="00E365AE"/>
    <w:rsid w:val="00E3669E"/>
    <w:rsid w:val="00E366C7"/>
    <w:rsid w:val="00E36790"/>
    <w:rsid w:val="00E36797"/>
    <w:rsid w:val="00E367A0"/>
    <w:rsid w:val="00E367FA"/>
    <w:rsid w:val="00E36844"/>
    <w:rsid w:val="00E369E8"/>
    <w:rsid w:val="00E36B38"/>
    <w:rsid w:val="00E36C7A"/>
    <w:rsid w:val="00E36CAE"/>
    <w:rsid w:val="00E36D0E"/>
    <w:rsid w:val="00E36D15"/>
    <w:rsid w:val="00E36D59"/>
    <w:rsid w:val="00E36DC1"/>
    <w:rsid w:val="00E36F5C"/>
    <w:rsid w:val="00E370E3"/>
    <w:rsid w:val="00E3713D"/>
    <w:rsid w:val="00E37172"/>
    <w:rsid w:val="00E371AF"/>
    <w:rsid w:val="00E371DF"/>
    <w:rsid w:val="00E37255"/>
    <w:rsid w:val="00E37445"/>
    <w:rsid w:val="00E374E9"/>
    <w:rsid w:val="00E376DD"/>
    <w:rsid w:val="00E3772C"/>
    <w:rsid w:val="00E3798D"/>
    <w:rsid w:val="00E37A2F"/>
    <w:rsid w:val="00E37A82"/>
    <w:rsid w:val="00E37C0F"/>
    <w:rsid w:val="00E37C1F"/>
    <w:rsid w:val="00E37CD7"/>
    <w:rsid w:val="00E37D95"/>
    <w:rsid w:val="00E37D98"/>
    <w:rsid w:val="00E37DA4"/>
    <w:rsid w:val="00E37E27"/>
    <w:rsid w:val="00E37ED8"/>
    <w:rsid w:val="00E37EF3"/>
    <w:rsid w:val="00E37F55"/>
    <w:rsid w:val="00E37FFE"/>
    <w:rsid w:val="00E4001E"/>
    <w:rsid w:val="00E40247"/>
    <w:rsid w:val="00E40360"/>
    <w:rsid w:val="00E4040F"/>
    <w:rsid w:val="00E40565"/>
    <w:rsid w:val="00E4061D"/>
    <w:rsid w:val="00E4078E"/>
    <w:rsid w:val="00E40806"/>
    <w:rsid w:val="00E4084C"/>
    <w:rsid w:val="00E4088A"/>
    <w:rsid w:val="00E409B3"/>
    <w:rsid w:val="00E40AC3"/>
    <w:rsid w:val="00E40AD5"/>
    <w:rsid w:val="00E40B17"/>
    <w:rsid w:val="00E40BC4"/>
    <w:rsid w:val="00E40CE5"/>
    <w:rsid w:val="00E40DCF"/>
    <w:rsid w:val="00E40EFB"/>
    <w:rsid w:val="00E4129B"/>
    <w:rsid w:val="00E41387"/>
    <w:rsid w:val="00E41529"/>
    <w:rsid w:val="00E41584"/>
    <w:rsid w:val="00E41731"/>
    <w:rsid w:val="00E418A7"/>
    <w:rsid w:val="00E418E9"/>
    <w:rsid w:val="00E419FA"/>
    <w:rsid w:val="00E41B79"/>
    <w:rsid w:val="00E41B9B"/>
    <w:rsid w:val="00E41BA6"/>
    <w:rsid w:val="00E41C0B"/>
    <w:rsid w:val="00E41C25"/>
    <w:rsid w:val="00E41C55"/>
    <w:rsid w:val="00E41CD1"/>
    <w:rsid w:val="00E41E59"/>
    <w:rsid w:val="00E41E67"/>
    <w:rsid w:val="00E41FB4"/>
    <w:rsid w:val="00E41FCE"/>
    <w:rsid w:val="00E41FFA"/>
    <w:rsid w:val="00E420EF"/>
    <w:rsid w:val="00E421AF"/>
    <w:rsid w:val="00E4222D"/>
    <w:rsid w:val="00E42249"/>
    <w:rsid w:val="00E4225A"/>
    <w:rsid w:val="00E425F5"/>
    <w:rsid w:val="00E426DD"/>
    <w:rsid w:val="00E427A4"/>
    <w:rsid w:val="00E427A9"/>
    <w:rsid w:val="00E427B5"/>
    <w:rsid w:val="00E427E7"/>
    <w:rsid w:val="00E428C9"/>
    <w:rsid w:val="00E42931"/>
    <w:rsid w:val="00E42B78"/>
    <w:rsid w:val="00E42BCE"/>
    <w:rsid w:val="00E42DB1"/>
    <w:rsid w:val="00E42DE9"/>
    <w:rsid w:val="00E42FE1"/>
    <w:rsid w:val="00E432B6"/>
    <w:rsid w:val="00E432CC"/>
    <w:rsid w:val="00E43454"/>
    <w:rsid w:val="00E43497"/>
    <w:rsid w:val="00E434F3"/>
    <w:rsid w:val="00E4362E"/>
    <w:rsid w:val="00E43876"/>
    <w:rsid w:val="00E43887"/>
    <w:rsid w:val="00E43AB6"/>
    <w:rsid w:val="00E43AC2"/>
    <w:rsid w:val="00E43D37"/>
    <w:rsid w:val="00E43DD2"/>
    <w:rsid w:val="00E43DFD"/>
    <w:rsid w:val="00E43F09"/>
    <w:rsid w:val="00E43F5F"/>
    <w:rsid w:val="00E43FB3"/>
    <w:rsid w:val="00E4401F"/>
    <w:rsid w:val="00E44049"/>
    <w:rsid w:val="00E440DD"/>
    <w:rsid w:val="00E441D1"/>
    <w:rsid w:val="00E44287"/>
    <w:rsid w:val="00E4432C"/>
    <w:rsid w:val="00E443A0"/>
    <w:rsid w:val="00E4454A"/>
    <w:rsid w:val="00E447A9"/>
    <w:rsid w:val="00E4492A"/>
    <w:rsid w:val="00E44941"/>
    <w:rsid w:val="00E44A9B"/>
    <w:rsid w:val="00E44AE3"/>
    <w:rsid w:val="00E44BA9"/>
    <w:rsid w:val="00E44BB4"/>
    <w:rsid w:val="00E44D18"/>
    <w:rsid w:val="00E44D2D"/>
    <w:rsid w:val="00E44E13"/>
    <w:rsid w:val="00E4510B"/>
    <w:rsid w:val="00E4515D"/>
    <w:rsid w:val="00E45316"/>
    <w:rsid w:val="00E45380"/>
    <w:rsid w:val="00E4559D"/>
    <w:rsid w:val="00E4562C"/>
    <w:rsid w:val="00E4578F"/>
    <w:rsid w:val="00E457C4"/>
    <w:rsid w:val="00E45805"/>
    <w:rsid w:val="00E45822"/>
    <w:rsid w:val="00E45926"/>
    <w:rsid w:val="00E45991"/>
    <w:rsid w:val="00E45A9D"/>
    <w:rsid w:val="00E45B0C"/>
    <w:rsid w:val="00E45B80"/>
    <w:rsid w:val="00E45C32"/>
    <w:rsid w:val="00E45C71"/>
    <w:rsid w:val="00E45D73"/>
    <w:rsid w:val="00E45E06"/>
    <w:rsid w:val="00E45E1A"/>
    <w:rsid w:val="00E45E1B"/>
    <w:rsid w:val="00E45E9D"/>
    <w:rsid w:val="00E45EF6"/>
    <w:rsid w:val="00E461D9"/>
    <w:rsid w:val="00E461E2"/>
    <w:rsid w:val="00E4621F"/>
    <w:rsid w:val="00E4624C"/>
    <w:rsid w:val="00E462D1"/>
    <w:rsid w:val="00E46311"/>
    <w:rsid w:val="00E463C9"/>
    <w:rsid w:val="00E463D7"/>
    <w:rsid w:val="00E46418"/>
    <w:rsid w:val="00E464C0"/>
    <w:rsid w:val="00E4663F"/>
    <w:rsid w:val="00E466AE"/>
    <w:rsid w:val="00E46826"/>
    <w:rsid w:val="00E46896"/>
    <w:rsid w:val="00E468AE"/>
    <w:rsid w:val="00E468E2"/>
    <w:rsid w:val="00E4696A"/>
    <w:rsid w:val="00E46A6F"/>
    <w:rsid w:val="00E46B19"/>
    <w:rsid w:val="00E46B64"/>
    <w:rsid w:val="00E46B82"/>
    <w:rsid w:val="00E46D90"/>
    <w:rsid w:val="00E46DDD"/>
    <w:rsid w:val="00E46E98"/>
    <w:rsid w:val="00E46F57"/>
    <w:rsid w:val="00E4709C"/>
    <w:rsid w:val="00E472C6"/>
    <w:rsid w:val="00E473AB"/>
    <w:rsid w:val="00E474A7"/>
    <w:rsid w:val="00E475BB"/>
    <w:rsid w:val="00E47619"/>
    <w:rsid w:val="00E4765A"/>
    <w:rsid w:val="00E4766D"/>
    <w:rsid w:val="00E478A7"/>
    <w:rsid w:val="00E478E2"/>
    <w:rsid w:val="00E47921"/>
    <w:rsid w:val="00E47949"/>
    <w:rsid w:val="00E47994"/>
    <w:rsid w:val="00E47A4B"/>
    <w:rsid w:val="00E47AC6"/>
    <w:rsid w:val="00E47CC9"/>
    <w:rsid w:val="00E47CEF"/>
    <w:rsid w:val="00E47D62"/>
    <w:rsid w:val="00E47DC4"/>
    <w:rsid w:val="00E47E01"/>
    <w:rsid w:val="00E47ED4"/>
    <w:rsid w:val="00E5000D"/>
    <w:rsid w:val="00E500F7"/>
    <w:rsid w:val="00E50379"/>
    <w:rsid w:val="00E50556"/>
    <w:rsid w:val="00E50657"/>
    <w:rsid w:val="00E5081B"/>
    <w:rsid w:val="00E50998"/>
    <w:rsid w:val="00E509D9"/>
    <w:rsid w:val="00E509F5"/>
    <w:rsid w:val="00E50AFE"/>
    <w:rsid w:val="00E50B65"/>
    <w:rsid w:val="00E50BAC"/>
    <w:rsid w:val="00E50C31"/>
    <w:rsid w:val="00E50C4F"/>
    <w:rsid w:val="00E50C64"/>
    <w:rsid w:val="00E50C99"/>
    <w:rsid w:val="00E50CEF"/>
    <w:rsid w:val="00E50D58"/>
    <w:rsid w:val="00E50DCC"/>
    <w:rsid w:val="00E50ED9"/>
    <w:rsid w:val="00E50FB5"/>
    <w:rsid w:val="00E50FEE"/>
    <w:rsid w:val="00E51058"/>
    <w:rsid w:val="00E510B9"/>
    <w:rsid w:val="00E512CA"/>
    <w:rsid w:val="00E512D5"/>
    <w:rsid w:val="00E5139C"/>
    <w:rsid w:val="00E513E4"/>
    <w:rsid w:val="00E51584"/>
    <w:rsid w:val="00E51605"/>
    <w:rsid w:val="00E51628"/>
    <w:rsid w:val="00E51632"/>
    <w:rsid w:val="00E51763"/>
    <w:rsid w:val="00E51775"/>
    <w:rsid w:val="00E518C2"/>
    <w:rsid w:val="00E51904"/>
    <w:rsid w:val="00E51968"/>
    <w:rsid w:val="00E51A52"/>
    <w:rsid w:val="00E51AB8"/>
    <w:rsid w:val="00E51AF9"/>
    <w:rsid w:val="00E51BEA"/>
    <w:rsid w:val="00E51C14"/>
    <w:rsid w:val="00E51D6C"/>
    <w:rsid w:val="00E51DDF"/>
    <w:rsid w:val="00E521EC"/>
    <w:rsid w:val="00E52204"/>
    <w:rsid w:val="00E52225"/>
    <w:rsid w:val="00E52336"/>
    <w:rsid w:val="00E523EC"/>
    <w:rsid w:val="00E523ED"/>
    <w:rsid w:val="00E5240C"/>
    <w:rsid w:val="00E52424"/>
    <w:rsid w:val="00E5246F"/>
    <w:rsid w:val="00E524AD"/>
    <w:rsid w:val="00E524C9"/>
    <w:rsid w:val="00E52580"/>
    <w:rsid w:val="00E5275F"/>
    <w:rsid w:val="00E5281B"/>
    <w:rsid w:val="00E528A1"/>
    <w:rsid w:val="00E528B3"/>
    <w:rsid w:val="00E5295B"/>
    <w:rsid w:val="00E52A68"/>
    <w:rsid w:val="00E52B2B"/>
    <w:rsid w:val="00E52C11"/>
    <w:rsid w:val="00E52CED"/>
    <w:rsid w:val="00E52D11"/>
    <w:rsid w:val="00E52FE5"/>
    <w:rsid w:val="00E530D5"/>
    <w:rsid w:val="00E530F0"/>
    <w:rsid w:val="00E531D7"/>
    <w:rsid w:val="00E5326D"/>
    <w:rsid w:val="00E53471"/>
    <w:rsid w:val="00E53505"/>
    <w:rsid w:val="00E5351B"/>
    <w:rsid w:val="00E5356E"/>
    <w:rsid w:val="00E535AA"/>
    <w:rsid w:val="00E536FA"/>
    <w:rsid w:val="00E53852"/>
    <w:rsid w:val="00E53869"/>
    <w:rsid w:val="00E539E4"/>
    <w:rsid w:val="00E53ABF"/>
    <w:rsid w:val="00E53AE6"/>
    <w:rsid w:val="00E53B79"/>
    <w:rsid w:val="00E53CBB"/>
    <w:rsid w:val="00E53D6B"/>
    <w:rsid w:val="00E53E7A"/>
    <w:rsid w:val="00E53E9B"/>
    <w:rsid w:val="00E53EBF"/>
    <w:rsid w:val="00E53F43"/>
    <w:rsid w:val="00E53FA5"/>
    <w:rsid w:val="00E53FFE"/>
    <w:rsid w:val="00E54109"/>
    <w:rsid w:val="00E541A0"/>
    <w:rsid w:val="00E541E7"/>
    <w:rsid w:val="00E54376"/>
    <w:rsid w:val="00E543A3"/>
    <w:rsid w:val="00E543C6"/>
    <w:rsid w:val="00E5442E"/>
    <w:rsid w:val="00E54575"/>
    <w:rsid w:val="00E54594"/>
    <w:rsid w:val="00E545C4"/>
    <w:rsid w:val="00E545F8"/>
    <w:rsid w:val="00E54630"/>
    <w:rsid w:val="00E54677"/>
    <w:rsid w:val="00E546CE"/>
    <w:rsid w:val="00E54783"/>
    <w:rsid w:val="00E5483C"/>
    <w:rsid w:val="00E54870"/>
    <w:rsid w:val="00E549F0"/>
    <w:rsid w:val="00E54BCD"/>
    <w:rsid w:val="00E54BEF"/>
    <w:rsid w:val="00E54C8F"/>
    <w:rsid w:val="00E54CE6"/>
    <w:rsid w:val="00E54D29"/>
    <w:rsid w:val="00E54DB4"/>
    <w:rsid w:val="00E54DCA"/>
    <w:rsid w:val="00E54E43"/>
    <w:rsid w:val="00E54E58"/>
    <w:rsid w:val="00E54E8D"/>
    <w:rsid w:val="00E54EFE"/>
    <w:rsid w:val="00E54F0D"/>
    <w:rsid w:val="00E54FBB"/>
    <w:rsid w:val="00E5506C"/>
    <w:rsid w:val="00E55085"/>
    <w:rsid w:val="00E551EA"/>
    <w:rsid w:val="00E5520E"/>
    <w:rsid w:val="00E55220"/>
    <w:rsid w:val="00E55226"/>
    <w:rsid w:val="00E552D1"/>
    <w:rsid w:val="00E552F4"/>
    <w:rsid w:val="00E554A6"/>
    <w:rsid w:val="00E55504"/>
    <w:rsid w:val="00E55594"/>
    <w:rsid w:val="00E55614"/>
    <w:rsid w:val="00E55828"/>
    <w:rsid w:val="00E5588D"/>
    <w:rsid w:val="00E55990"/>
    <w:rsid w:val="00E559B4"/>
    <w:rsid w:val="00E559BC"/>
    <w:rsid w:val="00E55B65"/>
    <w:rsid w:val="00E55CF5"/>
    <w:rsid w:val="00E55E42"/>
    <w:rsid w:val="00E55F5D"/>
    <w:rsid w:val="00E55FA8"/>
    <w:rsid w:val="00E5605D"/>
    <w:rsid w:val="00E560DA"/>
    <w:rsid w:val="00E561AA"/>
    <w:rsid w:val="00E561F7"/>
    <w:rsid w:val="00E563B5"/>
    <w:rsid w:val="00E564CA"/>
    <w:rsid w:val="00E565F2"/>
    <w:rsid w:val="00E5669F"/>
    <w:rsid w:val="00E567F8"/>
    <w:rsid w:val="00E56864"/>
    <w:rsid w:val="00E568E1"/>
    <w:rsid w:val="00E568FA"/>
    <w:rsid w:val="00E56993"/>
    <w:rsid w:val="00E56A6C"/>
    <w:rsid w:val="00E56B0C"/>
    <w:rsid w:val="00E56D4A"/>
    <w:rsid w:val="00E56D79"/>
    <w:rsid w:val="00E56E2D"/>
    <w:rsid w:val="00E56EA1"/>
    <w:rsid w:val="00E56EB9"/>
    <w:rsid w:val="00E56F03"/>
    <w:rsid w:val="00E56F4A"/>
    <w:rsid w:val="00E56F87"/>
    <w:rsid w:val="00E57038"/>
    <w:rsid w:val="00E570FD"/>
    <w:rsid w:val="00E5724C"/>
    <w:rsid w:val="00E57337"/>
    <w:rsid w:val="00E5758D"/>
    <w:rsid w:val="00E5769F"/>
    <w:rsid w:val="00E577D7"/>
    <w:rsid w:val="00E5799A"/>
    <w:rsid w:val="00E57ACB"/>
    <w:rsid w:val="00E57B5C"/>
    <w:rsid w:val="00E57C51"/>
    <w:rsid w:val="00E57F11"/>
    <w:rsid w:val="00E57F67"/>
    <w:rsid w:val="00E57F76"/>
    <w:rsid w:val="00E6000B"/>
    <w:rsid w:val="00E602A6"/>
    <w:rsid w:val="00E602E0"/>
    <w:rsid w:val="00E60320"/>
    <w:rsid w:val="00E60569"/>
    <w:rsid w:val="00E60745"/>
    <w:rsid w:val="00E608B7"/>
    <w:rsid w:val="00E608C5"/>
    <w:rsid w:val="00E60A27"/>
    <w:rsid w:val="00E60A34"/>
    <w:rsid w:val="00E60AF2"/>
    <w:rsid w:val="00E60B52"/>
    <w:rsid w:val="00E60D48"/>
    <w:rsid w:val="00E60D68"/>
    <w:rsid w:val="00E60D8F"/>
    <w:rsid w:val="00E60F8A"/>
    <w:rsid w:val="00E61045"/>
    <w:rsid w:val="00E610EA"/>
    <w:rsid w:val="00E612D0"/>
    <w:rsid w:val="00E61347"/>
    <w:rsid w:val="00E613EA"/>
    <w:rsid w:val="00E613F4"/>
    <w:rsid w:val="00E6146F"/>
    <w:rsid w:val="00E61578"/>
    <w:rsid w:val="00E615C0"/>
    <w:rsid w:val="00E6165C"/>
    <w:rsid w:val="00E61923"/>
    <w:rsid w:val="00E61978"/>
    <w:rsid w:val="00E61986"/>
    <w:rsid w:val="00E61A43"/>
    <w:rsid w:val="00E61AF8"/>
    <w:rsid w:val="00E61C89"/>
    <w:rsid w:val="00E61CE6"/>
    <w:rsid w:val="00E61E63"/>
    <w:rsid w:val="00E61FC6"/>
    <w:rsid w:val="00E6203A"/>
    <w:rsid w:val="00E621A3"/>
    <w:rsid w:val="00E6221D"/>
    <w:rsid w:val="00E6223F"/>
    <w:rsid w:val="00E62297"/>
    <w:rsid w:val="00E622CD"/>
    <w:rsid w:val="00E622EF"/>
    <w:rsid w:val="00E62625"/>
    <w:rsid w:val="00E626E8"/>
    <w:rsid w:val="00E62A72"/>
    <w:rsid w:val="00E62BD0"/>
    <w:rsid w:val="00E62C0C"/>
    <w:rsid w:val="00E62C22"/>
    <w:rsid w:val="00E62E0F"/>
    <w:rsid w:val="00E62EB6"/>
    <w:rsid w:val="00E62EB9"/>
    <w:rsid w:val="00E62FE8"/>
    <w:rsid w:val="00E630E8"/>
    <w:rsid w:val="00E631A0"/>
    <w:rsid w:val="00E6320C"/>
    <w:rsid w:val="00E63292"/>
    <w:rsid w:val="00E6343E"/>
    <w:rsid w:val="00E63543"/>
    <w:rsid w:val="00E63668"/>
    <w:rsid w:val="00E63676"/>
    <w:rsid w:val="00E636A6"/>
    <w:rsid w:val="00E636B9"/>
    <w:rsid w:val="00E6372F"/>
    <w:rsid w:val="00E6379D"/>
    <w:rsid w:val="00E63876"/>
    <w:rsid w:val="00E6389E"/>
    <w:rsid w:val="00E63B18"/>
    <w:rsid w:val="00E63B92"/>
    <w:rsid w:val="00E63C9B"/>
    <w:rsid w:val="00E63D05"/>
    <w:rsid w:val="00E63DAD"/>
    <w:rsid w:val="00E63EAC"/>
    <w:rsid w:val="00E63F48"/>
    <w:rsid w:val="00E63F6E"/>
    <w:rsid w:val="00E63FB7"/>
    <w:rsid w:val="00E6403F"/>
    <w:rsid w:val="00E640BE"/>
    <w:rsid w:val="00E640FF"/>
    <w:rsid w:val="00E64157"/>
    <w:rsid w:val="00E64199"/>
    <w:rsid w:val="00E641C3"/>
    <w:rsid w:val="00E641E4"/>
    <w:rsid w:val="00E642B8"/>
    <w:rsid w:val="00E642FA"/>
    <w:rsid w:val="00E6453B"/>
    <w:rsid w:val="00E64544"/>
    <w:rsid w:val="00E6465E"/>
    <w:rsid w:val="00E6469D"/>
    <w:rsid w:val="00E6471F"/>
    <w:rsid w:val="00E64732"/>
    <w:rsid w:val="00E64745"/>
    <w:rsid w:val="00E647AB"/>
    <w:rsid w:val="00E647E7"/>
    <w:rsid w:val="00E6482A"/>
    <w:rsid w:val="00E64A3A"/>
    <w:rsid w:val="00E64ABB"/>
    <w:rsid w:val="00E64AD2"/>
    <w:rsid w:val="00E64ADF"/>
    <w:rsid w:val="00E64D2D"/>
    <w:rsid w:val="00E64D93"/>
    <w:rsid w:val="00E64ECA"/>
    <w:rsid w:val="00E65047"/>
    <w:rsid w:val="00E650FA"/>
    <w:rsid w:val="00E6523B"/>
    <w:rsid w:val="00E6525B"/>
    <w:rsid w:val="00E6572D"/>
    <w:rsid w:val="00E65889"/>
    <w:rsid w:val="00E65892"/>
    <w:rsid w:val="00E6593E"/>
    <w:rsid w:val="00E65A0F"/>
    <w:rsid w:val="00E65A5C"/>
    <w:rsid w:val="00E65AF3"/>
    <w:rsid w:val="00E65B9B"/>
    <w:rsid w:val="00E65CC5"/>
    <w:rsid w:val="00E65CE2"/>
    <w:rsid w:val="00E65D89"/>
    <w:rsid w:val="00E65DBA"/>
    <w:rsid w:val="00E65DF7"/>
    <w:rsid w:val="00E65ED7"/>
    <w:rsid w:val="00E65EE3"/>
    <w:rsid w:val="00E6601E"/>
    <w:rsid w:val="00E66115"/>
    <w:rsid w:val="00E66123"/>
    <w:rsid w:val="00E66145"/>
    <w:rsid w:val="00E6616B"/>
    <w:rsid w:val="00E66217"/>
    <w:rsid w:val="00E6622C"/>
    <w:rsid w:val="00E662CA"/>
    <w:rsid w:val="00E66322"/>
    <w:rsid w:val="00E663D5"/>
    <w:rsid w:val="00E664A8"/>
    <w:rsid w:val="00E664EF"/>
    <w:rsid w:val="00E66535"/>
    <w:rsid w:val="00E66552"/>
    <w:rsid w:val="00E66561"/>
    <w:rsid w:val="00E665A3"/>
    <w:rsid w:val="00E66698"/>
    <w:rsid w:val="00E66796"/>
    <w:rsid w:val="00E66846"/>
    <w:rsid w:val="00E668B9"/>
    <w:rsid w:val="00E668CA"/>
    <w:rsid w:val="00E66907"/>
    <w:rsid w:val="00E66A8F"/>
    <w:rsid w:val="00E66BEB"/>
    <w:rsid w:val="00E66C22"/>
    <w:rsid w:val="00E66FC7"/>
    <w:rsid w:val="00E67102"/>
    <w:rsid w:val="00E67147"/>
    <w:rsid w:val="00E671E9"/>
    <w:rsid w:val="00E672BD"/>
    <w:rsid w:val="00E67416"/>
    <w:rsid w:val="00E674DD"/>
    <w:rsid w:val="00E674DF"/>
    <w:rsid w:val="00E675AC"/>
    <w:rsid w:val="00E677A6"/>
    <w:rsid w:val="00E678EC"/>
    <w:rsid w:val="00E6794E"/>
    <w:rsid w:val="00E679B2"/>
    <w:rsid w:val="00E679F1"/>
    <w:rsid w:val="00E679FC"/>
    <w:rsid w:val="00E67B12"/>
    <w:rsid w:val="00E67E0E"/>
    <w:rsid w:val="00E67E43"/>
    <w:rsid w:val="00E67E5B"/>
    <w:rsid w:val="00E67E69"/>
    <w:rsid w:val="00E67F5D"/>
    <w:rsid w:val="00E67FA5"/>
    <w:rsid w:val="00E67FDF"/>
    <w:rsid w:val="00E70024"/>
    <w:rsid w:val="00E7015D"/>
    <w:rsid w:val="00E70256"/>
    <w:rsid w:val="00E7046F"/>
    <w:rsid w:val="00E704C9"/>
    <w:rsid w:val="00E70651"/>
    <w:rsid w:val="00E707DC"/>
    <w:rsid w:val="00E70908"/>
    <w:rsid w:val="00E70A23"/>
    <w:rsid w:val="00E70C23"/>
    <w:rsid w:val="00E70D1D"/>
    <w:rsid w:val="00E70D2E"/>
    <w:rsid w:val="00E70DA5"/>
    <w:rsid w:val="00E70ED0"/>
    <w:rsid w:val="00E70F5B"/>
    <w:rsid w:val="00E70F70"/>
    <w:rsid w:val="00E7106E"/>
    <w:rsid w:val="00E710AF"/>
    <w:rsid w:val="00E71127"/>
    <w:rsid w:val="00E7118E"/>
    <w:rsid w:val="00E711AC"/>
    <w:rsid w:val="00E711FA"/>
    <w:rsid w:val="00E7126F"/>
    <w:rsid w:val="00E7153F"/>
    <w:rsid w:val="00E7154D"/>
    <w:rsid w:val="00E71642"/>
    <w:rsid w:val="00E716F4"/>
    <w:rsid w:val="00E716F7"/>
    <w:rsid w:val="00E71813"/>
    <w:rsid w:val="00E71867"/>
    <w:rsid w:val="00E71964"/>
    <w:rsid w:val="00E71A7A"/>
    <w:rsid w:val="00E71AC9"/>
    <w:rsid w:val="00E71AF9"/>
    <w:rsid w:val="00E71B44"/>
    <w:rsid w:val="00E71D52"/>
    <w:rsid w:val="00E71E2A"/>
    <w:rsid w:val="00E71F9F"/>
    <w:rsid w:val="00E720DA"/>
    <w:rsid w:val="00E7211E"/>
    <w:rsid w:val="00E72210"/>
    <w:rsid w:val="00E722F6"/>
    <w:rsid w:val="00E723D3"/>
    <w:rsid w:val="00E72421"/>
    <w:rsid w:val="00E72609"/>
    <w:rsid w:val="00E72626"/>
    <w:rsid w:val="00E726A2"/>
    <w:rsid w:val="00E726CA"/>
    <w:rsid w:val="00E726E6"/>
    <w:rsid w:val="00E7270F"/>
    <w:rsid w:val="00E7284C"/>
    <w:rsid w:val="00E72A2B"/>
    <w:rsid w:val="00E72AB5"/>
    <w:rsid w:val="00E72AFE"/>
    <w:rsid w:val="00E72B26"/>
    <w:rsid w:val="00E72BA2"/>
    <w:rsid w:val="00E72C0C"/>
    <w:rsid w:val="00E72C2C"/>
    <w:rsid w:val="00E72F85"/>
    <w:rsid w:val="00E72F9F"/>
    <w:rsid w:val="00E730CD"/>
    <w:rsid w:val="00E7325A"/>
    <w:rsid w:val="00E73265"/>
    <w:rsid w:val="00E7329E"/>
    <w:rsid w:val="00E732B9"/>
    <w:rsid w:val="00E732D8"/>
    <w:rsid w:val="00E733CD"/>
    <w:rsid w:val="00E73408"/>
    <w:rsid w:val="00E73528"/>
    <w:rsid w:val="00E7356D"/>
    <w:rsid w:val="00E736AC"/>
    <w:rsid w:val="00E73703"/>
    <w:rsid w:val="00E73707"/>
    <w:rsid w:val="00E73746"/>
    <w:rsid w:val="00E73764"/>
    <w:rsid w:val="00E73A15"/>
    <w:rsid w:val="00E73B8C"/>
    <w:rsid w:val="00E73BCE"/>
    <w:rsid w:val="00E73C48"/>
    <w:rsid w:val="00E73CAA"/>
    <w:rsid w:val="00E73D27"/>
    <w:rsid w:val="00E73D61"/>
    <w:rsid w:val="00E73E0C"/>
    <w:rsid w:val="00E73E56"/>
    <w:rsid w:val="00E73EDF"/>
    <w:rsid w:val="00E73FDE"/>
    <w:rsid w:val="00E7415A"/>
    <w:rsid w:val="00E7417E"/>
    <w:rsid w:val="00E74216"/>
    <w:rsid w:val="00E74222"/>
    <w:rsid w:val="00E74240"/>
    <w:rsid w:val="00E74393"/>
    <w:rsid w:val="00E7450D"/>
    <w:rsid w:val="00E74603"/>
    <w:rsid w:val="00E74740"/>
    <w:rsid w:val="00E7474A"/>
    <w:rsid w:val="00E748AD"/>
    <w:rsid w:val="00E74A0D"/>
    <w:rsid w:val="00E74B0F"/>
    <w:rsid w:val="00E74B73"/>
    <w:rsid w:val="00E74B8C"/>
    <w:rsid w:val="00E74CC6"/>
    <w:rsid w:val="00E74E68"/>
    <w:rsid w:val="00E74F20"/>
    <w:rsid w:val="00E74F5D"/>
    <w:rsid w:val="00E74FCC"/>
    <w:rsid w:val="00E7500B"/>
    <w:rsid w:val="00E7501B"/>
    <w:rsid w:val="00E750F9"/>
    <w:rsid w:val="00E75191"/>
    <w:rsid w:val="00E751AF"/>
    <w:rsid w:val="00E751DE"/>
    <w:rsid w:val="00E752BA"/>
    <w:rsid w:val="00E752C3"/>
    <w:rsid w:val="00E75379"/>
    <w:rsid w:val="00E75434"/>
    <w:rsid w:val="00E754AF"/>
    <w:rsid w:val="00E75575"/>
    <w:rsid w:val="00E7558D"/>
    <w:rsid w:val="00E755E1"/>
    <w:rsid w:val="00E7569C"/>
    <w:rsid w:val="00E75729"/>
    <w:rsid w:val="00E75741"/>
    <w:rsid w:val="00E75795"/>
    <w:rsid w:val="00E757C6"/>
    <w:rsid w:val="00E758A0"/>
    <w:rsid w:val="00E75964"/>
    <w:rsid w:val="00E75993"/>
    <w:rsid w:val="00E759DC"/>
    <w:rsid w:val="00E75A38"/>
    <w:rsid w:val="00E75CB2"/>
    <w:rsid w:val="00E75D6A"/>
    <w:rsid w:val="00E75E2F"/>
    <w:rsid w:val="00E760AF"/>
    <w:rsid w:val="00E76174"/>
    <w:rsid w:val="00E761CC"/>
    <w:rsid w:val="00E761F0"/>
    <w:rsid w:val="00E761F4"/>
    <w:rsid w:val="00E762D4"/>
    <w:rsid w:val="00E762E4"/>
    <w:rsid w:val="00E763F7"/>
    <w:rsid w:val="00E7652A"/>
    <w:rsid w:val="00E7667E"/>
    <w:rsid w:val="00E766A5"/>
    <w:rsid w:val="00E76709"/>
    <w:rsid w:val="00E7676D"/>
    <w:rsid w:val="00E767DD"/>
    <w:rsid w:val="00E768BC"/>
    <w:rsid w:val="00E769BF"/>
    <w:rsid w:val="00E769FE"/>
    <w:rsid w:val="00E76A0A"/>
    <w:rsid w:val="00E76AC3"/>
    <w:rsid w:val="00E76BAA"/>
    <w:rsid w:val="00E76C08"/>
    <w:rsid w:val="00E76C44"/>
    <w:rsid w:val="00E76C4D"/>
    <w:rsid w:val="00E76CC1"/>
    <w:rsid w:val="00E76DC7"/>
    <w:rsid w:val="00E76E74"/>
    <w:rsid w:val="00E76EFF"/>
    <w:rsid w:val="00E76F15"/>
    <w:rsid w:val="00E76F26"/>
    <w:rsid w:val="00E770C2"/>
    <w:rsid w:val="00E77191"/>
    <w:rsid w:val="00E771A8"/>
    <w:rsid w:val="00E771AC"/>
    <w:rsid w:val="00E77210"/>
    <w:rsid w:val="00E77281"/>
    <w:rsid w:val="00E7744D"/>
    <w:rsid w:val="00E77648"/>
    <w:rsid w:val="00E7771F"/>
    <w:rsid w:val="00E777DD"/>
    <w:rsid w:val="00E77A32"/>
    <w:rsid w:val="00E77C00"/>
    <w:rsid w:val="00E77D37"/>
    <w:rsid w:val="00E80078"/>
    <w:rsid w:val="00E805CF"/>
    <w:rsid w:val="00E8063E"/>
    <w:rsid w:val="00E80691"/>
    <w:rsid w:val="00E806C6"/>
    <w:rsid w:val="00E8076A"/>
    <w:rsid w:val="00E8079A"/>
    <w:rsid w:val="00E8095F"/>
    <w:rsid w:val="00E80CAC"/>
    <w:rsid w:val="00E80D45"/>
    <w:rsid w:val="00E80D82"/>
    <w:rsid w:val="00E80E1C"/>
    <w:rsid w:val="00E80E8E"/>
    <w:rsid w:val="00E80F23"/>
    <w:rsid w:val="00E80F33"/>
    <w:rsid w:val="00E810FF"/>
    <w:rsid w:val="00E81308"/>
    <w:rsid w:val="00E81364"/>
    <w:rsid w:val="00E816B9"/>
    <w:rsid w:val="00E81817"/>
    <w:rsid w:val="00E818D2"/>
    <w:rsid w:val="00E81916"/>
    <w:rsid w:val="00E8197A"/>
    <w:rsid w:val="00E819A6"/>
    <w:rsid w:val="00E81A26"/>
    <w:rsid w:val="00E81BC9"/>
    <w:rsid w:val="00E81CCD"/>
    <w:rsid w:val="00E81D08"/>
    <w:rsid w:val="00E81FEA"/>
    <w:rsid w:val="00E82087"/>
    <w:rsid w:val="00E820E4"/>
    <w:rsid w:val="00E82138"/>
    <w:rsid w:val="00E82165"/>
    <w:rsid w:val="00E822E0"/>
    <w:rsid w:val="00E822FE"/>
    <w:rsid w:val="00E8253C"/>
    <w:rsid w:val="00E82542"/>
    <w:rsid w:val="00E82686"/>
    <w:rsid w:val="00E82691"/>
    <w:rsid w:val="00E826E9"/>
    <w:rsid w:val="00E827B0"/>
    <w:rsid w:val="00E82807"/>
    <w:rsid w:val="00E82885"/>
    <w:rsid w:val="00E829B7"/>
    <w:rsid w:val="00E829D4"/>
    <w:rsid w:val="00E82AFA"/>
    <w:rsid w:val="00E82B50"/>
    <w:rsid w:val="00E82BA8"/>
    <w:rsid w:val="00E82ED9"/>
    <w:rsid w:val="00E83054"/>
    <w:rsid w:val="00E8305F"/>
    <w:rsid w:val="00E83085"/>
    <w:rsid w:val="00E830A0"/>
    <w:rsid w:val="00E83161"/>
    <w:rsid w:val="00E831B5"/>
    <w:rsid w:val="00E83312"/>
    <w:rsid w:val="00E83404"/>
    <w:rsid w:val="00E8342B"/>
    <w:rsid w:val="00E83434"/>
    <w:rsid w:val="00E8344A"/>
    <w:rsid w:val="00E835F9"/>
    <w:rsid w:val="00E83629"/>
    <w:rsid w:val="00E837C9"/>
    <w:rsid w:val="00E8387D"/>
    <w:rsid w:val="00E83C90"/>
    <w:rsid w:val="00E83CC1"/>
    <w:rsid w:val="00E83D1F"/>
    <w:rsid w:val="00E83F1A"/>
    <w:rsid w:val="00E83F48"/>
    <w:rsid w:val="00E840DB"/>
    <w:rsid w:val="00E84221"/>
    <w:rsid w:val="00E84269"/>
    <w:rsid w:val="00E84278"/>
    <w:rsid w:val="00E8440C"/>
    <w:rsid w:val="00E84426"/>
    <w:rsid w:val="00E84573"/>
    <w:rsid w:val="00E845AD"/>
    <w:rsid w:val="00E845D4"/>
    <w:rsid w:val="00E84673"/>
    <w:rsid w:val="00E846E8"/>
    <w:rsid w:val="00E84750"/>
    <w:rsid w:val="00E84757"/>
    <w:rsid w:val="00E84821"/>
    <w:rsid w:val="00E84851"/>
    <w:rsid w:val="00E8488E"/>
    <w:rsid w:val="00E848D9"/>
    <w:rsid w:val="00E848ED"/>
    <w:rsid w:val="00E8496D"/>
    <w:rsid w:val="00E849DF"/>
    <w:rsid w:val="00E84A10"/>
    <w:rsid w:val="00E84AAE"/>
    <w:rsid w:val="00E84B54"/>
    <w:rsid w:val="00E84B6D"/>
    <w:rsid w:val="00E84FDE"/>
    <w:rsid w:val="00E85005"/>
    <w:rsid w:val="00E85067"/>
    <w:rsid w:val="00E85073"/>
    <w:rsid w:val="00E850C0"/>
    <w:rsid w:val="00E85239"/>
    <w:rsid w:val="00E852DF"/>
    <w:rsid w:val="00E852EC"/>
    <w:rsid w:val="00E85383"/>
    <w:rsid w:val="00E853A1"/>
    <w:rsid w:val="00E85469"/>
    <w:rsid w:val="00E8548D"/>
    <w:rsid w:val="00E854C0"/>
    <w:rsid w:val="00E8550B"/>
    <w:rsid w:val="00E85628"/>
    <w:rsid w:val="00E85693"/>
    <w:rsid w:val="00E856FE"/>
    <w:rsid w:val="00E857BA"/>
    <w:rsid w:val="00E85863"/>
    <w:rsid w:val="00E85875"/>
    <w:rsid w:val="00E8593E"/>
    <w:rsid w:val="00E85957"/>
    <w:rsid w:val="00E85A39"/>
    <w:rsid w:val="00E85A3B"/>
    <w:rsid w:val="00E85A99"/>
    <w:rsid w:val="00E85B95"/>
    <w:rsid w:val="00E85C6D"/>
    <w:rsid w:val="00E85C8D"/>
    <w:rsid w:val="00E85D02"/>
    <w:rsid w:val="00E85D2B"/>
    <w:rsid w:val="00E85E4C"/>
    <w:rsid w:val="00E86185"/>
    <w:rsid w:val="00E861B6"/>
    <w:rsid w:val="00E8633D"/>
    <w:rsid w:val="00E86485"/>
    <w:rsid w:val="00E86489"/>
    <w:rsid w:val="00E86507"/>
    <w:rsid w:val="00E8660A"/>
    <w:rsid w:val="00E86779"/>
    <w:rsid w:val="00E86922"/>
    <w:rsid w:val="00E86944"/>
    <w:rsid w:val="00E86A62"/>
    <w:rsid w:val="00E86ABD"/>
    <w:rsid w:val="00E86B51"/>
    <w:rsid w:val="00E86B68"/>
    <w:rsid w:val="00E86B74"/>
    <w:rsid w:val="00E86D34"/>
    <w:rsid w:val="00E86D61"/>
    <w:rsid w:val="00E86E58"/>
    <w:rsid w:val="00E86F68"/>
    <w:rsid w:val="00E87042"/>
    <w:rsid w:val="00E8711A"/>
    <w:rsid w:val="00E87160"/>
    <w:rsid w:val="00E871D9"/>
    <w:rsid w:val="00E8735B"/>
    <w:rsid w:val="00E8742E"/>
    <w:rsid w:val="00E87432"/>
    <w:rsid w:val="00E87609"/>
    <w:rsid w:val="00E87652"/>
    <w:rsid w:val="00E8766F"/>
    <w:rsid w:val="00E87744"/>
    <w:rsid w:val="00E87761"/>
    <w:rsid w:val="00E877B9"/>
    <w:rsid w:val="00E878E1"/>
    <w:rsid w:val="00E878F2"/>
    <w:rsid w:val="00E878F6"/>
    <w:rsid w:val="00E87910"/>
    <w:rsid w:val="00E87A91"/>
    <w:rsid w:val="00E87ABF"/>
    <w:rsid w:val="00E87CCA"/>
    <w:rsid w:val="00E87D48"/>
    <w:rsid w:val="00E87D7B"/>
    <w:rsid w:val="00E87E09"/>
    <w:rsid w:val="00E87F7B"/>
    <w:rsid w:val="00E87FB4"/>
    <w:rsid w:val="00E87FC6"/>
    <w:rsid w:val="00E900C0"/>
    <w:rsid w:val="00E90190"/>
    <w:rsid w:val="00E902BD"/>
    <w:rsid w:val="00E90391"/>
    <w:rsid w:val="00E90431"/>
    <w:rsid w:val="00E9043C"/>
    <w:rsid w:val="00E90564"/>
    <w:rsid w:val="00E9063F"/>
    <w:rsid w:val="00E90788"/>
    <w:rsid w:val="00E90841"/>
    <w:rsid w:val="00E908CF"/>
    <w:rsid w:val="00E90971"/>
    <w:rsid w:val="00E90B57"/>
    <w:rsid w:val="00E90BC8"/>
    <w:rsid w:val="00E90CD3"/>
    <w:rsid w:val="00E90D2F"/>
    <w:rsid w:val="00E90D7C"/>
    <w:rsid w:val="00E90D89"/>
    <w:rsid w:val="00E90E10"/>
    <w:rsid w:val="00E911C1"/>
    <w:rsid w:val="00E91217"/>
    <w:rsid w:val="00E9132A"/>
    <w:rsid w:val="00E913C4"/>
    <w:rsid w:val="00E9159A"/>
    <w:rsid w:val="00E915FC"/>
    <w:rsid w:val="00E916A4"/>
    <w:rsid w:val="00E91738"/>
    <w:rsid w:val="00E91776"/>
    <w:rsid w:val="00E91892"/>
    <w:rsid w:val="00E919EF"/>
    <w:rsid w:val="00E91A57"/>
    <w:rsid w:val="00E91A80"/>
    <w:rsid w:val="00E91AFE"/>
    <w:rsid w:val="00E91B55"/>
    <w:rsid w:val="00E91D13"/>
    <w:rsid w:val="00E91D16"/>
    <w:rsid w:val="00E91DEF"/>
    <w:rsid w:val="00E91E12"/>
    <w:rsid w:val="00E91E41"/>
    <w:rsid w:val="00E9208D"/>
    <w:rsid w:val="00E92106"/>
    <w:rsid w:val="00E92163"/>
    <w:rsid w:val="00E92171"/>
    <w:rsid w:val="00E92211"/>
    <w:rsid w:val="00E92441"/>
    <w:rsid w:val="00E92470"/>
    <w:rsid w:val="00E92583"/>
    <w:rsid w:val="00E925CE"/>
    <w:rsid w:val="00E92653"/>
    <w:rsid w:val="00E9270C"/>
    <w:rsid w:val="00E92738"/>
    <w:rsid w:val="00E927DC"/>
    <w:rsid w:val="00E9297F"/>
    <w:rsid w:val="00E92999"/>
    <w:rsid w:val="00E929C1"/>
    <w:rsid w:val="00E92AEA"/>
    <w:rsid w:val="00E92BC9"/>
    <w:rsid w:val="00E92C20"/>
    <w:rsid w:val="00E92D6B"/>
    <w:rsid w:val="00E92F12"/>
    <w:rsid w:val="00E92F96"/>
    <w:rsid w:val="00E92FDD"/>
    <w:rsid w:val="00E931A2"/>
    <w:rsid w:val="00E9323B"/>
    <w:rsid w:val="00E936A5"/>
    <w:rsid w:val="00E936BE"/>
    <w:rsid w:val="00E9373C"/>
    <w:rsid w:val="00E9377E"/>
    <w:rsid w:val="00E937A6"/>
    <w:rsid w:val="00E937C4"/>
    <w:rsid w:val="00E93851"/>
    <w:rsid w:val="00E939E5"/>
    <w:rsid w:val="00E939FE"/>
    <w:rsid w:val="00E93B1B"/>
    <w:rsid w:val="00E93B3C"/>
    <w:rsid w:val="00E93C20"/>
    <w:rsid w:val="00E93C78"/>
    <w:rsid w:val="00E93C85"/>
    <w:rsid w:val="00E93CA2"/>
    <w:rsid w:val="00E93CAC"/>
    <w:rsid w:val="00E93CEE"/>
    <w:rsid w:val="00E93D15"/>
    <w:rsid w:val="00E93D30"/>
    <w:rsid w:val="00E93D39"/>
    <w:rsid w:val="00E93DA0"/>
    <w:rsid w:val="00E93E04"/>
    <w:rsid w:val="00E93E22"/>
    <w:rsid w:val="00E93E63"/>
    <w:rsid w:val="00E93E74"/>
    <w:rsid w:val="00E93F2E"/>
    <w:rsid w:val="00E93F90"/>
    <w:rsid w:val="00E93FCD"/>
    <w:rsid w:val="00E94016"/>
    <w:rsid w:val="00E94047"/>
    <w:rsid w:val="00E94140"/>
    <w:rsid w:val="00E94176"/>
    <w:rsid w:val="00E943B8"/>
    <w:rsid w:val="00E943BF"/>
    <w:rsid w:val="00E943DF"/>
    <w:rsid w:val="00E94425"/>
    <w:rsid w:val="00E94477"/>
    <w:rsid w:val="00E944E4"/>
    <w:rsid w:val="00E9451B"/>
    <w:rsid w:val="00E94541"/>
    <w:rsid w:val="00E9468F"/>
    <w:rsid w:val="00E94771"/>
    <w:rsid w:val="00E947BD"/>
    <w:rsid w:val="00E94A23"/>
    <w:rsid w:val="00E94A9B"/>
    <w:rsid w:val="00E94C20"/>
    <w:rsid w:val="00E94DA2"/>
    <w:rsid w:val="00E94E5E"/>
    <w:rsid w:val="00E95017"/>
    <w:rsid w:val="00E95056"/>
    <w:rsid w:val="00E950C4"/>
    <w:rsid w:val="00E95232"/>
    <w:rsid w:val="00E952CA"/>
    <w:rsid w:val="00E9557A"/>
    <w:rsid w:val="00E955E5"/>
    <w:rsid w:val="00E956C7"/>
    <w:rsid w:val="00E95753"/>
    <w:rsid w:val="00E9580B"/>
    <w:rsid w:val="00E95815"/>
    <w:rsid w:val="00E95C7B"/>
    <w:rsid w:val="00E95D76"/>
    <w:rsid w:val="00E95DAC"/>
    <w:rsid w:val="00E95DE1"/>
    <w:rsid w:val="00E95F24"/>
    <w:rsid w:val="00E95F57"/>
    <w:rsid w:val="00E96339"/>
    <w:rsid w:val="00E964C0"/>
    <w:rsid w:val="00E96598"/>
    <w:rsid w:val="00E96629"/>
    <w:rsid w:val="00E966B6"/>
    <w:rsid w:val="00E966DB"/>
    <w:rsid w:val="00E967AD"/>
    <w:rsid w:val="00E96A7A"/>
    <w:rsid w:val="00E96B91"/>
    <w:rsid w:val="00E96BC2"/>
    <w:rsid w:val="00E96EF0"/>
    <w:rsid w:val="00E97016"/>
    <w:rsid w:val="00E97090"/>
    <w:rsid w:val="00E97364"/>
    <w:rsid w:val="00E973A2"/>
    <w:rsid w:val="00E973F2"/>
    <w:rsid w:val="00E97436"/>
    <w:rsid w:val="00E975DF"/>
    <w:rsid w:val="00E977C5"/>
    <w:rsid w:val="00E978AF"/>
    <w:rsid w:val="00E97952"/>
    <w:rsid w:val="00E97D91"/>
    <w:rsid w:val="00E97D96"/>
    <w:rsid w:val="00E97DF5"/>
    <w:rsid w:val="00E97E30"/>
    <w:rsid w:val="00E97EA8"/>
    <w:rsid w:val="00E97F91"/>
    <w:rsid w:val="00EA000E"/>
    <w:rsid w:val="00EA01C8"/>
    <w:rsid w:val="00EA0207"/>
    <w:rsid w:val="00EA02A2"/>
    <w:rsid w:val="00EA0305"/>
    <w:rsid w:val="00EA0378"/>
    <w:rsid w:val="00EA03C0"/>
    <w:rsid w:val="00EA048A"/>
    <w:rsid w:val="00EA049A"/>
    <w:rsid w:val="00EA0516"/>
    <w:rsid w:val="00EA0537"/>
    <w:rsid w:val="00EA06AE"/>
    <w:rsid w:val="00EA06B7"/>
    <w:rsid w:val="00EA075E"/>
    <w:rsid w:val="00EA076A"/>
    <w:rsid w:val="00EA07CF"/>
    <w:rsid w:val="00EA08A9"/>
    <w:rsid w:val="00EA0BE8"/>
    <w:rsid w:val="00EA0C46"/>
    <w:rsid w:val="00EA0C6F"/>
    <w:rsid w:val="00EA0C72"/>
    <w:rsid w:val="00EA0C95"/>
    <w:rsid w:val="00EA0D9F"/>
    <w:rsid w:val="00EA139A"/>
    <w:rsid w:val="00EA13B6"/>
    <w:rsid w:val="00EA1555"/>
    <w:rsid w:val="00EA166F"/>
    <w:rsid w:val="00EA185E"/>
    <w:rsid w:val="00EA1860"/>
    <w:rsid w:val="00EA192A"/>
    <w:rsid w:val="00EA1966"/>
    <w:rsid w:val="00EA198D"/>
    <w:rsid w:val="00EA1A63"/>
    <w:rsid w:val="00EA1E78"/>
    <w:rsid w:val="00EA1E97"/>
    <w:rsid w:val="00EA1EBA"/>
    <w:rsid w:val="00EA1EC0"/>
    <w:rsid w:val="00EA1F07"/>
    <w:rsid w:val="00EA1FE9"/>
    <w:rsid w:val="00EA2092"/>
    <w:rsid w:val="00EA2192"/>
    <w:rsid w:val="00EA21EE"/>
    <w:rsid w:val="00EA2233"/>
    <w:rsid w:val="00EA23A1"/>
    <w:rsid w:val="00EA2505"/>
    <w:rsid w:val="00EA26FF"/>
    <w:rsid w:val="00EA270B"/>
    <w:rsid w:val="00EA2763"/>
    <w:rsid w:val="00EA27CB"/>
    <w:rsid w:val="00EA28BC"/>
    <w:rsid w:val="00EA2926"/>
    <w:rsid w:val="00EA2A87"/>
    <w:rsid w:val="00EA2AEF"/>
    <w:rsid w:val="00EA2C21"/>
    <w:rsid w:val="00EA2D40"/>
    <w:rsid w:val="00EA2DB7"/>
    <w:rsid w:val="00EA2FF4"/>
    <w:rsid w:val="00EA305E"/>
    <w:rsid w:val="00EA3356"/>
    <w:rsid w:val="00EA33D1"/>
    <w:rsid w:val="00EA347F"/>
    <w:rsid w:val="00EA3481"/>
    <w:rsid w:val="00EA3485"/>
    <w:rsid w:val="00EA35F6"/>
    <w:rsid w:val="00EA3652"/>
    <w:rsid w:val="00EA3753"/>
    <w:rsid w:val="00EA3776"/>
    <w:rsid w:val="00EA37AD"/>
    <w:rsid w:val="00EA3912"/>
    <w:rsid w:val="00EA3919"/>
    <w:rsid w:val="00EA3979"/>
    <w:rsid w:val="00EA3A0B"/>
    <w:rsid w:val="00EA3A6F"/>
    <w:rsid w:val="00EA3BF2"/>
    <w:rsid w:val="00EA3C97"/>
    <w:rsid w:val="00EA3CE9"/>
    <w:rsid w:val="00EA3DB0"/>
    <w:rsid w:val="00EA3E22"/>
    <w:rsid w:val="00EA3E28"/>
    <w:rsid w:val="00EA3F7A"/>
    <w:rsid w:val="00EA40A0"/>
    <w:rsid w:val="00EA41E6"/>
    <w:rsid w:val="00EA4316"/>
    <w:rsid w:val="00EA4352"/>
    <w:rsid w:val="00EA4354"/>
    <w:rsid w:val="00EA4384"/>
    <w:rsid w:val="00EA43FF"/>
    <w:rsid w:val="00EA4516"/>
    <w:rsid w:val="00EA4681"/>
    <w:rsid w:val="00EA46C7"/>
    <w:rsid w:val="00EA4743"/>
    <w:rsid w:val="00EA47CD"/>
    <w:rsid w:val="00EA47D5"/>
    <w:rsid w:val="00EA47F1"/>
    <w:rsid w:val="00EA47FB"/>
    <w:rsid w:val="00EA4837"/>
    <w:rsid w:val="00EA498A"/>
    <w:rsid w:val="00EA4A22"/>
    <w:rsid w:val="00EA4B90"/>
    <w:rsid w:val="00EA4BA7"/>
    <w:rsid w:val="00EA4C77"/>
    <w:rsid w:val="00EA4D24"/>
    <w:rsid w:val="00EA4D28"/>
    <w:rsid w:val="00EA4DB2"/>
    <w:rsid w:val="00EA4E35"/>
    <w:rsid w:val="00EA4E45"/>
    <w:rsid w:val="00EA4E7B"/>
    <w:rsid w:val="00EA4EA7"/>
    <w:rsid w:val="00EA5035"/>
    <w:rsid w:val="00EA5244"/>
    <w:rsid w:val="00EA524E"/>
    <w:rsid w:val="00EA5299"/>
    <w:rsid w:val="00EA529E"/>
    <w:rsid w:val="00EA5373"/>
    <w:rsid w:val="00EA53E7"/>
    <w:rsid w:val="00EA54C7"/>
    <w:rsid w:val="00EA553D"/>
    <w:rsid w:val="00EA56E8"/>
    <w:rsid w:val="00EA575B"/>
    <w:rsid w:val="00EA5786"/>
    <w:rsid w:val="00EA587F"/>
    <w:rsid w:val="00EA59B9"/>
    <w:rsid w:val="00EA5A7A"/>
    <w:rsid w:val="00EA5C2A"/>
    <w:rsid w:val="00EA5CA9"/>
    <w:rsid w:val="00EA5DE8"/>
    <w:rsid w:val="00EA5E9D"/>
    <w:rsid w:val="00EA5EAA"/>
    <w:rsid w:val="00EA6058"/>
    <w:rsid w:val="00EA6075"/>
    <w:rsid w:val="00EA625D"/>
    <w:rsid w:val="00EA63BE"/>
    <w:rsid w:val="00EA6625"/>
    <w:rsid w:val="00EA6654"/>
    <w:rsid w:val="00EA678A"/>
    <w:rsid w:val="00EA6807"/>
    <w:rsid w:val="00EA6856"/>
    <w:rsid w:val="00EA687F"/>
    <w:rsid w:val="00EA6901"/>
    <w:rsid w:val="00EA699A"/>
    <w:rsid w:val="00EA6A4C"/>
    <w:rsid w:val="00EA6A80"/>
    <w:rsid w:val="00EA6B01"/>
    <w:rsid w:val="00EA6B86"/>
    <w:rsid w:val="00EA6B8D"/>
    <w:rsid w:val="00EA6C2E"/>
    <w:rsid w:val="00EA6D26"/>
    <w:rsid w:val="00EA6DD9"/>
    <w:rsid w:val="00EA6E83"/>
    <w:rsid w:val="00EA6F3B"/>
    <w:rsid w:val="00EA6FB8"/>
    <w:rsid w:val="00EA7019"/>
    <w:rsid w:val="00EA704A"/>
    <w:rsid w:val="00EA71F5"/>
    <w:rsid w:val="00EA7205"/>
    <w:rsid w:val="00EA7226"/>
    <w:rsid w:val="00EA7407"/>
    <w:rsid w:val="00EA74A1"/>
    <w:rsid w:val="00EA7561"/>
    <w:rsid w:val="00EA75E1"/>
    <w:rsid w:val="00EA7612"/>
    <w:rsid w:val="00EA77C7"/>
    <w:rsid w:val="00EA77D1"/>
    <w:rsid w:val="00EA78AC"/>
    <w:rsid w:val="00EA78E5"/>
    <w:rsid w:val="00EA79A6"/>
    <w:rsid w:val="00EA7A9F"/>
    <w:rsid w:val="00EA7AE3"/>
    <w:rsid w:val="00EA7BDD"/>
    <w:rsid w:val="00EA7CC6"/>
    <w:rsid w:val="00EA7DF6"/>
    <w:rsid w:val="00EA7E20"/>
    <w:rsid w:val="00EA7E6B"/>
    <w:rsid w:val="00EA7F14"/>
    <w:rsid w:val="00EA7FA3"/>
    <w:rsid w:val="00EB00EF"/>
    <w:rsid w:val="00EB0197"/>
    <w:rsid w:val="00EB036E"/>
    <w:rsid w:val="00EB0392"/>
    <w:rsid w:val="00EB0411"/>
    <w:rsid w:val="00EB04AA"/>
    <w:rsid w:val="00EB05A1"/>
    <w:rsid w:val="00EB05C0"/>
    <w:rsid w:val="00EB05D4"/>
    <w:rsid w:val="00EB073F"/>
    <w:rsid w:val="00EB074A"/>
    <w:rsid w:val="00EB0754"/>
    <w:rsid w:val="00EB07DC"/>
    <w:rsid w:val="00EB085D"/>
    <w:rsid w:val="00EB08D8"/>
    <w:rsid w:val="00EB0901"/>
    <w:rsid w:val="00EB0959"/>
    <w:rsid w:val="00EB095B"/>
    <w:rsid w:val="00EB0B00"/>
    <w:rsid w:val="00EB0EAF"/>
    <w:rsid w:val="00EB0F0D"/>
    <w:rsid w:val="00EB1042"/>
    <w:rsid w:val="00EB10B2"/>
    <w:rsid w:val="00EB1258"/>
    <w:rsid w:val="00EB12C7"/>
    <w:rsid w:val="00EB1326"/>
    <w:rsid w:val="00EB14A7"/>
    <w:rsid w:val="00EB14C3"/>
    <w:rsid w:val="00EB1690"/>
    <w:rsid w:val="00EB17F8"/>
    <w:rsid w:val="00EB18C3"/>
    <w:rsid w:val="00EB195D"/>
    <w:rsid w:val="00EB1B26"/>
    <w:rsid w:val="00EB1B5E"/>
    <w:rsid w:val="00EB1BEB"/>
    <w:rsid w:val="00EB1CCE"/>
    <w:rsid w:val="00EB1D39"/>
    <w:rsid w:val="00EB1D5B"/>
    <w:rsid w:val="00EB1DE8"/>
    <w:rsid w:val="00EB1F1B"/>
    <w:rsid w:val="00EB2013"/>
    <w:rsid w:val="00EB2074"/>
    <w:rsid w:val="00EB209E"/>
    <w:rsid w:val="00EB20F4"/>
    <w:rsid w:val="00EB21E6"/>
    <w:rsid w:val="00EB223C"/>
    <w:rsid w:val="00EB2397"/>
    <w:rsid w:val="00EB257A"/>
    <w:rsid w:val="00EB25C2"/>
    <w:rsid w:val="00EB25C7"/>
    <w:rsid w:val="00EB25F0"/>
    <w:rsid w:val="00EB26EC"/>
    <w:rsid w:val="00EB274E"/>
    <w:rsid w:val="00EB27BE"/>
    <w:rsid w:val="00EB27F0"/>
    <w:rsid w:val="00EB2836"/>
    <w:rsid w:val="00EB28C5"/>
    <w:rsid w:val="00EB2957"/>
    <w:rsid w:val="00EB2971"/>
    <w:rsid w:val="00EB29BC"/>
    <w:rsid w:val="00EB2B6F"/>
    <w:rsid w:val="00EB2B75"/>
    <w:rsid w:val="00EB2C09"/>
    <w:rsid w:val="00EB2C56"/>
    <w:rsid w:val="00EB2CBE"/>
    <w:rsid w:val="00EB2D36"/>
    <w:rsid w:val="00EB2DA2"/>
    <w:rsid w:val="00EB2F7E"/>
    <w:rsid w:val="00EB302C"/>
    <w:rsid w:val="00EB3121"/>
    <w:rsid w:val="00EB3162"/>
    <w:rsid w:val="00EB31CF"/>
    <w:rsid w:val="00EB3259"/>
    <w:rsid w:val="00EB360D"/>
    <w:rsid w:val="00EB362E"/>
    <w:rsid w:val="00EB370B"/>
    <w:rsid w:val="00EB379C"/>
    <w:rsid w:val="00EB3855"/>
    <w:rsid w:val="00EB387E"/>
    <w:rsid w:val="00EB3935"/>
    <w:rsid w:val="00EB39B2"/>
    <w:rsid w:val="00EB3AD9"/>
    <w:rsid w:val="00EB3B41"/>
    <w:rsid w:val="00EB3C2F"/>
    <w:rsid w:val="00EB3C3C"/>
    <w:rsid w:val="00EB3C7B"/>
    <w:rsid w:val="00EB3C89"/>
    <w:rsid w:val="00EB3DB6"/>
    <w:rsid w:val="00EB3E47"/>
    <w:rsid w:val="00EB3EB1"/>
    <w:rsid w:val="00EB3F0A"/>
    <w:rsid w:val="00EB4004"/>
    <w:rsid w:val="00EB404C"/>
    <w:rsid w:val="00EB40A9"/>
    <w:rsid w:val="00EB4115"/>
    <w:rsid w:val="00EB4124"/>
    <w:rsid w:val="00EB414C"/>
    <w:rsid w:val="00EB41B3"/>
    <w:rsid w:val="00EB41B8"/>
    <w:rsid w:val="00EB41F4"/>
    <w:rsid w:val="00EB4283"/>
    <w:rsid w:val="00EB4480"/>
    <w:rsid w:val="00EB4745"/>
    <w:rsid w:val="00EB4816"/>
    <w:rsid w:val="00EB4823"/>
    <w:rsid w:val="00EB486B"/>
    <w:rsid w:val="00EB4A3C"/>
    <w:rsid w:val="00EB4A93"/>
    <w:rsid w:val="00EB4B03"/>
    <w:rsid w:val="00EB4B25"/>
    <w:rsid w:val="00EB4B35"/>
    <w:rsid w:val="00EB4CAE"/>
    <w:rsid w:val="00EB4CDD"/>
    <w:rsid w:val="00EB4D26"/>
    <w:rsid w:val="00EB5054"/>
    <w:rsid w:val="00EB50E3"/>
    <w:rsid w:val="00EB5122"/>
    <w:rsid w:val="00EB52E3"/>
    <w:rsid w:val="00EB53C4"/>
    <w:rsid w:val="00EB5470"/>
    <w:rsid w:val="00EB54D3"/>
    <w:rsid w:val="00EB5700"/>
    <w:rsid w:val="00EB5704"/>
    <w:rsid w:val="00EB5775"/>
    <w:rsid w:val="00EB58D2"/>
    <w:rsid w:val="00EB5B1A"/>
    <w:rsid w:val="00EB5BD6"/>
    <w:rsid w:val="00EB5CD1"/>
    <w:rsid w:val="00EB5DD2"/>
    <w:rsid w:val="00EB5E11"/>
    <w:rsid w:val="00EB5E97"/>
    <w:rsid w:val="00EB5EC0"/>
    <w:rsid w:val="00EB5F54"/>
    <w:rsid w:val="00EB601B"/>
    <w:rsid w:val="00EB6049"/>
    <w:rsid w:val="00EB610B"/>
    <w:rsid w:val="00EB6182"/>
    <w:rsid w:val="00EB61F2"/>
    <w:rsid w:val="00EB620D"/>
    <w:rsid w:val="00EB645F"/>
    <w:rsid w:val="00EB6462"/>
    <w:rsid w:val="00EB6477"/>
    <w:rsid w:val="00EB65D5"/>
    <w:rsid w:val="00EB6663"/>
    <w:rsid w:val="00EB6684"/>
    <w:rsid w:val="00EB669C"/>
    <w:rsid w:val="00EB66F6"/>
    <w:rsid w:val="00EB6714"/>
    <w:rsid w:val="00EB6810"/>
    <w:rsid w:val="00EB68A9"/>
    <w:rsid w:val="00EB68B7"/>
    <w:rsid w:val="00EB6981"/>
    <w:rsid w:val="00EB69C8"/>
    <w:rsid w:val="00EB6A56"/>
    <w:rsid w:val="00EB6BD4"/>
    <w:rsid w:val="00EB6C24"/>
    <w:rsid w:val="00EB6C3D"/>
    <w:rsid w:val="00EB6CC1"/>
    <w:rsid w:val="00EB6D19"/>
    <w:rsid w:val="00EB6E9F"/>
    <w:rsid w:val="00EB6F07"/>
    <w:rsid w:val="00EB6F9D"/>
    <w:rsid w:val="00EB6FB7"/>
    <w:rsid w:val="00EB6FF6"/>
    <w:rsid w:val="00EB7164"/>
    <w:rsid w:val="00EB7170"/>
    <w:rsid w:val="00EB7266"/>
    <w:rsid w:val="00EB733A"/>
    <w:rsid w:val="00EB7378"/>
    <w:rsid w:val="00EB7601"/>
    <w:rsid w:val="00EB761F"/>
    <w:rsid w:val="00EB76FA"/>
    <w:rsid w:val="00EB7715"/>
    <w:rsid w:val="00EB772F"/>
    <w:rsid w:val="00EB7A27"/>
    <w:rsid w:val="00EB7B21"/>
    <w:rsid w:val="00EB7B2A"/>
    <w:rsid w:val="00EB7B3B"/>
    <w:rsid w:val="00EB7BA4"/>
    <w:rsid w:val="00EB7BEC"/>
    <w:rsid w:val="00EB7D08"/>
    <w:rsid w:val="00EB7F69"/>
    <w:rsid w:val="00EB7F74"/>
    <w:rsid w:val="00EC0227"/>
    <w:rsid w:val="00EC0498"/>
    <w:rsid w:val="00EC0546"/>
    <w:rsid w:val="00EC0563"/>
    <w:rsid w:val="00EC064B"/>
    <w:rsid w:val="00EC0660"/>
    <w:rsid w:val="00EC0685"/>
    <w:rsid w:val="00EC06B5"/>
    <w:rsid w:val="00EC06D4"/>
    <w:rsid w:val="00EC06E1"/>
    <w:rsid w:val="00EC072C"/>
    <w:rsid w:val="00EC07A0"/>
    <w:rsid w:val="00EC0AAB"/>
    <w:rsid w:val="00EC0ACA"/>
    <w:rsid w:val="00EC0C44"/>
    <w:rsid w:val="00EC0CD0"/>
    <w:rsid w:val="00EC0CD5"/>
    <w:rsid w:val="00EC0E92"/>
    <w:rsid w:val="00EC1074"/>
    <w:rsid w:val="00EC12DC"/>
    <w:rsid w:val="00EC1318"/>
    <w:rsid w:val="00EC1430"/>
    <w:rsid w:val="00EC1540"/>
    <w:rsid w:val="00EC1651"/>
    <w:rsid w:val="00EC16A5"/>
    <w:rsid w:val="00EC17D9"/>
    <w:rsid w:val="00EC180E"/>
    <w:rsid w:val="00EC1851"/>
    <w:rsid w:val="00EC1A4A"/>
    <w:rsid w:val="00EC1C0D"/>
    <w:rsid w:val="00EC1CAC"/>
    <w:rsid w:val="00EC1D60"/>
    <w:rsid w:val="00EC1E15"/>
    <w:rsid w:val="00EC1ED8"/>
    <w:rsid w:val="00EC1F3B"/>
    <w:rsid w:val="00EC2336"/>
    <w:rsid w:val="00EC236E"/>
    <w:rsid w:val="00EC238E"/>
    <w:rsid w:val="00EC256A"/>
    <w:rsid w:val="00EC2628"/>
    <w:rsid w:val="00EC27D9"/>
    <w:rsid w:val="00EC282B"/>
    <w:rsid w:val="00EC2926"/>
    <w:rsid w:val="00EC294D"/>
    <w:rsid w:val="00EC296D"/>
    <w:rsid w:val="00EC29DE"/>
    <w:rsid w:val="00EC2ADC"/>
    <w:rsid w:val="00EC2BE0"/>
    <w:rsid w:val="00EC2BE5"/>
    <w:rsid w:val="00EC2C0C"/>
    <w:rsid w:val="00EC2CDF"/>
    <w:rsid w:val="00EC2E4A"/>
    <w:rsid w:val="00EC2E54"/>
    <w:rsid w:val="00EC2E71"/>
    <w:rsid w:val="00EC2F5F"/>
    <w:rsid w:val="00EC2FC8"/>
    <w:rsid w:val="00EC30C2"/>
    <w:rsid w:val="00EC3119"/>
    <w:rsid w:val="00EC3148"/>
    <w:rsid w:val="00EC3179"/>
    <w:rsid w:val="00EC3191"/>
    <w:rsid w:val="00EC3330"/>
    <w:rsid w:val="00EC33FE"/>
    <w:rsid w:val="00EC33FF"/>
    <w:rsid w:val="00EC340E"/>
    <w:rsid w:val="00EC34A7"/>
    <w:rsid w:val="00EC34C1"/>
    <w:rsid w:val="00EC34F0"/>
    <w:rsid w:val="00EC35FE"/>
    <w:rsid w:val="00EC363D"/>
    <w:rsid w:val="00EC3768"/>
    <w:rsid w:val="00EC38D2"/>
    <w:rsid w:val="00EC39D0"/>
    <w:rsid w:val="00EC39E7"/>
    <w:rsid w:val="00EC3A48"/>
    <w:rsid w:val="00EC3B69"/>
    <w:rsid w:val="00EC3BB0"/>
    <w:rsid w:val="00EC3CBD"/>
    <w:rsid w:val="00EC3E9B"/>
    <w:rsid w:val="00EC3EC2"/>
    <w:rsid w:val="00EC3EF9"/>
    <w:rsid w:val="00EC3F33"/>
    <w:rsid w:val="00EC3F37"/>
    <w:rsid w:val="00EC3F5B"/>
    <w:rsid w:val="00EC3F99"/>
    <w:rsid w:val="00EC3FFF"/>
    <w:rsid w:val="00EC4013"/>
    <w:rsid w:val="00EC403A"/>
    <w:rsid w:val="00EC4048"/>
    <w:rsid w:val="00EC4113"/>
    <w:rsid w:val="00EC411C"/>
    <w:rsid w:val="00EC412B"/>
    <w:rsid w:val="00EC4164"/>
    <w:rsid w:val="00EC41AB"/>
    <w:rsid w:val="00EC4265"/>
    <w:rsid w:val="00EC42EF"/>
    <w:rsid w:val="00EC4306"/>
    <w:rsid w:val="00EC43BD"/>
    <w:rsid w:val="00EC4437"/>
    <w:rsid w:val="00EC451B"/>
    <w:rsid w:val="00EC453E"/>
    <w:rsid w:val="00EC45B1"/>
    <w:rsid w:val="00EC461E"/>
    <w:rsid w:val="00EC46EA"/>
    <w:rsid w:val="00EC4745"/>
    <w:rsid w:val="00EC47E4"/>
    <w:rsid w:val="00EC481E"/>
    <w:rsid w:val="00EC484C"/>
    <w:rsid w:val="00EC48BB"/>
    <w:rsid w:val="00EC4945"/>
    <w:rsid w:val="00EC49C0"/>
    <w:rsid w:val="00EC49FF"/>
    <w:rsid w:val="00EC4A9E"/>
    <w:rsid w:val="00EC4B5B"/>
    <w:rsid w:val="00EC4C85"/>
    <w:rsid w:val="00EC4CD6"/>
    <w:rsid w:val="00EC4D00"/>
    <w:rsid w:val="00EC4D5E"/>
    <w:rsid w:val="00EC4DFC"/>
    <w:rsid w:val="00EC4E10"/>
    <w:rsid w:val="00EC4EE8"/>
    <w:rsid w:val="00EC4FF6"/>
    <w:rsid w:val="00EC523C"/>
    <w:rsid w:val="00EC53EB"/>
    <w:rsid w:val="00EC5422"/>
    <w:rsid w:val="00EC5482"/>
    <w:rsid w:val="00EC5656"/>
    <w:rsid w:val="00EC56AD"/>
    <w:rsid w:val="00EC57BE"/>
    <w:rsid w:val="00EC5A93"/>
    <w:rsid w:val="00EC5B1F"/>
    <w:rsid w:val="00EC5B2C"/>
    <w:rsid w:val="00EC5BBB"/>
    <w:rsid w:val="00EC5F3F"/>
    <w:rsid w:val="00EC5F88"/>
    <w:rsid w:val="00EC6039"/>
    <w:rsid w:val="00EC603D"/>
    <w:rsid w:val="00EC60AB"/>
    <w:rsid w:val="00EC6125"/>
    <w:rsid w:val="00EC629D"/>
    <w:rsid w:val="00EC6328"/>
    <w:rsid w:val="00EC6615"/>
    <w:rsid w:val="00EC6616"/>
    <w:rsid w:val="00EC66B5"/>
    <w:rsid w:val="00EC6740"/>
    <w:rsid w:val="00EC6789"/>
    <w:rsid w:val="00EC6852"/>
    <w:rsid w:val="00EC68AF"/>
    <w:rsid w:val="00EC6996"/>
    <w:rsid w:val="00EC6A96"/>
    <w:rsid w:val="00EC6BF1"/>
    <w:rsid w:val="00EC6CBC"/>
    <w:rsid w:val="00EC6CC9"/>
    <w:rsid w:val="00EC6D8D"/>
    <w:rsid w:val="00EC6F2F"/>
    <w:rsid w:val="00EC6F5A"/>
    <w:rsid w:val="00EC707C"/>
    <w:rsid w:val="00EC707F"/>
    <w:rsid w:val="00EC70B6"/>
    <w:rsid w:val="00EC7168"/>
    <w:rsid w:val="00EC727A"/>
    <w:rsid w:val="00EC740A"/>
    <w:rsid w:val="00EC7499"/>
    <w:rsid w:val="00EC74F6"/>
    <w:rsid w:val="00EC7734"/>
    <w:rsid w:val="00EC778D"/>
    <w:rsid w:val="00EC785C"/>
    <w:rsid w:val="00EC7971"/>
    <w:rsid w:val="00EC7AD8"/>
    <w:rsid w:val="00EC7B84"/>
    <w:rsid w:val="00EC7CD8"/>
    <w:rsid w:val="00EC7D72"/>
    <w:rsid w:val="00EC7DB4"/>
    <w:rsid w:val="00EC7F77"/>
    <w:rsid w:val="00ED004F"/>
    <w:rsid w:val="00ED00DD"/>
    <w:rsid w:val="00ED00F7"/>
    <w:rsid w:val="00ED01CA"/>
    <w:rsid w:val="00ED0341"/>
    <w:rsid w:val="00ED0413"/>
    <w:rsid w:val="00ED0734"/>
    <w:rsid w:val="00ED08AE"/>
    <w:rsid w:val="00ED08B8"/>
    <w:rsid w:val="00ED08BF"/>
    <w:rsid w:val="00ED0965"/>
    <w:rsid w:val="00ED0AC1"/>
    <w:rsid w:val="00ED0B04"/>
    <w:rsid w:val="00ED0BAA"/>
    <w:rsid w:val="00ED0BBD"/>
    <w:rsid w:val="00ED0C37"/>
    <w:rsid w:val="00ED0C76"/>
    <w:rsid w:val="00ED0EB0"/>
    <w:rsid w:val="00ED0F7D"/>
    <w:rsid w:val="00ED1107"/>
    <w:rsid w:val="00ED11A6"/>
    <w:rsid w:val="00ED11E3"/>
    <w:rsid w:val="00ED11EF"/>
    <w:rsid w:val="00ED11F8"/>
    <w:rsid w:val="00ED1206"/>
    <w:rsid w:val="00ED1393"/>
    <w:rsid w:val="00ED1471"/>
    <w:rsid w:val="00ED149A"/>
    <w:rsid w:val="00ED14C1"/>
    <w:rsid w:val="00ED155E"/>
    <w:rsid w:val="00ED1563"/>
    <w:rsid w:val="00ED15F7"/>
    <w:rsid w:val="00ED1618"/>
    <w:rsid w:val="00ED16E2"/>
    <w:rsid w:val="00ED16EE"/>
    <w:rsid w:val="00ED1744"/>
    <w:rsid w:val="00ED184C"/>
    <w:rsid w:val="00ED186C"/>
    <w:rsid w:val="00ED187B"/>
    <w:rsid w:val="00ED18BB"/>
    <w:rsid w:val="00ED1923"/>
    <w:rsid w:val="00ED1A94"/>
    <w:rsid w:val="00ED1AC5"/>
    <w:rsid w:val="00ED1B02"/>
    <w:rsid w:val="00ED1B21"/>
    <w:rsid w:val="00ED1B79"/>
    <w:rsid w:val="00ED1BD9"/>
    <w:rsid w:val="00ED1BE7"/>
    <w:rsid w:val="00ED1C0D"/>
    <w:rsid w:val="00ED1C40"/>
    <w:rsid w:val="00ED1C79"/>
    <w:rsid w:val="00ED1CA8"/>
    <w:rsid w:val="00ED1D12"/>
    <w:rsid w:val="00ED1D61"/>
    <w:rsid w:val="00ED1F0D"/>
    <w:rsid w:val="00ED1F84"/>
    <w:rsid w:val="00ED1FDB"/>
    <w:rsid w:val="00ED2047"/>
    <w:rsid w:val="00ED205C"/>
    <w:rsid w:val="00ED207C"/>
    <w:rsid w:val="00ED215E"/>
    <w:rsid w:val="00ED21C1"/>
    <w:rsid w:val="00ED2215"/>
    <w:rsid w:val="00ED2281"/>
    <w:rsid w:val="00ED236E"/>
    <w:rsid w:val="00ED2500"/>
    <w:rsid w:val="00ED2532"/>
    <w:rsid w:val="00ED254A"/>
    <w:rsid w:val="00ED2732"/>
    <w:rsid w:val="00ED286E"/>
    <w:rsid w:val="00ED28E4"/>
    <w:rsid w:val="00ED2AD8"/>
    <w:rsid w:val="00ED2C4D"/>
    <w:rsid w:val="00ED2CB5"/>
    <w:rsid w:val="00ED2D4E"/>
    <w:rsid w:val="00ED2E00"/>
    <w:rsid w:val="00ED2E08"/>
    <w:rsid w:val="00ED2EDB"/>
    <w:rsid w:val="00ED2FBE"/>
    <w:rsid w:val="00ED3036"/>
    <w:rsid w:val="00ED3041"/>
    <w:rsid w:val="00ED3082"/>
    <w:rsid w:val="00ED30BE"/>
    <w:rsid w:val="00ED30F8"/>
    <w:rsid w:val="00ED31AF"/>
    <w:rsid w:val="00ED3240"/>
    <w:rsid w:val="00ED325F"/>
    <w:rsid w:val="00ED3479"/>
    <w:rsid w:val="00ED3484"/>
    <w:rsid w:val="00ED34C9"/>
    <w:rsid w:val="00ED3563"/>
    <w:rsid w:val="00ED3574"/>
    <w:rsid w:val="00ED358C"/>
    <w:rsid w:val="00ED3776"/>
    <w:rsid w:val="00ED385A"/>
    <w:rsid w:val="00ED38BE"/>
    <w:rsid w:val="00ED391E"/>
    <w:rsid w:val="00ED39C8"/>
    <w:rsid w:val="00ED39E1"/>
    <w:rsid w:val="00ED3A67"/>
    <w:rsid w:val="00ED3A70"/>
    <w:rsid w:val="00ED3A99"/>
    <w:rsid w:val="00ED3B4A"/>
    <w:rsid w:val="00ED3C91"/>
    <w:rsid w:val="00ED3D34"/>
    <w:rsid w:val="00ED3DA0"/>
    <w:rsid w:val="00ED3E72"/>
    <w:rsid w:val="00ED3F95"/>
    <w:rsid w:val="00ED41A5"/>
    <w:rsid w:val="00ED41BA"/>
    <w:rsid w:val="00ED41D0"/>
    <w:rsid w:val="00ED426E"/>
    <w:rsid w:val="00ED430C"/>
    <w:rsid w:val="00ED4563"/>
    <w:rsid w:val="00ED45AD"/>
    <w:rsid w:val="00ED45B1"/>
    <w:rsid w:val="00ED4664"/>
    <w:rsid w:val="00ED4700"/>
    <w:rsid w:val="00ED475E"/>
    <w:rsid w:val="00ED4777"/>
    <w:rsid w:val="00ED4888"/>
    <w:rsid w:val="00ED4946"/>
    <w:rsid w:val="00ED49BF"/>
    <w:rsid w:val="00ED4AB7"/>
    <w:rsid w:val="00ED4ACB"/>
    <w:rsid w:val="00ED4BEE"/>
    <w:rsid w:val="00ED4D53"/>
    <w:rsid w:val="00ED4E44"/>
    <w:rsid w:val="00ED512D"/>
    <w:rsid w:val="00ED518B"/>
    <w:rsid w:val="00ED5215"/>
    <w:rsid w:val="00ED52C6"/>
    <w:rsid w:val="00ED52CD"/>
    <w:rsid w:val="00ED52F8"/>
    <w:rsid w:val="00ED5330"/>
    <w:rsid w:val="00ED537A"/>
    <w:rsid w:val="00ED53E3"/>
    <w:rsid w:val="00ED544F"/>
    <w:rsid w:val="00ED549F"/>
    <w:rsid w:val="00ED55A2"/>
    <w:rsid w:val="00ED56A8"/>
    <w:rsid w:val="00ED56FC"/>
    <w:rsid w:val="00ED57A6"/>
    <w:rsid w:val="00ED57C5"/>
    <w:rsid w:val="00ED58FE"/>
    <w:rsid w:val="00ED595D"/>
    <w:rsid w:val="00ED597F"/>
    <w:rsid w:val="00ED5A6D"/>
    <w:rsid w:val="00ED5B1B"/>
    <w:rsid w:val="00ED5BC5"/>
    <w:rsid w:val="00ED5C21"/>
    <w:rsid w:val="00ED5DD6"/>
    <w:rsid w:val="00ED5F8A"/>
    <w:rsid w:val="00ED5F8B"/>
    <w:rsid w:val="00ED5F9E"/>
    <w:rsid w:val="00ED5FC2"/>
    <w:rsid w:val="00ED5FD6"/>
    <w:rsid w:val="00ED6085"/>
    <w:rsid w:val="00ED61C9"/>
    <w:rsid w:val="00ED6240"/>
    <w:rsid w:val="00ED6290"/>
    <w:rsid w:val="00ED63BF"/>
    <w:rsid w:val="00ED64DA"/>
    <w:rsid w:val="00ED66C0"/>
    <w:rsid w:val="00ED67C3"/>
    <w:rsid w:val="00ED681B"/>
    <w:rsid w:val="00ED694F"/>
    <w:rsid w:val="00ED6991"/>
    <w:rsid w:val="00ED6A10"/>
    <w:rsid w:val="00ED6B99"/>
    <w:rsid w:val="00ED6D2B"/>
    <w:rsid w:val="00ED6F38"/>
    <w:rsid w:val="00ED6FB4"/>
    <w:rsid w:val="00ED70E2"/>
    <w:rsid w:val="00ED7114"/>
    <w:rsid w:val="00ED72B1"/>
    <w:rsid w:val="00ED733F"/>
    <w:rsid w:val="00ED7359"/>
    <w:rsid w:val="00ED737D"/>
    <w:rsid w:val="00ED743D"/>
    <w:rsid w:val="00ED746E"/>
    <w:rsid w:val="00ED7499"/>
    <w:rsid w:val="00ED74A9"/>
    <w:rsid w:val="00ED75A8"/>
    <w:rsid w:val="00ED76B1"/>
    <w:rsid w:val="00ED7745"/>
    <w:rsid w:val="00ED77BE"/>
    <w:rsid w:val="00ED787E"/>
    <w:rsid w:val="00ED78CC"/>
    <w:rsid w:val="00ED79C4"/>
    <w:rsid w:val="00ED79E4"/>
    <w:rsid w:val="00ED79E8"/>
    <w:rsid w:val="00ED7AB3"/>
    <w:rsid w:val="00ED7B0F"/>
    <w:rsid w:val="00ED7C25"/>
    <w:rsid w:val="00ED7CD9"/>
    <w:rsid w:val="00ED7CF2"/>
    <w:rsid w:val="00ED7D65"/>
    <w:rsid w:val="00ED7DAA"/>
    <w:rsid w:val="00ED7ED3"/>
    <w:rsid w:val="00EE0083"/>
    <w:rsid w:val="00EE04D8"/>
    <w:rsid w:val="00EE0646"/>
    <w:rsid w:val="00EE06B7"/>
    <w:rsid w:val="00EE06C3"/>
    <w:rsid w:val="00EE07BB"/>
    <w:rsid w:val="00EE0903"/>
    <w:rsid w:val="00EE0BAF"/>
    <w:rsid w:val="00EE0C9E"/>
    <w:rsid w:val="00EE0CDE"/>
    <w:rsid w:val="00EE0D25"/>
    <w:rsid w:val="00EE0DCE"/>
    <w:rsid w:val="00EE0E7E"/>
    <w:rsid w:val="00EE1234"/>
    <w:rsid w:val="00EE13A8"/>
    <w:rsid w:val="00EE1607"/>
    <w:rsid w:val="00EE16D4"/>
    <w:rsid w:val="00EE1739"/>
    <w:rsid w:val="00EE1A92"/>
    <w:rsid w:val="00EE1C56"/>
    <w:rsid w:val="00EE1D01"/>
    <w:rsid w:val="00EE1D42"/>
    <w:rsid w:val="00EE1D6B"/>
    <w:rsid w:val="00EE1D84"/>
    <w:rsid w:val="00EE1FEB"/>
    <w:rsid w:val="00EE2223"/>
    <w:rsid w:val="00EE2236"/>
    <w:rsid w:val="00EE2265"/>
    <w:rsid w:val="00EE2663"/>
    <w:rsid w:val="00EE26AD"/>
    <w:rsid w:val="00EE27D8"/>
    <w:rsid w:val="00EE28C4"/>
    <w:rsid w:val="00EE28F2"/>
    <w:rsid w:val="00EE299E"/>
    <w:rsid w:val="00EE2C87"/>
    <w:rsid w:val="00EE2CA7"/>
    <w:rsid w:val="00EE2E83"/>
    <w:rsid w:val="00EE2F6E"/>
    <w:rsid w:val="00EE2F9B"/>
    <w:rsid w:val="00EE302E"/>
    <w:rsid w:val="00EE308D"/>
    <w:rsid w:val="00EE317A"/>
    <w:rsid w:val="00EE31BE"/>
    <w:rsid w:val="00EE31E3"/>
    <w:rsid w:val="00EE3228"/>
    <w:rsid w:val="00EE3297"/>
    <w:rsid w:val="00EE3458"/>
    <w:rsid w:val="00EE345E"/>
    <w:rsid w:val="00EE350C"/>
    <w:rsid w:val="00EE355B"/>
    <w:rsid w:val="00EE367F"/>
    <w:rsid w:val="00EE3763"/>
    <w:rsid w:val="00EE37C7"/>
    <w:rsid w:val="00EE399C"/>
    <w:rsid w:val="00EE3A1D"/>
    <w:rsid w:val="00EE3E4D"/>
    <w:rsid w:val="00EE3E98"/>
    <w:rsid w:val="00EE3EA5"/>
    <w:rsid w:val="00EE3F6C"/>
    <w:rsid w:val="00EE3F92"/>
    <w:rsid w:val="00EE3FE7"/>
    <w:rsid w:val="00EE40A9"/>
    <w:rsid w:val="00EE40CE"/>
    <w:rsid w:val="00EE41EE"/>
    <w:rsid w:val="00EE4210"/>
    <w:rsid w:val="00EE4241"/>
    <w:rsid w:val="00EE4291"/>
    <w:rsid w:val="00EE4317"/>
    <w:rsid w:val="00EE4425"/>
    <w:rsid w:val="00EE452D"/>
    <w:rsid w:val="00EE45BE"/>
    <w:rsid w:val="00EE474C"/>
    <w:rsid w:val="00EE48C1"/>
    <w:rsid w:val="00EE495D"/>
    <w:rsid w:val="00EE4B27"/>
    <w:rsid w:val="00EE4B6A"/>
    <w:rsid w:val="00EE4C7D"/>
    <w:rsid w:val="00EE4E93"/>
    <w:rsid w:val="00EE4FFA"/>
    <w:rsid w:val="00EE5229"/>
    <w:rsid w:val="00EE5276"/>
    <w:rsid w:val="00EE5357"/>
    <w:rsid w:val="00EE541C"/>
    <w:rsid w:val="00EE549A"/>
    <w:rsid w:val="00EE54DE"/>
    <w:rsid w:val="00EE5528"/>
    <w:rsid w:val="00EE5670"/>
    <w:rsid w:val="00EE5722"/>
    <w:rsid w:val="00EE574C"/>
    <w:rsid w:val="00EE57C0"/>
    <w:rsid w:val="00EE580C"/>
    <w:rsid w:val="00EE5916"/>
    <w:rsid w:val="00EE5A35"/>
    <w:rsid w:val="00EE5A40"/>
    <w:rsid w:val="00EE5ADF"/>
    <w:rsid w:val="00EE5B3E"/>
    <w:rsid w:val="00EE5CB7"/>
    <w:rsid w:val="00EE5CE2"/>
    <w:rsid w:val="00EE5DB8"/>
    <w:rsid w:val="00EE5E4C"/>
    <w:rsid w:val="00EE5E7E"/>
    <w:rsid w:val="00EE5E96"/>
    <w:rsid w:val="00EE5F78"/>
    <w:rsid w:val="00EE6000"/>
    <w:rsid w:val="00EE600A"/>
    <w:rsid w:val="00EE6149"/>
    <w:rsid w:val="00EE61A2"/>
    <w:rsid w:val="00EE62A4"/>
    <w:rsid w:val="00EE62AE"/>
    <w:rsid w:val="00EE62CC"/>
    <w:rsid w:val="00EE6565"/>
    <w:rsid w:val="00EE65DA"/>
    <w:rsid w:val="00EE66F3"/>
    <w:rsid w:val="00EE6767"/>
    <w:rsid w:val="00EE676E"/>
    <w:rsid w:val="00EE69C7"/>
    <w:rsid w:val="00EE6B5F"/>
    <w:rsid w:val="00EE6B66"/>
    <w:rsid w:val="00EE6B67"/>
    <w:rsid w:val="00EE6BC2"/>
    <w:rsid w:val="00EE6BDF"/>
    <w:rsid w:val="00EE6C47"/>
    <w:rsid w:val="00EE6DE6"/>
    <w:rsid w:val="00EE6ECA"/>
    <w:rsid w:val="00EE6EE5"/>
    <w:rsid w:val="00EE7151"/>
    <w:rsid w:val="00EE71F5"/>
    <w:rsid w:val="00EE722B"/>
    <w:rsid w:val="00EE72CC"/>
    <w:rsid w:val="00EE73F8"/>
    <w:rsid w:val="00EE7467"/>
    <w:rsid w:val="00EE75E6"/>
    <w:rsid w:val="00EE77D4"/>
    <w:rsid w:val="00EE7858"/>
    <w:rsid w:val="00EE78B6"/>
    <w:rsid w:val="00EE78CF"/>
    <w:rsid w:val="00EE790A"/>
    <w:rsid w:val="00EE79D0"/>
    <w:rsid w:val="00EE7A9E"/>
    <w:rsid w:val="00EE7BA5"/>
    <w:rsid w:val="00EE7D70"/>
    <w:rsid w:val="00EE7EAB"/>
    <w:rsid w:val="00EE7EBC"/>
    <w:rsid w:val="00EE7F00"/>
    <w:rsid w:val="00EE7F58"/>
    <w:rsid w:val="00EE7F70"/>
    <w:rsid w:val="00EF00CD"/>
    <w:rsid w:val="00EF0195"/>
    <w:rsid w:val="00EF01DC"/>
    <w:rsid w:val="00EF02BC"/>
    <w:rsid w:val="00EF0333"/>
    <w:rsid w:val="00EF03A8"/>
    <w:rsid w:val="00EF046E"/>
    <w:rsid w:val="00EF04EE"/>
    <w:rsid w:val="00EF0604"/>
    <w:rsid w:val="00EF067C"/>
    <w:rsid w:val="00EF074B"/>
    <w:rsid w:val="00EF0881"/>
    <w:rsid w:val="00EF0925"/>
    <w:rsid w:val="00EF0953"/>
    <w:rsid w:val="00EF0A03"/>
    <w:rsid w:val="00EF0A7B"/>
    <w:rsid w:val="00EF0B69"/>
    <w:rsid w:val="00EF0C36"/>
    <w:rsid w:val="00EF0DB1"/>
    <w:rsid w:val="00EF0ED1"/>
    <w:rsid w:val="00EF0FE7"/>
    <w:rsid w:val="00EF117C"/>
    <w:rsid w:val="00EF11CE"/>
    <w:rsid w:val="00EF11FC"/>
    <w:rsid w:val="00EF137F"/>
    <w:rsid w:val="00EF151F"/>
    <w:rsid w:val="00EF1561"/>
    <w:rsid w:val="00EF15E9"/>
    <w:rsid w:val="00EF1729"/>
    <w:rsid w:val="00EF17F7"/>
    <w:rsid w:val="00EF193E"/>
    <w:rsid w:val="00EF195B"/>
    <w:rsid w:val="00EF1A26"/>
    <w:rsid w:val="00EF1B50"/>
    <w:rsid w:val="00EF1C0A"/>
    <w:rsid w:val="00EF1C81"/>
    <w:rsid w:val="00EF1D0F"/>
    <w:rsid w:val="00EF1E15"/>
    <w:rsid w:val="00EF1F28"/>
    <w:rsid w:val="00EF1F50"/>
    <w:rsid w:val="00EF1F90"/>
    <w:rsid w:val="00EF203C"/>
    <w:rsid w:val="00EF2390"/>
    <w:rsid w:val="00EF2493"/>
    <w:rsid w:val="00EF2508"/>
    <w:rsid w:val="00EF255A"/>
    <w:rsid w:val="00EF2595"/>
    <w:rsid w:val="00EF25EF"/>
    <w:rsid w:val="00EF29C8"/>
    <w:rsid w:val="00EF2A10"/>
    <w:rsid w:val="00EF2ADB"/>
    <w:rsid w:val="00EF2B09"/>
    <w:rsid w:val="00EF2B7A"/>
    <w:rsid w:val="00EF2D71"/>
    <w:rsid w:val="00EF2DFB"/>
    <w:rsid w:val="00EF2E07"/>
    <w:rsid w:val="00EF2E1D"/>
    <w:rsid w:val="00EF2EAA"/>
    <w:rsid w:val="00EF3107"/>
    <w:rsid w:val="00EF316A"/>
    <w:rsid w:val="00EF31A4"/>
    <w:rsid w:val="00EF3305"/>
    <w:rsid w:val="00EF333B"/>
    <w:rsid w:val="00EF34E6"/>
    <w:rsid w:val="00EF3630"/>
    <w:rsid w:val="00EF36A6"/>
    <w:rsid w:val="00EF3950"/>
    <w:rsid w:val="00EF3993"/>
    <w:rsid w:val="00EF39DD"/>
    <w:rsid w:val="00EF3B1F"/>
    <w:rsid w:val="00EF3B2E"/>
    <w:rsid w:val="00EF3B49"/>
    <w:rsid w:val="00EF3B66"/>
    <w:rsid w:val="00EF3C36"/>
    <w:rsid w:val="00EF3D10"/>
    <w:rsid w:val="00EF3EAA"/>
    <w:rsid w:val="00EF3F65"/>
    <w:rsid w:val="00EF3F6C"/>
    <w:rsid w:val="00EF4086"/>
    <w:rsid w:val="00EF41D9"/>
    <w:rsid w:val="00EF4260"/>
    <w:rsid w:val="00EF4503"/>
    <w:rsid w:val="00EF457B"/>
    <w:rsid w:val="00EF45DA"/>
    <w:rsid w:val="00EF46A8"/>
    <w:rsid w:val="00EF47D9"/>
    <w:rsid w:val="00EF48BF"/>
    <w:rsid w:val="00EF48D4"/>
    <w:rsid w:val="00EF4963"/>
    <w:rsid w:val="00EF4A70"/>
    <w:rsid w:val="00EF4C30"/>
    <w:rsid w:val="00EF4CBA"/>
    <w:rsid w:val="00EF4D7D"/>
    <w:rsid w:val="00EF4FC4"/>
    <w:rsid w:val="00EF4FC6"/>
    <w:rsid w:val="00EF5014"/>
    <w:rsid w:val="00EF50F0"/>
    <w:rsid w:val="00EF51D7"/>
    <w:rsid w:val="00EF5210"/>
    <w:rsid w:val="00EF524B"/>
    <w:rsid w:val="00EF52D2"/>
    <w:rsid w:val="00EF53BB"/>
    <w:rsid w:val="00EF54FA"/>
    <w:rsid w:val="00EF5596"/>
    <w:rsid w:val="00EF55F8"/>
    <w:rsid w:val="00EF560D"/>
    <w:rsid w:val="00EF57C4"/>
    <w:rsid w:val="00EF57DD"/>
    <w:rsid w:val="00EF58A8"/>
    <w:rsid w:val="00EF594B"/>
    <w:rsid w:val="00EF59A3"/>
    <w:rsid w:val="00EF59D2"/>
    <w:rsid w:val="00EF59EA"/>
    <w:rsid w:val="00EF5A65"/>
    <w:rsid w:val="00EF5AA8"/>
    <w:rsid w:val="00EF5B43"/>
    <w:rsid w:val="00EF5C31"/>
    <w:rsid w:val="00EF5C8C"/>
    <w:rsid w:val="00EF5CE8"/>
    <w:rsid w:val="00EF5E0B"/>
    <w:rsid w:val="00EF5F42"/>
    <w:rsid w:val="00EF5F93"/>
    <w:rsid w:val="00EF5FAB"/>
    <w:rsid w:val="00EF5FB6"/>
    <w:rsid w:val="00EF604F"/>
    <w:rsid w:val="00EF6280"/>
    <w:rsid w:val="00EF6337"/>
    <w:rsid w:val="00EF63A4"/>
    <w:rsid w:val="00EF6513"/>
    <w:rsid w:val="00EF6550"/>
    <w:rsid w:val="00EF6581"/>
    <w:rsid w:val="00EF6599"/>
    <w:rsid w:val="00EF65A8"/>
    <w:rsid w:val="00EF662C"/>
    <w:rsid w:val="00EF6779"/>
    <w:rsid w:val="00EF67D4"/>
    <w:rsid w:val="00EF682E"/>
    <w:rsid w:val="00EF6839"/>
    <w:rsid w:val="00EF69BD"/>
    <w:rsid w:val="00EF6A03"/>
    <w:rsid w:val="00EF6A0A"/>
    <w:rsid w:val="00EF6B45"/>
    <w:rsid w:val="00EF6BA7"/>
    <w:rsid w:val="00EF6BC2"/>
    <w:rsid w:val="00EF6C2B"/>
    <w:rsid w:val="00EF6CAB"/>
    <w:rsid w:val="00EF6CE4"/>
    <w:rsid w:val="00EF6D73"/>
    <w:rsid w:val="00EF6DC0"/>
    <w:rsid w:val="00EF6E5A"/>
    <w:rsid w:val="00EF6F37"/>
    <w:rsid w:val="00EF6F84"/>
    <w:rsid w:val="00EF6FA0"/>
    <w:rsid w:val="00EF70B8"/>
    <w:rsid w:val="00EF70C7"/>
    <w:rsid w:val="00EF70E1"/>
    <w:rsid w:val="00EF7169"/>
    <w:rsid w:val="00EF71C9"/>
    <w:rsid w:val="00EF727C"/>
    <w:rsid w:val="00EF72FA"/>
    <w:rsid w:val="00EF7990"/>
    <w:rsid w:val="00EF7A7D"/>
    <w:rsid w:val="00EF7A8F"/>
    <w:rsid w:val="00EF7BA5"/>
    <w:rsid w:val="00EF7BC9"/>
    <w:rsid w:val="00EF7BD1"/>
    <w:rsid w:val="00EF7C54"/>
    <w:rsid w:val="00EF7C84"/>
    <w:rsid w:val="00EF7E3D"/>
    <w:rsid w:val="00EF7E7D"/>
    <w:rsid w:val="00F00109"/>
    <w:rsid w:val="00F00202"/>
    <w:rsid w:val="00F00329"/>
    <w:rsid w:val="00F00478"/>
    <w:rsid w:val="00F00562"/>
    <w:rsid w:val="00F00756"/>
    <w:rsid w:val="00F0076C"/>
    <w:rsid w:val="00F00864"/>
    <w:rsid w:val="00F00A3C"/>
    <w:rsid w:val="00F00BA0"/>
    <w:rsid w:val="00F00D42"/>
    <w:rsid w:val="00F00DBE"/>
    <w:rsid w:val="00F00DC4"/>
    <w:rsid w:val="00F00EB5"/>
    <w:rsid w:val="00F00ED6"/>
    <w:rsid w:val="00F00FA5"/>
    <w:rsid w:val="00F00FDF"/>
    <w:rsid w:val="00F0101D"/>
    <w:rsid w:val="00F01065"/>
    <w:rsid w:val="00F0119F"/>
    <w:rsid w:val="00F011BB"/>
    <w:rsid w:val="00F0131E"/>
    <w:rsid w:val="00F0138F"/>
    <w:rsid w:val="00F013C9"/>
    <w:rsid w:val="00F01407"/>
    <w:rsid w:val="00F01734"/>
    <w:rsid w:val="00F01774"/>
    <w:rsid w:val="00F01783"/>
    <w:rsid w:val="00F01796"/>
    <w:rsid w:val="00F0183F"/>
    <w:rsid w:val="00F01862"/>
    <w:rsid w:val="00F01913"/>
    <w:rsid w:val="00F019C6"/>
    <w:rsid w:val="00F019C7"/>
    <w:rsid w:val="00F01A74"/>
    <w:rsid w:val="00F01C15"/>
    <w:rsid w:val="00F01D61"/>
    <w:rsid w:val="00F01D84"/>
    <w:rsid w:val="00F01E76"/>
    <w:rsid w:val="00F01F9F"/>
    <w:rsid w:val="00F02003"/>
    <w:rsid w:val="00F020DC"/>
    <w:rsid w:val="00F020E7"/>
    <w:rsid w:val="00F02118"/>
    <w:rsid w:val="00F0214E"/>
    <w:rsid w:val="00F02163"/>
    <w:rsid w:val="00F0216B"/>
    <w:rsid w:val="00F0219F"/>
    <w:rsid w:val="00F02235"/>
    <w:rsid w:val="00F0232D"/>
    <w:rsid w:val="00F023B2"/>
    <w:rsid w:val="00F02432"/>
    <w:rsid w:val="00F02494"/>
    <w:rsid w:val="00F0257D"/>
    <w:rsid w:val="00F025E1"/>
    <w:rsid w:val="00F025E6"/>
    <w:rsid w:val="00F026BB"/>
    <w:rsid w:val="00F028CA"/>
    <w:rsid w:val="00F02919"/>
    <w:rsid w:val="00F0294B"/>
    <w:rsid w:val="00F02A18"/>
    <w:rsid w:val="00F02B83"/>
    <w:rsid w:val="00F02BAC"/>
    <w:rsid w:val="00F02C14"/>
    <w:rsid w:val="00F02C3F"/>
    <w:rsid w:val="00F02C56"/>
    <w:rsid w:val="00F02DEB"/>
    <w:rsid w:val="00F02E5B"/>
    <w:rsid w:val="00F02F91"/>
    <w:rsid w:val="00F02FD1"/>
    <w:rsid w:val="00F0308D"/>
    <w:rsid w:val="00F0317D"/>
    <w:rsid w:val="00F031BD"/>
    <w:rsid w:val="00F031F0"/>
    <w:rsid w:val="00F0327C"/>
    <w:rsid w:val="00F03328"/>
    <w:rsid w:val="00F0339F"/>
    <w:rsid w:val="00F03585"/>
    <w:rsid w:val="00F03793"/>
    <w:rsid w:val="00F03809"/>
    <w:rsid w:val="00F03814"/>
    <w:rsid w:val="00F03876"/>
    <w:rsid w:val="00F03885"/>
    <w:rsid w:val="00F03A16"/>
    <w:rsid w:val="00F03A83"/>
    <w:rsid w:val="00F03B75"/>
    <w:rsid w:val="00F03B94"/>
    <w:rsid w:val="00F03C60"/>
    <w:rsid w:val="00F03C76"/>
    <w:rsid w:val="00F040B9"/>
    <w:rsid w:val="00F040E2"/>
    <w:rsid w:val="00F04119"/>
    <w:rsid w:val="00F04192"/>
    <w:rsid w:val="00F041E5"/>
    <w:rsid w:val="00F0424A"/>
    <w:rsid w:val="00F04351"/>
    <w:rsid w:val="00F04442"/>
    <w:rsid w:val="00F04574"/>
    <w:rsid w:val="00F045B9"/>
    <w:rsid w:val="00F045D0"/>
    <w:rsid w:val="00F047C8"/>
    <w:rsid w:val="00F04892"/>
    <w:rsid w:val="00F04A77"/>
    <w:rsid w:val="00F04A96"/>
    <w:rsid w:val="00F04AD8"/>
    <w:rsid w:val="00F04B4A"/>
    <w:rsid w:val="00F04BCD"/>
    <w:rsid w:val="00F04C2A"/>
    <w:rsid w:val="00F04EBA"/>
    <w:rsid w:val="00F0515C"/>
    <w:rsid w:val="00F05176"/>
    <w:rsid w:val="00F05194"/>
    <w:rsid w:val="00F051B2"/>
    <w:rsid w:val="00F051E2"/>
    <w:rsid w:val="00F05411"/>
    <w:rsid w:val="00F05566"/>
    <w:rsid w:val="00F057B9"/>
    <w:rsid w:val="00F05847"/>
    <w:rsid w:val="00F05877"/>
    <w:rsid w:val="00F05927"/>
    <w:rsid w:val="00F0595A"/>
    <w:rsid w:val="00F059A6"/>
    <w:rsid w:val="00F059AF"/>
    <w:rsid w:val="00F05A41"/>
    <w:rsid w:val="00F05AE3"/>
    <w:rsid w:val="00F05B94"/>
    <w:rsid w:val="00F05C03"/>
    <w:rsid w:val="00F05CE7"/>
    <w:rsid w:val="00F05E94"/>
    <w:rsid w:val="00F0630D"/>
    <w:rsid w:val="00F0635D"/>
    <w:rsid w:val="00F0635F"/>
    <w:rsid w:val="00F063E1"/>
    <w:rsid w:val="00F06460"/>
    <w:rsid w:val="00F064FB"/>
    <w:rsid w:val="00F066B5"/>
    <w:rsid w:val="00F06705"/>
    <w:rsid w:val="00F0670D"/>
    <w:rsid w:val="00F0676F"/>
    <w:rsid w:val="00F06772"/>
    <w:rsid w:val="00F0681A"/>
    <w:rsid w:val="00F068B7"/>
    <w:rsid w:val="00F06956"/>
    <w:rsid w:val="00F06AAE"/>
    <w:rsid w:val="00F06ACF"/>
    <w:rsid w:val="00F06B4A"/>
    <w:rsid w:val="00F06B56"/>
    <w:rsid w:val="00F06B90"/>
    <w:rsid w:val="00F06C1A"/>
    <w:rsid w:val="00F06DAA"/>
    <w:rsid w:val="00F06E70"/>
    <w:rsid w:val="00F06EF9"/>
    <w:rsid w:val="00F06FC5"/>
    <w:rsid w:val="00F06FD1"/>
    <w:rsid w:val="00F07037"/>
    <w:rsid w:val="00F07060"/>
    <w:rsid w:val="00F0709D"/>
    <w:rsid w:val="00F070EC"/>
    <w:rsid w:val="00F07112"/>
    <w:rsid w:val="00F07129"/>
    <w:rsid w:val="00F0712D"/>
    <w:rsid w:val="00F07154"/>
    <w:rsid w:val="00F071B2"/>
    <w:rsid w:val="00F071E3"/>
    <w:rsid w:val="00F07263"/>
    <w:rsid w:val="00F072B5"/>
    <w:rsid w:val="00F072C2"/>
    <w:rsid w:val="00F07339"/>
    <w:rsid w:val="00F07397"/>
    <w:rsid w:val="00F0742B"/>
    <w:rsid w:val="00F075D4"/>
    <w:rsid w:val="00F0784F"/>
    <w:rsid w:val="00F07879"/>
    <w:rsid w:val="00F078AC"/>
    <w:rsid w:val="00F07946"/>
    <w:rsid w:val="00F07ADA"/>
    <w:rsid w:val="00F07BFC"/>
    <w:rsid w:val="00F07D43"/>
    <w:rsid w:val="00F07D6A"/>
    <w:rsid w:val="00F07F21"/>
    <w:rsid w:val="00F07FEB"/>
    <w:rsid w:val="00F10144"/>
    <w:rsid w:val="00F102A6"/>
    <w:rsid w:val="00F10387"/>
    <w:rsid w:val="00F105C4"/>
    <w:rsid w:val="00F10620"/>
    <w:rsid w:val="00F10633"/>
    <w:rsid w:val="00F10685"/>
    <w:rsid w:val="00F1073B"/>
    <w:rsid w:val="00F107AC"/>
    <w:rsid w:val="00F107B2"/>
    <w:rsid w:val="00F107CF"/>
    <w:rsid w:val="00F107F5"/>
    <w:rsid w:val="00F1080F"/>
    <w:rsid w:val="00F109CF"/>
    <w:rsid w:val="00F10A05"/>
    <w:rsid w:val="00F10A3C"/>
    <w:rsid w:val="00F10AA4"/>
    <w:rsid w:val="00F10B84"/>
    <w:rsid w:val="00F10D06"/>
    <w:rsid w:val="00F10D08"/>
    <w:rsid w:val="00F10D10"/>
    <w:rsid w:val="00F10D6F"/>
    <w:rsid w:val="00F10E08"/>
    <w:rsid w:val="00F10FB3"/>
    <w:rsid w:val="00F110DC"/>
    <w:rsid w:val="00F1111D"/>
    <w:rsid w:val="00F111C1"/>
    <w:rsid w:val="00F111E9"/>
    <w:rsid w:val="00F1125F"/>
    <w:rsid w:val="00F11357"/>
    <w:rsid w:val="00F1137F"/>
    <w:rsid w:val="00F11581"/>
    <w:rsid w:val="00F1158E"/>
    <w:rsid w:val="00F11605"/>
    <w:rsid w:val="00F11611"/>
    <w:rsid w:val="00F11650"/>
    <w:rsid w:val="00F1179C"/>
    <w:rsid w:val="00F1186A"/>
    <w:rsid w:val="00F11888"/>
    <w:rsid w:val="00F119D5"/>
    <w:rsid w:val="00F11C21"/>
    <w:rsid w:val="00F11CEE"/>
    <w:rsid w:val="00F11D18"/>
    <w:rsid w:val="00F11E04"/>
    <w:rsid w:val="00F11E0D"/>
    <w:rsid w:val="00F11F17"/>
    <w:rsid w:val="00F11F37"/>
    <w:rsid w:val="00F12088"/>
    <w:rsid w:val="00F120F0"/>
    <w:rsid w:val="00F1217F"/>
    <w:rsid w:val="00F1222C"/>
    <w:rsid w:val="00F122C1"/>
    <w:rsid w:val="00F122C5"/>
    <w:rsid w:val="00F1234C"/>
    <w:rsid w:val="00F1240A"/>
    <w:rsid w:val="00F12551"/>
    <w:rsid w:val="00F12621"/>
    <w:rsid w:val="00F1262C"/>
    <w:rsid w:val="00F12ABE"/>
    <w:rsid w:val="00F12B75"/>
    <w:rsid w:val="00F12C61"/>
    <w:rsid w:val="00F12CF4"/>
    <w:rsid w:val="00F12D49"/>
    <w:rsid w:val="00F12D74"/>
    <w:rsid w:val="00F12EFB"/>
    <w:rsid w:val="00F12F9E"/>
    <w:rsid w:val="00F13061"/>
    <w:rsid w:val="00F130BD"/>
    <w:rsid w:val="00F130F0"/>
    <w:rsid w:val="00F132E1"/>
    <w:rsid w:val="00F1332C"/>
    <w:rsid w:val="00F13444"/>
    <w:rsid w:val="00F134AC"/>
    <w:rsid w:val="00F135A9"/>
    <w:rsid w:val="00F136FA"/>
    <w:rsid w:val="00F13846"/>
    <w:rsid w:val="00F138F0"/>
    <w:rsid w:val="00F1398E"/>
    <w:rsid w:val="00F139A4"/>
    <w:rsid w:val="00F13AC8"/>
    <w:rsid w:val="00F13B95"/>
    <w:rsid w:val="00F13C20"/>
    <w:rsid w:val="00F13CC7"/>
    <w:rsid w:val="00F13D01"/>
    <w:rsid w:val="00F13E03"/>
    <w:rsid w:val="00F13E69"/>
    <w:rsid w:val="00F13E79"/>
    <w:rsid w:val="00F13FD4"/>
    <w:rsid w:val="00F1403F"/>
    <w:rsid w:val="00F140B6"/>
    <w:rsid w:val="00F1416C"/>
    <w:rsid w:val="00F14183"/>
    <w:rsid w:val="00F1419D"/>
    <w:rsid w:val="00F141D4"/>
    <w:rsid w:val="00F1426F"/>
    <w:rsid w:val="00F144B0"/>
    <w:rsid w:val="00F1465D"/>
    <w:rsid w:val="00F14685"/>
    <w:rsid w:val="00F14777"/>
    <w:rsid w:val="00F147C5"/>
    <w:rsid w:val="00F149F3"/>
    <w:rsid w:val="00F14A8A"/>
    <w:rsid w:val="00F14B40"/>
    <w:rsid w:val="00F14B4D"/>
    <w:rsid w:val="00F14D16"/>
    <w:rsid w:val="00F14E84"/>
    <w:rsid w:val="00F14E9A"/>
    <w:rsid w:val="00F14EE3"/>
    <w:rsid w:val="00F14F6B"/>
    <w:rsid w:val="00F14FBD"/>
    <w:rsid w:val="00F14FF8"/>
    <w:rsid w:val="00F150B3"/>
    <w:rsid w:val="00F150EA"/>
    <w:rsid w:val="00F1518C"/>
    <w:rsid w:val="00F15397"/>
    <w:rsid w:val="00F153DD"/>
    <w:rsid w:val="00F1540B"/>
    <w:rsid w:val="00F15439"/>
    <w:rsid w:val="00F1543E"/>
    <w:rsid w:val="00F15440"/>
    <w:rsid w:val="00F15490"/>
    <w:rsid w:val="00F154B2"/>
    <w:rsid w:val="00F15630"/>
    <w:rsid w:val="00F1582F"/>
    <w:rsid w:val="00F159AA"/>
    <w:rsid w:val="00F159CA"/>
    <w:rsid w:val="00F15C6B"/>
    <w:rsid w:val="00F15D05"/>
    <w:rsid w:val="00F15D07"/>
    <w:rsid w:val="00F15D49"/>
    <w:rsid w:val="00F15DE3"/>
    <w:rsid w:val="00F15DFC"/>
    <w:rsid w:val="00F15E8D"/>
    <w:rsid w:val="00F15EAA"/>
    <w:rsid w:val="00F15F19"/>
    <w:rsid w:val="00F15F5C"/>
    <w:rsid w:val="00F16108"/>
    <w:rsid w:val="00F1624C"/>
    <w:rsid w:val="00F16287"/>
    <w:rsid w:val="00F16393"/>
    <w:rsid w:val="00F16399"/>
    <w:rsid w:val="00F16434"/>
    <w:rsid w:val="00F16610"/>
    <w:rsid w:val="00F16653"/>
    <w:rsid w:val="00F166AE"/>
    <w:rsid w:val="00F16775"/>
    <w:rsid w:val="00F167DA"/>
    <w:rsid w:val="00F168AB"/>
    <w:rsid w:val="00F168C5"/>
    <w:rsid w:val="00F16980"/>
    <w:rsid w:val="00F16AB2"/>
    <w:rsid w:val="00F16D37"/>
    <w:rsid w:val="00F16FA4"/>
    <w:rsid w:val="00F17141"/>
    <w:rsid w:val="00F171C5"/>
    <w:rsid w:val="00F174A2"/>
    <w:rsid w:val="00F1758A"/>
    <w:rsid w:val="00F17630"/>
    <w:rsid w:val="00F17643"/>
    <w:rsid w:val="00F177F4"/>
    <w:rsid w:val="00F17874"/>
    <w:rsid w:val="00F178CC"/>
    <w:rsid w:val="00F178ED"/>
    <w:rsid w:val="00F179D8"/>
    <w:rsid w:val="00F17AF9"/>
    <w:rsid w:val="00F17BCC"/>
    <w:rsid w:val="00F17C97"/>
    <w:rsid w:val="00F17CEA"/>
    <w:rsid w:val="00F17D21"/>
    <w:rsid w:val="00F17DAA"/>
    <w:rsid w:val="00F17EFD"/>
    <w:rsid w:val="00F17F48"/>
    <w:rsid w:val="00F17F95"/>
    <w:rsid w:val="00F17FE4"/>
    <w:rsid w:val="00F200E4"/>
    <w:rsid w:val="00F20233"/>
    <w:rsid w:val="00F20366"/>
    <w:rsid w:val="00F2046A"/>
    <w:rsid w:val="00F205D9"/>
    <w:rsid w:val="00F205E3"/>
    <w:rsid w:val="00F20609"/>
    <w:rsid w:val="00F20736"/>
    <w:rsid w:val="00F20817"/>
    <w:rsid w:val="00F20865"/>
    <w:rsid w:val="00F20A8A"/>
    <w:rsid w:val="00F20C9A"/>
    <w:rsid w:val="00F20CC7"/>
    <w:rsid w:val="00F20CDB"/>
    <w:rsid w:val="00F20D09"/>
    <w:rsid w:val="00F20D1E"/>
    <w:rsid w:val="00F20DF5"/>
    <w:rsid w:val="00F20E3A"/>
    <w:rsid w:val="00F20EC4"/>
    <w:rsid w:val="00F20F00"/>
    <w:rsid w:val="00F20F43"/>
    <w:rsid w:val="00F210FC"/>
    <w:rsid w:val="00F21209"/>
    <w:rsid w:val="00F2121E"/>
    <w:rsid w:val="00F21519"/>
    <w:rsid w:val="00F215AC"/>
    <w:rsid w:val="00F2161D"/>
    <w:rsid w:val="00F217A5"/>
    <w:rsid w:val="00F2192A"/>
    <w:rsid w:val="00F21AC4"/>
    <w:rsid w:val="00F21B79"/>
    <w:rsid w:val="00F21B8D"/>
    <w:rsid w:val="00F21BC3"/>
    <w:rsid w:val="00F21BDA"/>
    <w:rsid w:val="00F21D29"/>
    <w:rsid w:val="00F21E55"/>
    <w:rsid w:val="00F21EBC"/>
    <w:rsid w:val="00F22375"/>
    <w:rsid w:val="00F223AC"/>
    <w:rsid w:val="00F223E6"/>
    <w:rsid w:val="00F2240C"/>
    <w:rsid w:val="00F2245F"/>
    <w:rsid w:val="00F22512"/>
    <w:rsid w:val="00F225DF"/>
    <w:rsid w:val="00F22734"/>
    <w:rsid w:val="00F228E1"/>
    <w:rsid w:val="00F2291C"/>
    <w:rsid w:val="00F229A0"/>
    <w:rsid w:val="00F22A42"/>
    <w:rsid w:val="00F22C0E"/>
    <w:rsid w:val="00F22C9F"/>
    <w:rsid w:val="00F22CB6"/>
    <w:rsid w:val="00F22E36"/>
    <w:rsid w:val="00F22EED"/>
    <w:rsid w:val="00F2304E"/>
    <w:rsid w:val="00F23059"/>
    <w:rsid w:val="00F230E9"/>
    <w:rsid w:val="00F230EC"/>
    <w:rsid w:val="00F23102"/>
    <w:rsid w:val="00F231B7"/>
    <w:rsid w:val="00F231CD"/>
    <w:rsid w:val="00F23266"/>
    <w:rsid w:val="00F23280"/>
    <w:rsid w:val="00F232CF"/>
    <w:rsid w:val="00F23337"/>
    <w:rsid w:val="00F23367"/>
    <w:rsid w:val="00F23386"/>
    <w:rsid w:val="00F2352F"/>
    <w:rsid w:val="00F235BE"/>
    <w:rsid w:val="00F236DA"/>
    <w:rsid w:val="00F23767"/>
    <w:rsid w:val="00F2384D"/>
    <w:rsid w:val="00F23B9C"/>
    <w:rsid w:val="00F23D15"/>
    <w:rsid w:val="00F23E9C"/>
    <w:rsid w:val="00F23F46"/>
    <w:rsid w:val="00F23FD4"/>
    <w:rsid w:val="00F241FA"/>
    <w:rsid w:val="00F243A9"/>
    <w:rsid w:val="00F243ED"/>
    <w:rsid w:val="00F2446B"/>
    <w:rsid w:val="00F24571"/>
    <w:rsid w:val="00F24573"/>
    <w:rsid w:val="00F245B3"/>
    <w:rsid w:val="00F24644"/>
    <w:rsid w:val="00F246A0"/>
    <w:rsid w:val="00F246EB"/>
    <w:rsid w:val="00F24721"/>
    <w:rsid w:val="00F24733"/>
    <w:rsid w:val="00F2486C"/>
    <w:rsid w:val="00F248E4"/>
    <w:rsid w:val="00F2491F"/>
    <w:rsid w:val="00F24959"/>
    <w:rsid w:val="00F2498D"/>
    <w:rsid w:val="00F24B65"/>
    <w:rsid w:val="00F24BF1"/>
    <w:rsid w:val="00F24C1E"/>
    <w:rsid w:val="00F24C67"/>
    <w:rsid w:val="00F24CED"/>
    <w:rsid w:val="00F24DD2"/>
    <w:rsid w:val="00F24EBF"/>
    <w:rsid w:val="00F24F95"/>
    <w:rsid w:val="00F24FCB"/>
    <w:rsid w:val="00F24FDA"/>
    <w:rsid w:val="00F25079"/>
    <w:rsid w:val="00F25232"/>
    <w:rsid w:val="00F254D2"/>
    <w:rsid w:val="00F2556E"/>
    <w:rsid w:val="00F25572"/>
    <w:rsid w:val="00F2562D"/>
    <w:rsid w:val="00F25652"/>
    <w:rsid w:val="00F25698"/>
    <w:rsid w:val="00F25762"/>
    <w:rsid w:val="00F25816"/>
    <w:rsid w:val="00F25870"/>
    <w:rsid w:val="00F25997"/>
    <w:rsid w:val="00F25A77"/>
    <w:rsid w:val="00F25B5E"/>
    <w:rsid w:val="00F25B7E"/>
    <w:rsid w:val="00F25BB9"/>
    <w:rsid w:val="00F25C41"/>
    <w:rsid w:val="00F25DCE"/>
    <w:rsid w:val="00F25F0A"/>
    <w:rsid w:val="00F25F22"/>
    <w:rsid w:val="00F25F6C"/>
    <w:rsid w:val="00F25FBF"/>
    <w:rsid w:val="00F25FF8"/>
    <w:rsid w:val="00F26098"/>
    <w:rsid w:val="00F261A8"/>
    <w:rsid w:val="00F26272"/>
    <w:rsid w:val="00F262F6"/>
    <w:rsid w:val="00F26329"/>
    <w:rsid w:val="00F26399"/>
    <w:rsid w:val="00F2643B"/>
    <w:rsid w:val="00F265D5"/>
    <w:rsid w:val="00F26669"/>
    <w:rsid w:val="00F26748"/>
    <w:rsid w:val="00F26B79"/>
    <w:rsid w:val="00F26CF2"/>
    <w:rsid w:val="00F26D99"/>
    <w:rsid w:val="00F26E23"/>
    <w:rsid w:val="00F26E69"/>
    <w:rsid w:val="00F26EF9"/>
    <w:rsid w:val="00F26F8E"/>
    <w:rsid w:val="00F26FE1"/>
    <w:rsid w:val="00F27212"/>
    <w:rsid w:val="00F27291"/>
    <w:rsid w:val="00F27308"/>
    <w:rsid w:val="00F27347"/>
    <w:rsid w:val="00F2741C"/>
    <w:rsid w:val="00F27492"/>
    <w:rsid w:val="00F2757A"/>
    <w:rsid w:val="00F2759C"/>
    <w:rsid w:val="00F2764F"/>
    <w:rsid w:val="00F27651"/>
    <w:rsid w:val="00F2769D"/>
    <w:rsid w:val="00F2779F"/>
    <w:rsid w:val="00F277C9"/>
    <w:rsid w:val="00F277ED"/>
    <w:rsid w:val="00F27897"/>
    <w:rsid w:val="00F278CF"/>
    <w:rsid w:val="00F27901"/>
    <w:rsid w:val="00F27984"/>
    <w:rsid w:val="00F2799B"/>
    <w:rsid w:val="00F279E6"/>
    <w:rsid w:val="00F27C6F"/>
    <w:rsid w:val="00F27F70"/>
    <w:rsid w:val="00F3003F"/>
    <w:rsid w:val="00F302A7"/>
    <w:rsid w:val="00F30334"/>
    <w:rsid w:val="00F30363"/>
    <w:rsid w:val="00F303C9"/>
    <w:rsid w:val="00F30406"/>
    <w:rsid w:val="00F306A1"/>
    <w:rsid w:val="00F306BB"/>
    <w:rsid w:val="00F306C8"/>
    <w:rsid w:val="00F306E3"/>
    <w:rsid w:val="00F307F4"/>
    <w:rsid w:val="00F3081C"/>
    <w:rsid w:val="00F30859"/>
    <w:rsid w:val="00F30887"/>
    <w:rsid w:val="00F30981"/>
    <w:rsid w:val="00F309E9"/>
    <w:rsid w:val="00F30D4E"/>
    <w:rsid w:val="00F30D78"/>
    <w:rsid w:val="00F30E9E"/>
    <w:rsid w:val="00F30F27"/>
    <w:rsid w:val="00F310A7"/>
    <w:rsid w:val="00F310BF"/>
    <w:rsid w:val="00F31120"/>
    <w:rsid w:val="00F3118C"/>
    <w:rsid w:val="00F31376"/>
    <w:rsid w:val="00F313B8"/>
    <w:rsid w:val="00F3150F"/>
    <w:rsid w:val="00F31570"/>
    <w:rsid w:val="00F315BD"/>
    <w:rsid w:val="00F3164C"/>
    <w:rsid w:val="00F3167E"/>
    <w:rsid w:val="00F316B0"/>
    <w:rsid w:val="00F319E1"/>
    <w:rsid w:val="00F31A00"/>
    <w:rsid w:val="00F31A64"/>
    <w:rsid w:val="00F31F3D"/>
    <w:rsid w:val="00F3216A"/>
    <w:rsid w:val="00F32174"/>
    <w:rsid w:val="00F3219E"/>
    <w:rsid w:val="00F3227F"/>
    <w:rsid w:val="00F32360"/>
    <w:rsid w:val="00F323C2"/>
    <w:rsid w:val="00F3245F"/>
    <w:rsid w:val="00F32868"/>
    <w:rsid w:val="00F328BC"/>
    <w:rsid w:val="00F32A22"/>
    <w:rsid w:val="00F32A96"/>
    <w:rsid w:val="00F32BB5"/>
    <w:rsid w:val="00F32C8C"/>
    <w:rsid w:val="00F32CAC"/>
    <w:rsid w:val="00F32CE6"/>
    <w:rsid w:val="00F32EB8"/>
    <w:rsid w:val="00F32F42"/>
    <w:rsid w:val="00F32FC9"/>
    <w:rsid w:val="00F3347A"/>
    <w:rsid w:val="00F334B9"/>
    <w:rsid w:val="00F334C7"/>
    <w:rsid w:val="00F3367A"/>
    <w:rsid w:val="00F337B1"/>
    <w:rsid w:val="00F3399C"/>
    <w:rsid w:val="00F33A0B"/>
    <w:rsid w:val="00F33B79"/>
    <w:rsid w:val="00F33BD8"/>
    <w:rsid w:val="00F33D37"/>
    <w:rsid w:val="00F33D42"/>
    <w:rsid w:val="00F33E5D"/>
    <w:rsid w:val="00F33E63"/>
    <w:rsid w:val="00F33EC1"/>
    <w:rsid w:val="00F33FF7"/>
    <w:rsid w:val="00F34042"/>
    <w:rsid w:val="00F340CC"/>
    <w:rsid w:val="00F3425B"/>
    <w:rsid w:val="00F3427F"/>
    <w:rsid w:val="00F34398"/>
    <w:rsid w:val="00F34457"/>
    <w:rsid w:val="00F345DE"/>
    <w:rsid w:val="00F346F9"/>
    <w:rsid w:val="00F34746"/>
    <w:rsid w:val="00F348D5"/>
    <w:rsid w:val="00F348DB"/>
    <w:rsid w:val="00F3492A"/>
    <w:rsid w:val="00F349F8"/>
    <w:rsid w:val="00F34B8E"/>
    <w:rsid w:val="00F34BD6"/>
    <w:rsid w:val="00F34CFA"/>
    <w:rsid w:val="00F34DC1"/>
    <w:rsid w:val="00F34DE9"/>
    <w:rsid w:val="00F34E6A"/>
    <w:rsid w:val="00F35031"/>
    <w:rsid w:val="00F350A1"/>
    <w:rsid w:val="00F3520B"/>
    <w:rsid w:val="00F3522F"/>
    <w:rsid w:val="00F3524F"/>
    <w:rsid w:val="00F353ED"/>
    <w:rsid w:val="00F35501"/>
    <w:rsid w:val="00F3550E"/>
    <w:rsid w:val="00F3559C"/>
    <w:rsid w:val="00F35608"/>
    <w:rsid w:val="00F3567D"/>
    <w:rsid w:val="00F35976"/>
    <w:rsid w:val="00F35BE9"/>
    <w:rsid w:val="00F35C01"/>
    <w:rsid w:val="00F35C35"/>
    <w:rsid w:val="00F35DBE"/>
    <w:rsid w:val="00F35E55"/>
    <w:rsid w:val="00F36004"/>
    <w:rsid w:val="00F361D7"/>
    <w:rsid w:val="00F362D2"/>
    <w:rsid w:val="00F362E4"/>
    <w:rsid w:val="00F36508"/>
    <w:rsid w:val="00F3657A"/>
    <w:rsid w:val="00F3662B"/>
    <w:rsid w:val="00F36782"/>
    <w:rsid w:val="00F367AD"/>
    <w:rsid w:val="00F368CA"/>
    <w:rsid w:val="00F368E4"/>
    <w:rsid w:val="00F369F0"/>
    <w:rsid w:val="00F36A04"/>
    <w:rsid w:val="00F36A29"/>
    <w:rsid w:val="00F36AA6"/>
    <w:rsid w:val="00F36B09"/>
    <w:rsid w:val="00F36C25"/>
    <w:rsid w:val="00F36C56"/>
    <w:rsid w:val="00F36C9A"/>
    <w:rsid w:val="00F36C9D"/>
    <w:rsid w:val="00F36DCD"/>
    <w:rsid w:val="00F36E7E"/>
    <w:rsid w:val="00F36EE6"/>
    <w:rsid w:val="00F36F46"/>
    <w:rsid w:val="00F36F6B"/>
    <w:rsid w:val="00F36F98"/>
    <w:rsid w:val="00F36FC9"/>
    <w:rsid w:val="00F3730A"/>
    <w:rsid w:val="00F375C1"/>
    <w:rsid w:val="00F37891"/>
    <w:rsid w:val="00F378A6"/>
    <w:rsid w:val="00F37952"/>
    <w:rsid w:val="00F3797F"/>
    <w:rsid w:val="00F37A65"/>
    <w:rsid w:val="00F37B37"/>
    <w:rsid w:val="00F37B73"/>
    <w:rsid w:val="00F37C98"/>
    <w:rsid w:val="00F37CC5"/>
    <w:rsid w:val="00F37D05"/>
    <w:rsid w:val="00F37EB9"/>
    <w:rsid w:val="00F37FA9"/>
    <w:rsid w:val="00F37FD2"/>
    <w:rsid w:val="00F40023"/>
    <w:rsid w:val="00F40108"/>
    <w:rsid w:val="00F4015C"/>
    <w:rsid w:val="00F402EC"/>
    <w:rsid w:val="00F40484"/>
    <w:rsid w:val="00F404D1"/>
    <w:rsid w:val="00F405AA"/>
    <w:rsid w:val="00F405D5"/>
    <w:rsid w:val="00F406BC"/>
    <w:rsid w:val="00F40727"/>
    <w:rsid w:val="00F40785"/>
    <w:rsid w:val="00F407D9"/>
    <w:rsid w:val="00F40898"/>
    <w:rsid w:val="00F4090E"/>
    <w:rsid w:val="00F40987"/>
    <w:rsid w:val="00F409EB"/>
    <w:rsid w:val="00F409ED"/>
    <w:rsid w:val="00F40A54"/>
    <w:rsid w:val="00F40AD6"/>
    <w:rsid w:val="00F40C0F"/>
    <w:rsid w:val="00F40C62"/>
    <w:rsid w:val="00F40CB4"/>
    <w:rsid w:val="00F40CFB"/>
    <w:rsid w:val="00F40F26"/>
    <w:rsid w:val="00F40F79"/>
    <w:rsid w:val="00F410F5"/>
    <w:rsid w:val="00F410FD"/>
    <w:rsid w:val="00F4121E"/>
    <w:rsid w:val="00F41311"/>
    <w:rsid w:val="00F4135B"/>
    <w:rsid w:val="00F4137D"/>
    <w:rsid w:val="00F413C3"/>
    <w:rsid w:val="00F41465"/>
    <w:rsid w:val="00F41616"/>
    <w:rsid w:val="00F416E1"/>
    <w:rsid w:val="00F41760"/>
    <w:rsid w:val="00F4178F"/>
    <w:rsid w:val="00F417F4"/>
    <w:rsid w:val="00F418F0"/>
    <w:rsid w:val="00F41A14"/>
    <w:rsid w:val="00F41A57"/>
    <w:rsid w:val="00F41A9D"/>
    <w:rsid w:val="00F41DDC"/>
    <w:rsid w:val="00F41E6C"/>
    <w:rsid w:val="00F41E6D"/>
    <w:rsid w:val="00F4202B"/>
    <w:rsid w:val="00F42175"/>
    <w:rsid w:val="00F42216"/>
    <w:rsid w:val="00F42263"/>
    <w:rsid w:val="00F42366"/>
    <w:rsid w:val="00F4239D"/>
    <w:rsid w:val="00F423CF"/>
    <w:rsid w:val="00F42437"/>
    <w:rsid w:val="00F42438"/>
    <w:rsid w:val="00F42443"/>
    <w:rsid w:val="00F424D0"/>
    <w:rsid w:val="00F424F5"/>
    <w:rsid w:val="00F4257A"/>
    <w:rsid w:val="00F42689"/>
    <w:rsid w:val="00F42724"/>
    <w:rsid w:val="00F427A5"/>
    <w:rsid w:val="00F42840"/>
    <w:rsid w:val="00F42990"/>
    <w:rsid w:val="00F42A53"/>
    <w:rsid w:val="00F42A6B"/>
    <w:rsid w:val="00F42A81"/>
    <w:rsid w:val="00F42AA3"/>
    <w:rsid w:val="00F42B3B"/>
    <w:rsid w:val="00F42B97"/>
    <w:rsid w:val="00F42C0A"/>
    <w:rsid w:val="00F42C80"/>
    <w:rsid w:val="00F42E13"/>
    <w:rsid w:val="00F42E4B"/>
    <w:rsid w:val="00F42E78"/>
    <w:rsid w:val="00F42F04"/>
    <w:rsid w:val="00F42F0E"/>
    <w:rsid w:val="00F42FF6"/>
    <w:rsid w:val="00F431B1"/>
    <w:rsid w:val="00F432B3"/>
    <w:rsid w:val="00F433ED"/>
    <w:rsid w:val="00F434AD"/>
    <w:rsid w:val="00F434C0"/>
    <w:rsid w:val="00F43532"/>
    <w:rsid w:val="00F43533"/>
    <w:rsid w:val="00F435E1"/>
    <w:rsid w:val="00F43605"/>
    <w:rsid w:val="00F43652"/>
    <w:rsid w:val="00F43742"/>
    <w:rsid w:val="00F43838"/>
    <w:rsid w:val="00F43A2B"/>
    <w:rsid w:val="00F43AD8"/>
    <w:rsid w:val="00F43B3D"/>
    <w:rsid w:val="00F43B66"/>
    <w:rsid w:val="00F43BB6"/>
    <w:rsid w:val="00F43C4E"/>
    <w:rsid w:val="00F43E09"/>
    <w:rsid w:val="00F43ED2"/>
    <w:rsid w:val="00F43F25"/>
    <w:rsid w:val="00F440DA"/>
    <w:rsid w:val="00F4411F"/>
    <w:rsid w:val="00F4423F"/>
    <w:rsid w:val="00F44356"/>
    <w:rsid w:val="00F443F3"/>
    <w:rsid w:val="00F445E4"/>
    <w:rsid w:val="00F446D6"/>
    <w:rsid w:val="00F44783"/>
    <w:rsid w:val="00F447BB"/>
    <w:rsid w:val="00F4482A"/>
    <w:rsid w:val="00F4482F"/>
    <w:rsid w:val="00F448EC"/>
    <w:rsid w:val="00F44B33"/>
    <w:rsid w:val="00F44BB1"/>
    <w:rsid w:val="00F44BE7"/>
    <w:rsid w:val="00F44C0C"/>
    <w:rsid w:val="00F44C35"/>
    <w:rsid w:val="00F44D75"/>
    <w:rsid w:val="00F44DC8"/>
    <w:rsid w:val="00F44F6C"/>
    <w:rsid w:val="00F44F9B"/>
    <w:rsid w:val="00F44FA2"/>
    <w:rsid w:val="00F44FA3"/>
    <w:rsid w:val="00F450BB"/>
    <w:rsid w:val="00F450D5"/>
    <w:rsid w:val="00F450F5"/>
    <w:rsid w:val="00F45130"/>
    <w:rsid w:val="00F451B5"/>
    <w:rsid w:val="00F4528B"/>
    <w:rsid w:val="00F4543A"/>
    <w:rsid w:val="00F4562C"/>
    <w:rsid w:val="00F45660"/>
    <w:rsid w:val="00F4593E"/>
    <w:rsid w:val="00F45A01"/>
    <w:rsid w:val="00F45A2F"/>
    <w:rsid w:val="00F45CB0"/>
    <w:rsid w:val="00F45D78"/>
    <w:rsid w:val="00F45DEB"/>
    <w:rsid w:val="00F45ECF"/>
    <w:rsid w:val="00F45F37"/>
    <w:rsid w:val="00F46026"/>
    <w:rsid w:val="00F46066"/>
    <w:rsid w:val="00F4606A"/>
    <w:rsid w:val="00F46206"/>
    <w:rsid w:val="00F4632F"/>
    <w:rsid w:val="00F463CF"/>
    <w:rsid w:val="00F46425"/>
    <w:rsid w:val="00F46493"/>
    <w:rsid w:val="00F464FA"/>
    <w:rsid w:val="00F4661F"/>
    <w:rsid w:val="00F4668F"/>
    <w:rsid w:val="00F46892"/>
    <w:rsid w:val="00F468CB"/>
    <w:rsid w:val="00F468D5"/>
    <w:rsid w:val="00F4692C"/>
    <w:rsid w:val="00F46937"/>
    <w:rsid w:val="00F46AF2"/>
    <w:rsid w:val="00F46CE0"/>
    <w:rsid w:val="00F46D62"/>
    <w:rsid w:val="00F46FB9"/>
    <w:rsid w:val="00F46FC6"/>
    <w:rsid w:val="00F470F2"/>
    <w:rsid w:val="00F47117"/>
    <w:rsid w:val="00F47141"/>
    <w:rsid w:val="00F47280"/>
    <w:rsid w:val="00F4733D"/>
    <w:rsid w:val="00F47541"/>
    <w:rsid w:val="00F47585"/>
    <w:rsid w:val="00F475E6"/>
    <w:rsid w:val="00F4760E"/>
    <w:rsid w:val="00F47781"/>
    <w:rsid w:val="00F47824"/>
    <w:rsid w:val="00F47ACA"/>
    <w:rsid w:val="00F47AD4"/>
    <w:rsid w:val="00F47AFA"/>
    <w:rsid w:val="00F47B03"/>
    <w:rsid w:val="00F47B11"/>
    <w:rsid w:val="00F47B4A"/>
    <w:rsid w:val="00F47C1B"/>
    <w:rsid w:val="00F47C27"/>
    <w:rsid w:val="00F47C47"/>
    <w:rsid w:val="00F47C90"/>
    <w:rsid w:val="00F47CEB"/>
    <w:rsid w:val="00F47CF5"/>
    <w:rsid w:val="00F47E83"/>
    <w:rsid w:val="00F47F75"/>
    <w:rsid w:val="00F501A4"/>
    <w:rsid w:val="00F501A8"/>
    <w:rsid w:val="00F50213"/>
    <w:rsid w:val="00F50246"/>
    <w:rsid w:val="00F5029F"/>
    <w:rsid w:val="00F503FA"/>
    <w:rsid w:val="00F50505"/>
    <w:rsid w:val="00F50584"/>
    <w:rsid w:val="00F50590"/>
    <w:rsid w:val="00F5068A"/>
    <w:rsid w:val="00F506AA"/>
    <w:rsid w:val="00F506EF"/>
    <w:rsid w:val="00F50727"/>
    <w:rsid w:val="00F50919"/>
    <w:rsid w:val="00F50955"/>
    <w:rsid w:val="00F509AB"/>
    <w:rsid w:val="00F509AD"/>
    <w:rsid w:val="00F50A29"/>
    <w:rsid w:val="00F50A96"/>
    <w:rsid w:val="00F50AE5"/>
    <w:rsid w:val="00F50B65"/>
    <w:rsid w:val="00F50B8D"/>
    <w:rsid w:val="00F50CD4"/>
    <w:rsid w:val="00F50D8B"/>
    <w:rsid w:val="00F50EAB"/>
    <w:rsid w:val="00F50EAD"/>
    <w:rsid w:val="00F50FCC"/>
    <w:rsid w:val="00F50FF8"/>
    <w:rsid w:val="00F51037"/>
    <w:rsid w:val="00F51062"/>
    <w:rsid w:val="00F51093"/>
    <w:rsid w:val="00F51116"/>
    <w:rsid w:val="00F51259"/>
    <w:rsid w:val="00F51298"/>
    <w:rsid w:val="00F5129A"/>
    <w:rsid w:val="00F513A1"/>
    <w:rsid w:val="00F513E6"/>
    <w:rsid w:val="00F5140D"/>
    <w:rsid w:val="00F5145B"/>
    <w:rsid w:val="00F51534"/>
    <w:rsid w:val="00F5154A"/>
    <w:rsid w:val="00F51577"/>
    <w:rsid w:val="00F5161B"/>
    <w:rsid w:val="00F51639"/>
    <w:rsid w:val="00F51658"/>
    <w:rsid w:val="00F51672"/>
    <w:rsid w:val="00F51692"/>
    <w:rsid w:val="00F516AD"/>
    <w:rsid w:val="00F51798"/>
    <w:rsid w:val="00F517A1"/>
    <w:rsid w:val="00F517F9"/>
    <w:rsid w:val="00F51844"/>
    <w:rsid w:val="00F51A43"/>
    <w:rsid w:val="00F51AAD"/>
    <w:rsid w:val="00F51B91"/>
    <w:rsid w:val="00F51BBE"/>
    <w:rsid w:val="00F51C80"/>
    <w:rsid w:val="00F51D2E"/>
    <w:rsid w:val="00F51DDC"/>
    <w:rsid w:val="00F51EC8"/>
    <w:rsid w:val="00F51EEA"/>
    <w:rsid w:val="00F51F21"/>
    <w:rsid w:val="00F51F46"/>
    <w:rsid w:val="00F52265"/>
    <w:rsid w:val="00F522F9"/>
    <w:rsid w:val="00F52388"/>
    <w:rsid w:val="00F523CE"/>
    <w:rsid w:val="00F524AE"/>
    <w:rsid w:val="00F524EF"/>
    <w:rsid w:val="00F52602"/>
    <w:rsid w:val="00F526F3"/>
    <w:rsid w:val="00F527AC"/>
    <w:rsid w:val="00F527E4"/>
    <w:rsid w:val="00F52910"/>
    <w:rsid w:val="00F52953"/>
    <w:rsid w:val="00F52A11"/>
    <w:rsid w:val="00F52A97"/>
    <w:rsid w:val="00F52ABB"/>
    <w:rsid w:val="00F52C71"/>
    <w:rsid w:val="00F52D35"/>
    <w:rsid w:val="00F52D89"/>
    <w:rsid w:val="00F52D8D"/>
    <w:rsid w:val="00F52F43"/>
    <w:rsid w:val="00F52F9C"/>
    <w:rsid w:val="00F53102"/>
    <w:rsid w:val="00F53152"/>
    <w:rsid w:val="00F531C3"/>
    <w:rsid w:val="00F53333"/>
    <w:rsid w:val="00F533D3"/>
    <w:rsid w:val="00F534FE"/>
    <w:rsid w:val="00F53594"/>
    <w:rsid w:val="00F535FE"/>
    <w:rsid w:val="00F5362C"/>
    <w:rsid w:val="00F536DC"/>
    <w:rsid w:val="00F537D5"/>
    <w:rsid w:val="00F537D9"/>
    <w:rsid w:val="00F537FD"/>
    <w:rsid w:val="00F53847"/>
    <w:rsid w:val="00F539E0"/>
    <w:rsid w:val="00F53BB9"/>
    <w:rsid w:val="00F53BF0"/>
    <w:rsid w:val="00F53C3F"/>
    <w:rsid w:val="00F53CC2"/>
    <w:rsid w:val="00F53E3B"/>
    <w:rsid w:val="00F53E49"/>
    <w:rsid w:val="00F53F97"/>
    <w:rsid w:val="00F541D7"/>
    <w:rsid w:val="00F54245"/>
    <w:rsid w:val="00F54290"/>
    <w:rsid w:val="00F543A4"/>
    <w:rsid w:val="00F543BB"/>
    <w:rsid w:val="00F544B9"/>
    <w:rsid w:val="00F544D7"/>
    <w:rsid w:val="00F546B9"/>
    <w:rsid w:val="00F547BA"/>
    <w:rsid w:val="00F547C7"/>
    <w:rsid w:val="00F54864"/>
    <w:rsid w:val="00F54890"/>
    <w:rsid w:val="00F5496B"/>
    <w:rsid w:val="00F5496F"/>
    <w:rsid w:val="00F54C86"/>
    <w:rsid w:val="00F54D7D"/>
    <w:rsid w:val="00F54DEF"/>
    <w:rsid w:val="00F54FB5"/>
    <w:rsid w:val="00F55294"/>
    <w:rsid w:val="00F552E6"/>
    <w:rsid w:val="00F5554C"/>
    <w:rsid w:val="00F55596"/>
    <w:rsid w:val="00F5560D"/>
    <w:rsid w:val="00F556FF"/>
    <w:rsid w:val="00F55747"/>
    <w:rsid w:val="00F55A65"/>
    <w:rsid w:val="00F55AEE"/>
    <w:rsid w:val="00F55BDA"/>
    <w:rsid w:val="00F55BE8"/>
    <w:rsid w:val="00F55DCD"/>
    <w:rsid w:val="00F55F12"/>
    <w:rsid w:val="00F5613F"/>
    <w:rsid w:val="00F56216"/>
    <w:rsid w:val="00F56247"/>
    <w:rsid w:val="00F562EF"/>
    <w:rsid w:val="00F563FB"/>
    <w:rsid w:val="00F564F5"/>
    <w:rsid w:val="00F56505"/>
    <w:rsid w:val="00F5651D"/>
    <w:rsid w:val="00F565A3"/>
    <w:rsid w:val="00F565AB"/>
    <w:rsid w:val="00F56620"/>
    <w:rsid w:val="00F5666A"/>
    <w:rsid w:val="00F56776"/>
    <w:rsid w:val="00F567E3"/>
    <w:rsid w:val="00F56914"/>
    <w:rsid w:val="00F56953"/>
    <w:rsid w:val="00F56AC0"/>
    <w:rsid w:val="00F56AFF"/>
    <w:rsid w:val="00F56CF1"/>
    <w:rsid w:val="00F56D00"/>
    <w:rsid w:val="00F56E1F"/>
    <w:rsid w:val="00F56E67"/>
    <w:rsid w:val="00F56F37"/>
    <w:rsid w:val="00F57099"/>
    <w:rsid w:val="00F570C9"/>
    <w:rsid w:val="00F57127"/>
    <w:rsid w:val="00F571B8"/>
    <w:rsid w:val="00F571F6"/>
    <w:rsid w:val="00F57282"/>
    <w:rsid w:val="00F573D1"/>
    <w:rsid w:val="00F57536"/>
    <w:rsid w:val="00F57611"/>
    <w:rsid w:val="00F57833"/>
    <w:rsid w:val="00F57969"/>
    <w:rsid w:val="00F5799E"/>
    <w:rsid w:val="00F579D4"/>
    <w:rsid w:val="00F57B16"/>
    <w:rsid w:val="00F57B64"/>
    <w:rsid w:val="00F57B87"/>
    <w:rsid w:val="00F57C09"/>
    <w:rsid w:val="00F57C6B"/>
    <w:rsid w:val="00F57CD6"/>
    <w:rsid w:val="00F57D2D"/>
    <w:rsid w:val="00F57EFA"/>
    <w:rsid w:val="00F6003A"/>
    <w:rsid w:val="00F60097"/>
    <w:rsid w:val="00F600D3"/>
    <w:rsid w:val="00F6018E"/>
    <w:rsid w:val="00F60204"/>
    <w:rsid w:val="00F6028F"/>
    <w:rsid w:val="00F603AA"/>
    <w:rsid w:val="00F603BF"/>
    <w:rsid w:val="00F6040B"/>
    <w:rsid w:val="00F604C2"/>
    <w:rsid w:val="00F6054E"/>
    <w:rsid w:val="00F60561"/>
    <w:rsid w:val="00F605B6"/>
    <w:rsid w:val="00F606A0"/>
    <w:rsid w:val="00F606AF"/>
    <w:rsid w:val="00F606C9"/>
    <w:rsid w:val="00F6070C"/>
    <w:rsid w:val="00F6079C"/>
    <w:rsid w:val="00F60862"/>
    <w:rsid w:val="00F609C7"/>
    <w:rsid w:val="00F60A18"/>
    <w:rsid w:val="00F60AF1"/>
    <w:rsid w:val="00F60C3A"/>
    <w:rsid w:val="00F60D70"/>
    <w:rsid w:val="00F60D89"/>
    <w:rsid w:val="00F60DC0"/>
    <w:rsid w:val="00F60DC3"/>
    <w:rsid w:val="00F60E7C"/>
    <w:rsid w:val="00F60E92"/>
    <w:rsid w:val="00F60F4E"/>
    <w:rsid w:val="00F60F58"/>
    <w:rsid w:val="00F60FC2"/>
    <w:rsid w:val="00F61046"/>
    <w:rsid w:val="00F61149"/>
    <w:rsid w:val="00F61195"/>
    <w:rsid w:val="00F611DD"/>
    <w:rsid w:val="00F611EA"/>
    <w:rsid w:val="00F612C8"/>
    <w:rsid w:val="00F61317"/>
    <w:rsid w:val="00F6133A"/>
    <w:rsid w:val="00F61368"/>
    <w:rsid w:val="00F613D9"/>
    <w:rsid w:val="00F6144F"/>
    <w:rsid w:val="00F6154F"/>
    <w:rsid w:val="00F61646"/>
    <w:rsid w:val="00F616A4"/>
    <w:rsid w:val="00F616D2"/>
    <w:rsid w:val="00F6174F"/>
    <w:rsid w:val="00F6178C"/>
    <w:rsid w:val="00F6192C"/>
    <w:rsid w:val="00F61998"/>
    <w:rsid w:val="00F619A9"/>
    <w:rsid w:val="00F61A7A"/>
    <w:rsid w:val="00F61B21"/>
    <w:rsid w:val="00F61C30"/>
    <w:rsid w:val="00F61DD8"/>
    <w:rsid w:val="00F61DDD"/>
    <w:rsid w:val="00F61F8B"/>
    <w:rsid w:val="00F61FCA"/>
    <w:rsid w:val="00F62026"/>
    <w:rsid w:val="00F6212E"/>
    <w:rsid w:val="00F621C4"/>
    <w:rsid w:val="00F62366"/>
    <w:rsid w:val="00F62400"/>
    <w:rsid w:val="00F6245D"/>
    <w:rsid w:val="00F6273B"/>
    <w:rsid w:val="00F6282B"/>
    <w:rsid w:val="00F62839"/>
    <w:rsid w:val="00F62845"/>
    <w:rsid w:val="00F629DA"/>
    <w:rsid w:val="00F62A5B"/>
    <w:rsid w:val="00F62BD7"/>
    <w:rsid w:val="00F62C1E"/>
    <w:rsid w:val="00F62E2B"/>
    <w:rsid w:val="00F62E42"/>
    <w:rsid w:val="00F62E84"/>
    <w:rsid w:val="00F630DD"/>
    <w:rsid w:val="00F630F9"/>
    <w:rsid w:val="00F63185"/>
    <w:rsid w:val="00F63390"/>
    <w:rsid w:val="00F63560"/>
    <w:rsid w:val="00F6357D"/>
    <w:rsid w:val="00F63592"/>
    <w:rsid w:val="00F63717"/>
    <w:rsid w:val="00F637CD"/>
    <w:rsid w:val="00F638B2"/>
    <w:rsid w:val="00F63967"/>
    <w:rsid w:val="00F63A31"/>
    <w:rsid w:val="00F63A63"/>
    <w:rsid w:val="00F63BAF"/>
    <w:rsid w:val="00F63C92"/>
    <w:rsid w:val="00F63F2C"/>
    <w:rsid w:val="00F63F48"/>
    <w:rsid w:val="00F64306"/>
    <w:rsid w:val="00F64334"/>
    <w:rsid w:val="00F6437F"/>
    <w:rsid w:val="00F64587"/>
    <w:rsid w:val="00F6459C"/>
    <w:rsid w:val="00F645C8"/>
    <w:rsid w:val="00F64642"/>
    <w:rsid w:val="00F64786"/>
    <w:rsid w:val="00F64A6D"/>
    <w:rsid w:val="00F64B10"/>
    <w:rsid w:val="00F64B6E"/>
    <w:rsid w:val="00F64C0D"/>
    <w:rsid w:val="00F64C1F"/>
    <w:rsid w:val="00F64D0A"/>
    <w:rsid w:val="00F64D3A"/>
    <w:rsid w:val="00F64E5A"/>
    <w:rsid w:val="00F64F0D"/>
    <w:rsid w:val="00F64F68"/>
    <w:rsid w:val="00F65203"/>
    <w:rsid w:val="00F6525D"/>
    <w:rsid w:val="00F652A9"/>
    <w:rsid w:val="00F652E1"/>
    <w:rsid w:val="00F6540A"/>
    <w:rsid w:val="00F654AF"/>
    <w:rsid w:val="00F65599"/>
    <w:rsid w:val="00F655B2"/>
    <w:rsid w:val="00F65681"/>
    <w:rsid w:val="00F65766"/>
    <w:rsid w:val="00F65970"/>
    <w:rsid w:val="00F659C5"/>
    <w:rsid w:val="00F65A32"/>
    <w:rsid w:val="00F65A95"/>
    <w:rsid w:val="00F65AC1"/>
    <w:rsid w:val="00F65B12"/>
    <w:rsid w:val="00F65B5D"/>
    <w:rsid w:val="00F65C10"/>
    <w:rsid w:val="00F65CBA"/>
    <w:rsid w:val="00F65D29"/>
    <w:rsid w:val="00F65DEC"/>
    <w:rsid w:val="00F65F36"/>
    <w:rsid w:val="00F65F44"/>
    <w:rsid w:val="00F65F6A"/>
    <w:rsid w:val="00F65F6F"/>
    <w:rsid w:val="00F661B0"/>
    <w:rsid w:val="00F661B7"/>
    <w:rsid w:val="00F66230"/>
    <w:rsid w:val="00F6624A"/>
    <w:rsid w:val="00F66303"/>
    <w:rsid w:val="00F6633D"/>
    <w:rsid w:val="00F663B0"/>
    <w:rsid w:val="00F66506"/>
    <w:rsid w:val="00F6667C"/>
    <w:rsid w:val="00F666B0"/>
    <w:rsid w:val="00F66703"/>
    <w:rsid w:val="00F66733"/>
    <w:rsid w:val="00F6674B"/>
    <w:rsid w:val="00F66AD4"/>
    <w:rsid w:val="00F66C8B"/>
    <w:rsid w:val="00F66F18"/>
    <w:rsid w:val="00F67173"/>
    <w:rsid w:val="00F671A9"/>
    <w:rsid w:val="00F671C6"/>
    <w:rsid w:val="00F671D9"/>
    <w:rsid w:val="00F671EC"/>
    <w:rsid w:val="00F6722D"/>
    <w:rsid w:val="00F67231"/>
    <w:rsid w:val="00F6724A"/>
    <w:rsid w:val="00F672A9"/>
    <w:rsid w:val="00F673B5"/>
    <w:rsid w:val="00F67451"/>
    <w:rsid w:val="00F674A7"/>
    <w:rsid w:val="00F67587"/>
    <w:rsid w:val="00F6771E"/>
    <w:rsid w:val="00F6773E"/>
    <w:rsid w:val="00F6783D"/>
    <w:rsid w:val="00F678C2"/>
    <w:rsid w:val="00F67996"/>
    <w:rsid w:val="00F67A03"/>
    <w:rsid w:val="00F67A82"/>
    <w:rsid w:val="00F67AF5"/>
    <w:rsid w:val="00F67B77"/>
    <w:rsid w:val="00F67CD0"/>
    <w:rsid w:val="00F67D26"/>
    <w:rsid w:val="00F67ED3"/>
    <w:rsid w:val="00F70133"/>
    <w:rsid w:val="00F701B4"/>
    <w:rsid w:val="00F70219"/>
    <w:rsid w:val="00F70304"/>
    <w:rsid w:val="00F7039A"/>
    <w:rsid w:val="00F703E7"/>
    <w:rsid w:val="00F70406"/>
    <w:rsid w:val="00F7058F"/>
    <w:rsid w:val="00F7068A"/>
    <w:rsid w:val="00F70741"/>
    <w:rsid w:val="00F7075E"/>
    <w:rsid w:val="00F707A8"/>
    <w:rsid w:val="00F708CB"/>
    <w:rsid w:val="00F70948"/>
    <w:rsid w:val="00F709E6"/>
    <w:rsid w:val="00F70A09"/>
    <w:rsid w:val="00F70A6E"/>
    <w:rsid w:val="00F70AD0"/>
    <w:rsid w:val="00F70C15"/>
    <w:rsid w:val="00F70CDE"/>
    <w:rsid w:val="00F70F3E"/>
    <w:rsid w:val="00F70FC5"/>
    <w:rsid w:val="00F7104E"/>
    <w:rsid w:val="00F710FB"/>
    <w:rsid w:val="00F71141"/>
    <w:rsid w:val="00F71148"/>
    <w:rsid w:val="00F711EC"/>
    <w:rsid w:val="00F7122E"/>
    <w:rsid w:val="00F71275"/>
    <w:rsid w:val="00F71282"/>
    <w:rsid w:val="00F712E8"/>
    <w:rsid w:val="00F71426"/>
    <w:rsid w:val="00F7143F"/>
    <w:rsid w:val="00F715B4"/>
    <w:rsid w:val="00F71665"/>
    <w:rsid w:val="00F71691"/>
    <w:rsid w:val="00F716DA"/>
    <w:rsid w:val="00F716E3"/>
    <w:rsid w:val="00F71848"/>
    <w:rsid w:val="00F71918"/>
    <w:rsid w:val="00F719CF"/>
    <w:rsid w:val="00F71B6C"/>
    <w:rsid w:val="00F71BCA"/>
    <w:rsid w:val="00F71D14"/>
    <w:rsid w:val="00F71D5A"/>
    <w:rsid w:val="00F71EF9"/>
    <w:rsid w:val="00F72000"/>
    <w:rsid w:val="00F7206E"/>
    <w:rsid w:val="00F720CC"/>
    <w:rsid w:val="00F72138"/>
    <w:rsid w:val="00F72152"/>
    <w:rsid w:val="00F721E2"/>
    <w:rsid w:val="00F722DF"/>
    <w:rsid w:val="00F722E8"/>
    <w:rsid w:val="00F723DC"/>
    <w:rsid w:val="00F7253C"/>
    <w:rsid w:val="00F72544"/>
    <w:rsid w:val="00F7255E"/>
    <w:rsid w:val="00F7258D"/>
    <w:rsid w:val="00F72631"/>
    <w:rsid w:val="00F72666"/>
    <w:rsid w:val="00F7268D"/>
    <w:rsid w:val="00F726EB"/>
    <w:rsid w:val="00F727DD"/>
    <w:rsid w:val="00F727EE"/>
    <w:rsid w:val="00F72810"/>
    <w:rsid w:val="00F728C7"/>
    <w:rsid w:val="00F72B55"/>
    <w:rsid w:val="00F72BCB"/>
    <w:rsid w:val="00F72C14"/>
    <w:rsid w:val="00F72CD4"/>
    <w:rsid w:val="00F72DD2"/>
    <w:rsid w:val="00F72EEE"/>
    <w:rsid w:val="00F72FD3"/>
    <w:rsid w:val="00F7303A"/>
    <w:rsid w:val="00F73058"/>
    <w:rsid w:val="00F730CC"/>
    <w:rsid w:val="00F730FF"/>
    <w:rsid w:val="00F73206"/>
    <w:rsid w:val="00F732FA"/>
    <w:rsid w:val="00F734A4"/>
    <w:rsid w:val="00F73585"/>
    <w:rsid w:val="00F73593"/>
    <w:rsid w:val="00F73623"/>
    <w:rsid w:val="00F73634"/>
    <w:rsid w:val="00F736D4"/>
    <w:rsid w:val="00F736FE"/>
    <w:rsid w:val="00F737F8"/>
    <w:rsid w:val="00F7388E"/>
    <w:rsid w:val="00F73A3F"/>
    <w:rsid w:val="00F73A63"/>
    <w:rsid w:val="00F73AB3"/>
    <w:rsid w:val="00F73ABF"/>
    <w:rsid w:val="00F73C73"/>
    <w:rsid w:val="00F73CCC"/>
    <w:rsid w:val="00F73DB8"/>
    <w:rsid w:val="00F73E0A"/>
    <w:rsid w:val="00F73F05"/>
    <w:rsid w:val="00F73F07"/>
    <w:rsid w:val="00F73F1F"/>
    <w:rsid w:val="00F7412A"/>
    <w:rsid w:val="00F7422F"/>
    <w:rsid w:val="00F74341"/>
    <w:rsid w:val="00F7435C"/>
    <w:rsid w:val="00F743AF"/>
    <w:rsid w:val="00F7443D"/>
    <w:rsid w:val="00F74489"/>
    <w:rsid w:val="00F745C6"/>
    <w:rsid w:val="00F74767"/>
    <w:rsid w:val="00F747C1"/>
    <w:rsid w:val="00F74AAB"/>
    <w:rsid w:val="00F74AC3"/>
    <w:rsid w:val="00F74C5F"/>
    <w:rsid w:val="00F74D01"/>
    <w:rsid w:val="00F74E81"/>
    <w:rsid w:val="00F74F02"/>
    <w:rsid w:val="00F7502B"/>
    <w:rsid w:val="00F75161"/>
    <w:rsid w:val="00F75183"/>
    <w:rsid w:val="00F7527A"/>
    <w:rsid w:val="00F754E4"/>
    <w:rsid w:val="00F75593"/>
    <w:rsid w:val="00F755B1"/>
    <w:rsid w:val="00F75744"/>
    <w:rsid w:val="00F7577D"/>
    <w:rsid w:val="00F75A2A"/>
    <w:rsid w:val="00F75A75"/>
    <w:rsid w:val="00F75B5C"/>
    <w:rsid w:val="00F75BAB"/>
    <w:rsid w:val="00F75CEE"/>
    <w:rsid w:val="00F75D87"/>
    <w:rsid w:val="00F75DBF"/>
    <w:rsid w:val="00F75EA8"/>
    <w:rsid w:val="00F7601B"/>
    <w:rsid w:val="00F76044"/>
    <w:rsid w:val="00F76080"/>
    <w:rsid w:val="00F760B7"/>
    <w:rsid w:val="00F7616A"/>
    <w:rsid w:val="00F76237"/>
    <w:rsid w:val="00F76279"/>
    <w:rsid w:val="00F762BE"/>
    <w:rsid w:val="00F76302"/>
    <w:rsid w:val="00F76356"/>
    <w:rsid w:val="00F7635C"/>
    <w:rsid w:val="00F76391"/>
    <w:rsid w:val="00F76465"/>
    <w:rsid w:val="00F76549"/>
    <w:rsid w:val="00F765ED"/>
    <w:rsid w:val="00F76695"/>
    <w:rsid w:val="00F76896"/>
    <w:rsid w:val="00F768A9"/>
    <w:rsid w:val="00F76938"/>
    <w:rsid w:val="00F769E5"/>
    <w:rsid w:val="00F76CB9"/>
    <w:rsid w:val="00F76FFF"/>
    <w:rsid w:val="00F77026"/>
    <w:rsid w:val="00F7704A"/>
    <w:rsid w:val="00F770AF"/>
    <w:rsid w:val="00F771DA"/>
    <w:rsid w:val="00F771DC"/>
    <w:rsid w:val="00F77306"/>
    <w:rsid w:val="00F773B8"/>
    <w:rsid w:val="00F77441"/>
    <w:rsid w:val="00F77455"/>
    <w:rsid w:val="00F77530"/>
    <w:rsid w:val="00F7761A"/>
    <w:rsid w:val="00F7763C"/>
    <w:rsid w:val="00F77744"/>
    <w:rsid w:val="00F778DD"/>
    <w:rsid w:val="00F77926"/>
    <w:rsid w:val="00F77AE6"/>
    <w:rsid w:val="00F77B9B"/>
    <w:rsid w:val="00F77BAC"/>
    <w:rsid w:val="00F77BB9"/>
    <w:rsid w:val="00F77CA8"/>
    <w:rsid w:val="00F77CCD"/>
    <w:rsid w:val="00F77CE2"/>
    <w:rsid w:val="00F77DB2"/>
    <w:rsid w:val="00F77DCB"/>
    <w:rsid w:val="00F77E46"/>
    <w:rsid w:val="00F77EA7"/>
    <w:rsid w:val="00F77F06"/>
    <w:rsid w:val="00F800A0"/>
    <w:rsid w:val="00F80201"/>
    <w:rsid w:val="00F802B6"/>
    <w:rsid w:val="00F80363"/>
    <w:rsid w:val="00F8040E"/>
    <w:rsid w:val="00F8044B"/>
    <w:rsid w:val="00F8045C"/>
    <w:rsid w:val="00F80511"/>
    <w:rsid w:val="00F8054A"/>
    <w:rsid w:val="00F80810"/>
    <w:rsid w:val="00F809FC"/>
    <w:rsid w:val="00F80A86"/>
    <w:rsid w:val="00F80C96"/>
    <w:rsid w:val="00F80FFD"/>
    <w:rsid w:val="00F80FFE"/>
    <w:rsid w:val="00F81088"/>
    <w:rsid w:val="00F810A9"/>
    <w:rsid w:val="00F8111F"/>
    <w:rsid w:val="00F8117D"/>
    <w:rsid w:val="00F812F4"/>
    <w:rsid w:val="00F8137F"/>
    <w:rsid w:val="00F813A3"/>
    <w:rsid w:val="00F8163E"/>
    <w:rsid w:val="00F81805"/>
    <w:rsid w:val="00F8182C"/>
    <w:rsid w:val="00F818EB"/>
    <w:rsid w:val="00F819C2"/>
    <w:rsid w:val="00F81C62"/>
    <w:rsid w:val="00F81CD3"/>
    <w:rsid w:val="00F81D8F"/>
    <w:rsid w:val="00F81EF0"/>
    <w:rsid w:val="00F81F00"/>
    <w:rsid w:val="00F8202D"/>
    <w:rsid w:val="00F82183"/>
    <w:rsid w:val="00F82184"/>
    <w:rsid w:val="00F821AD"/>
    <w:rsid w:val="00F8226D"/>
    <w:rsid w:val="00F822C9"/>
    <w:rsid w:val="00F82336"/>
    <w:rsid w:val="00F82559"/>
    <w:rsid w:val="00F827B2"/>
    <w:rsid w:val="00F8282D"/>
    <w:rsid w:val="00F82A8A"/>
    <w:rsid w:val="00F82B78"/>
    <w:rsid w:val="00F82BC1"/>
    <w:rsid w:val="00F82C09"/>
    <w:rsid w:val="00F82CCF"/>
    <w:rsid w:val="00F82D7E"/>
    <w:rsid w:val="00F82D80"/>
    <w:rsid w:val="00F82D95"/>
    <w:rsid w:val="00F82E09"/>
    <w:rsid w:val="00F82E6E"/>
    <w:rsid w:val="00F83118"/>
    <w:rsid w:val="00F8318A"/>
    <w:rsid w:val="00F8331B"/>
    <w:rsid w:val="00F833CC"/>
    <w:rsid w:val="00F83580"/>
    <w:rsid w:val="00F8365A"/>
    <w:rsid w:val="00F836A8"/>
    <w:rsid w:val="00F83727"/>
    <w:rsid w:val="00F83783"/>
    <w:rsid w:val="00F8386A"/>
    <w:rsid w:val="00F83893"/>
    <w:rsid w:val="00F83908"/>
    <w:rsid w:val="00F839BB"/>
    <w:rsid w:val="00F83A94"/>
    <w:rsid w:val="00F83BC0"/>
    <w:rsid w:val="00F83D4D"/>
    <w:rsid w:val="00F83E0B"/>
    <w:rsid w:val="00F83F31"/>
    <w:rsid w:val="00F8425A"/>
    <w:rsid w:val="00F842BF"/>
    <w:rsid w:val="00F8437F"/>
    <w:rsid w:val="00F84400"/>
    <w:rsid w:val="00F8443C"/>
    <w:rsid w:val="00F84552"/>
    <w:rsid w:val="00F84565"/>
    <w:rsid w:val="00F84669"/>
    <w:rsid w:val="00F84828"/>
    <w:rsid w:val="00F8482C"/>
    <w:rsid w:val="00F8484C"/>
    <w:rsid w:val="00F84ADC"/>
    <w:rsid w:val="00F84AE9"/>
    <w:rsid w:val="00F84B84"/>
    <w:rsid w:val="00F84BA8"/>
    <w:rsid w:val="00F84BFD"/>
    <w:rsid w:val="00F84C7C"/>
    <w:rsid w:val="00F84DAB"/>
    <w:rsid w:val="00F84E26"/>
    <w:rsid w:val="00F8512E"/>
    <w:rsid w:val="00F852FD"/>
    <w:rsid w:val="00F853C3"/>
    <w:rsid w:val="00F854C5"/>
    <w:rsid w:val="00F854D0"/>
    <w:rsid w:val="00F85592"/>
    <w:rsid w:val="00F8566E"/>
    <w:rsid w:val="00F857E2"/>
    <w:rsid w:val="00F85857"/>
    <w:rsid w:val="00F859DC"/>
    <w:rsid w:val="00F859FC"/>
    <w:rsid w:val="00F85A4A"/>
    <w:rsid w:val="00F85BEE"/>
    <w:rsid w:val="00F85C11"/>
    <w:rsid w:val="00F85CFA"/>
    <w:rsid w:val="00F85D78"/>
    <w:rsid w:val="00F85DF6"/>
    <w:rsid w:val="00F85EC9"/>
    <w:rsid w:val="00F85F42"/>
    <w:rsid w:val="00F8603C"/>
    <w:rsid w:val="00F86156"/>
    <w:rsid w:val="00F862A4"/>
    <w:rsid w:val="00F86349"/>
    <w:rsid w:val="00F8634F"/>
    <w:rsid w:val="00F863F2"/>
    <w:rsid w:val="00F8644E"/>
    <w:rsid w:val="00F865D5"/>
    <w:rsid w:val="00F8693B"/>
    <w:rsid w:val="00F86948"/>
    <w:rsid w:val="00F86A22"/>
    <w:rsid w:val="00F86ABF"/>
    <w:rsid w:val="00F86B0F"/>
    <w:rsid w:val="00F86BFD"/>
    <w:rsid w:val="00F86C37"/>
    <w:rsid w:val="00F86F12"/>
    <w:rsid w:val="00F86F8B"/>
    <w:rsid w:val="00F86FC5"/>
    <w:rsid w:val="00F8709D"/>
    <w:rsid w:val="00F87275"/>
    <w:rsid w:val="00F87357"/>
    <w:rsid w:val="00F87487"/>
    <w:rsid w:val="00F87506"/>
    <w:rsid w:val="00F87554"/>
    <w:rsid w:val="00F876C5"/>
    <w:rsid w:val="00F876D1"/>
    <w:rsid w:val="00F87733"/>
    <w:rsid w:val="00F87739"/>
    <w:rsid w:val="00F877AE"/>
    <w:rsid w:val="00F878A5"/>
    <w:rsid w:val="00F87A17"/>
    <w:rsid w:val="00F87B0A"/>
    <w:rsid w:val="00F87B18"/>
    <w:rsid w:val="00F87BC3"/>
    <w:rsid w:val="00F87C4D"/>
    <w:rsid w:val="00F87D07"/>
    <w:rsid w:val="00F87DBD"/>
    <w:rsid w:val="00F87F6E"/>
    <w:rsid w:val="00F90135"/>
    <w:rsid w:val="00F901A4"/>
    <w:rsid w:val="00F901BF"/>
    <w:rsid w:val="00F90330"/>
    <w:rsid w:val="00F9053D"/>
    <w:rsid w:val="00F905DE"/>
    <w:rsid w:val="00F90616"/>
    <w:rsid w:val="00F90766"/>
    <w:rsid w:val="00F90778"/>
    <w:rsid w:val="00F907B4"/>
    <w:rsid w:val="00F9087F"/>
    <w:rsid w:val="00F90A2D"/>
    <w:rsid w:val="00F90A30"/>
    <w:rsid w:val="00F90ACE"/>
    <w:rsid w:val="00F90AF3"/>
    <w:rsid w:val="00F90B6D"/>
    <w:rsid w:val="00F90BE2"/>
    <w:rsid w:val="00F90CB3"/>
    <w:rsid w:val="00F90CE0"/>
    <w:rsid w:val="00F90CE5"/>
    <w:rsid w:val="00F90D61"/>
    <w:rsid w:val="00F90D68"/>
    <w:rsid w:val="00F90E23"/>
    <w:rsid w:val="00F90E46"/>
    <w:rsid w:val="00F90F36"/>
    <w:rsid w:val="00F9113D"/>
    <w:rsid w:val="00F9119D"/>
    <w:rsid w:val="00F911E4"/>
    <w:rsid w:val="00F912D7"/>
    <w:rsid w:val="00F91377"/>
    <w:rsid w:val="00F913AE"/>
    <w:rsid w:val="00F9144C"/>
    <w:rsid w:val="00F91529"/>
    <w:rsid w:val="00F91567"/>
    <w:rsid w:val="00F916C1"/>
    <w:rsid w:val="00F91954"/>
    <w:rsid w:val="00F919A2"/>
    <w:rsid w:val="00F91A64"/>
    <w:rsid w:val="00F91B2A"/>
    <w:rsid w:val="00F91B56"/>
    <w:rsid w:val="00F91C8F"/>
    <w:rsid w:val="00F91D58"/>
    <w:rsid w:val="00F91E7D"/>
    <w:rsid w:val="00F91E93"/>
    <w:rsid w:val="00F91F84"/>
    <w:rsid w:val="00F9204F"/>
    <w:rsid w:val="00F92066"/>
    <w:rsid w:val="00F9211B"/>
    <w:rsid w:val="00F92164"/>
    <w:rsid w:val="00F9220C"/>
    <w:rsid w:val="00F922A2"/>
    <w:rsid w:val="00F922A8"/>
    <w:rsid w:val="00F92300"/>
    <w:rsid w:val="00F92452"/>
    <w:rsid w:val="00F92533"/>
    <w:rsid w:val="00F92753"/>
    <w:rsid w:val="00F927CE"/>
    <w:rsid w:val="00F929D7"/>
    <w:rsid w:val="00F92A02"/>
    <w:rsid w:val="00F92A68"/>
    <w:rsid w:val="00F92A85"/>
    <w:rsid w:val="00F92B08"/>
    <w:rsid w:val="00F92B15"/>
    <w:rsid w:val="00F92BE9"/>
    <w:rsid w:val="00F92CDA"/>
    <w:rsid w:val="00F92E9C"/>
    <w:rsid w:val="00F92F24"/>
    <w:rsid w:val="00F93106"/>
    <w:rsid w:val="00F931E8"/>
    <w:rsid w:val="00F932A5"/>
    <w:rsid w:val="00F934AD"/>
    <w:rsid w:val="00F934C9"/>
    <w:rsid w:val="00F9351E"/>
    <w:rsid w:val="00F935A0"/>
    <w:rsid w:val="00F935CD"/>
    <w:rsid w:val="00F93656"/>
    <w:rsid w:val="00F93707"/>
    <w:rsid w:val="00F93865"/>
    <w:rsid w:val="00F9390B"/>
    <w:rsid w:val="00F9395A"/>
    <w:rsid w:val="00F93A7E"/>
    <w:rsid w:val="00F93A94"/>
    <w:rsid w:val="00F93B9D"/>
    <w:rsid w:val="00F93BF1"/>
    <w:rsid w:val="00F93C1D"/>
    <w:rsid w:val="00F93E27"/>
    <w:rsid w:val="00F93E47"/>
    <w:rsid w:val="00F93E7E"/>
    <w:rsid w:val="00F93E93"/>
    <w:rsid w:val="00F94059"/>
    <w:rsid w:val="00F940A8"/>
    <w:rsid w:val="00F9422A"/>
    <w:rsid w:val="00F9431E"/>
    <w:rsid w:val="00F943A5"/>
    <w:rsid w:val="00F94413"/>
    <w:rsid w:val="00F9446C"/>
    <w:rsid w:val="00F944F1"/>
    <w:rsid w:val="00F94573"/>
    <w:rsid w:val="00F945C6"/>
    <w:rsid w:val="00F947C7"/>
    <w:rsid w:val="00F948C1"/>
    <w:rsid w:val="00F9492F"/>
    <w:rsid w:val="00F94A0F"/>
    <w:rsid w:val="00F94A40"/>
    <w:rsid w:val="00F94A4B"/>
    <w:rsid w:val="00F94A72"/>
    <w:rsid w:val="00F94ACF"/>
    <w:rsid w:val="00F94B22"/>
    <w:rsid w:val="00F94C38"/>
    <w:rsid w:val="00F94C89"/>
    <w:rsid w:val="00F94D96"/>
    <w:rsid w:val="00F94DFD"/>
    <w:rsid w:val="00F94E0A"/>
    <w:rsid w:val="00F95073"/>
    <w:rsid w:val="00F95083"/>
    <w:rsid w:val="00F95132"/>
    <w:rsid w:val="00F9536F"/>
    <w:rsid w:val="00F953A9"/>
    <w:rsid w:val="00F95425"/>
    <w:rsid w:val="00F954BF"/>
    <w:rsid w:val="00F95529"/>
    <w:rsid w:val="00F95597"/>
    <w:rsid w:val="00F95660"/>
    <w:rsid w:val="00F9580D"/>
    <w:rsid w:val="00F9594C"/>
    <w:rsid w:val="00F95A66"/>
    <w:rsid w:val="00F95AC7"/>
    <w:rsid w:val="00F95CCE"/>
    <w:rsid w:val="00F95D9B"/>
    <w:rsid w:val="00F95DB0"/>
    <w:rsid w:val="00F95ED4"/>
    <w:rsid w:val="00F95F8D"/>
    <w:rsid w:val="00F960A6"/>
    <w:rsid w:val="00F960D6"/>
    <w:rsid w:val="00F960F5"/>
    <w:rsid w:val="00F96101"/>
    <w:rsid w:val="00F9611B"/>
    <w:rsid w:val="00F961B7"/>
    <w:rsid w:val="00F96204"/>
    <w:rsid w:val="00F96206"/>
    <w:rsid w:val="00F96260"/>
    <w:rsid w:val="00F9627F"/>
    <w:rsid w:val="00F9633D"/>
    <w:rsid w:val="00F96465"/>
    <w:rsid w:val="00F96466"/>
    <w:rsid w:val="00F96681"/>
    <w:rsid w:val="00F966DA"/>
    <w:rsid w:val="00F96722"/>
    <w:rsid w:val="00F967E0"/>
    <w:rsid w:val="00F96882"/>
    <w:rsid w:val="00F968B9"/>
    <w:rsid w:val="00F968F4"/>
    <w:rsid w:val="00F9694B"/>
    <w:rsid w:val="00F96A12"/>
    <w:rsid w:val="00F96A5E"/>
    <w:rsid w:val="00F96C48"/>
    <w:rsid w:val="00F96CB6"/>
    <w:rsid w:val="00F96CCB"/>
    <w:rsid w:val="00F96CDD"/>
    <w:rsid w:val="00F96D27"/>
    <w:rsid w:val="00F96DAC"/>
    <w:rsid w:val="00F96F1C"/>
    <w:rsid w:val="00F9704D"/>
    <w:rsid w:val="00F97151"/>
    <w:rsid w:val="00F9716C"/>
    <w:rsid w:val="00F97255"/>
    <w:rsid w:val="00F97291"/>
    <w:rsid w:val="00F97302"/>
    <w:rsid w:val="00F9733B"/>
    <w:rsid w:val="00F97382"/>
    <w:rsid w:val="00F973B7"/>
    <w:rsid w:val="00F973D7"/>
    <w:rsid w:val="00F973F2"/>
    <w:rsid w:val="00F97470"/>
    <w:rsid w:val="00F97505"/>
    <w:rsid w:val="00F9753E"/>
    <w:rsid w:val="00F97609"/>
    <w:rsid w:val="00F97744"/>
    <w:rsid w:val="00F977DC"/>
    <w:rsid w:val="00F97908"/>
    <w:rsid w:val="00F97A37"/>
    <w:rsid w:val="00F97A73"/>
    <w:rsid w:val="00F97B1F"/>
    <w:rsid w:val="00F97BF3"/>
    <w:rsid w:val="00F97C2E"/>
    <w:rsid w:val="00F97CDD"/>
    <w:rsid w:val="00F97E40"/>
    <w:rsid w:val="00F97E5F"/>
    <w:rsid w:val="00F97EC8"/>
    <w:rsid w:val="00F97F0C"/>
    <w:rsid w:val="00F97F4E"/>
    <w:rsid w:val="00FA0098"/>
    <w:rsid w:val="00FA020C"/>
    <w:rsid w:val="00FA027E"/>
    <w:rsid w:val="00FA0289"/>
    <w:rsid w:val="00FA02A0"/>
    <w:rsid w:val="00FA02DF"/>
    <w:rsid w:val="00FA02F5"/>
    <w:rsid w:val="00FA0336"/>
    <w:rsid w:val="00FA04D3"/>
    <w:rsid w:val="00FA0653"/>
    <w:rsid w:val="00FA0734"/>
    <w:rsid w:val="00FA07B4"/>
    <w:rsid w:val="00FA086C"/>
    <w:rsid w:val="00FA0917"/>
    <w:rsid w:val="00FA09D1"/>
    <w:rsid w:val="00FA0A1E"/>
    <w:rsid w:val="00FA0ACB"/>
    <w:rsid w:val="00FA0AF3"/>
    <w:rsid w:val="00FA0AF5"/>
    <w:rsid w:val="00FA0C53"/>
    <w:rsid w:val="00FA0CC2"/>
    <w:rsid w:val="00FA0F8C"/>
    <w:rsid w:val="00FA105F"/>
    <w:rsid w:val="00FA10A4"/>
    <w:rsid w:val="00FA10A9"/>
    <w:rsid w:val="00FA1156"/>
    <w:rsid w:val="00FA1221"/>
    <w:rsid w:val="00FA127B"/>
    <w:rsid w:val="00FA12A8"/>
    <w:rsid w:val="00FA1345"/>
    <w:rsid w:val="00FA1379"/>
    <w:rsid w:val="00FA1387"/>
    <w:rsid w:val="00FA13E0"/>
    <w:rsid w:val="00FA1427"/>
    <w:rsid w:val="00FA14D9"/>
    <w:rsid w:val="00FA1511"/>
    <w:rsid w:val="00FA1609"/>
    <w:rsid w:val="00FA1730"/>
    <w:rsid w:val="00FA1784"/>
    <w:rsid w:val="00FA17D0"/>
    <w:rsid w:val="00FA18D4"/>
    <w:rsid w:val="00FA197A"/>
    <w:rsid w:val="00FA1A47"/>
    <w:rsid w:val="00FA1B86"/>
    <w:rsid w:val="00FA1CF7"/>
    <w:rsid w:val="00FA1E0D"/>
    <w:rsid w:val="00FA1F5C"/>
    <w:rsid w:val="00FA20EB"/>
    <w:rsid w:val="00FA2107"/>
    <w:rsid w:val="00FA2153"/>
    <w:rsid w:val="00FA216D"/>
    <w:rsid w:val="00FA2251"/>
    <w:rsid w:val="00FA22E6"/>
    <w:rsid w:val="00FA2367"/>
    <w:rsid w:val="00FA23C4"/>
    <w:rsid w:val="00FA2549"/>
    <w:rsid w:val="00FA255B"/>
    <w:rsid w:val="00FA2566"/>
    <w:rsid w:val="00FA25A2"/>
    <w:rsid w:val="00FA274F"/>
    <w:rsid w:val="00FA275A"/>
    <w:rsid w:val="00FA27BE"/>
    <w:rsid w:val="00FA27E8"/>
    <w:rsid w:val="00FA29DF"/>
    <w:rsid w:val="00FA2A3D"/>
    <w:rsid w:val="00FA2C8A"/>
    <w:rsid w:val="00FA2CB9"/>
    <w:rsid w:val="00FA2D21"/>
    <w:rsid w:val="00FA2D73"/>
    <w:rsid w:val="00FA2DC4"/>
    <w:rsid w:val="00FA2DDE"/>
    <w:rsid w:val="00FA2ECE"/>
    <w:rsid w:val="00FA2F17"/>
    <w:rsid w:val="00FA2F32"/>
    <w:rsid w:val="00FA3036"/>
    <w:rsid w:val="00FA306F"/>
    <w:rsid w:val="00FA3226"/>
    <w:rsid w:val="00FA32FE"/>
    <w:rsid w:val="00FA333C"/>
    <w:rsid w:val="00FA3459"/>
    <w:rsid w:val="00FA34A4"/>
    <w:rsid w:val="00FA34D8"/>
    <w:rsid w:val="00FA3525"/>
    <w:rsid w:val="00FA365E"/>
    <w:rsid w:val="00FA371F"/>
    <w:rsid w:val="00FA3727"/>
    <w:rsid w:val="00FA383E"/>
    <w:rsid w:val="00FA3911"/>
    <w:rsid w:val="00FA394A"/>
    <w:rsid w:val="00FA39EA"/>
    <w:rsid w:val="00FA3A43"/>
    <w:rsid w:val="00FA3AD9"/>
    <w:rsid w:val="00FA3AED"/>
    <w:rsid w:val="00FA3BA3"/>
    <w:rsid w:val="00FA3BBE"/>
    <w:rsid w:val="00FA3BFB"/>
    <w:rsid w:val="00FA3C00"/>
    <w:rsid w:val="00FA3C9D"/>
    <w:rsid w:val="00FA3D95"/>
    <w:rsid w:val="00FA3DC8"/>
    <w:rsid w:val="00FA3F40"/>
    <w:rsid w:val="00FA3FC3"/>
    <w:rsid w:val="00FA3FD5"/>
    <w:rsid w:val="00FA400B"/>
    <w:rsid w:val="00FA4089"/>
    <w:rsid w:val="00FA4160"/>
    <w:rsid w:val="00FA41AE"/>
    <w:rsid w:val="00FA42B9"/>
    <w:rsid w:val="00FA4451"/>
    <w:rsid w:val="00FA447F"/>
    <w:rsid w:val="00FA4496"/>
    <w:rsid w:val="00FA44F9"/>
    <w:rsid w:val="00FA4561"/>
    <w:rsid w:val="00FA4757"/>
    <w:rsid w:val="00FA4817"/>
    <w:rsid w:val="00FA4AB6"/>
    <w:rsid w:val="00FA4AE7"/>
    <w:rsid w:val="00FA4BAC"/>
    <w:rsid w:val="00FA4D55"/>
    <w:rsid w:val="00FA4F64"/>
    <w:rsid w:val="00FA4F89"/>
    <w:rsid w:val="00FA4FD0"/>
    <w:rsid w:val="00FA518C"/>
    <w:rsid w:val="00FA5252"/>
    <w:rsid w:val="00FA53EE"/>
    <w:rsid w:val="00FA5668"/>
    <w:rsid w:val="00FA56DD"/>
    <w:rsid w:val="00FA5740"/>
    <w:rsid w:val="00FA5834"/>
    <w:rsid w:val="00FA58B8"/>
    <w:rsid w:val="00FA58E9"/>
    <w:rsid w:val="00FA5964"/>
    <w:rsid w:val="00FA59E7"/>
    <w:rsid w:val="00FA5B10"/>
    <w:rsid w:val="00FA5C2B"/>
    <w:rsid w:val="00FA5C43"/>
    <w:rsid w:val="00FA5C85"/>
    <w:rsid w:val="00FA5CCF"/>
    <w:rsid w:val="00FA5CEB"/>
    <w:rsid w:val="00FA5D25"/>
    <w:rsid w:val="00FA5E0B"/>
    <w:rsid w:val="00FA5F8B"/>
    <w:rsid w:val="00FA60EE"/>
    <w:rsid w:val="00FA6243"/>
    <w:rsid w:val="00FA625A"/>
    <w:rsid w:val="00FA65A3"/>
    <w:rsid w:val="00FA670C"/>
    <w:rsid w:val="00FA6917"/>
    <w:rsid w:val="00FA6922"/>
    <w:rsid w:val="00FA695C"/>
    <w:rsid w:val="00FA6A42"/>
    <w:rsid w:val="00FA6AE5"/>
    <w:rsid w:val="00FA6B20"/>
    <w:rsid w:val="00FA6D21"/>
    <w:rsid w:val="00FA6D3D"/>
    <w:rsid w:val="00FA6E07"/>
    <w:rsid w:val="00FA6E45"/>
    <w:rsid w:val="00FA6E92"/>
    <w:rsid w:val="00FA6EC4"/>
    <w:rsid w:val="00FA70C8"/>
    <w:rsid w:val="00FA727A"/>
    <w:rsid w:val="00FA72F5"/>
    <w:rsid w:val="00FA7336"/>
    <w:rsid w:val="00FA7345"/>
    <w:rsid w:val="00FA7377"/>
    <w:rsid w:val="00FA73C9"/>
    <w:rsid w:val="00FA7480"/>
    <w:rsid w:val="00FA74EF"/>
    <w:rsid w:val="00FA7546"/>
    <w:rsid w:val="00FA7566"/>
    <w:rsid w:val="00FA7613"/>
    <w:rsid w:val="00FA7665"/>
    <w:rsid w:val="00FA7764"/>
    <w:rsid w:val="00FA78D5"/>
    <w:rsid w:val="00FA7949"/>
    <w:rsid w:val="00FA7A22"/>
    <w:rsid w:val="00FA7ADE"/>
    <w:rsid w:val="00FA7BA3"/>
    <w:rsid w:val="00FA7C84"/>
    <w:rsid w:val="00FA7C96"/>
    <w:rsid w:val="00FA7DB1"/>
    <w:rsid w:val="00FB0065"/>
    <w:rsid w:val="00FB017E"/>
    <w:rsid w:val="00FB01CB"/>
    <w:rsid w:val="00FB025A"/>
    <w:rsid w:val="00FB03C0"/>
    <w:rsid w:val="00FB0426"/>
    <w:rsid w:val="00FB0471"/>
    <w:rsid w:val="00FB051E"/>
    <w:rsid w:val="00FB0535"/>
    <w:rsid w:val="00FB08DB"/>
    <w:rsid w:val="00FB0A3A"/>
    <w:rsid w:val="00FB0D90"/>
    <w:rsid w:val="00FB0EB8"/>
    <w:rsid w:val="00FB0ECA"/>
    <w:rsid w:val="00FB0ED2"/>
    <w:rsid w:val="00FB0EF0"/>
    <w:rsid w:val="00FB0EF6"/>
    <w:rsid w:val="00FB15DA"/>
    <w:rsid w:val="00FB1704"/>
    <w:rsid w:val="00FB1AFB"/>
    <w:rsid w:val="00FB1AFD"/>
    <w:rsid w:val="00FB1BA6"/>
    <w:rsid w:val="00FB1C13"/>
    <w:rsid w:val="00FB1CDE"/>
    <w:rsid w:val="00FB1D09"/>
    <w:rsid w:val="00FB1D85"/>
    <w:rsid w:val="00FB207E"/>
    <w:rsid w:val="00FB216E"/>
    <w:rsid w:val="00FB2360"/>
    <w:rsid w:val="00FB23EE"/>
    <w:rsid w:val="00FB25C1"/>
    <w:rsid w:val="00FB267B"/>
    <w:rsid w:val="00FB282B"/>
    <w:rsid w:val="00FB28BA"/>
    <w:rsid w:val="00FB2937"/>
    <w:rsid w:val="00FB2981"/>
    <w:rsid w:val="00FB29ED"/>
    <w:rsid w:val="00FB2A5C"/>
    <w:rsid w:val="00FB2AC7"/>
    <w:rsid w:val="00FB2AF3"/>
    <w:rsid w:val="00FB2AFA"/>
    <w:rsid w:val="00FB2B64"/>
    <w:rsid w:val="00FB2BD5"/>
    <w:rsid w:val="00FB2BE1"/>
    <w:rsid w:val="00FB2C3E"/>
    <w:rsid w:val="00FB2CD7"/>
    <w:rsid w:val="00FB2D45"/>
    <w:rsid w:val="00FB2DE9"/>
    <w:rsid w:val="00FB2F9F"/>
    <w:rsid w:val="00FB2FF6"/>
    <w:rsid w:val="00FB30F3"/>
    <w:rsid w:val="00FB311A"/>
    <w:rsid w:val="00FB326F"/>
    <w:rsid w:val="00FB338C"/>
    <w:rsid w:val="00FB3426"/>
    <w:rsid w:val="00FB3586"/>
    <w:rsid w:val="00FB3594"/>
    <w:rsid w:val="00FB3603"/>
    <w:rsid w:val="00FB3695"/>
    <w:rsid w:val="00FB36A9"/>
    <w:rsid w:val="00FB36B2"/>
    <w:rsid w:val="00FB36C6"/>
    <w:rsid w:val="00FB380B"/>
    <w:rsid w:val="00FB3863"/>
    <w:rsid w:val="00FB386D"/>
    <w:rsid w:val="00FB3AB5"/>
    <w:rsid w:val="00FB3ADC"/>
    <w:rsid w:val="00FB3B99"/>
    <w:rsid w:val="00FB3BA8"/>
    <w:rsid w:val="00FB3BA9"/>
    <w:rsid w:val="00FB3BB0"/>
    <w:rsid w:val="00FB3BDF"/>
    <w:rsid w:val="00FB3E9C"/>
    <w:rsid w:val="00FB3EAF"/>
    <w:rsid w:val="00FB3FB4"/>
    <w:rsid w:val="00FB40D0"/>
    <w:rsid w:val="00FB4185"/>
    <w:rsid w:val="00FB427A"/>
    <w:rsid w:val="00FB42BC"/>
    <w:rsid w:val="00FB42D9"/>
    <w:rsid w:val="00FB43A6"/>
    <w:rsid w:val="00FB450E"/>
    <w:rsid w:val="00FB45E8"/>
    <w:rsid w:val="00FB460D"/>
    <w:rsid w:val="00FB46EC"/>
    <w:rsid w:val="00FB47C4"/>
    <w:rsid w:val="00FB4830"/>
    <w:rsid w:val="00FB49FA"/>
    <w:rsid w:val="00FB4A4D"/>
    <w:rsid w:val="00FB4B04"/>
    <w:rsid w:val="00FB4B98"/>
    <w:rsid w:val="00FB4BAA"/>
    <w:rsid w:val="00FB4CC1"/>
    <w:rsid w:val="00FB4CFA"/>
    <w:rsid w:val="00FB4D41"/>
    <w:rsid w:val="00FB4D71"/>
    <w:rsid w:val="00FB4DFA"/>
    <w:rsid w:val="00FB4F01"/>
    <w:rsid w:val="00FB4FD5"/>
    <w:rsid w:val="00FB5016"/>
    <w:rsid w:val="00FB5076"/>
    <w:rsid w:val="00FB50D6"/>
    <w:rsid w:val="00FB50D8"/>
    <w:rsid w:val="00FB50F2"/>
    <w:rsid w:val="00FB519D"/>
    <w:rsid w:val="00FB5255"/>
    <w:rsid w:val="00FB534E"/>
    <w:rsid w:val="00FB5350"/>
    <w:rsid w:val="00FB56C4"/>
    <w:rsid w:val="00FB56DC"/>
    <w:rsid w:val="00FB5721"/>
    <w:rsid w:val="00FB58E1"/>
    <w:rsid w:val="00FB59E9"/>
    <w:rsid w:val="00FB5A20"/>
    <w:rsid w:val="00FB5B4E"/>
    <w:rsid w:val="00FB5B96"/>
    <w:rsid w:val="00FB5C40"/>
    <w:rsid w:val="00FB5CE9"/>
    <w:rsid w:val="00FB5D71"/>
    <w:rsid w:val="00FB5DFF"/>
    <w:rsid w:val="00FB5E34"/>
    <w:rsid w:val="00FB5E7D"/>
    <w:rsid w:val="00FB5F27"/>
    <w:rsid w:val="00FB5F58"/>
    <w:rsid w:val="00FB5FF9"/>
    <w:rsid w:val="00FB60C0"/>
    <w:rsid w:val="00FB618D"/>
    <w:rsid w:val="00FB6286"/>
    <w:rsid w:val="00FB62A9"/>
    <w:rsid w:val="00FB62AF"/>
    <w:rsid w:val="00FB6333"/>
    <w:rsid w:val="00FB6411"/>
    <w:rsid w:val="00FB6423"/>
    <w:rsid w:val="00FB650C"/>
    <w:rsid w:val="00FB6698"/>
    <w:rsid w:val="00FB66EA"/>
    <w:rsid w:val="00FB6712"/>
    <w:rsid w:val="00FB6855"/>
    <w:rsid w:val="00FB6A42"/>
    <w:rsid w:val="00FB6C38"/>
    <w:rsid w:val="00FB6D63"/>
    <w:rsid w:val="00FB6E6C"/>
    <w:rsid w:val="00FB6F4C"/>
    <w:rsid w:val="00FB6FF1"/>
    <w:rsid w:val="00FB7000"/>
    <w:rsid w:val="00FB721B"/>
    <w:rsid w:val="00FB7236"/>
    <w:rsid w:val="00FB7285"/>
    <w:rsid w:val="00FB72DF"/>
    <w:rsid w:val="00FB739F"/>
    <w:rsid w:val="00FB75A9"/>
    <w:rsid w:val="00FB7618"/>
    <w:rsid w:val="00FB7651"/>
    <w:rsid w:val="00FB770B"/>
    <w:rsid w:val="00FB7781"/>
    <w:rsid w:val="00FB77B7"/>
    <w:rsid w:val="00FB7872"/>
    <w:rsid w:val="00FB7895"/>
    <w:rsid w:val="00FB7AFF"/>
    <w:rsid w:val="00FB7B27"/>
    <w:rsid w:val="00FB7DE1"/>
    <w:rsid w:val="00FB7E46"/>
    <w:rsid w:val="00FB7F1A"/>
    <w:rsid w:val="00FB7F82"/>
    <w:rsid w:val="00FB7FDB"/>
    <w:rsid w:val="00FB7FFD"/>
    <w:rsid w:val="00FC0064"/>
    <w:rsid w:val="00FC00B1"/>
    <w:rsid w:val="00FC00F0"/>
    <w:rsid w:val="00FC00FB"/>
    <w:rsid w:val="00FC01AB"/>
    <w:rsid w:val="00FC01C2"/>
    <w:rsid w:val="00FC02E1"/>
    <w:rsid w:val="00FC0326"/>
    <w:rsid w:val="00FC041C"/>
    <w:rsid w:val="00FC0534"/>
    <w:rsid w:val="00FC059A"/>
    <w:rsid w:val="00FC065B"/>
    <w:rsid w:val="00FC081F"/>
    <w:rsid w:val="00FC0939"/>
    <w:rsid w:val="00FC0965"/>
    <w:rsid w:val="00FC0A27"/>
    <w:rsid w:val="00FC0A7E"/>
    <w:rsid w:val="00FC0B00"/>
    <w:rsid w:val="00FC0BAD"/>
    <w:rsid w:val="00FC0BCC"/>
    <w:rsid w:val="00FC0C2C"/>
    <w:rsid w:val="00FC0CFD"/>
    <w:rsid w:val="00FC0D37"/>
    <w:rsid w:val="00FC0E5D"/>
    <w:rsid w:val="00FC0EB5"/>
    <w:rsid w:val="00FC0F4E"/>
    <w:rsid w:val="00FC1045"/>
    <w:rsid w:val="00FC109E"/>
    <w:rsid w:val="00FC11CE"/>
    <w:rsid w:val="00FC1232"/>
    <w:rsid w:val="00FC1381"/>
    <w:rsid w:val="00FC13C4"/>
    <w:rsid w:val="00FC14A7"/>
    <w:rsid w:val="00FC1717"/>
    <w:rsid w:val="00FC1919"/>
    <w:rsid w:val="00FC19C6"/>
    <w:rsid w:val="00FC1B1F"/>
    <w:rsid w:val="00FC1B51"/>
    <w:rsid w:val="00FC1CAE"/>
    <w:rsid w:val="00FC1E14"/>
    <w:rsid w:val="00FC1E1F"/>
    <w:rsid w:val="00FC1E28"/>
    <w:rsid w:val="00FC1E6A"/>
    <w:rsid w:val="00FC2028"/>
    <w:rsid w:val="00FC20C2"/>
    <w:rsid w:val="00FC20FE"/>
    <w:rsid w:val="00FC2104"/>
    <w:rsid w:val="00FC2145"/>
    <w:rsid w:val="00FC217C"/>
    <w:rsid w:val="00FC2224"/>
    <w:rsid w:val="00FC224F"/>
    <w:rsid w:val="00FC2260"/>
    <w:rsid w:val="00FC2416"/>
    <w:rsid w:val="00FC247A"/>
    <w:rsid w:val="00FC2596"/>
    <w:rsid w:val="00FC259E"/>
    <w:rsid w:val="00FC264C"/>
    <w:rsid w:val="00FC27F5"/>
    <w:rsid w:val="00FC2852"/>
    <w:rsid w:val="00FC2891"/>
    <w:rsid w:val="00FC28FA"/>
    <w:rsid w:val="00FC2980"/>
    <w:rsid w:val="00FC2A00"/>
    <w:rsid w:val="00FC2B0D"/>
    <w:rsid w:val="00FC2B9F"/>
    <w:rsid w:val="00FC2CB6"/>
    <w:rsid w:val="00FC2D9F"/>
    <w:rsid w:val="00FC2E2D"/>
    <w:rsid w:val="00FC2E58"/>
    <w:rsid w:val="00FC2EE8"/>
    <w:rsid w:val="00FC2F1D"/>
    <w:rsid w:val="00FC3011"/>
    <w:rsid w:val="00FC3032"/>
    <w:rsid w:val="00FC3067"/>
    <w:rsid w:val="00FC3077"/>
    <w:rsid w:val="00FC31FA"/>
    <w:rsid w:val="00FC32FE"/>
    <w:rsid w:val="00FC34D8"/>
    <w:rsid w:val="00FC3581"/>
    <w:rsid w:val="00FC35F9"/>
    <w:rsid w:val="00FC3626"/>
    <w:rsid w:val="00FC3643"/>
    <w:rsid w:val="00FC371F"/>
    <w:rsid w:val="00FC39EB"/>
    <w:rsid w:val="00FC3A3E"/>
    <w:rsid w:val="00FC3A87"/>
    <w:rsid w:val="00FC3A95"/>
    <w:rsid w:val="00FC3B6B"/>
    <w:rsid w:val="00FC3BCD"/>
    <w:rsid w:val="00FC3C04"/>
    <w:rsid w:val="00FC3CE9"/>
    <w:rsid w:val="00FC3D79"/>
    <w:rsid w:val="00FC3DEC"/>
    <w:rsid w:val="00FC3ED8"/>
    <w:rsid w:val="00FC3F7C"/>
    <w:rsid w:val="00FC3FD1"/>
    <w:rsid w:val="00FC405C"/>
    <w:rsid w:val="00FC4079"/>
    <w:rsid w:val="00FC438F"/>
    <w:rsid w:val="00FC43E5"/>
    <w:rsid w:val="00FC43F9"/>
    <w:rsid w:val="00FC450D"/>
    <w:rsid w:val="00FC450F"/>
    <w:rsid w:val="00FC46E0"/>
    <w:rsid w:val="00FC47CA"/>
    <w:rsid w:val="00FC47D4"/>
    <w:rsid w:val="00FC4921"/>
    <w:rsid w:val="00FC4A25"/>
    <w:rsid w:val="00FC4C10"/>
    <w:rsid w:val="00FC4E4E"/>
    <w:rsid w:val="00FC4E6E"/>
    <w:rsid w:val="00FC4EA0"/>
    <w:rsid w:val="00FC4F51"/>
    <w:rsid w:val="00FC50BC"/>
    <w:rsid w:val="00FC516D"/>
    <w:rsid w:val="00FC5171"/>
    <w:rsid w:val="00FC5181"/>
    <w:rsid w:val="00FC51EC"/>
    <w:rsid w:val="00FC532E"/>
    <w:rsid w:val="00FC5386"/>
    <w:rsid w:val="00FC5411"/>
    <w:rsid w:val="00FC5500"/>
    <w:rsid w:val="00FC55E8"/>
    <w:rsid w:val="00FC56D3"/>
    <w:rsid w:val="00FC56F0"/>
    <w:rsid w:val="00FC57A8"/>
    <w:rsid w:val="00FC580E"/>
    <w:rsid w:val="00FC5887"/>
    <w:rsid w:val="00FC58DE"/>
    <w:rsid w:val="00FC598F"/>
    <w:rsid w:val="00FC5A0F"/>
    <w:rsid w:val="00FC5A12"/>
    <w:rsid w:val="00FC5BAB"/>
    <w:rsid w:val="00FC5C06"/>
    <w:rsid w:val="00FC5C0A"/>
    <w:rsid w:val="00FC5C86"/>
    <w:rsid w:val="00FC5E5A"/>
    <w:rsid w:val="00FC6044"/>
    <w:rsid w:val="00FC607A"/>
    <w:rsid w:val="00FC6090"/>
    <w:rsid w:val="00FC6122"/>
    <w:rsid w:val="00FC6126"/>
    <w:rsid w:val="00FC6249"/>
    <w:rsid w:val="00FC6251"/>
    <w:rsid w:val="00FC6256"/>
    <w:rsid w:val="00FC64ED"/>
    <w:rsid w:val="00FC6500"/>
    <w:rsid w:val="00FC6555"/>
    <w:rsid w:val="00FC658B"/>
    <w:rsid w:val="00FC658E"/>
    <w:rsid w:val="00FC659E"/>
    <w:rsid w:val="00FC6672"/>
    <w:rsid w:val="00FC6695"/>
    <w:rsid w:val="00FC673D"/>
    <w:rsid w:val="00FC679F"/>
    <w:rsid w:val="00FC69BE"/>
    <w:rsid w:val="00FC6BF1"/>
    <w:rsid w:val="00FC6C39"/>
    <w:rsid w:val="00FC6C9B"/>
    <w:rsid w:val="00FC6D5F"/>
    <w:rsid w:val="00FC6E32"/>
    <w:rsid w:val="00FC6EBA"/>
    <w:rsid w:val="00FC6EFA"/>
    <w:rsid w:val="00FC7381"/>
    <w:rsid w:val="00FC73F1"/>
    <w:rsid w:val="00FC7437"/>
    <w:rsid w:val="00FC746C"/>
    <w:rsid w:val="00FC74F2"/>
    <w:rsid w:val="00FC7553"/>
    <w:rsid w:val="00FC7554"/>
    <w:rsid w:val="00FC7561"/>
    <w:rsid w:val="00FC7637"/>
    <w:rsid w:val="00FC7652"/>
    <w:rsid w:val="00FC7659"/>
    <w:rsid w:val="00FC76C9"/>
    <w:rsid w:val="00FC7715"/>
    <w:rsid w:val="00FC774E"/>
    <w:rsid w:val="00FC77C6"/>
    <w:rsid w:val="00FC77E7"/>
    <w:rsid w:val="00FC7820"/>
    <w:rsid w:val="00FC7932"/>
    <w:rsid w:val="00FC795B"/>
    <w:rsid w:val="00FC7A15"/>
    <w:rsid w:val="00FC7A93"/>
    <w:rsid w:val="00FC7B5D"/>
    <w:rsid w:val="00FC7B8F"/>
    <w:rsid w:val="00FC7BBC"/>
    <w:rsid w:val="00FC7BF5"/>
    <w:rsid w:val="00FC7C60"/>
    <w:rsid w:val="00FC7C9D"/>
    <w:rsid w:val="00FC7D20"/>
    <w:rsid w:val="00FC7D73"/>
    <w:rsid w:val="00FC7FBA"/>
    <w:rsid w:val="00FD003F"/>
    <w:rsid w:val="00FD0043"/>
    <w:rsid w:val="00FD0069"/>
    <w:rsid w:val="00FD0119"/>
    <w:rsid w:val="00FD0247"/>
    <w:rsid w:val="00FD028A"/>
    <w:rsid w:val="00FD02B1"/>
    <w:rsid w:val="00FD0486"/>
    <w:rsid w:val="00FD04CC"/>
    <w:rsid w:val="00FD04D8"/>
    <w:rsid w:val="00FD0569"/>
    <w:rsid w:val="00FD06C4"/>
    <w:rsid w:val="00FD06DB"/>
    <w:rsid w:val="00FD06FB"/>
    <w:rsid w:val="00FD07AA"/>
    <w:rsid w:val="00FD0F98"/>
    <w:rsid w:val="00FD0FF2"/>
    <w:rsid w:val="00FD0FF6"/>
    <w:rsid w:val="00FD1036"/>
    <w:rsid w:val="00FD1038"/>
    <w:rsid w:val="00FD1039"/>
    <w:rsid w:val="00FD1061"/>
    <w:rsid w:val="00FD10FF"/>
    <w:rsid w:val="00FD1150"/>
    <w:rsid w:val="00FD1299"/>
    <w:rsid w:val="00FD12CD"/>
    <w:rsid w:val="00FD1497"/>
    <w:rsid w:val="00FD165D"/>
    <w:rsid w:val="00FD175C"/>
    <w:rsid w:val="00FD1893"/>
    <w:rsid w:val="00FD18EA"/>
    <w:rsid w:val="00FD197A"/>
    <w:rsid w:val="00FD1BAA"/>
    <w:rsid w:val="00FD1CE3"/>
    <w:rsid w:val="00FD1EC2"/>
    <w:rsid w:val="00FD201D"/>
    <w:rsid w:val="00FD2056"/>
    <w:rsid w:val="00FD211C"/>
    <w:rsid w:val="00FD21B8"/>
    <w:rsid w:val="00FD21DF"/>
    <w:rsid w:val="00FD22C3"/>
    <w:rsid w:val="00FD22ED"/>
    <w:rsid w:val="00FD243D"/>
    <w:rsid w:val="00FD2482"/>
    <w:rsid w:val="00FD24CB"/>
    <w:rsid w:val="00FD2596"/>
    <w:rsid w:val="00FD25A0"/>
    <w:rsid w:val="00FD25D2"/>
    <w:rsid w:val="00FD2615"/>
    <w:rsid w:val="00FD28F5"/>
    <w:rsid w:val="00FD29C8"/>
    <w:rsid w:val="00FD2A49"/>
    <w:rsid w:val="00FD2A64"/>
    <w:rsid w:val="00FD2A83"/>
    <w:rsid w:val="00FD2AD8"/>
    <w:rsid w:val="00FD2BE7"/>
    <w:rsid w:val="00FD2C2E"/>
    <w:rsid w:val="00FD2CA2"/>
    <w:rsid w:val="00FD2DA5"/>
    <w:rsid w:val="00FD2FF4"/>
    <w:rsid w:val="00FD3151"/>
    <w:rsid w:val="00FD31E2"/>
    <w:rsid w:val="00FD3364"/>
    <w:rsid w:val="00FD33A2"/>
    <w:rsid w:val="00FD33A8"/>
    <w:rsid w:val="00FD348D"/>
    <w:rsid w:val="00FD34B4"/>
    <w:rsid w:val="00FD35CE"/>
    <w:rsid w:val="00FD36CD"/>
    <w:rsid w:val="00FD3714"/>
    <w:rsid w:val="00FD3755"/>
    <w:rsid w:val="00FD37FD"/>
    <w:rsid w:val="00FD3831"/>
    <w:rsid w:val="00FD3856"/>
    <w:rsid w:val="00FD392F"/>
    <w:rsid w:val="00FD3932"/>
    <w:rsid w:val="00FD3956"/>
    <w:rsid w:val="00FD395A"/>
    <w:rsid w:val="00FD3989"/>
    <w:rsid w:val="00FD39CC"/>
    <w:rsid w:val="00FD3BA3"/>
    <w:rsid w:val="00FD3C45"/>
    <w:rsid w:val="00FD3C7F"/>
    <w:rsid w:val="00FD3CB0"/>
    <w:rsid w:val="00FD3CB6"/>
    <w:rsid w:val="00FD3CE0"/>
    <w:rsid w:val="00FD3CEE"/>
    <w:rsid w:val="00FD3D2A"/>
    <w:rsid w:val="00FD3EC2"/>
    <w:rsid w:val="00FD4049"/>
    <w:rsid w:val="00FD4066"/>
    <w:rsid w:val="00FD4197"/>
    <w:rsid w:val="00FD41DF"/>
    <w:rsid w:val="00FD41E0"/>
    <w:rsid w:val="00FD421C"/>
    <w:rsid w:val="00FD4286"/>
    <w:rsid w:val="00FD4292"/>
    <w:rsid w:val="00FD43F2"/>
    <w:rsid w:val="00FD4641"/>
    <w:rsid w:val="00FD4644"/>
    <w:rsid w:val="00FD4686"/>
    <w:rsid w:val="00FD49FA"/>
    <w:rsid w:val="00FD4A07"/>
    <w:rsid w:val="00FD4B81"/>
    <w:rsid w:val="00FD4BE1"/>
    <w:rsid w:val="00FD4D9F"/>
    <w:rsid w:val="00FD4DE5"/>
    <w:rsid w:val="00FD4E11"/>
    <w:rsid w:val="00FD4E18"/>
    <w:rsid w:val="00FD4E25"/>
    <w:rsid w:val="00FD4EB0"/>
    <w:rsid w:val="00FD4F06"/>
    <w:rsid w:val="00FD505C"/>
    <w:rsid w:val="00FD5191"/>
    <w:rsid w:val="00FD5218"/>
    <w:rsid w:val="00FD5273"/>
    <w:rsid w:val="00FD536E"/>
    <w:rsid w:val="00FD53D9"/>
    <w:rsid w:val="00FD53E6"/>
    <w:rsid w:val="00FD5421"/>
    <w:rsid w:val="00FD54F3"/>
    <w:rsid w:val="00FD55AA"/>
    <w:rsid w:val="00FD5765"/>
    <w:rsid w:val="00FD58CE"/>
    <w:rsid w:val="00FD59B4"/>
    <w:rsid w:val="00FD5AAE"/>
    <w:rsid w:val="00FD5BD9"/>
    <w:rsid w:val="00FD5C06"/>
    <w:rsid w:val="00FD5CAB"/>
    <w:rsid w:val="00FD5E2E"/>
    <w:rsid w:val="00FD5E58"/>
    <w:rsid w:val="00FD5F98"/>
    <w:rsid w:val="00FD5FF2"/>
    <w:rsid w:val="00FD6060"/>
    <w:rsid w:val="00FD609A"/>
    <w:rsid w:val="00FD6116"/>
    <w:rsid w:val="00FD61E1"/>
    <w:rsid w:val="00FD6297"/>
    <w:rsid w:val="00FD6389"/>
    <w:rsid w:val="00FD64B1"/>
    <w:rsid w:val="00FD64D9"/>
    <w:rsid w:val="00FD64EC"/>
    <w:rsid w:val="00FD65D2"/>
    <w:rsid w:val="00FD6729"/>
    <w:rsid w:val="00FD672D"/>
    <w:rsid w:val="00FD67FC"/>
    <w:rsid w:val="00FD6810"/>
    <w:rsid w:val="00FD6826"/>
    <w:rsid w:val="00FD684E"/>
    <w:rsid w:val="00FD6947"/>
    <w:rsid w:val="00FD69C5"/>
    <w:rsid w:val="00FD6AF1"/>
    <w:rsid w:val="00FD6BCC"/>
    <w:rsid w:val="00FD6C5A"/>
    <w:rsid w:val="00FD6CEB"/>
    <w:rsid w:val="00FD6D05"/>
    <w:rsid w:val="00FD6E2F"/>
    <w:rsid w:val="00FD6E55"/>
    <w:rsid w:val="00FD6E5F"/>
    <w:rsid w:val="00FD6F6D"/>
    <w:rsid w:val="00FD7096"/>
    <w:rsid w:val="00FD70B0"/>
    <w:rsid w:val="00FD71FB"/>
    <w:rsid w:val="00FD73B2"/>
    <w:rsid w:val="00FD73E4"/>
    <w:rsid w:val="00FD7495"/>
    <w:rsid w:val="00FD7559"/>
    <w:rsid w:val="00FD75B3"/>
    <w:rsid w:val="00FD7723"/>
    <w:rsid w:val="00FD774B"/>
    <w:rsid w:val="00FD7777"/>
    <w:rsid w:val="00FD7837"/>
    <w:rsid w:val="00FD787A"/>
    <w:rsid w:val="00FD78A3"/>
    <w:rsid w:val="00FD78C0"/>
    <w:rsid w:val="00FD7963"/>
    <w:rsid w:val="00FD79BC"/>
    <w:rsid w:val="00FD7A48"/>
    <w:rsid w:val="00FD7B0E"/>
    <w:rsid w:val="00FD7B18"/>
    <w:rsid w:val="00FD7B44"/>
    <w:rsid w:val="00FD7D79"/>
    <w:rsid w:val="00FD7E45"/>
    <w:rsid w:val="00FD7E81"/>
    <w:rsid w:val="00FD7E8A"/>
    <w:rsid w:val="00FD7F36"/>
    <w:rsid w:val="00FE0195"/>
    <w:rsid w:val="00FE01E9"/>
    <w:rsid w:val="00FE02E6"/>
    <w:rsid w:val="00FE0308"/>
    <w:rsid w:val="00FE031C"/>
    <w:rsid w:val="00FE03FD"/>
    <w:rsid w:val="00FE0446"/>
    <w:rsid w:val="00FE0471"/>
    <w:rsid w:val="00FE04BC"/>
    <w:rsid w:val="00FE04EB"/>
    <w:rsid w:val="00FE050A"/>
    <w:rsid w:val="00FE05C8"/>
    <w:rsid w:val="00FE0612"/>
    <w:rsid w:val="00FE0617"/>
    <w:rsid w:val="00FE07BD"/>
    <w:rsid w:val="00FE07F7"/>
    <w:rsid w:val="00FE0988"/>
    <w:rsid w:val="00FE09FC"/>
    <w:rsid w:val="00FE0A82"/>
    <w:rsid w:val="00FE0BE5"/>
    <w:rsid w:val="00FE0BF8"/>
    <w:rsid w:val="00FE0C2A"/>
    <w:rsid w:val="00FE0C32"/>
    <w:rsid w:val="00FE0CBB"/>
    <w:rsid w:val="00FE0D6A"/>
    <w:rsid w:val="00FE0DDB"/>
    <w:rsid w:val="00FE0E34"/>
    <w:rsid w:val="00FE0EB9"/>
    <w:rsid w:val="00FE0ECA"/>
    <w:rsid w:val="00FE0F17"/>
    <w:rsid w:val="00FE0F18"/>
    <w:rsid w:val="00FE0F39"/>
    <w:rsid w:val="00FE1002"/>
    <w:rsid w:val="00FE1225"/>
    <w:rsid w:val="00FE126C"/>
    <w:rsid w:val="00FE12BE"/>
    <w:rsid w:val="00FE12F0"/>
    <w:rsid w:val="00FE1398"/>
    <w:rsid w:val="00FE166E"/>
    <w:rsid w:val="00FE1740"/>
    <w:rsid w:val="00FE1782"/>
    <w:rsid w:val="00FE1798"/>
    <w:rsid w:val="00FE19E4"/>
    <w:rsid w:val="00FE1C4B"/>
    <w:rsid w:val="00FE1C9D"/>
    <w:rsid w:val="00FE1CB4"/>
    <w:rsid w:val="00FE1D0A"/>
    <w:rsid w:val="00FE1D66"/>
    <w:rsid w:val="00FE1DB7"/>
    <w:rsid w:val="00FE1DFD"/>
    <w:rsid w:val="00FE1DFF"/>
    <w:rsid w:val="00FE1E14"/>
    <w:rsid w:val="00FE1E61"/>
    <w:rsid w:val="00FE1FFF"/>
    <w:rsid w:val="00FE207B"/>
    <w:rsid w:val="00FE209F"/>
    <w:rsid w:val="00FE2118"/>
    <w:rsid w:val="00FE219A"/>
    <w:rsid w:val="00FE222A"/>
    <w:rsid w:val="00FE230C"/>
    <w:rsid w:val="00FE2358"/>
    <w:rsid w:val="00FE2389"/>
    <w:rsid w:val="00FE2573"/>
    <w:rsid w:val="00FE2624"/>
    <w:rsid w:val="00FE26AE"/>
    <w:rsid w:val="00FE26E7"/>
    <w:rsid w:val="00FE290B"/>
    <w:rsid w:val="00FE29BB"/>
    <w:rsid w:val="00FE2ACC"/>
    <w:rsid w:val="00FE2B11"/>
    <w:rsid w:val="00FE2C1F"/>
    <w:rsid w:val="00FE2C39"/>
    <w:rsid w:val="00FE2E3E"/>
    <w:rsid w:val="00FE2EA4"/>
    <w:rsid w:val="00FE3194"/>
    <w:rsid w:val="00FE3391"/>
    <w:rsid w:val="00FE33DB"/>
    <w:rsid w:val="00FE3482"/>
    <w:rsid w:val="00FE34C5"/>
    <w:rsid w:val="00FE34EE"/>
    <w:rsid w:val="00FE3595"/>
    <w:rsid w:val="00FE369A"/>
    <w:rsid w:val="00FE3761"/>
    <w:rsid w:val="00FE3870"/>
    <w:rsid w:val="00FE3877"/>
    <w:rsid w:val="00FE38C7"/>
    <w:rsid w:val="00FE394F"/>
    <w:rsid w:val="00FE3B27"/>
    <w:rsid w:val="00FE3BD5"/>
    <w:rsid w:val="00FE3CF0"/>
    <w:rsid w:val="00FE3D98"/>
    <w:rsid w:val="00FE3DB5"/>
    <w:rsid w:val="00FE3EBE"/>
    <w:rsid w:val="00FE3EEC"/>
    <w:rsid w:val="00FE3FF4"/>
    <w:rsid w:val="00FE41D7"/>
    <w:rsid w:val="00FE42CC"/>
    <w:rsid w:val="00FE437A"/>
    <w:rsid w:val="00FE4450"/>
    <w:rsid w:val="00FE4595"/>
    <w:rsid w:val="00FE468F"/>
    <w:rsid w:val="00FE4734"/>
    <w:rsid w:val="00FE478A"/>
    <w:rsid w:val="00FE482B"/>
    <w:rsid w:val="00FE4867"/>
    <w:rsid w:val="00FE48F2"/>
    <w:rsid w:val="00FE4968"/>
    <w:rsid w:val="00FE4A91"/>
    <w:rsid w:val="00FE4C55"/>
    <w:rsid w:val="00FE4C63"/>
    <w:rsid w:val="00FE4D71"/>
    <w:rsid w:val="00FE4E3A"/>
    <w:rsid w:val="00FE4F23"/>
    <w:rsid w:val="00FE4F87"/>
    <w:rsid w:val="00FE4FF0"/>
    <w:rsid w:val="00FE507F"/>
    <w:rsid w:val="00FE51E4"/>
    <w:rsid w:val="00FE51F3"/>
    <w:rsid w:val="00FE53C1"/>
    <w:rsid w:val="00FE5417"/>
    <w:rsid w:val="00FE5577"/>
    <w:rsid w:val="00FE55FC"/>
    <w:rsid w:val="00FE5690"/>
    <w:rsid w:val="00FE574C"/>
    <w:rsid w:val="00FE57F4"/>
    <w:rsid w:val="00FE58EF"/>
    <w:rsid w:val="00FE5938"/>
    <w:rsid w:val="00FE594B"/>
    <w:rsid w:val="00FE599C"/>
    <w:rsid w:val="00FE59AE"/>
    <w:rsid w:val="00FE5A95"/>
    <w:rsid w:val="00FE5AEE"/>
    <w:rsid w:val="00FE5B8D"/>
    <w:rsid w:val="00FE5CC1"/>
    <w:rsid w:val="00FE5CFE"/>
    <w:rsid w:val="00FE5EF8"/>
    <w:rsid w:val="00FE5F1D"/>
    <w:rsid w:val="00FE605B"/>
    <w:rsid w:val="00FE60D0"/>
    <w:rsid w:val="00FE6179"/>
    <w:rsid w:val="00FE61DE"/>
    <w:rsid w:val="00FE636D"/>
    <w:rsid w:val="00FE6377"/>
    <w:rsid w:val="00FE63AD"/>
    <w:rsid w:val="00FE6432"/>
    <w:rsid w:val="00FE6460"/>
    <w:rsid w:val="00FE64F5"/>
    <w:rsid w:val="00FE6536"/>
    <w:rsid w:val="00FE6719"/>
    <w:rsid w:val="00FE67C1"/>
    <w:rsid w:val="00FE67EC"/>
    <w:rsid w:val="00FE6802"/>
    <w:rsid w:val="00FE6844"/>
    <w:rsid w:val="00FE69BF"/>
    <w:rsid w:val="00FE6A31"/>
    <w:rsid w:val="00FE6A3E"/>
    <w:rsid w:val="00FE6B8E"/>
    <w:rsid w:val="00FE6EC4"/>
    <w:rsid w:val="00FE7063"/>
    <w:rsid w:val="00FE7264"/>
    <w:rsid w:val="00FE755F"/>
    <w:rsid w:val="00FE75B9"/>
    <w:rsid w:val="00FE770F"/>
    <w:rsid w:val="00FE7842"/>
    <w:rsid w:val="00FE7908"/>
    <w:rsid w:val="00FE79FD"/>
    <w:rsid w:val="00FE7B50"/>
    <w:rsid w:val="00FE7C49"/>
    <w:rsid w:val="00FE7CF7"/>
    <w:rsid w:val="00FE7D03"/>
    <w:rsid w:val="00FE7E6F"/>
    <w:rsid w:val="00FE7EA7"/>
    <w:rsid w:val="00FE7EBC"/>
    <w:rsid w:val="00FE7FC9"/>
    <w:rsid w:val="00FF0005"/>
    <w:rsid w:val="00FF01E0"/>
    <w:rsid w:val="00FF0373"/>
    <w:rsid w:val="00FF0385"/>
    <w:rsid w:val="00FF0399"/>
    <w:rsid w:val="00FF05D0"/>
    <w:rsid w:val="00FF05F3"/>
    <w:rsid w:val="00FF0611"/>
    <w:rsid w:val="00FF070B"/>
    <w:rsid w:val="00FF0730"/>
    <w:rsid w:val="00FF082A"/>
    <w:rsid w:val="00FF08C5"/>
    <w:rsid w:val="00FF08D2"/>
    <w:rsid w:val="00FF0963"/>
    <w:rsid w:val="00FF09E5"/>
    <w:rsid w:val="00FF09FB"/>
    <w:rsid w:val="00FF0A55"/>
    <w:rsid w:val="00FF0B7F"/>
    <w:rsid w:val="00FF0B85"/>
    <w:rsid w:val="00FF0BBB"/>
    <w:rsid w:val="00FF0D06"/>
    <w:rsid w:val="00FF0ED5"/>
    <w:rsid w:val="00FF0EFD"/>
    <w:rsid w:val="00FF0F2F"/>
    <w:rsid w:val="00FF0F52"/>
    <w:rsid w:val="00FF0F76"/>
    <w:rsid w:val="00FF0F93"/>
    <w:rsid w:val="00FF10A5"/>
    <w:rsid w:val="00FF1248"/>
    <w:rsid w:val="00FF1273"/>
    <w:rsid w:val="00FF12C3"/>
    <w:rsid w:val="00FF12DE"/>
    <w:rsid w:val="00FF131D"/>
    <w:rsid w:val="00FF13BD"/>
    <w:rsid w:val="00FF142F"/>
    <w:rsid w:val="00FF1430"/>
    <w:rsid w:val="00FF1512"/>
    <w:rsid w:val="00FF1615"/>
    <w:rsid w:val="00FF1644"/>
    <w:rsid w:val="00FF1767"/>
    <w:rsid w:val="00FF17CB"/>
    <w:rsid w:val="00FF17EB"/>
    <w:rsid w:val="00FF180D"/>
    <w:rsid w:val="00FF1924"/>
    <w:rsid w:val="00FF1955"/>
    <w:rsid w:val="00FF195D"/>
    <w:rsid w:val="00FF1A0B"/>
    <w:rsid w:val="00FF1A79"/>
    <w:rsid w:val="00FF1A98"/>
    <w:rsid w:val="00FF1ABB"/>
    <w:rsid w:val="00FF1B6E"/>
    <w:rsid w:val="00FF1C03"/>
    <w:rsid w:val="00FF1C05"/>
    <w:rsid w:val="00FF1D1A"/>
    <w:rsid w:val="00FF1E8D"/>
    <w:rsid w:val="00FF1F2A"/>
    <w:rsid w:val="00FF1FF2"/>
    <w:rsid w:val="00FF2015"/>
    <w:rsid w:val="00FF204D"/>
    <w:rsid w:val="00FF20BD"/>
    <w:rsid w:val="00FF21E2"/>
    <w:rsid w:val="00FF22B0"/>
    <w:rsid w:val="00FF2491"/>
    <w:rsid w:val="00FF24B3"/>
    <w:rsid w:val="00FF2541"/>
    <w:rsid w:val="00FF260C"/>
    <w:rsid w:val="00FF2610"/>
    <w:rsid w:val="00FF261C"/>
    <w:rsid w:val="00FF263C"/>
    <w:rsid w:val="00FF2761"/>
    <w:rsid w:val="00FF289A"/>
    <w:rsid w:val="00FF2950"/>
    <w:rsid w:val="00FF29E3"/>
    <w:rsid w:val="00FF2A52"/>
    <w:rsid w:val="00FF2A5D"/>
    <w:rsid w:val="00FF2B20"/>
    <w:rsid w:val="00FF2CB8"/>
    <w:rsid w:val="00FF2D00"/>
    <w:rsid w:val="00FF2D8E"/>
    <w:rsid w:val="00FF2E2D"/>
    <w:rsid w:val="00FF2F7F"/>
    <w:rsid w:val="00FF31BB"/>
    <w:rsid w:val="00FF31FF"/>
    <w:rsid w:val="00FF328A"/>
    <w:rsid w:val="00FF332F"/>
    <w:rsid w:val="00FF3332"/>
    <w:rsid w:val="00FF3347"/>
    <w:rsid w:val="00FF3376"/>
    <w:rsid w:val="00FF34E4"/>
    <w:rsid w:val="00FF35A0"/>
    <w:rsid w:val="00FF3618"/>
    <w:rsid w:val="00FF36AB"/>
    <w:rsid w:val="00FF374B"/>
    <w:rsid w:val="00FF3751"/>
    <w:rsid w:val="00FF3938"/>
    <w:rsid w:val="00FF39CF"/>
    <w:rsid w:val="00FF3A10"/>
    <w:rsid w:val="00FF3A27"/>
    <w:rsid w:val="00FF3A47"/>
    <w:rsid w:val="00FF3BAE"/>
    <w:rsid w:val="00FF3D0C"/>
    <w:rsid w:val="00FF3E2E"/>
    <w:rsid w:val="00FF3ED8"/>
    <w:rsid w:val="00FF3F1C"/>
    <w:rsid w:val="00FF3F6A"/>
    <w:rsid w:val="00FF41E2"/>
    <w:rsid w:val="00FF4212"/>
    <w:rsid w:val="00FF43B1"/>
    <w:rsid w:val="00FF443A"/>
    <w:rsid w:val="00FF47BA"/>
    <w:rsid w:val="00FF47F2"/>
    <w:rsid w:val="00FF480C"/>
    <w:rsid w:val="00FF4968"/>
    <w:rsid w:val="00FF498A"/>
    <w:rsid w:val="00FF4998"/>
    <w:rsid w:val="00FF4AF6"/>
    <w:rsid w:val="00FF4BBA"/>
    <w:rsid w:val="00FF4CF9"/>
    <w:rsid w:val="00FF4D19"/>
    <w:rsid w:val="00FF4F1A"/>
    <w:rsid w:val="00FF50FE"/>
    <w:rsid w:val="00FF5250"/>
    <w:rsid w:val="00FF52AB"/>
    <w:rsid w:val="00FF52F5"/>
    <w:rsid w:val="00FF533A"/>
    <w:rsid w:val="00FF53CD"/>
    <w:rsid w:val="00FF53EB"/>
    <w:rsid w:val="00FF54D2"/>
    <w:rsid w:val="00FF558B"/>
    <w:rsid w:val="00FF5590"/>
    <w:rsid w:val="00FF55D7"/>
    <w:rsid w:val="00FF5706"/>
    <w:rsid w:val="00FF57C8"/>
    <w:rsid w:val="00FF587E"/>
    <w:rsid w:val="00FF5A15"/>
    <w:rsid w:val="00FF5A7B"/>
    <w:rsid w:val="00FF5C47"/>
    <w:rsid w:val="00FF5DC6"/>
    <w:rsid w:val="00FF5DD9"/>
    <w:rsid w:val="00FF5EB8"/>
    <w:rsid w:val="00FF5F75"/>
    <w:rsid w:val="00FF5F99"/>
    <w:rsid w:val="00FF601E"/>
    <w:rsid w:val="00FF6108"/>
    <w:rsid w:val="00FF6139"/>
    <w:rsid w:val="00FF6316"/>
    <w:rsid w:val="00FF636D"/>
    <w:rsid w:val="00FF6578"/>
    <w:rsid w:val="00FF66A5"/>
    <w:rsid w:val="00FF6705"/>
    <w:rsid w:val="00FF679C"/>
    <w:rsid w:val="00FF67B8"/>
    <w:rsid w:val="00FF680C"/>
    <w:rsid w:val="00FF6A08"/>
    <w:rsid w:val="00FF6A1D"/>
    <w:rsid w:val="00FF6B38"/>
    <w:rsid w:val="00FF6B90"/>
    <w:rsid w:val="00FF6B92"/>
    <w:rsid w:val="00FF6C02"/>
    <w:rsid w:val="00FF6C2F"/>
    <w:rsid w:val="00FF6CD9"/>
    <w:rsid w:val="00FF6E09"/>
    <w:rsid w:val="00FF6FC0"/>
    <w:rsid w:val="00FF7048"/>
    <w:rsid w:val="00FF70AC"/>
    <w:rsid w:val="00FF70AD"/>
    <w:rsid w:val="00FF7165"/>
    <w:rsid w:val="00FF7186"/>
    <w:rsid w:val="00FF72D0"/>
    <w:rsid w:val="00FF738E"/>
    <w:rsid w:val="00FF73BC"/>
    <w:rsid w:val="00FF73F3"/>
    <w:rsid w:val="00FF74DA"/>
    <w:rsid w:val="00FF7640"/>
    <w:rsid w:val="00FF76E1"/>
    <w:rsid w:val="00FF76EB"/>
    <w:rsid w:val="00FF7774"/>
    <w:rsid w:val="00FF7889"/>
    <w:rsid w:val="00FF788B"/>
    <w:rsid w:val="00FF7918"/>
    <w:rsid w:val="00FF7C53"/>
    <w:rsid w:val="00FF7D16"/>
    <w:rsid w:val="00FF7D6A"/>
    <w:rsid w:val="00FF7DEC"/>
    <w:rsid w:val="00FF7E7E"/>
    <w:rsid w:val="00FF7E8F"/>
    <w:rsid w:val="0161AE44"/>
    <w:rsid w:val="017F692D"/>
    <w:rsid w:val="03A87E35"/>
    <w:rsid w:val="071F4FBF"/>
    <w:rsid w:val="07DC3026"/>
    <w:rsid w:val="0837581B"/>
    <w:rsid w:val="088DC4A3"/>
    <w:rsid w:val="09204156"/>
    <w:rsid w:val="099A7540"/>
    <w:rsid w:val="0A399151"/>
    <w:rsid w:val="0A751FBF"/>
    <w:rsid w:val="0B93E566"/>
    <w:rsid w:val="0BEA83EA"/>
    <w:rsid w:val="0D6AF2E8"/>
    <w:rsid w:val="0DE9AD71"/>
    <w:rsid w:val="0E40E0D6"/>
    <w:rsid w:val="0E855C56"/>
    <w:rsid w:val="0F0C3293"/>
    <w:rsid w:val="0F243253"/>
    <w:rsid w:val="0F2BA212"/>
    <w:rsid w:val="0F8D89A1"/>
    <w:rsid w:val="12D6D996"/>
    <w:rsid w:val="12E10371"/>
    <w:rsid w:val="12FB118A"/>
    <w:rsid w:val="1312A650"/>
    <w:rsid w:val="13644F27"/>
    <w:rsid w:val="13752557"/>
    <w:rsid w:val="14951B83"/>
    <w:rsid w:val="151C7F22"/>
    <w:rsid w:val="15E3D1D2"/>
    <w:rsid w:val="1632E51D"/>
    <w:rsid w:val="16620AA5"/>
    <w:rsid w:val="167B61B3"/>
    <w:rsid w:val="191A5F1C"/>
    <w:rsid w:val="1A5E51AD"/>
    <w:rsid w:val="1AB05650"/>
    <w:rsid w:val="1AC97EAD"/>
    <w:rsid w:val="1C5478DE"/>
    <w:rsid w:val="1C8A6005"/>
    <w:rsid w:val="1CD8726F"/>
    <w:rsid w:val="1CFD6237"/>
    <w:rsid w:val="1D81BBFB"/>
    <w:rsid w:val="1DEF7EF6"/>
    <w:rsid w:val="1E99859D"/>
    <w:rsid w:val="1ED496C8"/>
    <w:rsid w:val="207458A6"/>
    <w:rsid w:val="207A1A1C"/>
    <w:rsid w:val="214D2CCE"/>
    <w:rsid w:val="2163F023"/>
    <w:rsid w:val="216B7F2F"/>
    <w:rsid w:val="219A9CD9"/>
    <w:rsid w:val="229E3513"/>
    <w:rsid w:val="23B12366"/>
    <w:rsid w:val="23BE3AF0"/>
    <w:rsid w:val="23D7634D"/>
    <w:rsid w:val="24576B67"/>
    <w:rsid w:val="25EC6D1E"/>
    <w:rsid w:val="2651931E"/>
    <w:rsid w:val="26A20C5A"/>
    <w:rsid w:val="27077C2B"/>
    <w:rsid w:val="27698D6F"/>
    <w:rsid w:val="283FE8FE"/>
    <w:rsid w:val="297CB859"/>
    <w:rsid w:val="29E2F6DA"/>
    <w:rsid w:val="2A5F338F"/>
    <w:rsid w:val="2AA2E05A"/>
    <w:rsid w:val="2B7C368A"/>
    <w:rsid w:val="2DF2A469"/>
    <w:rsid w:val="2DFC1CD6"/>
    <w:rsid w:val="2ED71004"/>
    <w:rsid w:val="306E29AB"/>
    <w:rsid w:val="321442CB"/>
    <w:rsid w:val="32621971"/>
    <w:rsid w:val="32671F72"/>
    <w:rsid w:val="32E8567C"/>
    <w:rsid w:val="339FA99C"/>
    <w:rsid w:val="35055DE7"/>
    <w:rsid w:val="35746EDA"/>
    <w:rsid w:val="35C5F5E8"/>
    <w:rsid w:val="366671CF"/>
    <w:rsid w:val="3669E65B"/>
    <w:rsid w:val="3803F85C"/>
    <w:rsid w:val="38E9F7F0"/>
    <w:rsid w:val="39E3EDE9"/>
    <w:rsid w:val="3A336186"/>
    <w:rsid w:val="3A9B6719"/>
    <w:rsid w:val="3BCCF76C"/>
    <w:rsid w:val="3C5171BC"/>
    <w:rsid w:val="3D0BC1B2"/>
    <w:rsid w:val="3D0DE1E7"/>
    <w:rsid w:val="3D59453F"/>
    <w:rsid w:val="3E570A86"/>
    <w:rsid w:val="3EB42DB3"/>
    <w:rsid w:val="3F1D05AE"/>
    <w:rsid w:val="3FEA2413"/>
    <w:rsid w:val="408BD88D"/>
    <w:rsid w:val="421305D3"/>
    <w:rsid w:val="42813F4B"/>
    <w:rsid w:val="437CEEC9"/>
    <w:rsid w:val="45B9C14B"/>
    <w:rsid w:val="45DBF131"/>
    <w:rsid w:val="46820C45"/>
    <w:rsid w:val="475275C6"/>
    <w:rsid w:val="482528D2"/>
    <w:rsid w:val="49630CB8"/>
    <w:rsid w:val="4A4F1239"/>
    <w:rsid w:val="4A560562"/>
    <w:rsid w:val="4AE0CE9C"/>
    <w:rsid w:val="4B17D2A5"/>
    <w:rsid w:val="4C13B4F4"/>
    <w:rsid w:val="4C49B8DE"/>
    <w:rsid w:val="4CB46D4F"/>
    <w:rsid w:val="4D6926B8"/>
    <w:rsid w:val="4D9FAB44"/>
    <w:rsid w:val="4E7106B2"/>
    <w:rsid w:val="512F2603"/>
    <w:rsid w:val="5158B5E1"/>
    <w:rsid w:val="51672E31"/>
    <w:rsid w:val="51B1B704"/>
    <w:rsid w:val="51DAB639"/>
    <w:rsid w:val="51EF55A7"/>
    <w:rsid w:val="525D9F0E"/>
    <w:rsid w:val="529D8172"/>
    <w:rsid w:val="53FC8301"/>
    <w:rsid w:val="540349C5"/>
    <w:rsid w:val="54AEFDD1"/>
    <w:rsid w:val="558A728A"/>
    <w:rsid w:val="5656C6A6"/>
    <w:rsid w:val="566F578B"/>
    <w:rsid w:val="5744F0D7"/>
    <w:rsid w:val="588451DD"/>
    <w:rsid w:val="58AEE930"/>
    <w:rsid w:val="5942330D"/>
    <w:rsid w:val="596B1CD9"/>
    <w:rsid w:val="59D36E6E"/>
    <w:rsid w:val="5A89F3BC"/>
    <w:rsid w:val="5BF2648A"/>
    <w:rsid w:val="5C30C92A"/>
    <w:rsid w:val="5DBAD22D"/>
    <w:rsid w:val="5E1CE19C"/>
    <w:rsid w:val="5E9FEA1F"/>
    <w:rsid w:val="5EDB483A"/>
    <w:rsid w:val="5F2C08C8"/>
    <w:rsid w:val="5F468DEF"/>
    <w:rsid w:val="6097B176"/>
    <w:rsid w:val="60980E0A"/>
    <w:rsid w:val="62AA55F2"/>
    <w:rsid w:val="62DCE241"/>
    <w:rsid w:val="631673CE"/>
    <w:rsid w:val="6430F92C"/>
    <w:rsid w:val="64854161"/>
    <w:rsid w:val="64920725"/>
    <w:rsid w:val="65C904D3"/>
    <w:rsid w:val="6872D75B"/>
    <w:rsid w:val="68B13096"/>
    <w:rsid w:val="68CBD334"/>
    <w:rsid w:val="68EB1EBA"/>
    <w:rsid w:val="698F931A"/>
    <w:rsid w:val="69B3CDCB"/>
    <w:rsid w:val="6A2F52E1"/>
    <w:rsid w:val="6BE86901"/>
    <w:rsid w:val="6D4EB7DD"/>
    <w:rsid w:val="6EB3776F"/>
    <w:rsid w:val="6F5C7CAF"/>
    <w:rsid w:val="6FC73C9D"/>
    <w:rsid w:val="6FCD4230"/>
    <w:rsid w:val="7013680F"/>
    <w:rsid w:val="7016C20E"/>
    <w:rsid w:val="70E0898C"/>
    <w:rsid w:val="7108F06F"/>
    <w:rsid w:val="722F0DB9"/>
    <w:rsid w:val="723A5050"/>
    <w:rsid w:val="72BD8486"/>
    <w:rsid w:val="73379853"/>
    <w:rsid w:val="743A383D"/>
    <w:rsid w:val="74A796CE"/>
    <w:rsid w:val="74DE8705"/>
    <w:rsid w:val="75E3D6D0"/>
    <w:rsid w:val="77C7D530"/>
    <w:rsid w:val="77D8D15E"/>
    <w:rsid w:val="77E4B9C5"/>
    <w:rsid w:val="78EEBF87"/>
    <w:rsid w:val="7947C675"/>
    <w:rsid w:val="799AC904"/>
    <w:rsid w:val="79A9D8CC"/>
    <w:rsid w:val="7AAFA0DF"/>
    <w:rsid w:val="7B21F7E4"/>
    <w:rsid w:val="7C3859A5"/>
    <w:rsid w:val="7C59B6BF"/>
    <w:rsid w:val="7C678396"/>
    <w:rsid w:val="7C7B3149"/>
    <w:rsid w:val="7F154B76"/>
    <w:rsid w:val="7F522577"/>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3F1197"/>
  <w15:docId w15:val="{B3C479BB-6BA9-4556-97F2-D414505D5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qFormat="1"/>
    <w:lsdException w:name="heading 4" w:uiPriority="0" w:qFormat="1"/>
    <w:lsdException w:name="heading 5" w:semiHidden="1" w:uiPriority="0" w:qFormat="1"/>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iPriority="10" w:unhideWhenUsed="1"/>
    <w:lsdException w:name="footer" w:unhideWhenUsed="1" w:qFormat="1"/>
    <w:lsdException w:name="index heading" w:semiHidden="1" w:unhideWhenUsed="1"/>
    <w:lsdException w:name="caption" w:uiPriority="3"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nhideWhenUsed="1"/>
    <w:lsdException w:name="List Bullet 4" w:semiHidden="1" w:unhideWhenUsed="1"/>
    <w:lsdException w:name="List Bullet 5" w:semiHidden="1" w:unhideWhenUsed="1"/>
    <w:lsdException w:name="List Number 2"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025"/>
    <w:pPr>
      <w:spacing w:after="120" w:line="216" w:lineRule="auto"/>
    </w:pPr>
    <w:rPr>
      <w:rFonts w:ascii="Calibri" w:hAnsi="Calibri" w:cs="Calibri"/>
      <w:sz w:val="20"/>
      <w:szCs w:val="20"/>
      <w:lang w:val="en-AU"/>
    </w:rPr>
  </w:style>
  <w:style w:type="paragraph" w:styleId="Heading1">
    <w:name w:val="heading 1"/>
    <w:next w:val="Normal"/>
    <w:link w:val="Heading1Char"/>
    <w:uiPriority w:val="1"/>
    <w:qFormat/>
    <w:rsid w:val="00114222"/>
    <w:pPr>
      <w:keepNext/>
      <w:keepLines/>
      <w:pageBreakBefore/>
      <w:numPr>
        <w:numId w:val="2"/>
      </w:numPr>
      <w:spacing w:after="480" w:line="720" w:lineRule="atLeast"/>
      <w:contextualSpacing/>
      <w:outlineLvl w:val="0"/>
    </w:pPr>
    <w:rPr>
      <w:rFonts w:ascii="Calibri" w:eastAsiaTheme="majorEastAsia" w:hAnsi="Calibri" w:cstheme="majorBidi"/>
      <w:bCs/>
      <w:sz w:val="60"/>
      <w:szCs w:val="28"/>
      <w:lang w:val="en-AU"/>
    </w:rPr>
  </w:style>
  <w:style w:type="paragraph" w:styleId="Heading2">
    <w:name w:val="heading 2"/>
    <w:basedOn w:val="Normal"/>
    <w:next w:val="Normal"/>
    <w:link w:val="Heading2Char"/>
    <w:uiPriority w:val="1"/>
    <w:qFormat/>
    <w:rsid w:val="007B2262"/>
    <w:pPr>
      <w:keepNext/>
      <w:keepLines/>
      <w:numPr>
        <w:ilvl w:val="1"/>
        <w:numId w:val="2"/>
      </w:numPr>
      <w:spacing w:before="240"/>
      <w:outlineLvl w:val="1"/>
    </w:pPr>
    <w:rPr>
      <w:rFonts w:eastAsiaTheme="majorEastAsia" w:cstheme="majorBidi"/>
      <w:b/>
      <w:bCs/>
      <w:color w:val="0D8390"/>
      <w:sz w:val="32"/>
      <w:szCs w:val="32"/>
    </w:rPr>
  </w:style>
  <w:style w:type="paragraph" w:styleId="Heading3">
    <w:name w:val="heading 3"/>
    <w:basedOn w:val="Normal"/>
    <w:next w:val="Normal"/>
    <w:link w:val="Heading3Char"/>
    <w:uiPriority w:val="1"/>
    <w:qFormat/>
    <w:rsid w:val="00F107CF"/>
    <w:pPr>
      <w:keepNext/>
      <w:keepLines/>
      <w:numPr>
        <w:ilvl w:val="2"/>
        <w:numId w:val="2"/>
      </w:numPr>
      <w:outlineLvl w:val="2"/>
    </w:pPr>
    <w:rPr>
      <w:rFonts w:eastAsiaTheme="majorEastAsia" w:cstheme="majorBidi"/>
      <w:b/>
      <w:bCs/>
      <w:sz w:val="24"/>
      <w:szCs w:val="24"/>
    </w:rPr>
  </w:style>
  <w:style w:type="paragraph" w:styleId="Heading4">
    <w:name w:val="heading 4"/>
    <w:basedOn w:val="Normal"/>
    <w:next w:val="Normal"/>
    <w:link w:val="Heading4Char"/>
    <w:uiPriority w:val="1"/>
    <w:qFormat/>
    <w:rsid w:val="007745A8"/>
    <w:pPr>
      <w:keepNext/>
      <w:keepLines/>
      <w:numPr>
        <w:ilvl w:val="3"/>
        <w:numId w:val="2"/>
      </w:numPr>
      <w:tabs>
        <w:tab w:val="left" w:pos="340"/>
      </w:tabs>
      <w:outlineLvl w:val="3"/>
    </w:pPr>
    <w:rPr>
      <w:rFonts w:eastAsiaTheme="majorEastAsia" w:cstheme="majorBidi"/>
      <w:b/>
      <w:bCs/>
      <w:iCs/>
      <w:color w:val="57595C" w:themeColor="accent6" w:themeShade="BF"/>
    </w:rPr>
  </w:style>
  <w:style w:type="paragraph" w:styleId="Heading5">
    <w:name w:val="heading 5"/>
    <w:basedOn w:val="Normal"/>
    <w:next w:val="Normal"/>
    <w:link w:val="Heading5Char"/>
    <w:uiPriority w:val="1"/>
    <w:qFormat/>
    <w:rsid w:val="00F9113D"/>
    <w:pPr>
      <w:keepNext/>
      <w:keepLines/>
      <w:numPr>
        <w:ilvl w:val="4"/>
        <w:numId w:val="2"/>
      </w:numPr>
      <w:spacing w:after="0"/>
      <w:outlineLvl w:val="4"/>
    </w:pPr>
    <w:rPr>
      <w:rFonts w:eastAsiaTheme="majorEastAsia" w:cstheme="majorBidi"/>
      <w:b/>
    </w:rPr>
  </w:style>
  <w:style w:type="paragraph" w:styleId="Heading6">
    <w:name w:val="heading 6"/>
    <w:basedOn w:val="Normal"/>
    <w:next w:val="Normal"/>
    <w:link w:val="Heading6Char"/>
    <w:uiPriority w:val="1"/>
    <w:semiHidden/>
    <w:qFormat/>
    <w:rsid w:val="00F9113D"/>
    <w:pPr>
      <w:keepNext/>
      <w:keepLines/>
      <w:numPr>
        <w:ilvl w:val="5"/>
        <w:numId w:val="2"/>
      </w:numPr>
      <w:spacing w:after="0"/>
      <w:outlineLvl w:val="5"/>
    </w:pPr>
    <w:rPr>
      <w:rFonts w:eastAsiaTheme="majorEastAsia" w:cstheme="majorBidi"/>
      <w:b/>
      <w:iCs/>
    </w:rPr>
  </w:style>
  <w:style w:type="paragraph" w:styleId="Heading7">
    <w:name w:val="heading 7"/>
    <w:basedOn w:val="Normal"/>
    <w:next w:val="Normal"/>
    <w:link w:val="Heading7Char"/>
    <w:uiPriority w:val="1"/>
    <w:semiHidden/>
    <w:qFormat/>
    <w:rsid w:val="00F9113D"/>
    <w:pPr>
      <w:keepNext/>
      <w:keepLines/>
      <w:spacing w:after="0"/>
      <w:outlineLvl w:val="6"/>
    </w:pPr>
    <w:rPr>
      <w:rFonts w:eastAsiaTheme="majorEastAsia" w:cstheme="majorBidi"/>
      <w:b/>
      <w:iCs/>
    </w:rPr>
  </w:style>
  <w:style w:type="paragraph" w:styleId="Heading8">
    <w:name w:val="heading 8"/>
    <w:basedOn w:val="Normal"/>
    <w:next w:val="Normal"/>
    <w:link w:val="Heading8Char"/>
    <w:uiPriority w:val="1"/>
    <w:semiHidden/>
    <w:qFormat/>
    <w:rsid w:val="00F9113D"/>
    <w:pPr>
      <w:keepNext/>
      <w:keepLines/>
      <w:spacing w:after="0"/>
      <w:outlineLvl w:val="7"/>
    </w:pPr>
    <w:rPr>
      <w:rFonts w:eastAsiaTheme="majorEastAsia" w:cstheme="majorBidi"/>
      <w:b/>
    </w:rPr>
  </w:style>
  <w:style w:type="paragraph" w:styleId="Heading9">
    <w:name w:val="heading 9"/>
    <w:basedOn w:val="Normal"/>
    <w:next w:val="Normal"/>
    <w:link w:val="Heading9Char"/>
    <w:uiPriority w:val="1"/>
    <w:semiHidden/>
    <w:qFormat/>
    <w:rsid w:val="00F9113D"/>
    <w:pPr>
      <w:keepNext/>
      <w:keepLines/>
      <w:spacing w:after="0"/>
      <w:outlineLvl w:val="8"/>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14222"/>
    <w:rPr>
      <w:rFonts w:ascii="Calibri" w:eastAsiaTheme="majorEastAsia" w:hAnsi="Calibri" w:cstheme="majorBidi"/>
      <w:bCs/>
      <w:sz w:val="60"/>
      <w:szCs w:val="28"/>
      <w:lang w:val="en-AU"/>
    </w:rPr>
  </w:style>
  <w:style w:type="character" w:customStyle="1" w:styleId="Heading2Char">
    <w:name w:val="Heading 2 Char"/>
    <w:basedOn w:val="DefaultParagraphFont"/>
    <w:link w:val="Heading2"/>
    <w:uiPriority w:val="1"/>
    <w:rsid w:val="007B2262"/>
    <w:rPr>
      <w:rFonts w:ascii="Calibri" w:eastAsiaTheme="majorEastAsia" w:hAnsi="Calibri" w:cstheme="majorBidi"/>
      <w:b/>
      <w:bCs/>
      <w:color w:val="0D8390"/>
      <w:sz w:val="32"/>
      <w:szCs w:val="32"/>
      <w:lang w:val="en-AU"/>
    </w:rPr>
  </w:style>
  <w:style w:type="table" w:styleId="TableGrid">
    <w:name w:val="Table Grid"/>
    <w:basedOn w:val="TableNormal"/>
    <w:uiPriority w:val="99"/>
    <w:rsid w:val="00D93FF0"/>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10"/>
    <w:rsid w:val="000116B0"/>
    <w:pPr>
      <w:tabs>
        <w:tab w:val="center" w:pos="4513"/>
        <w:tab w:val="right" w:pos="9026"/>
      </w:tabs>
      <w:spacing w:line="240" w:lineRule="auto"/>
    </w:pPr>
    <w:rPr>
      <w:sz w:val="14"/>
      <w:lang w:val="en-AU"/>
    </w:rPr>
  </w:style>
  <w:style w:type="character" w:customStyle="1" w:styleId="HeaderChar">
    <w:name w:val="Header Char"/>
    <w:basedOn w:val="DefaultParagraphFont"/>
    <w:link w:val="Header"/>
    <w:uiPriority w:val="10"/>
    <w:rsid w:val="000116B0"/>
    <w:rPr>
      <w:sz w:val="14"/>
      <w:lang w:val="en-AU"/>
    </w:rPr>
  </w:style>
  <w:style w:type="paragraph" w:styleId="Footer">
    <w:name w:val="footer"/>
    <w:basedOn w:val="Normal"/>
    <w:link w:val="FooterChar"/>
    <w:uiPriority w:val="99"/>
    <w:qFormat/>
    <w:rsid w:val="00F9113D"/>
    <w:pPr>
      <w:tabs>
        <w:tab w:val="right" w:pos="7371"/>
      </w:tabs>
      <w:spacing w:after="0" w:line="200" w:lineRule="atLeast"/>
    </w:pPr>
    <w:rPr>
      <w:sz w:val="16"/>
    </w:rPr>
  </w:style>
  <w:style w:type="character" w:customStyle="1" w:styleId="FooterChar">
    <w:name w:val="Footer Char"/>
    <w:basedOn w:val="DefaultParagraphFont"/>
    <w:link w:val="Footer"/>
    <w:uiPriority w:val="99"/>
    <w:rsid w:val="00F9113D"/>
    <w:rPr>
      <w:sz w:val="16"/>
    </w:rPr>
  </w:style>
  <w:style w:type="paragraph" w:styleId="BalloonText">
    <w:name w:val="Balloon Text"/>
    <w:basedOn w:val="Normal"/>
    <w:link w:val="BalloonTextChar"/>
    <w:uiPriority w:val="99"/>
    <w:semiHidden/>
    <w:rsid w:val="00F911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13D"/>
    <w:rPr>
      <w:rFonts w:ascii="Tahoma" w:hAnsi="Tahoma" w:cs="Tahoma"/>
      <w:sz w:val="16"/>
      <w:szCs w:val="16"/>
    </w:rPr>
  </w:style>
  <w:style w:type="paragraph" w:customStyle="1" w:styleId="Subject">
    <w:name w:val="Subject"/>
    <w:basedOn w:val="Normal"/>
    <w:uiPriority w:val="6"/>
    <w:semiHidden/>
    <w:qFormat/>
    <w:rsid w:val="00F9113D"/>
    <w:pPr>
      <w:spacing w:after="0"/>
    </w:pPr>
    <w:rPr>
      <w:b/>
    </w:rPr>
  </w:style>
  <w:style w:type="character" w:styleId="PlaceholderText">
    <w:name w:val="Placeholder Text"/>
    <w:basedOn w:val="DefaultParagraphFont"/>
    <w:uiPriority w:val="99"/>
    <w:semiHidden/>
    <w:rsid w:val="00F9113D"/>
    <w:rPr>
      <w:color w:val="808080"/>
      <w:lang w:val="en-AU"/>
    </w:rPr>
  </w:style>
  <w:style w:type="paragraph" w:styleId="ListBullet">
    <w:name w:val="List Bullet"/>
    <w:aliases w:val="Short dot points"/>
    <w:basedOn w:val="Normal"/>
    <w:uiPriority w:val="3"/>
    <w:qFormat/>
    <w:rsid w:val="00F368CA"/>
    <w:pPr>
      <w:numPr>
        <w:numId w:val="13"/>
      </w:numPr>
      <w:spacing w:after="0"/>
      <w:contextualSpacing/>
    </w:pPr>
    <w:rPr>
      <w:szCs w:val="17"/>
    </w:rPr>
  </w:style>
  <w:style w:type="paragraph" w:styleId="ListBullet2">
    <w:name w:val="List Bullet 2"/>
    <w:basedOn w:val="Normal"/>
    <w:uiPriority w:val="3"/>
    <w:rsid w:val="00DF7819"/>
    <w:pPr>
      <w:numPr>
        <w:numId w:val="15"/>
      </w:numPr>
      <w:spacing w:after="0"/>
      <w:contextualSpacing/>
    </w:pPr>
    <w:rPr>
      <w:szCs w:val="17"/>
    </w:rPr>
  </w:style>
  <w:style w:type="paragraph" w:styleId="ListNumber">
    <w:name w:val="List Number"/>
    <w:basedOn w:val="Normal"/>
    <w:uiPriority w:val="3"/>
    <w:qFormat/>
    <w:rsid w:val="007F7A8C"/>
    <w:pPr>
      <w:numPr>
        <w:numId w:val="14"/>
      </w:numPr>
      <w:spacing w:after="0"/>
      <w:contextualSpacing/>
    </w:pPr>
    <w:rPr>
      <w:szCs w:val="17"/>
    </w:rPr>
  </w:style>
  <w:style w:type="paragraph" w:styleId="ListNumber2">
    <w:name w:val="List Number 2"/>
    <w:basedOn w:val="Normal"/>
    <w:uiPriority w:val="3"/>
    <w:qFormat/>
    <w:rsid w:val="007F7A8C"/>
    <w:pPr>
      <w:numPr>
        <w:ilvl w:val="1"/>
        <w:numId w:val="14"/>
      </w:numPr>
      <w:spacing w:after="0"/>
      <w:contextualSpacing/>
    </w:pPr>
  </w:style>
  <w:style w:type="character" w:customStyle="1" w:styleId="Heading3Char">
    <w:name w:val="Heading 3 Char"/>
    <w:basedOn w:val="DefaultParagraphFont"/>
    <w:link w:val="Heading3"/>
    <w:uiPriority w:val="1"/>
    <w:rsid w:val="00C50447"/>
    <w:rPr>
      <w:rFonts w:ascii="Calibri" w:eastAsiaTheme="majorEastAsia" w:hAnsi="Calibri" w:cstheme="majorBidi"/>
      <w:b/>
      <w:bCs/>
      <w:sz w:val="24"/>
      <w:szCs w:val="24"/>
      <w:lang w:val="en-AU"/>
    </w:rPr>
  </w:style>
  <w:style w:type="character" w:customStyle="1" w:styleId="Heading4Char">
    <w:name w:val="Heading 4 Char"/>
    <w:basedOn w:val="DefaultParagraphFont"/>
    <w:link w:val="Heading4"/>
    <w:uiPriority w:val="1"/>
    <w:rsid w:val="007745A8"/>
    <w:rPr>
      <w:rFonts w:ascii="Calibri" w:eastAsiaTheme="majorEastAsia" w:hAnsi="Calibri" w:cstheme="majorBidi"/>
      <w:b/>
      <w:bCs/>
      <w:iCs/>
      <w:color w:val="57595C" w:themeColor="accent6" w:themeShade="BF"/>
      <w:sz w:val="20"/>
      <w:szCs w:val="20"/>
      <w:lang w:val="en-AU"/>
    </w:rPr>
  </w:style>
  <w:style w:type="paragraph" w:styleId="FootnoteText">
    <w:name w:val="footnote text"/>
    <w:basedOn w:val="Normal"/>
    <w:link w:val="FootnoteTextChar"/>
    <w:uiPriority w:val="99"/>
    <w:semiHidden/>
    <w:rsid w:val="00F9113D"/>
    <w:pPr>
      <w:spacing w:after="0" w:line="240" w:lineRule="auto"/>
    </w:pPr>
    <w:rPr>
      <w:sz w:val="16"/>
    </w:rPr>
  </w:style>
  <w:style w:type="character" w:customStyle="1" w:styleId="FootnoteTextChar">
    <w:name w:val="Footnote Text Char"/>
    <w:basedOn w:val="DefaultParagraphFont"/>
    <w:link w:val="FootnoteText"/>
    <w:uiPriority w:val="99"/>
    <w:semiHidden/>
    <w:rsid w:val="00F9113D"/>
    <w:rPr>
      <w:rFonts w:ascii="Calibri" w:hAnsi="Calibri" w:cs="Calibri"/>
      <w:sz w:val="16"/>
      <w:szCs w:val="20"/>
      <w:lang w:val="en-AU"/>
    </w:rPr>
  </w:style>
  <w:style w:type="paragraph" w:customStyle="1" w:styleId="Documenttitle">
    <w:name w:val="Document title"/>
    <w:next w:val="Documentsubtitle"/>
    <w:qFormat/>
    <w:rsid w:val="007C4146"/>
    <w:pPr>
      <w:spacing w:line="440" w:lineRule="atLeast"/>
    </w:pPr>
    <w:rPr>
      <w:rFonts w:eastAsiaTheme="majorEastAsia" w:cstheme="majorBidi"/>
      <w:b/>
      <w:bCs/>
      <w:color w:val="000000"/>
      <w:sz w:val="32"/>
      <w:szCs w:val="28"/>
      <w:lang w:val="en-AU"/>
    </w:rPr>
  </w:style>
  <w:style w:type="paragraph" w:customStyle="1" w:styleId="Subheading">
    <w:name w:val="Subheading"/>
    <w:basedOn w:val="Normal"/>
    <w:next w:val="Normal"/>
    <w:uiPriority w:val="6"/>
    <w:semiHidden/>
    <w:qFormat/>
    <w:rsid w:val="00F9113D"/>
    <w:pPr>
      <w:spacing w:after="0"/>
    </w:pPr>
    <w:rPr>
      <w:rFonts w:eastAsiaTheme="majorEastAsia" w:cstheme="majorBidi"/>
      <w:b/>
      <w:bCs/>
      <w:iCs/>
      <w:color w:val="000000" w:themeColor="text1"/>
    </w:rPr>
  </w:style>
  <w:style w:type="character" w:styleId="FootnoteReference">
    <w:name w:val="footnote reference"/>
    <w:basedOn w:val="DefaultParagraphFont"/>
    <w:uiPriority w:val="99"/>
    <w:semiHidden/>
    <w:rsid w:val="00F9113D"/>
    <w:rPr>
      <w:vertAlign w:val="superscript"/>
      <w:lang w:val="en-AU"/>
    </w:rPr>
  </w:style>
  <w:style w:type="paragraph" w:customStyle="1" w:styleId="Sectionintro">
    <w:name w:val="Section intro"/>
    <w:basedOn w:val="Normal"/>
    <w:next w:val="Normal"/>
    <w:uiPriority w:val="2"/>
    <w:qFormat/>
    <w:rsid w:val="00132CCA"/>
    <w:pPr>
      <w:spacing w:after="360"/>
      <w:contextualSpacing/>
    </w:pPr>
    <w:rPr>
      <w:sz w:val="28"/>
    </w:rPr>
  </w:style>
  <w:style w:type="paragraph" w:customStyle="1" w:styleId="Documentdate">
    <w:name w:val="Document date"/>
    <w:uiPriority w:val="7"/>
    <w:rsid w:val="00F9113D"/>
    <w:rPr>
      <w:color w:val="000000"/>
      <w:lang w:val="en-AU"/>
    </w:rPr>
  </w:style>
  <w:style w:type="paragraph" w:customStyle="1" w:styleId="Heading1un-numbered">
    <w:name w:val="Heading 1 (un-numbered)"/>
    <w:basedOn w:val="Normal"/>
    <w:next w:val="Normal"/>
    <w:uiPriority w:val="2"/>
    <w:qFormat/>
    <w:rsid w:val="00F9113D"/>
    <w:pPr>
      <w:keepNext/>
      <w:keepLines/>
      <w:pageBreakBefore/>
      <w:spacing w:after="480" w:line="720" w:lineRule="atLeast"/>
      <w:outlineLvl w:val="0"/>
    </w:pPr>
    <w:rPr>
      <w:sz w:val="60"/>
    </w:rPr>
  </w:style>
  <w:style w:type="paragraph" w:customStyle="1" w:styleId="PulloutBlue">
    <w:name w:val="Pullout Blue"/>
    <w:basedOn w:val="Normal"/>
    <w:next w:val="Normal"/>
    <w:uiPriority w:val="6"/>
    <w:rsid w:val="00F9113D"/>
    <w:pPr>
      <w:spacing w:after="0" w:line="360" w:lineRule="atLeast"/>
    </w:pPr>
    <w:rPr>
      <w:color w:val="62B5E5" w:themeColor="accent3"/>
      <w:sz w:val="28"/>
    </w:rPr>
  </w:style>
  <w:style w:type="paragraph" w:customStyle="1" w:styleId="Contacttext">
    <w:name w:val="Contact text"/>
    <w:basedOn w:val="Normal"/>
    <w:uiPriority w:val="7"/>
    <w:semiHidden/>
    <w:rsid w:val="00F9113D"/>
    <w:pPr>
      <w:spacing w:after="0"/>
    </w:pPr>
  </w:style>
  <w:style w:type="paragraph" w:customStyle="1" w:styleId="Contactus">
    <w:name w:val="Contact us"/>
    <w:basedOn w:val="Contacttext"/>
    <w:next w:val="Contacttext"/>
    <w:uiPriority w:val="7"/>
    <w:semiHidden/>
    <w:rsid w:val="00F9113D"/>
    <w:pPr>
      <w:spacing w:after="240" w:line="340" w:lineRule="atLeast"/>
    </w:pPr>
    <w:rPr>
      <w:sz w:val="28"/>
    </w:rPr>
  </w:style>
  <w:style w:type="paragraph" w:styleId="Caption">
    <w:name w:val="caption"/>
    <w:basedOn w:val="Normal"/>
    <w:next w:val="Normal"/>
    <w:link w:val="CaptionChar"/>
    <w:uiPriority w:val="3"/>
    <w:qFormat/>
    <w:rsid w:val="00C2024B"/>
    <w:pPr>
      <w:keepNext/>
      <w:keepLines/>
      <w:spacing w:before="120"/>
    </w:pPr>
    <w:rPr>
      <w:iCs/>
      <w:color w:val="74777A"/>
      <w:sz w:val="18"/>
      <w:szCs w:val="18"/>
    </w:rPr>
  </w:style>
  <w:style w:type="character" w:styleId="Hyperlink">
    <w:name w:val="Hyperlink"/>
    <w:basedOn w:val="DefaultParagraphFont"/>
    <w:uiPriority w:val="99"/>
    <w:rsid w:val="00F9113D"/>
    <w:rPr>
      <w:color w:val="00A3E0" w:themeColor="hyperlink"/>
      <w:u w:val="single"/>
      <w:lang w:val="en-AU"/>
    </w:rPr>
  </w:style>
  <w:style w:type="paragraph" w:customStyle="1" w:styleId="PulloutGreen">
    <w:name w:val="Pullout Green"/>
    <w:basedOn w:val="PulloutBlue"/>
    <w:next w:val="Normal"/>
    <w:uiPriority w:val="6"/>
    <w:rsid w:val="00F9113D"/>
    <w:rPr>
      <w:color w:val="86BC25" w:themeColor="accent1"/>
    </w:rPr>
  </w:style>
  <w:style w:type="paragraph" w:customStyle="1" w:styleId="QuotesourceBlue">
    <w:name w:val="Quote source Blue"/>
    <w:basedOn w:val="Normal"/>
    <w:next w:val="Normal"/>
    <w:uiPriority w:val="6"/>
    <w:rsid w:val="00F9113D"/>
    <w:pPr>
      <w:spacing w:after="0"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F9113D"/>
    <w:rPr>
      <w:color w:val="86BC25" w:themeColor="accent1"/>
    </w:rPr>
  </w:style>
  <w:style w:type="paragraph" w:customStyle="1" w:styleId="Paneltext">
    <w:name w:val="Panel text"/>
    <w:basedOn w:val="Normal"/>
    <w:uiPriority w:val="6"/>
    <w:rsid w:val="00F9113D"/>
    <w:pPr>
      <w:spacing w:after="0"/>
    </w:pPr>
    <w:rPr>
      <w:color w:val="FFFFFF"/>
      <w:sz w:val="17"/>
    </w:rPr>
  </w:style>
  <w:style w:type="paragraph" w:customStyle="1" w:styleId="Paneltitle">
    <w:name w:val="Panel title"/>
    <w:basedOn w:val="Paneltext"/>
    <w:next w:val="Paneltext"/>
    <w:uiPriority w:val="6"/>
    <w:rsid w:val="00F9113D"/>
    <w:pPr>
      <w:spacing w:line="360" w:lineRule="atLeast"/>
    </w:pPr>
    <w:rPr>
      <w:b/>
      <w:sz w:val="28"/>
    </w:rPr>
  </w:style>
  <w:style w:type="paragraph" w:customStyle="1" w:styleId="Formoreinfocalloutwhite8512ptPullOutStyles">
    <w:name w:val="For more info call out (white 8.5/12pt) (Pull Out Styles)"/>
    <w:basedOn w:val="Normal"/>
    <w:uiPriority w:val="99"/>
    <w:semiHidden/>
    <w:rsid w:val="00F9113D"/>
    <w:pPr>
      <w:tabs>
        <w:tab w:val="left" w:pos="283"/>
        <w:tab w:val="left" w:pos="567"/>
      </w:tabs>
      <w:suppressAutoHyphens/>
      <w:autoSpaceDE w:val="0"/>
      <w:autoSpaceDN w:val="0"/>
      <w:adjustRightInd w:val="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qFormat/>
    <w:rsid w:val="007C4146"/>
    <w:pPr>
      <w:spacing w:line="440" w:lineRule="atLeast"/>
    </w:pPr>
    <w:rPr>
      <w:color w:val="000000"/>
      <w:sz w:val="28"/>
    </w:rPr>
  </w:style>
  <w:style w:type="paragraph" w:customStyle="1" w:styleId="Contentstitle">
    <w:name w:val="Contents title"/>
    <w:basedOn w:val="Heading1un-numbered"/>
    <w:next w:val="Normal"/>
    <w:uiPriority w:val="7"/>
    <w:semiHidden/>
    <w:rsid w:val="00F9113D"/>
  </w:style>
  <w:style w:type="paragraph" w:styleId="TOC1">
    <w:name w:val="toc 1"/>
    <w:basedOn w:val="Normal"/>
    <w:next w:val="Normal"/>
    <w:uiPriority w:val="39"/>
    <w:rsid w:val="00271D10"/>
    <w:pPr>
      <w:tabs>
        <w:tab w:val="left" w:pos="567"/>
        <w:tab w:val="right" w:pos="8959"/>
      </w:tabs>
      <w:spacing w:line="320" w:lineRule="atLeast"/>
      <w:ind w:left="567" w:right="567" w:hanging="567"/>
    </w:pPr>
  </w:style>
  <w:style w:type="paragraph" w:customStyle="1" w:styleId="Quotetext">
    <w:name w:val="Quote text"/>
    <w:basedOn w:val="PulloutBlue"/>
    <w:uiPriority w:val="6"/>
    <w:rsid w:val="00F9113D"/>
    <w:pPr>
      <w:spacing w:line="720" w:lineRule="atLeast"/>
    </w:pPr>
    <w:rPr>
      <w:color w:val="FFFFFF"/>
      <w:sz w:val="60"/>
    </w:rPr>
  </w:style>
  <w:style w:type="paragraph" w:customStyle="1" w:styleId="Legaltext">
    <w:name w:val="Legal text"/>
    <w:basedOn w:val="Normal"/>
    <w:uiPriority w:val="7"/>
    <w:semiHidden/>
    <w:qFormat/>
    <w:rsid w:val="00F9113D"/>
    <w:pPr>
      <w:spacing w:after="0" w:line="180" w:lineRule="atLeast"/>
    </w:pPr>
    <w:rPr>
      <w:sz w:val="14"/>
    </w:rPr>
  </w:style>
  <w:style w:type="table" w:customStyle="1" w:styleId="Deloittetable">
    <w:name w:val="Deloitte table"/>
    <w:basedOn w:val="TableNormal"/>
    <w:uiPriority w:val="99"/>
    <w:rsid w:val="005C6F31"/>
    <w:pPr>
      <w:ind w:left="57" w:right="57"/>
    </w:pPr>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Left">
    <w:name w:val="Table text Left"/>
    <w:basedOn w:val="Normal"/>
    <w:link w:val="TabletextLeftChar"/>
    <w:uiPriority w:val="5"/>
    <w:rsid w:val="004A4474"/>
    <w:pPr>
      <w:spacing w:after="0" w:line="200" w:lineRule="atLeast"/>
      <w:ind w:left="57" w:right="57"/>
    </w:pPr>
    <w:rPr>
      <w:sz w:val="17"/>
    </w:rPr>
  </w:style>
  <w:style w:type="paragraph" w:customStyle="1" w:styleId="TableHeadingLeft">
    <w:name w:val="Table Heading Left"/>
    <w:basedOn w:val="TabletextLeft"/>
    <w:link w:val="TableHeadingLeftChar"/>
    <w:uiPriority w:val="5"/>
    <w:rsid w:val="00625BDB"/>
    <w:rPr>
      <w:b/>
      <w:color w:val="62B5E5" w:themeColor="accent3"/>
    </w:rPr>
  </w:style>
  <w:style w:type="paragraph" w:customStyle="1" w:styleId="Source">
    <w:name w:val="Source"/>
    <w:basedOn w:val="Caption"/>
    <w:next w:val="Normal"/>
    <w:uiPriority w:val="6"/>
    <w:rsid w:val="00B5479F"/>
    <w:pPr>
      <w:keepNext w:val="0"/>
      <w:keepLines w:val="0"/>
    </w:pPr>
    <w:rPr>
      <w:sz w:val="14"/>
    </w:rPr>
  </w:style>
  <w:style w:type="paragraph" w:customStyle="1" w:styleId="Tablebullets">
    <w:name w:val="Table bullets"/>
    <w:basedOn w:val="TabletextLeft"/>
    <w:uiPriority w:val="5"/>
    <w:rsid w:val="00F9113D"/>
    <w:pPr>
      <w:framePr w:hSpace="180" w:wrap="around" w:vAnchor="text" w:hAnchor="text" w:y="1"/>
      <w:numPr>
        <w:numId w:val="8"/>
      </w:numPr>
      <w:suppressOverlap/>
    </w:pPr>
  </w:style>
  <w:style w:type="paragraph" w:customStyle="1" w:styleId="Tablenumbered">
    <w:name w:val="Table numbered"/>
    <w:basedOn w:val="TabletextLeft"/>
    <w:uiPriority w:val="5"/>
    <w:rsid w:val="00F9113D"/>
    <w:pPr>
      <w:framePr w:hSpace="180" w:wrap="around" w:vAnchor="text" w:hAnchor="text" w:y="1"/>
      <w:numPr>
        <w:numId w:val="9"/>
      </w:numPr>
      <w:suppressOverlap/>
    </w:pPr>
  </w:style>
  <w:style w:type="paragraph" w:customStyle="1" w:styleId="Charttitle">
    <w:name w:val="Chart title"/>
    <w:uiPriority w:val="7"/>
    <w:rsid w:val="00F9113D"/>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F9113D"/>
  </w:style>
  <w:style w:type="paragraph" w:styleId="BlockText">
    <w:name w:val="Block Text"/>
    <w:basedOn w:val="Normal"/>
    <w:uiPriority w:val="99"/>
    <w:semiHidden/>
    <w:rsid w:val="00F9113D"/>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semiHidden/>
    <w:rsid w:val="00F9113D"/>
    <w:pPr>
      <w:spacing w:after="240"/>
    </w:pPr>
  </w:style>
  <w:style w:type="character" w:customStyle="1" w:styleId="BodyTextChar">
    <w:name w:val="Body Text Char"/>
    <w:basedOn w:val="DefaultParagraphFont"/>
    <w:link w:val="BodyText"/>
    <w:semiHidden/>
    <w:rsid w:val="00D24870"/>
  </w:style>
  <w:style w:type="paragraph" w:styleId="BodyText2">
    <w:name w:val="Body Text 2"/>
    <w:basedOn w:val="Normal"/>
    <w:link w:val="BodyText2Char"/>
    <w:uiPriority w:val="99"/>
    <w:semiHidden/>
    <w:rsid w:val="00F9113D"/>
    <w:pPr>
      <w:spacing w:line="480" w:lineRule="auto"/>
    </w:pPr>
  </w:style>
  <w:style w:type="character" w:customStyle="1" w:styleId="BodyText2Char">
    <w:name w:val="Body Text 2 Char"/>
    <w:basedOn w:val="DefaultParagraphFont"/>
    <w:link w:val="BodyText2"/>
    <w:uiPriority w:val="99"/>
    <w:semiHidden/>
    <w:rsid w:val="00F9113D"/>
    <w:rPr>
      <w:rFonts w:ascii="Calibri" w:hAnsi="Calibri" w:cs="Calibri"/>
      <w:sz w:val="20"/>
      <w:szCs w:val="20"/>
      <w:lang w:val="en-AU"/>
    </w:rPr>
  </w:style>
  <w:style w:type="paragraph" w:styleId="BodyText3">
    <w:name w:val="Body Text 3"/>
    <w:basedOn w:val="Normal"/>
    <w:link w:val="BodyText3Char"/>
    <w:uiPriority w:val="99"/>
    <w:semiHidden/>
    <w:rsid w:val="00F9113D"/>
    <w:rPr>
      <w:sz w:val="16"/>
      <w:szCs w:val="16"/>
    </w:rPr>
  </w:style>
  <w:style w:type="character" w:customStyle="1" w:styleId="BodyText3Char">
    <w:name w:val="Body Text 3 Char"/>
    <w:basedOn w:val="DefaultParagraphFont"/>
    <w:link w:val="BodyText3"/>
    <w:uiPriority w:val="99"/>
    <w:semiHidden/>
    <w:rsid w:val="00F9113D"/>
    <w:rPr>
      <w:rFonts w:ascii="Calibri" w:hAnsi="Calibri" w:cs="Calibri"/>
      <w:sz w:val="16"/>
      <w:szCs w:val="16"/>
      <w:lang w:val="en-AU"/>
    </w:rPr>
  </w:style>
  <w:style w:type="paragraph" w:styleId="BodyTextFirstIndent">
    <w:name w:val="Body Text First Indent"/>
    <w:basedOn w:val="BodyText"/>
    <w:link w:val="BodyTextFirstIndentChar"/>
    <w:uiPriority w:val="99"/>
    <w:semiHidden/>
    <w:rsid w:val="00F9113D"/>
    <w:pPr>
      <w:ind w:firstLine="360"/>
    </w:pPr>
  </w:style>
  <w:style w:type="character" w:customStyle="1" w:styleId="BodyTextFirstIndentChar">
    <w:name w:val="Body Text First Indent Char"/>
    <w:basedOn w:val="BodyTextChar"/>
    <w:link w:val="BodyTextFirstIndent"/>
    <w:uiPriority w:val="99"/>
    <w:semiHidden/>
    <w:rsid w:val="00F9113D"/>
  </w:style>
  <w:style w:type="paragraph" w:styleId="BodyTextIndent">
    <w:name w:val="Body Text Indent"/>
    <w:basedOn w:val="Normal"/>
    <w:link w:val="BodyTextIndentChar"/>
    <w:uiPriority w:val="99"/>
    <w:semiHidden/>
    <w:rsid w:val="00F9113D"/>
    <w:pPr>
      <w:ind w:left="283"/>
    </w:pPr>
  </w:style>
  <w:style w:type="character" w:customStyle="1" w:styleId="BodyTextIndentChar">
    <w:name w:val="Body Text Indent Char"/>
    <w:basedOn w:val="DefaultParagraphFont"/>
    <w:link w:val="BodyTextIndent"/>
    <w:uiPriority w:val="99"/>
    <w:semiHidden/>
    <w:rsid w:val="00F9113D"/>
    <w:rPr>
      <w:rFonts w:ascii="Calibri" w:hAnsi="Calibri" w:cs="Calibri"/>
      <w:sz w:val="20"/>
      <w:szCs w:val="20"/>
      <w:lang w:val="en-AU"/>
    </w:rPr>
  </w:style>
  <w:style w:type="paragraph" w:styleId="BodyTextFirstIndent2">
    <w:name w:val="Body Text First Indent 2"/>
    <w:basedOn w:val="BodyTextIndent"/>
    <w:link w:val="BodyTextFirstIndent2Char"/>
    <w:uiPriority w:val="99"/>
    <w:semiHidden/>
    <w:rsid w:val="00F9113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9113D"/>
    <w:rPr>
      <w:rFonts w:ascii="Calibri" w:hAnsi="Calibri" w:cs="Calibri"/>
      <w:sz w:val="20"/>
      <w:szCs w:val="20"/>
      <w:lang w:val="en-AU"/>
    </w:rPr>
  </w:style>
  <w:style w:type="paragraph" w:styleId="BodyTextIndent2">
    <w:name w:val="Body Text Indent 2"/>
    <w:basedOn w:val="Normal"/>
    <w:link w:val="BodyTextIndent2Char"/>
    <w:uiPriority w:val="99"/>
    <w:semiHidden/>
    <w:rsid w:val="00F9113D"/>
    <w:pPr>
      <w:spacing w:line="480" w:lineRule="auto"/>
      <w:ind w:left="283"/>
    </w:pPr>
  </w:style>
  <w:style w:type="character" w:customStyle="1" w:styleId="BodyTextIndent2Char">
    <w:name w:val="Body Text Indent 2 Char"/>
    <w:basedOn w:val="DefaultParagraphFont"/>
    <w:link w:val="BodyTextIndent2"/>
    <w:uiPriority w:val="99"/>
    <w:semiHidden/>
    <w:rsid w:val="00F9113D"/>
    <w:rPr>
      <w:rFonts w:ascii="Calibri" w:hAnsi="Calibri" w:cs="Calibri"/>
      <w:sz w:val="20"/>
      <w:szCs w:val="20"/>
      <w:lang w:val="en-AU"/>
    </w:rPr>
  </w:style>
  <w:style w:type="paragraph" w:styleId="BodyTextIndent3">
    <w:name w:val="Body Text Indent 3"/>
    <w:basedOn w:val="Normal"/>
    <w:link w:val="BodyTextIndent3Char"/>
    <w:uiPriority w:val="99"/>
    <w:semiHidden/>
    <w:rsid w:val="00F9113D"/>
    <w:pPr>
      <w:ind w:left="283"/>
    </w:pPr>
    <w:rPr>
      <w:sz w:val="16"/>
      <w:szCs w:val="16"/>
    </w:rPr>
  </w:style>
  <w:style w:type="character" w:customStyle="1" w:styleId="BodyTextIndent3Char">
    <w:name w:val="Body Text Indent 3 Char"/>
    <w:basedOn w:val="DefaultParagraphFont"/>
    <w:link w:val="BodyTextIndent3"/>
    <w:uiPriority w:val="99"/>
    <w:semiHidden/>
    <w:rsid w:val="00F9113D"/>
    <w:rPr>
      <w:rFonts w:ascii="Calibri" w:hAnsi="Calibri" w:cs="Calibri"/>
      <w:sz w:val="16"/>
      <w:szCs w:val="16"/>
      <w:lang w:val="en-AU"/>
    </w:rPr>
  </w:style>
  <w:style w:type="character" w:styleId="BookTitle">
    <w:name w:val="Book Title"/>
    <w:basedOn w:val="DefaultParagraphFont"/>
    <w:uiPriority w:val="99"/>
    <w:semiHidden/>
    <w:qFormat/>
    <w:rsid w:val="00F9113D"/>
    <w:rPr>
      <w:b/>
      <w:bCs/>
      <w:smallCaps/>
      <w:spacing w:val="5"/>
      <w:lang w:val="en-AU"/>
    </w:rPr>
  </w:style>
  <w:style w:type="paragraph" w:styleId="Closing">
    <w:name w:val="Closing"/>
    <w:basedOn w:val="Normal"/>
    <w:link w:val="ClosingChar"/>
    <w:uiPriority w:val="99"/>
    <w:semiHidden/>
    <w:rsid w:val="00F9113D"/>
    <w:pPr>
      <w:spacing w:line="240" w:lineRule="auto"/>
      <w:ind w:left="4252"/>
    </w:pPr>
  </w:style>
  <w:style w:type="character" w:customStyle="1" w:styleId="ClosingChar">
    <w:name w:val="Closing Char"/>
    <w:basedOn w:val="DefaultParagraphFont"/>
    <w:link w:val="Closing"/>
    <w:uiPriority w:val="99"/>
    <w:semiHidden/>
    <w:rsid w:val="00F9113D"/>
  </w:style>
  <w:style w:type="table" w:styleId="ColorfulGrid">
    <w:name w:val="Colorful Grid"/>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F9113D"/>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9113D"/>
    <w:pPr>
      <w:spacing w:line="240" w:lineRule="auto"/>
    </w:pPr>
    <w:rPr>
      <w:color w:val="000000" w:themeColor="text1"/>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F9113D"/>
    <w:pPr>
      <w:spacing w:line="240" w:lineRule="auto"/>
    </w:pPr>
    <w:rPr>
      <w:color w:val="000000" w:themeColor="text1"/>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F9113D"/>
    <w:pPr>
      <w:spacing w:line="240" w:lineRule="auto"/>
    </w:pPr>
    <w:rPr>
      <w:color w:val="000000" w:themeColor="text1"/>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F9113D"/>
    <w:pPr>
      <w:spacing w:line="240" w:lineRule="auto"/>
    </w:pPr>
    <w:rPr>
      <w:color w:val="000000" w:themeColor="text1"/>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F9113D"/>
    <w:pPr>
      <w:spacing w:line="240" w:lineRule="auto"/>
    </w:pPr>
    <w:rPr>
      <w:color w:val="000000" w:themeColor="text1"/>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F9113D"/>
    <w:pPr>
      <w:spacing w:line="240" w:lineRule="auto"/>
    </w:pPr>
    <w:rPr>
      <w:color w:val="000000" w:themeColor="text1"/>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9113D"/>
    <w:pPr>
      <w:spacing w:line="240" w:lineRule="auto"/>
    </w:pPr>
    <w:rPr>
      <w:color w:val="000000" w:themeColor="text1"/>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F9113D"/>
    <w:pPr>
      <w:spacing w:line="240" w:lineRule="auto"/>
    </w:pPr>
    <w:rPr>
      <w:color w:val="000000" w:themeColor="text1"/>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9113D"/>
    <w:pPr>
      <w:spacing w:line="240" w:lineRule="auto"/>
    </w:pPr>
    <w:rPr>
      <w:color w:val="000000" w:themeColor="text1"/>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9113D"/>
    <w:pPr>
      <w:spacing w:line="240" w:lineRule="auto"/>
    </w:pPr>
    <w:rPr>
      <w:color w:val="000000" w:themeColor="text1"/>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F9113D"/>
    <w:rPr>
      <w:sz w:val="16"/>
      <w:szCs w:val="16"/>
      <w:lang w:val="en-AU"/>
    </w:rPr>
  </w:style>
  <w:style w:type="paragraph" w:styleId="CommentText">
    <w:name w:val="annotation text"/>
    <w:basedOn w:val="Normal"/>
    <w:link w:val="CommentTextChar"/>
    <w:uiPriority w:val="99"/>
    <w:rsid w:val="00F9113D"/>
    <w:pPr>
      <w:spacing w:line="240" w:lineRule="auto"/>
    </w:pPr>
  </w:style>
  <w:style w:type="character" w:customStyle="1" w:styleId="CommentTextChar">
    <w:name w:val="Comment Text Char"/>
    <w:basedOn w:val="DefaultParagraphFont"/>
    <w:link w:val="CommentText"/>
    <w:uiPriority w:val="99"/>
    <w:rsid w:val="00F9113D"/>
    <w:rPr>
      <w:rFonts w:ascii="Calibri" w:hAnsi="Calibri" w:cs="Calibri"/>
      <w:sz w:val="20"/>
      <w:szCs w:val="20"/>
      <w:lang w:val="en-AU"/>
    </w:rPr>
  </w:style>
  <w:style w:type="paragraph" w:styleId="CommentSubject">
    <w:name w:val="annotation subject"/>
    <w:basedOn w:val="CommentText"/>
    <w:next w:val="CommentText"/>
    <w:link w:val="CommentSubjectChar"/>
    <w:uiPriority w:val="99"/>
    <w:semiHidden/>
    <w:rsid w:val="00F9113D"/>
    <w:rPr>
      <w:b/>
      <w:bCs/>
    </w:rPr>
  </w:style>
  <w:style w:type="character" w:customStyle="1" w:styleId="CommentSubjectChar">
    <w:name w:val="Comment Subject Char"/>
    <w:basedOn w:val="CommentTextChar"/>
    <w:link w:val="CommentSubject"/>
    <w:uiPriority w:val="99"/>
    <w:semiHidden/>
    <w:rsid w:val="00F9113D"/>
    <w:rPr>
      <w:rFonts w:ascii="Calibri" w:hAnsi="Calibri" w:cs="Calibri"/>
      <w:b/>
      <w:bCs/>
      <w:sz w:val="20"/>
      <w:szCs w:val="20"/>
      <w:lang w:val="en-AU"/>
    </w:rPr>
  </w:style>
  <w:style w:type="table" w:styleId="DarkList">
    <w:name w:val="Dark List"/>
    <w:basedOn w:val="TableNormal"/>
    <w:uiPriority w:val="70"/>
    <w:rsid w:val="00F9113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9113D"/>
    <w:pPr>
      <w:spacing w:line="240" w:lineRule="auto"/>
    </w:pPr>
    <w:rPr>
      <w:color w:val="FFFFFF" w:themeColor="background1"/>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F9113D"/>
    <w:pPr>
      <w:spacing w:line="240" w:lineRule="auto"/>
    </w:pPr>
    <w:rPr>
      <w:color w:val="FFFFFF" w:themeColor="background1"/>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F9113D"/>
    <w:pPr>
      <w:spacing w:line="240" w:lineRule="auto"/>
    </w:pPr>
    <w:rPr>
      <w:color w:val="FFFFFF" w:themeColor="background1"/>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F9113D"/>
    <w:pPr>
      <w:spacing w:line="240" w:lineRule="auto"/>
    </w:pPr>
    <w:rPr>
      <w:color w:val="FFFFFF" w:themeColor="background1"/>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F9113D"/>
    <w:pPr>
      <w:spacing w:line="240" w:lineRule="auto"/>
    </w:pPr>
    <w:rPr>
      <w:color w:val="FFFFFF" w:themeColor="background1"/>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F9113D"/>
    <w:pPr>
      <w:spacing w:line="240" w:lineRule="auto"/>
    </w:pPr>
    <w:rPr>
      <w:color w:val="FFFFFF" w:themeColor="background1"/>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F9113D"/>
  </w:style>
  <w:style w:type="character" w:customStyle="1" w:styleId="DateChar">
    <w:name w:val="Date Char"/>
    <w:basedOn w:val="DefaultParagraphFont"/>
    <w:link w:val="Date"/>
    <w:uiPriority w:val="99"/>
    <w:semiHidden/>
    <w:rsid w:val="00F9113D"/>
  </w:style>
  <w:style w:type="paragraph" w:styleId="DocumentMap">
    <w:name w:val="Document Map"/>
    <w:basedOn w:val="Normal"/>
    <w:link w:val="DocumentMapChar"/>
    <w:uiPriority w:val="99"/>
    <w:semiHidden/>
    <w:rsid w:val="00F911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113D"/>
    <w:rPr>
      <w:rFonts w:ascii="Tahoma" w:hAnsi="Tahoma" w:cs="Tahoma"/>
      <w:sz w:val="16"/>
      <w:szCs w:val="16"/>
    </w:rPr>
  </w:style>
  <w:style w:type="paragraph" w:styleId="E-mailSignature">
    <w:name w:val="E-mail Signature"/>
    <w:basedOn w:val="Normal"/>
    <w:link w:val="E-mailSignatureChar"/>
    <w:uiPriority w:val="99"/>
    <w:semiHidden/>
    <w:rsid w:val="00F9113D"/>
    <w:pPr>
      <w:spacing w:line="240" w:lineRule="auto"/>
    </w:pPr>
  </w:style>
  <w:style w:type="character" w:customStyle="1" w:styleId="E-mailSignatureChar">
    <w:name w:val="E-mail Signature Char"/>
    <w:basedOn w:val="DefaultParagraphFont"/>
    <w:link w:val="E-mailSignature"/>
    <w:uiPriority w:val="99"/>
    <w:semiHidden/>
    <w:rsid w:val="00F9113D"/>
  </w:style>
  <w:style w:type="character" w:styleId="Emphasis">
    <w:name w:val="Emphasis"/>
    <w:basedOn w:val="DefaultParagraphFont"/>
    <w:uiPriority w:val="20"/>
    <w:rsid w:val="00DF06E9"/>
    <w:rPr>
      <w:b/>
      <w:i w:val="0"/>
      <w:iCs/>
      <w:color w:val="44546A" w:themeColor="text2"/>
      <w:lang w:val="en-AU"/>
    </w:rPr>
  </w:style>
  <w:style w:type="character" w:styleId="EndnoteReference">
    <w:name w:val="endnote reference"/>
    <w:basedOn w:val="DefaultParagraphFont"/>
    <w:uiPriority w:val="99"/>
    <w:semiHidden/>
    <w:rsid w:val="00F9113D"/>
    <w:rPr>
      <w:vertAlign w:val="superscript"/>
      <w:lang w:val="en-AU"/>
    </w:rPr>
  </w:style>
  <w:style w:type="paragraph" w:styleId="EndnoteText">
    <w:name w:val="endnote text"/>
    <w:basedOn w:val="Normal"/>
    <w:link w:val="EndnoteTextChar"/>
    <w:uiPriority w:val="99"/>
    <w:semiHidden/>
    <w:rsid w:val="00A32309"/>
    <w:pPr>
      <w:spacing w:line="240" w:lineRule="auto"/>
    </w:pPr>
  </w:style>
  <w:style w:type="character" w:customStyle="1" w:styleId="EndnoteTextChar">
    <w:name w:val="Endnote Text Char"/>
    <w:basedOn w:val="DefaultParagraphFont"/>
    <w:link w:val="EndnoteText"/>
    <w:uiPriority w:val="99"/>
    <w:semiHidden/>
    <w:rsid w:val="00A32309"/>
    <w:rPr>
      <w:rFonts w:ascii="Calibri" w:hAnsi="Calibri" w:cs="Calibri"/>
      <w:sz w:val="20"/>
      <w:szCs w:val="20"/>
      <w:lang w:val="en-AU"/>
    </w:rPr>
  </w:style>
  <w:style w:type="paragraph" w:styleId="EnvelopeAddress">
    <w:name w:val="envelope address"/>
    <w:basedOn w:val="Normal"/>
    <w:uiPriority w:val="99"/>
    <w:semiHidden/>
    <w:rsid w:val="00F9113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9113D"/>
    <w:pPr>
      <w:spacing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rsid w:val="00F9113D"/>
    <w:rPr>
      <w:color w:val="53565A"/>
      <w:u w:val="single"/>
      <w:lang w:val="en-AU"/>
    </w:rPr>
  </w:style>
  <w:style w:type="character" w:customStyle="1" w:styleId="Heading5Char">
    <w:name w:val="Heading 5 Char"/>
    <w:basedOn w:val="DefaultParagraphFont"/>
    <w:link w:val="Heading5"/>
    <w:uiPriority w:val="1"/>
    <w:rsid w:val="00C50447"/>
    <w:rPr>
      <w:rFonts w:ascii="Calibri" w:eastAsiaTheme="majorEastAsia" w:hAnsi="Calibri" w:cstheme="majorBidi"/>
      <w:b/>
      <w:sz w:val="20"/>
      <w:szCs w:val="20"/>
      <w:lang w:val="en-AU"/>
    </w:rPr>
  </w:style>
  <w:style w:type="character" w:customStyle="1" w:styleId="Heading6Char">
    <w:name w:val="Heading 6 Char"/>
    <w:basedOn w:val="DefaultParagraphFont"/>
    <w:link w:val="Heading6"/>
    <w:uiPriority w:val="1"/>
    <w:semiHidden/>
    <w:rsid w:val="00F9113D"/>
    <w:rPr>
      <w:rFonts w:ascii="Calibri" w:eastAsiaTheme="majorEastAsia" w:hAnsi="Calibri" w:cstheme="majorBidi"/>
      <w:b/>
      <w:iCs/>
      <w:sz w:val="20"/>
      <w:szCs w:val="20"/>
      <w:lang w:val="en-AU"/>
    </w:rPr>
  </w:style>
  <w:style w:type="character" w:customStyle="1" w:styleId="Heading7Char">
    <w:name w:val="Heading 7 Char"/>
    <w:basedOn w:val="DefaultParagraphFont"/>
    <w:link w:val="Heading7"/>
    <w:uiPriority w:val="1"/>
    <w:semiHidden/>
    <w:rsid w:val="00F9113D"/>
    <w:rPr>
      <w:rFonts w:eastAsiaTheme="majorEastAsia" w:cstheme="majorBidi"/>
      <w:b/>
      <w:iCs/>
    </w:rPr>
  </w:style>
  <w:style w:type="character" w:customStyle="1" w:styleId="Heading8Char">
    <w:name w:val="Heading 8 Char"/>
    <w:basedOn w:val="DefaultParagraphFont"/>
    <w:link w:val="Heading8"/>
    <w:uiPriority w:val="1"/>
    <w:semiHidden/>
    <w:rsid w:val="00F9113D"/>
    <w:rPr>
      <w:rFonts w:ascii="Calibri" w:eastAsiaTheme="majorEastAsia" w:hAnsi="Calibri" w:cstheme="majorBidi"/>
      <w:b/>
      <w:sz w:val="20"/>
      <w:szCs w:val="20"/>
      <w:lang w:val="en-AU"/>
    </w:rPr>
  </w:style>
  <w:style w:type="character" w:customStyle="1" w:styleId="Heading9Char">
    <w:name w:val="Heading 9 Char"/>
    <w:basedOn w:val="DefaultParagraphFont"/>
    <w:link w:val="Heading9"/>
    <w:uiPriority w:val="1"/>
    <w:semiHidden/>
    <w:rsid w:val="00F9113D"/>
    <w:rPr>
      <w:rFonts w:ascii="Calibri" w:eastAsiaTheme="majorEastAsia" w:hAnsi="Calibri" w:cstheme="majorBidi"/>
      <w:b/>
      <w:iCs/>
      <w:sz w:val="20"/>
      <w:szCs w:val="20"/>
      <w:lang w:val="en-AU"/>
    </w:rPr>
  </w:style>
  <w:style w:type="character" w:styleId="HTMLAcronym">
    <w:name w:val="HTML Acronym"/>
    <w:basedOn w:val="DefaultParagraphFont"/>
    <w:uiPriority w:val="99"/>
    <w:semiHidden/>
    <w:rsid w:val="00F9113D"/>
    <w:rPr>
      <w:lang w:val="en-AU"/>
    </w:rPr>
  </w:style>
  <w:style w:type="paragraph" w:styleId="HTMLAddress">
    <w:name w:val="HTML Address"/>
    <w:basedOn w:val="Normal"/>
    <w:link w:val="HTMLAddressChar"/>
    <w:uiPriority w:val="99"/>
    <w:semiHidden/>
    <w:rsid w:val="00F9113D"/>
    <w:pPr>
      <w:spacing w:line="240" w:lineRule="auto"/>
    </w:pPr>
    <w:rPr>
      <w:i/>
      <w:iCs/>
    </w:rPr>
  </w:style>
  <w:style w:type="character" w:customStyle="1" w:styleId="HTMLAddressChar">
    <w:name w:val="HTML Address Char"/>
    <w:basedOn w:val="DefaultParagraphFont"/>
    <w:link w:val="HTMLAddress"/>
    <w:uiPriority w:val="99"/>
    <w:semiHidden/>
    <w:rsid w:val="00F9113D"/>
    <w:rPr>
      <w:i/>
      <w:iCs/>
    </w:rPr>
  </w:style>
  <w:style w:type="character" w:styleId="HTMLCite">
    <w:name w:val="HTML Cite"/>
    <w:basedOn w:val="DefaultParagraphFont"/>
    <w:uiPriority w:val="99"/>
    <w:semiHidden/>
    <w:rsid w:val="00F9113D"/>
    <w:rPr>
      <w:i/>
      <w:iCs/>
      <w:lang w:val="en-AU"/>
    </w:rPr>
  </w:style>
  <w:style w:type="character" w:styleId="HTMLCode">
    <w:name w:val="HTML Code"/>
    <w:basedOn w:val="DefaultParagraphFont"/>
    <w:uiPriority w:val="99"/>
    <w:semiHidden/>
    <w:rsid w:val="00F9113D"/>
    <w:rPr>
      <w:rFonts w:ascii="Consolas" w:hAnsi="Consolas"/>
      <w:sz w:val="20"/>
      <w:szCs w:val="20"/>
      <w:lang w:val="en-AU"/>
    </w:rPr>
  </w:style>
  <w:style w:type="character" w:styleId="HTMLDefinition">
    <w:name w:val="HTML Definition"/>
    <w:basedOn w:val="DefaultParagraphFont"/>
    <w:uiPriority w:val="99"/>
    <w:semiHidden/>
    <w:rsid w:val="00F9113D"/>
    <w:rPr>
      <w:i/>
      <w:iCs/>
      <w:lang w:val="en-AU"/>
    </w:rPr>
  </w:style>
  <w:style w:type="character" w:styleId="HTMLKeyboard">
    <w:name w:val="HTML Keyboard"/>
    <w:basedOn w:val="DefaultParagraphFont"/>
    <w:uiPriority w:val="99"/>
    <w:semiHidden/>
    <w:rsid w:val="00F9113D"/>
    <w:rPr>
      <w:rFonts w:ascii="Consolas" w:hAnsi="Consolas"/>
      <w:sz w:val="20"/>
      <w:szCs w:val="20"/>
      <w:lang w:val="en-AU"/>
    </w:rPr>
  </w:style>
  <w:style w:type="paragraph" w:styleId="HTMLPreformatted">
    <w:name w:val="HTML Preformatted"/>
    <w:basedOn w:val="Normal"/>
    <w:link w:val="HTMLPreformattedChar"/>
    <w:uiPriority w:val="99"/>
    <w:semiHidden/>
    <w:rsid w:val="00F9113D"/>
    <w:pPr>
      <w:spacing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F9113D"/>
    <w:rPr>
      <w:rFonts w:ascii="Consolas" w:hAnsi="Consolas" w:cs="Calibri"/>
      <w:sz w:val="20"/>
      <w:szCs w:val="20"/>
      <w:lang w:val="en-AU"/>
    </w:rPr>
  </w:style>
  <w:style w:type="character" w:styleId="HTMLSample">
    <w:name w:val="HTML Sample"/>
    <w:basedOn w:val="DefaultParagraphFont"/>
    <w:uiPriority w:val="99"/>
    <w:semiHidden/>
    <w:rsid w:val="00F9113D"/>
    <w:rPr>
      <w:rFonts w:ascii="Consolas" w:hAnsi="Consolas"/>
      <w:sz w:val="24"/>
      <w:szCs w:val="24"/>
      <w:lang w:val="en-AU"/>
    </w:rPr>
  </w:style>
  <w:style w:type="character" w:styleId="HTMLTypewriter">
    <w:name w:val="HTML Typewriter"/>
    <w:basedOn w:val="DefaultParagraphFont"/>
    <w:uiPriority w:val="99"/>
    <w:semiHidden/>
    <w:rsid w:val="00F9113D"/>
    <w:rPr>
      <w:rFonts w:ascii="Consolas" w:hAnsi="Consolas"/>
      <w:sz w:val="20"/>
      <w:szCs w:val="20"/>
      <w:lang w:val="en-AU"/>
    </w:rPr>
  </w:style>
  <w:style w:type="character" w:styleId="HTMLVariable">
    <w:name w:val="HTML Variable"/>
    <w:basedOn w:val="DefaultParagraphFont"/>
    <w:uiPriority w:val="99"/>
    <w:semiHidden/>
    <w:rsid w:val="00F9113D"/>
    <w:rPr>
      <w:i/>
      <w:iCs/>
      <w:lang w:val="en-AU"/>
    </w:rPr>
  </w:style>
  <w:style w:type="paragraph" w:styleId="Index1">
    <w:name w:val="index 1"/>
    <w:basedOn w:val="Normal"/>
    <w:next w:val="Normal"/>
    <w:autoRedefine/>
    <w:uiPriority w:val="99"/>
    <w:semiHidden/>
    <w:rsid w:val="00F9113D"/>
    <w:pPr>
      <w:spacing w:line="240" w:lineRule="auto"/>
      <w:ind w:left="180" w:hanging="180"/>
    </w:pPr>
  </w:style>
  <w:style w:type="paragraph" w:styleId="Index2">
    <w:name w:val="index 2"/>
    <w:basedOn w:val="Normal"/>
    <w:next w:val="Normal"/>
    <w:autoRedefine/>
    <w:uiPriority w:val="99"/>
    <w:semiHidden/>
    <w:rsid w:val="00F9113D"/>
    <w:pPr>
      <w:spacing w:line="240" w:lineRule="auto"/>
      <w:ind w:left="360" w:hanging="180"/>
    </w:pPr>
  </w:style>
  <w:style w:type="paragraph" w:styleId="Index3">
    <w:name w:val="index 3"/>
    <w:basedOn w:val="Normal"/>
    <w:next w:val="Normal"/>
    <w:autoRedefine/>
    <w:uiPriority w:val="99"/>
    <w:semiHidden/>
    <w:rsid w:val="00F9113D"/>
    <w:pPr>
      <w:spacing w:line="240" w:lineRule="auto"/>
      <w:ind w:left="540" w:hanging="180"/>
    </w:pPr>
  </w:style>
  <w:style w:type="paragraph" w:styleId="Index4">
    <w:name w:val="index 4"/>
    <w:basedOn w:val="Normal"/>
    <w:next w:val="Normal"/>
    <w:autoRedefine/>
    <w:uiPriority w:val="99"/>
    <w:semiHidden/>
    <w:rsid w:val="00F9113D"/>
    <w:pPr>
      <w:spacing w:line="240" w:lineRule="auto"/>
      <w:ind w:left="720" w:hanging="180"/>
    </w:pPr>
  </w:style>
  <w:style w:type="paragraph" w:styleId="Index5">
    <w:name w:val="index 5"/>
    <w:basedOn w:val="Normal"/>
    <w:next w:val="Normal"/>
    <w:autoRedefine/>
    <w:uiPriority w:val="99"/>
    <w:semiHidden/>
    <w:rsid w:val="00F9113D"/>
    <w:pPr>
      <w:spacing w:line="240" w:lineRule="auto"/>
      <w:ind w:left="900" w:hanging="180"/>
    </w:pPr>
  </w:style>
  <w:style w:type="paragraph" w:styleId="Index6">
    <w:name w:val="index 6"/>
    <w:basedOn w:val="Normal"/>
    <w:next w:val="Normal"/>
    <w:autoRedefine/>
    <w:uiPriority w:val="99"/>
    <w:semiHidden/>
    <w:rsid w:val="00F9113D"/>
    <w:pPr>
      <w:spacing w:line="240" w:lineRule="auto"/>
      <w:ind w:left="1080" w:hanging="180"/>
    </w:pPr>
  </w:style>
  <w:style w:type="paragraph" w:styleId="Index7">
    <w:name w:val="index 7"/>
    <w:basedOn w:val="Normal"/>
    <w:next w:val="Normal"/>
    <w:autoRedefine/>
    <w:uiPriority w:val="99"/>
    <w:semiHidden/>
    <w:rsid w:val="00F9113D"/>
    <w:pPr>
      <w:spacing w:line="240" w:lineRule="auto"/>
      <w:ind w:left="1260" w:hanging="180"/>
    </w:pPr>
  </w:style>
  <w:style w:type="paragraph" w:styleId="Index8">
    <w:name w:val="index 8"/>
    <w:basedOn w:val="Normal"/>
    <w:next w:val="Normal"/>
    <w:autoRedefine/>
    <w:uiPriority w:val="99"/>
    <w:semiHidden/>
    <w:rsid w:val="00F9113D"/>
    <w:pPr>
      <w:spacing w:line="240" w:lineRule="auto"/>
      <w:ind w:left="1440" w:hanging="180"/>
    </w:pPr>
  </w:style>
  <w:style w:type="paragraph" w:styleId="Index9">
    <w:name w:val="index 9"/>
    <w:basedOn w:val="Normal"/>
    <w:next w:val="Normal"/>
    <w:autoRedefine/>
    <w:uiPriority w:val="99"/>
    <w:semiHidden/>
    <w:rsid w:val="00F9113D"/>
    <w:pPr>
      <w:spacing w:line="240" w:lineRule="auto"/>
      <w:ind w:left="1620" w:hanging="180"/>
    </w:pPr>
  </w:style>
  <w:style w:type="paragraph" w:styleId="IndexHeading">
    <w:name w:val="index heading"/>
    <w:basedOn w:val="Normal"/>
    <w:next w:val="Index1"/>
    <w:uiPriority w:val="99"/>
    <w:semiHidden/>
    <w:rsid w:val="00F9113D"/>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F9113D"/>
    <w:rPr>
      <w:b/>
      <w:bCs/>
      <w:i/>
      <w:iCs/>
      <w:color w:val="86BC25" w:themeColor="accent1"/>
      <w:lang w:val="en-AU"/>
    </w:rPr>
  </w:style>
  <w:style w:type="paragraph" w:styleId="IntenseQuote">
    <w:name w:val="Intense Quote"/>
    <w:basedOn w:val="Normal"/>
    <w:next w:val="Normal"/>
    <w:link w:val="IntenseQuoteChar"/>
    <w:uiPriority w:val="30"/>
    <w:semiHidden/>
    <w:rsid w:val="00F9113D"/>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semiHidden/>
    <w:rsid w:val="00F9113D"/>
    <w:rPr>
      <w:b/>
      <w:bCs/>
      <w:i/>
      <w:iCs/>
      <w:color w:val="86BC25" w:themeColor="accent1"/>
    </w:rPr>
  </w:style>
  <w:style w:type="character" w:styleId="IntenseReference">
    <w:name w:val="Intense Reference"/>
    <w:basedOn w:val="DefaultParagraphFont"/>
    <w:uiPriority w:val="99"/>
    <w:semiHidden/>
    <w:qFormat/>
    <w:rsid w:val="00F9113D"/>
    <w:rPr>
      <w:b/>
      <w:bCs/>
      <w:smallCaps/>
      <w:color w:val="046A38" w:themeColor="accent2"/>
      <w:spacing w:val="5"/>
      <w:u w:val="single"/>
      <w:lang w:val="en-AU"/>
    </w:rPr>
  </w:style>
  <w:style w:type="table" w:styleId="LightGrid">
    <w:name w:val="Light Grid"/>
    <w:basedOn w:val="TableNormal"/>
    <w:uiPriority w:val="62"/>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F9113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9113D"/>
    <w:pPr>
      <w:spacing w:line="240" w:lineRule="auto"/>
    </w:pPr>
    <w:rPr>
      <w:color w:val="638C1B" w:themeColor="accent1" w:themeShade="BF"/>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F9113D"/>
    <w:pPr>
      <w:spacing w:line="240" w:lineRule="auto"/>
    </w:pPr>
    <w:rPr>
      <w:color w:val="034F29" w:themeColor="accent2" w:themeShade="BF"/>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F9113D"/>
    <w:pPr>
      <w:spacing w:line="240" w:lineRule="auto"/>
    </w:pPr>
    <w:rPr>
      <w:color w:val="2291D1" w:themeColor="accent3" w:themeShade="BF"/>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F9113D"/>
    <w:pPr>
      <w:spacing w:line="240" w:lineRule="auto"/>
    </w:pPr>
    <w:rPr>
      <w:color w:val="00184E" w:themeColor="accent4" w:themeShade="BF"/>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F9113D"/>
    <w:pPr>
      <w:spacing w:line="240" w:lineRule="auto"/>
    </w:pPr>
    <w:rPr>
      <w:color w:val="00707E" w:themeColor="accent5" w:themeShade="BF"/>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F9113D"/>
    <w:pPr>
      <w:spacing w:line="240" w:lineRule="auto"/>
    </w:pPr>
    <w:rPr>
      <w:color w:val="57595C" w:themeColor="accent6" w:themeShade="BF"/>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F9113D"/>
    <w:rPr>
      <w:lang w:val="en-AU"/>
    </w:rPr>
  </w:style>
  <w:style w:type="paragraph" w:styleId="List">
    <w:name w:val="List"/>
    <w:basedOn w:val="Normal"/>
    <w:uiPriority w:val="99"/>
    <w:semiHidden/>
    <w:rsid w:val="00F9113D"/>
    <w:pPr>
      <w:ind w:left="283" w:hanging="283"/>
      <w:contextualSpacing/>
    </w:pPr>
  </w:style>
  <w:style w:type="paragraph" w:styleId="List2">
    <w:name w:val="List 2"/>
    <w:basedOn w:val="Normal"/>
    <w:uiPriority w:val="99"/>
    <w:semiHidden/>
    <w:rsid w:val="00F9113D"/>
    <w:pPr>
      <w:ind w:left="566" w:hanging="283"/>
      <w:contextualSpacing/>
    </w:pPr>
  </w:style>
  <w:style w:type="paragraph" w:styleId="List3">
    <w:name w:val="List 3"/>
    <w:basedOn w:val="Normal"/>
    <w:uiPriority w:val="99"/>
    <w:semiHidden/>
    <w:rsid w:val="00F9113D"/>
    <w:pPr>
      <w:ind w:left="849" w:hanging="283"/>
      <w:contextualSpacing/>
    </w:pPr>
  </w:style>
  <w:style w:type="paragraph" w:styleId="List4">
    <w:name w:val="List 4"/>
    <w:basedOn w:val="Normal"/>
    <w:uiPriority w:val="99"/>
    <w:semiHidden/>
    <w:rsid w:val="00F9113D"/>
    <w:pPr>
      <w:ind w:left="1132" w:hanging="283"/>
      <w:contextualSpacing/>
    </w:pPr>
  </w:style>
  <w:style w:type="paragraph" w:styleId="List5">
    <w:name w:val="List 5"/>
    <w:basedOn w:val="Normal"/>
    <w:uiPriority w:val="99"/>
    <w:semiHidden/>
    <w:rsid w:val="00F9113D"/>
    <w:pPr>
      <w:ind w:left="1415" w:hanging="283"/>
      <w:contextualSpacing/>
    </w:pPr>
  </w:style>
  <w:style w:type="paragraph" w:styleId="ListBullet3">
    <w:name w:val="List Bullet 3"/>
    <w:basedOn w:val="Normal"/>
    <w:uiPriority w:val="3"/>
    <w:rsid w:val="00DF7819"/>
    <w:pPr>
      <w:numPr>
        <w:numId w:val="16"/>
      </w:numPr>
      <w:spacing w:after="0"/>
      <w:ind w:left="1020"/>
      <w:contextualSpacing/>
    </w:pPr>
  </w:style>
  <w:style w:type="paragraph" w:styleId="ListBullet4">
    <w:name w:val="List Bullet 4"/>
    <w:basedOn w:val="Normal"/>
    <w:uiPriority w:val="99"/>
    <w:semiHidden/>
    <w:rsid w:val="00F9113D"/>
    <w:pPr>
      <w:numPr>
        <w:numId w:val="3"/>
      </w:numPr>
      <w:contextualSpacing/>
    </w:pPr>
  </w:style>
  <w:style w:type="paragraph" w:styleId="ListBullet5">
    <w:name w:val="List Bullet 5"/>
    <w:basedOn w:val="Normal"/>
    <w:uiPriority w:val="99"/>
    <w:semiHidden/>
    <w:rsid w:val="00F9113D"/>
    <w:pPr>
      <w:numPr>
        <w:numId w:val="4"/>
      </w:numPr>
      <w:contextualSpacing/>
    </w:pPr>
  </w:style>
  <w:style w:type="paragraph" w:styleId="ListContinue">
    <w:name w:val="List Continue"/>
    <w:basedOn w:val="Normal"/>
    <w:uiPriority w:val="99"/>
    <w:semiHidden/>
    <w:rsid w:val="00F9113D"/>
    <w:pPr>
      <w:ind w:left="283"/>
      <w:contextualSpacing/>
    </w:pPr>
  </w:style>
  <w:style w:type="paragraph" w:styleId="ListContinue2">
    <w:name w:val="List Continue 2"/>
    <w:basedOn w:val="Normal"/>
    <w:uiPriority w:val="99"/>
    <w:semiHidden/>
    <w:rsid w:val="00F9113D"/>
    <w:pPr>
      <w:ind w:left="566"/>
      <w:contextualSpacing/>
    </w:pPr>
  </w:style>
  <w:style w:type="paragraph" w:styleId="ListContinue3">
    <w:name w:val="List Continue 3"/>
    <w:basedOn w:val="Normal"/>
    <w:uiPriority w:val="99"/>
    <w:semiHidden/>
    <w:rsid w:val="00F9113D"/>
    <w:pPr>
      <w:ind w:left="849"/>
      <w:contextualSpacing/>
    </w:pPr>
  </w:style>
  <w:style w:type="paragraph" w:styleId="ListContinue4">
    <w:name w:val="List Continue 4"/>
    <w:basedOn w:val="Normal"/>
    <w:uiPriority w:val="99"/>
    <w:semiHidden/>
    <w:rsid w:val="00F9113D"/>
    <w:pPr>
      <w:ind w:left="1132"/>
      <w:contextualSpacing/>
    </w:pPr>
  </w:style>
  <w:style w:type="paragraph" w:styleId="ListContinue5">
    <w:name w:val="List Continue 5"/>
    <w:basedOn w:val="Normal"/>
    <w:uiPriority w:val="99"/>
    <w:semiHidden/>
    <w:rsid w:val="00F9113D"/>
    <w:pPr>
      <w:ind w:left="1415"/>
      <w:contextualSpacing/>
    </w:pPr>
  </w:style>
  <w:style w:type="paragraph" w:styleId="ListNumber3">
    <w:name w:val="List Number 3"/>
    <w:basedOn w:val="Normal"/>
    <w:uiPriority w:val="99"/>
    <w:semiHidden/>
    <w:rsid w:val="00F9113D"/>
    <w:pPr>
      <w:numPr>
        <w:ilvl w:val="2"/>
        <w:numId w:val="14"/>
      </w:numPr>
      <w:contextualSpacing/>
    </w:pPr>
  </w:style>
  <w:style w:type="paragraph" w:styleId="ListNumber4">
    <w:name w:val="List Number 4"/>
    <w:basedOn w:val="Normal"/>
    <w:uiPriority w:val="99"/>
    <w:semiHidden/>
    <w:rsid w:val="00F9113D"/>
    <w:pPr>
      <w:numPr>
        <w:numId w:val="5"/>
      </w:numPr>
      <w:contextualSpacing/>
    </w:pPr>
  </w:style>
  <w:style w:type="paragraph" w:styleId="ListNumber5">
    <w:name w:val="List Number 5"/>
    <w:basedOn w:val="Normal"/>
    <w:uiPriority w:val="99"/>
    <w:semiHidden/>
    <w:rsid w:val="00F9113D"/>
    <w:pPr>
      <w:numPr>
        <w:numId w:val="6"/>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F9113D"/>
    <w:pPr>
      <w:ind w:left="720"/>
      <w:contextualSpacing/>
    </w:pPr>
  </w:style>
  <w:style w:type="paragraph" w:styleId="MacroText">
    <w:name w:val="macro"/>
    <w:link w:val="MacroTextChar"/>
    <w:uiPriority w:val="99"/>
    <w:semiHidden/>
    <w:rsid w:val="00F9113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F9113D"/>
    <w:rPr>
      <w:rFonts w:ascii="Consolas" w:hAnsi="Consolas"/>
      <w:sz w:val="20"/>
      <w:szCs w:val="20"/>
      <w:lang w:val="en-AU"/>
    </w:rPr>
  </w:style>
  <w:style w:type="table" w:styleId="MediumGrid1">
    <w:name w:val="Medium Grid 1"/>
    <w:basedOn w:val="TableNormal"/>
    <w:uiPriority w:val="67"/>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F9113D"/>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9113D"/>
    <w:pPr>
      <w:spacing w:line="240" w:lineRule="auto"/>
    </w:pPr>
    <w:rPr>
      <w:color w:val="000000" w:themeColor="text1"/>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F9113D"/>
    <w:pPr>
      <w:spacing w:line="240" w:lineRule="auto"/>
    </w:pPr>
    <w:rPr>
      <w:color w:val="000000" w:themeColor="text1"/>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F9113D"/>
    <w:pPr>
      <w:spacing w:line="240" w:lineRule="auto"/>
    </w:pPr>
    <w:rPr>
      <w:color w:val="000000" w:themeColor="text1"/>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F9113D"/>
    <w:pPr>
      <w:spacing w:line="240" w:lineRule="auto"/>
    </w:pPr>
    <w:rPr>
      <w:color w:val="000000" w:themeColor="text1"/>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F9113D"/>
    <w:pPr>
      <w:spacing w:line="240" w:lineRule="auto"/>
    </w:pPr>
    <w:rPr>
      <w:color w:val="000000" w:themeColor="text1"/>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F9113D"/>
    <w:pPr>
      <w:spacing w:line="240" w:lineRule="auto"/>
    </w:pPr>
    <w:rPr>
      <w:color w:val="000000" w:themeColor="text1"/>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F9113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113D"/>
    <w:rPr>
      <w:rFonts w:asciiTheme="majorHAnsi" w:eastAsiaTheme="majorEastAsia" w:hAnsiTheme="majorHAnsi" w:cstheme="majorBidi"/>
      <w:sz w:val="24"/>
      <w:szCs w:val="24"/>
      <w:shd w:val="pct20" w:color="auto" w:fill="auto"/>
    </w:rPr>
  </w:style>
  <w:style w:type="paragraph" w:styleId="NoSpacing">
    <w:name w:val="No Spacing"/>
    <w:qFormat/>
    <w:rsid w:val="00DA30BF"/>
    <w:rPr>
      <w:lang w:val="en-AU"/>
    </w:rPr>
  </w:style>
  <w:style w:type="paragraph" w:styleId="NormalWeb">
    <w:name w:val="Normal (Web)"/>
    <w:basedOn w:val="Normal"/>
    <w:uiPriority w:val="99"/>
    <w:semiHidden/>
    <w:rsid w:val="00F9113D"/>
    <w:rPr>
      <w:rFonts w:ascii="Times New Roman" w:hAnsi="Times New Roman" w:cs="Times New Roman"/>
      <w:sz w:val="24"/>
      <w:szCs w:val="24"/>
    </w:rPr>
  </w:style>
  <w:style w:type="paragraph" w:styleId="NormalIndent">
    <w:name w:val="Normal Indent"/>
    <w:basedOn w:val="Normal"/>
    <w:uiPriority w:val="99"/>
    <w:semiHidden/>
    <w:rsid w:val="00F9113D"/>
    <w:pPr>
      <w:ind w:left="1304"/>
    </w:pPr>
  </w:style>
  <w:style w:type="paragraph" w:styleId="NoteHeading">
    <w:name w:val="Note Heading"/>
    <w:basedOn w:val="Normal"/>
    <w:next w:val="Normal"/>
    <w:link w:val="NoteHeadingChar"/>
    <w:uiPriority w:val="99"/>
    <w:semiHidden/>
    <w:rsid w:val="00F9113D"/>
    <w:pPr>
      <w:spacing w:line="240" w:lineRule="auto"/>
    </w:pPr>
  </w:style>
  <w:style w:type="character" w:customStyle="1" w:styleId="NoteHeadingChar">
    <w:name w:val="Note Heading Char"/>
    <w:basedOn w:val="DefaultParagraphFont"/>
    <w:link w:val="NoteHeading"/>
    <w:uiPriority w:val="99"/>
    <w:semiHidden/>
    <w:rsid w:val="00F9113D"/>
  </w:style>
  <w:style w:type="character" w:styleId="PageNumber">
    <w:name w:val="page number"/>
    <w:basedOn w:val="DefaultParagraphFont"/>
    <w:uiPriority w:val="10"/>
    <w:semiHidden/>
    <w:rsid w:val="00F9113D"/>
    <w:rPr>
      <w:lang w:val="en-AU"/>
    </w:rPr>
  </w:style>
  <w:style w:type="paragraph" w:styleId="PlainText">
    <w:name w:val="Plain Text"/>
    <w:basedOn w:val="Normal"/>
    <w:link w:val="PlainTextChar"/>
    <w:uiPriority w:val="99"/>
    <w:semiHidden/>
    <w:rsid w:val="00F9113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9113D"/>
    <w:rPr>
      <w:rFonts w:ascii="Consolas" w:hAnsi="Consolas"/>
      <w:sz w:val="21"/>
      <w:szCs w:val="21"/>
    </w:rPr>
  </w:style>
  <w:style w:type="paragraph" w:styleId="Quote">
    <w:name w:val="Quote"/>
    <w:basedOn w:val="Normal"/>
    <w:next w:val="Normal"/>
    <w:link w:val="QuoteChar"/>
    <w:uiPriority w:val="29"/>
    <w:semiHidden/>
    <w:qFormat/>
    <w:rsid w:val="00F9113D"/>
    <w:pPr>
      <w:spacing w:after="0"/>
    </w:pPr>
    <w:rPr>
      <w:i/>
      <w:iCs/>
      <w:color w:val="000000" w:themeColor="text1"/>
    </w:rPr>
  </w:style>
  <w:style w:type="character" w:customStyle="1" w:styleId="QuoteChar">
    <w:name w:val="Quote Char"/>
    <w:basedOn w:val="DefaultParagraphFont"/>
    <w:link w:val="Quote"/>
    <w:uiPriority w:val="29"/>
    <w:semiHidden/>
    <w:rsid w:val="00F9113D"/>
    <w:rPr>
      <w:i/>
      <w:iCs/>
      <w:color w:val="000000" w:themeColor="text1"/>
    </w:rPr>
  </w:style>
  <w:style w:type="paragraph" w:styleId="Salutation">
    <w:name w:val="Salutation"/>
    <w:basedOn w:val="Normal"/>
    <w:next w:val="Normal"/>
    <w:link w:val="SalutationChar"/>
    <w:uiPriority w:val="99"/>
    <w:semiHidden/>
    <w:rsid w:val="00F9113D"/>
  </w:style>
  <w:style w:type="character" w:customStyle="1" w:styleId="SalutationChar">
    <w:name w:val="Salutation Char"/>
    <w:basedOn w:val="DefaultParagraphFont"/>
    <w:link w:val="Salutation"/>
    <w:uiPriority w:val="99"/>
    <w:semiHidden/>
    <w:rsid w:val="00F9113D"/>
  </w:style>
  <w:style w:type="paragraph" w:styleId="Signature">
    <w:name w:val="Signature"/>
    <w:basedOn w:val="Normal"/>
    <w:link w:val="SignatureChar"/>
    <w:uiPriority w:val="99"/>
    <w:semiHidden/>
    <w:rsid w:val="00F9113D"/>
    <w:pPr>
      <w:keepNext/>
      <w:keepLines/>
    </w:pPr>
  </w:style>
  <w:style w:type="character" w:customStyle="1" w:styleId="SignatureChar">
    <w:name w:val="Signature Char"/>
    <w:basedOn w:val="DefaultParagraphFont"/>
    <w:link w:val="Signature"/>
    <w:uiPriority w:val="99"/>
    <w:semiHidden/>
    <w:rsid w:val="00F9113D"/>
  </w:style>
  <w:style w:type="character" w:styleId="Strong">
    <w:name w:val="Strong"/>
    <w:basedOn w:val="DefaultParagraphFont"/>
    <w:uiPriority w:val="22"/>
    <w:semiHidden/>
    <w:qFormat/>
    <w:rsid w:val="00F9113D"/>
    <w:rPr>
      <w:b/>
      <w:bCs/>
      <w:lang w:val="en-AU"/>
    </w:rPr>
  </w:style>
  <w:style w:type="paragraph" w:styleId="Subtitle">
    <w:name w:val="Subtitle"/>
    <w:basedOn w:val="Normal"/>
    <w:next w:val="Normal"/>
    <w:link w:val="SubtitleChar"/>
    <w:uiPriority w:val="11"/>
    <w:semiHidden/>
    <w:qFormat/>
    <w:rsid w:val="00F9113D"/>
    <w:pPr>
      <w:numPr>
        <w:ilvl w:val="1"/>
      </w:numPr>
      <w:spacing w:after="0"/>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11"/>
    <w:semiHidden/>
    <w:rsid w:val="00F9113D"/>
    <w:rPr>
      <w:rFonts w:eastAsiaTheme="majorEastAsia" w:cstheme="majorBidi"/>
      <w:i/>
      <w:iCs/>
      <w:color w:val="86BC25" w:themeColor="accent1"/>
      <w:spacing w:val="15"/>
      <w:sz w:val="24"/>
      <w:szCs w:val="24"/>
    </w:rPr>
  </w:style>
  <w:style w:type="character" w:styleId="SubtleEmphasis">
    <w:name w:val="Subtle Emphasis"/>
    <w:basedOn w:val="DefaultParagraphFont"/>
    <w:uiPriority w:val="99"/>
    <w:semiHidden/>
    <w:qFormat/>
    <w:rsid w:val="00F9113D"/>
    <w:rPr>
      <w:i/>
      <w:iCs/>
      <w:color w:val="808080" w:themeColor="text1" w:themeTint="7F"/>
      <w:lang w:val="en-AU"/>
    </w:rPr>
  </w:style>
  <w:style w:type="character" w:styleId="SubtleReference">
    <w:name w:val="Subtle Reference"/>
    <w:basedOn w:val="DefaultParagraphFont"/>
    <w:uiPriority w:val="99"/>
    <w:semiHidden/>
    <w:qFormat/>
    <w:rsid w:val="00F9113D"/>
    <w:rPr>
      <w:smallCaps/>
      <w:color w:val="046A38" w:themeColor="accent2"/>
      <w:u w:val="single"/>
      <w:lang w:val="en-AU"/>
    </w:rPr>
  </w:style>
  <w:style w:type="table" w:styleId="Table3Deffects1">
    <w:name w:val="Table 3D effects 1"/>
    <w:basedOn w:val="TableNormal"/>
    <w:uiPriority w:val="99"/>
    <w:semiHidden/>
    <w:unhideWhenUsed/>
    <w:rsid w:val="00F9113D"/>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9113D"/>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9113D"/>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9113D"/>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9113D"/>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9113D"/>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9113D"/>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9113D"/>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9113D"/>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9113D"/>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9113D"/>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9113D"/>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9113D"/>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9113D"/>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9113D"/>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9113D"/>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9113D"/>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9113D"/>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9113D"/>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9113D"/>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9113D"/>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9113D"/>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9113D"/>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9113D"/>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F9113D"/>
    <w:pPr>
      <w:ind w:left="180" w:hanging="180"/>
    </w:pPr>
  </w:style>
  <w:style w:type="paragraph" w:styleId="TableofFigures">
    <w:name w:val="table of figures"/>
    <w:basedOn w:val="Normal"/>
    <w:next w:val="Normal"/>
    <w:uiPriority w:val="99"/>
    <w:rsid w:val="00F9113D"/>
  </w:style>
  <w:style w:type="table" w:styleId="TableProfessional">
    <w:name w:val="Table Professional"/>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9113D"/>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9113D"/>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9113D"/>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9113D"/>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9113D"/>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9113D"/>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9113D"/>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9113D"/>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F9113D"/>
    <w:pPr>
      <w:pBdr>
        <w:bottom w:val="single" w:sz="8" w:space="4" w:color="86BC2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semiHidden/>
    <w:rsid w:val="00F9113D"/>
    <w:rPr>
      <w:rFonts w:eastAsiaTheme="majorEastAsia" w:cstheme="majorBidi"/>
      <w:color w:val="323E4F" w:themeColor="text2" w:themeShade="BF"/>
      <w:spacing w:val="5"/>
      <w:kern w:val="28"/>
      <w:sz w:val="52"/>
      <w:szCs w:val="52"/>
    </w:rPr>
  </w:style>
  <w:style w:type="paragraph" w:styleId="TOAHeading">
    <w:name w:val="toa heading"/>
    <w:basedOn w:val="Normal"/>
    <w:next w:val="Normal"/>
    <w:uiPriority w:val="99"/>
    <w:semiHidden/>
    <w:rsid w:val="00F9113D"/>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271D10"/>
    <w:pPr>
      <w:tabs>
        <w:tab w:val="left" w:pos="567"/>
        <w:tab w:val="right" w:pos="8959"/>
      </w:tabs>
      <w:spacing w:after="100"/>
      <w:ind w:left="1134" w:right="567" w:hanging="567"/>
      <w:contextualSpacing/>
    </w:pPr>
  </w:style>
  <w:style w:type="paragraph" w:styleId="TOC3">
    <w:name w:val="toc 3"/>
    <w:basedOn w:val="Normal"/>
    <w:next w:val="Normal"/>
    <w:uiPriority w:val="39"/>
    <w:rsid w:val="00271D10"/>
    <w:pPr>
      <w:tabs>
        <w:tab w:val="left" w:pos="1021"/>
        <w:tab w:val="right" w:pos="8959"/>
      </w:tabs>
      <w:spacing w:after="100"/>
      <w:ind w:left="567" w:right="567"/>
      <w:contextualSpacing/>
    </w:pPr>
  </w:style>
  <w:style w:type="paragraph" w:styleId="TOC4">
    <w:name w:val="toc 4"/>
    <w:basedOn w:val="Normal"/>
    <w:next w:val="Normal"/>
    <w:uiPriority w:val="39"/>
    <w:rsid w:val="007854F9"/>
    <w:pPr>
      <w:tabs>
        <w:tab w:val="right" w:pos="8959"/>
      </w:tabs>
      <w:spacing w:after="100"/>
      <w:ind w:right="567"/>
      <w:contextualSpacing/>
    </w:pPr>
  </w:style>
  <w:style w:type="paragraph" w:styleId="TOC5">
    <w:name w:val="toc 5"/>
    <w:basedOn w:val="Normal"/>
    <w:next w:val="Normal"/>
    <w:uiPriority w:val="39"/>
    <w:rsid w:val="00F9113D"/>
    <w:pPr>
      <w:spacing w:after="100"/>
      <w:ind w:left="567" w:right="567"/>
      <w:contextualSpacing/>
    </w:pPr>
  </w:style>
  <w:style w:type="paragraph" w:styleId="TOC6">
    <w:name w:val="toc 6"/>
    <w:basedOn w:val="Normal"/>
    <w:next w:val="Normal"/>
    <w:uiPriority w:val="39"/>
    <w:rsid w:val="006704D4"/>
    <w:pPr>
      <w:tabs>
        <w:tab w:val="right" w:pos="8959"/>
      </w:tabs>
      <w:spacing w:after="100"/>
      <w:ind w:right="567"/>
      <w:contextualSpacing/>
    </w:pPr>
  </w:style>
  <w:style w:type="paragraph" w:styleId="TOC7">
    <w:name w:val="toc 7"/>
    <w:basedOn w:val="Normal"/>
    <w:next w:val="Normal"/>
    <w:uiPriority w:val="39"/>
    <w:rsid w:val="00271D10"/>
    <w:pPr>
      <w:tabs>
        <w:tab w:val="right" w:pos="8959"/>
      </w:tabs>
      <w:spacing w:after="100"/>
      <w:ind w:right="567"/>
      <w:contextualSpacing/>
    </w:pPr>
  </w:style>
  <w:style w:type="paragraph" w:styleId="TOC8">
    <w:name w:val="toc 8"/>
    <w:basedOn w:val="Normal"/>
    <w:next w:val="Normal"/>
    <w:uiPriority w:val="39"/>
    <w:rsid w:val="007854F9"/>
    <w:pPr>
      <w:tabs>
        <w:tab w:val="right" w:pos="8959"/>
      </w:tabs>
      <w:spacing w:after="100"/>
      <w:ind w:right="567"/>
      <w:contextualSpacing/>
    </w:pPr>
  </w:style>
  <w:style w:type="paragraph" w:styleId="TOC9">
    <w:name w:val="toc 9"/>
    <w:basedOn w:val="Normal"/>
    <w:next w:val="Normal"/>
    <w:uiPriority w:val="39"/>
    <w:rsid w:val="00F9113D"/>
    <w:pPr>
      <w:spacing w:after="100"/>
      <w:ind w:left="567" w:right="567"/>
      <w:contextualSpacing/>
    </w:pPr>
  </w:style>
  <w:style w:type="paragraph" w:styleId="TOCHeading">
    <w:name w:val="TOC Heading"/>
    <w:next w:val="Normal"/>
    <w:uiPriority w:val="39"/>
    <w:semiHidden/>
    <w:rsid w:val="00F9113D"/>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F9113D"/>
    <w:pPr>
      <w:tabs>
        <w:tab w:val="left" w:pos="567"/>
      </w:tabs>
      <w:spacing w:after="0" w:line="280" w:lineRule="atLeast"/>
    </w:pPr>
    <w:rPr>
      <w:noProof/>
      <w:sz w:val="16"/>
    </w:rPr>
  </w:style>
  <w:style w:type="paragraph" w:customStyle="1" w:styleId="Template-Dato">
    <w:name w:val="Template - Dato"/>
    <w:basedOn w:val="Normal"/>
    <w:uiPriority w:val="9"/>
    <w:semiHidden/>
    <w:rsid w:val="00F9113D"/>
    <w:pPr>
      <w:spacing w:after="0" w:line="280" w:lineRule="atLeast"/>
    </w:pPr>
    <w:rPr>
      <w:noProof/>
      <w:sz w:val="16"/>
    </w:rPr>
  </w:style>
  <w:style w:type="paragraph" w:customStyle="1" w:styleId="Letterheadaddressnospacing">
    <w:name w:val="Letterhead address (no spacing)"/>
    <w:uiPriority w:val="99"/>
    <w:semiHidden/>
    <w:qFormat/>
    <w:rsid w:val="001D0641"/>
    <w:pPr>
      <w:framePr w:wrap="around" w:vAnchor="page" w:hAnchor="page" w:x="1" w:y="1"/>
      <w:spacing w:line="240" w:lineRule="auto"/>
      <w:suppressOverlap/>
    </w:pPr>
    <w:rPr>
      <w:rFonts w:eastAsia="Times New Roman" w:cs="Times New Roman"/>
      <w:noProof/>
      <w:color w:val="7F7F7F" w:themeColor="text1" w:themeTint="80"/>
      <w:sz w:val="14"/>
      <w:lang w:val="en-AU" w:bidi="en-US"/>
    </w:rPr>
  </w:style>
  <w:style w:type="paragraph" w:customStyle="1" w:styleId="DocumentHeading">
    <w:name w:val="Document Heading"/>
    <w:basedOn w:val="Normal"/>
    <w:next w:val="BodyText"/>
    <w:uiPriority w:val="99"/>
    <w:semiHidden/>
    <w:rsid w:val="00F9113D"/>
    <w:pPr>
      <w:suppressAutoHyphens/>
      <w:spacing w:before="240" w:after="240"/>
    </w:pPr>
    <w:rPr>
      <w:b/>
    </w:rPr>
  </w:style>
  <w:style w:type="paragraph" w:customStyle="1" w:styleId="Disclaimer">
    <w:name w:val="Disclaimer"/>
    <w:basedOn w:val="Footer"/>
    <w:uiPriority w:val="11"/>
    <w:semiHidden/>
    <w:rsid w:val="00F9113D"/>
    <w:pPr>
      <w:tabs>
        <w:tab w:val="clear" w:pos="7371"/>
      </w:tabs>
      <w:spacing w:line="130" w:lineRule="atLeast"/>
      <w:suppressOverlap/>
    </w:pPr>
    <w:rPr>
      <w:rFonts w:eastAsia="Times New Roman" w:cs="Arial"/>
      <w:sz w:val="11"/>
      <w:szCs w:val="17"/>
      <w:lang w:eastAsia="en-GB"/>
    </w:rPr>
  </w:style>
  <w:style w:type="paragraph" w:customStyle="1" w:styleId="SenderName">
    <w:name w:val="Sender Name"/>
    <w:basedOn w:val="Normal"/>
    <w:uiPriority w:val="8"/>
    <w:rsid w:val="00F9113D"/>
    <w:pPr>
      <w:keepNext/>
      <w:keepLines/>
      <w:spacing w:after="0"/>
    </w:pPr>
    <w:rPr>
      <w:b/>
      <w:szCs w:val="17"/>
    </w:rPr>
  </w:style>
  <w:style w:type="paragraph" w:customStyle="1" w:styleId="SignatureName">
    <w:name w:val="Signature Name"/>
    <w:basedOn w:val="Normal"/>
    <w:next w:val="SignatureTitle"/>
    <w:uiPriority w:val="7"/>
    <w:semiHidden/>
    <w:rsid w:val="00F9113D"/>
    <w:pPr>
      <w:keepNext/>
      <w:keepLines/>
      <w:spacing w:after="0"/>
    </w:pPr>
    <w:rPr>
      <w:b/>
      <w:color w:val="62B5E5" w:themeColor="accent3"/>
    </w:rPr>
  </w:style>
  <w:style w:type="paragraph" w:customStyle="1" w:styleId="SignatureTitle">
    <w:name w:val="Signature Title"/>
    <w:basedOn w:val="Normal"/>
    <w:next w:val="BodyText"/>
    <w:uiPriority w:val="7"/>
    <w:semiHidden/>
    <w:rsid w:val="00F9113D"/>
    <w:pPr>
      <w:spacing w:after="0"/>
    </w:pPr>
    <w:rPr>
      <w:b/>
    </w:rPr>
  </w:style>
  <w:style w:type="paragraph" w:customStyle="1" w:styleId="Heading2un-numbered">
    <w:name w:val="Heading 2 (un-numbered)"/>
    <w:basedOn w:val="Heading2"/>
    <w:next w:val="Normal"/>
    <w:uiPriority w:val="2"/>
    <w:qFormat/>
    <w:rsid w:val="007B2262"/>
    <w:pPr>
      <w:numPr>
        <w:ilvl w:val="0"/>
        <w:numId w:val="0"/>
      </w:numPr>
    </w:pPr>
  </w:style>
  <w:style w:type="paragraph" w:customStyle="1" w:styleId="Heading3un-numbered">
    <w:name w:val="Heading 3 (un-numbered)"/>
    <w:basedOn w:val="Heading3"/>
    <w:next w:val="Normal"/>
    <w:uiPriority w:val="2"/>
    <w:qFormat/>
    <w:rsid w:val="00F9113D"/>
    <w:pPr>
      <w:numPr>
        <w:ilvl w:val="0"/>
        <w:numId w:val="0"/>
      </w:numPr>
    </w:pPr>
  </w:style>
  <w:style w:type="paragraph" w:customStyle="1" w:styleId="Heading4un-numbered">
    <w:name w:val="Heading 4 (un-numbered)"/>
    <w:basedOn w:val="Heading4"/>
    <w:next w:val="Normal"/>
    <w:uiPriority w:val="2"/>
    <w:qFormat/>
    <w:rsid w:val="00F9113D"/>
    <w:pPr>
      <w:numPr>
        <w:ilvl w:val="0"/>
        <w:numId w:val="0"/>
      </w:numPr>
    </w:pPr>
  </w:style>
  <w:style w:type="paragraph" w:customStyle="1" w:styleId="BulletedText1">
    <w:name w:val="Bulleted Text 1"/>
    <w:basedOn w:val="Normal"/>
    <w:uiPriority w:val="4"/>
    <w:semiHidden/>
    <w:qFormat/>
    <w:rsid w:val="00F9113D"/>
    <w:pPr>
      <w:numPr>
        <w:numId w:val="1"/>
      </w:numPr>
      <w:suppressAutoHyphens/>
      <w:spacing w:after="0" w:line="250" w:lineRule="atLeast"/>
    </w:pPr>
  </w:style>
  <w:style w:type="paragraph" w:customStyle="1" w:styleId="BulletedText2">
    <w:name w:val="Bulleted Text 2"/>
    <w:basedOn w:val="Normal"/>
    <w:uiPriority w:val="4"/>
    <w:semiHidden/>
    <w:rsid w:val="00F9113D"/>
    <w:pPr>
      <w:numPr>
        <w:ilvl w:val="1"/>
        <w:numId w:val="1"/>
      </w:numPr>
      <w:suppressAutoHyphens/>
      <w:spacing w:after="0" w:line="250" w:lineRule="atLeast"/>
    </w:pPr>
  </w:style>
  <w:style w:type="paragraph" w:customStyle="1" w:styleId="Numberslevel1">
    <w:name w:val="Numbers level 1"/>
    <w:basedOn w:val="Normal"/>
    <w:uiPriority w:val="4"/>
    <w:semiHidden/>
    <w:qFormat/>
    <w:rsid w:val="00F9113D"/>
    <w:pPr>
      <w:numPr>
        <w:numId w:val="7"/>
      </w:numPr>
      <w:suppressAutoHyphens/>
      <w:spacing w:after="0" w:line="250" w:lineRule="atLeast"/>
    </w:pPr>
  </w:style>
  <w:style w:type="paragraph" w:customStyle="1" w:styleId="Numberslevel2">
    <w:name w:val="Numbers level 2"/>
    <w:basedOn w:val="Normal"/>
    <w:uiPriority w:val="4"/>
    <w:semiHidden/>
    <w:rsid w:val="00F9113D"/>
    <w:pPr>
      <w:numPr>
        <w:ilvl w:val="1"/>
        <w:numId w:val="7"/>
      </w:numPr>
      <w:suppressAutoHyphens/>
      <w:spacing w:after="0" w:line="250" w:lineRule="atLeast"/>
    </w:pPr>
  </w:style>
  <w:style w:type="paragraph" w:customStyle="1" w:styleId="Numberslevel3">
    <w:name w:val="Numbers level 3"/>
    <w:basedOn w:val="Normal"/>
    <w:uiPriority w:val="4"/>
    <w:semiHidden/>
    <w:rsid w:val="00F9113D"/>
    <w:pPr>
      <w:numPr>
        <w:ilvl w:val="2"/>
        <w:numId w:val="7"/>
      </w:numPr>
      <w:suppressAutoHyphens/>
      <w:spacing w:after="0" w:line="250" w:lineRule="atLeast"/>
    </w:pPr>
  </w:style>
  <w:style w:type="paragraph" w:customStyle="1" w:styleId="TabletextLeftTotal">
    <w:name w:val="Table text Left Total"/>
    <w:basedOn w:val="TabletextLeft"/>
    <w:uiPriority w:val="5"/>
    <w:rsid w:val="004A4474"/>
    <w:rPr>
      <w:b/>
    </w:rPr>
  </w:style>
  <w:style w:type="paragraph" w:customStyle="1" w:styleId="TabletextRightTotal">
    <w:name w:val="Table text Right Total"/>
    <w:basedOn w:val="TabletextRight"/>
    <w:uiPriority w:val="5"/>
    <w:rsid w:val="00625BDB"/>
    <w:rPr>
      <w:b/>
    </w:rPr>
  </w:style>
  <w:style w:type="table" w:customStyle="1" w:styleId="DeloitteBandedrows">
    <w:name w:val="Deloitte Banded rows"/>
    <w:basedOn w:val="TableNormal"/>
    <w:uiPriority w:val="99"/>
    <w:rsid w:val="005C6F31"/>
    <w:pPr>
      <w:spacing w:line="200" w:lineRule="atLeast"/>
      <w:ind w:left="57" w:right="57"/>
    </w:pPr>
    <w:rPr>
      <w:sz w:val="17"/>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F9113D"/>
    <w:pPr>
      <w:spacing w:after="0"/>
      <w:ind w:left="-57"/>
    </w:pPr>
    <w:rPr>
      <w:color w:val="FF0000"/>
      <w:sz w:val="36"/>
    </w:rPr>
  </w:style>
  <w:style w:type="paragraph" w:customStyle="1" w:styleId="CV-Name">
    <w:name w:val="CV - Name"/>
    <w:basedOn w:val="Normal"/>
    <w:uiPriority w:val="7"/>
    <w:rsid w:val="005B00B8"/>
    <w:pPr>
      <w:spacing w:after="240"/>
      <w:contextualSpacing/>
    </w:pPr>
    <w:rPr>
      <w:b/>
      <w:color w:val="62B5E5" w:themeColor="accent3"/>
    </w:rPr>
  </w:style>
  <w:style w:type="paragraph" w:customStyle="1" w:styleId="HeadingA">
    <w:name w:val="Heading A"/>
    <w:next w:val="Normal"/>
    <w:uiPriority w:val="3"/>
    <w:rsid w:val="007F276A"/>
    <w:pPr>
      <w:keepNext/>
      <w:keepLines/>
      <w:spacing w:before="240" w:line="280" w:lineRule="atLeast"/>
    </w:pPr>
    <w:rPr>
      <w:rFonts w:eastAsia="Times New Roman" w:cs="Times New Roman"/>
      <w:b/>
      <w:color w:val="62B5E5" w:themeColor="accent3"/>
      <w:sz w:val="22"/>
      <w:szCs w:val="28"/>
      <w:lang w:val="en-AU"/>
    </w:rPr>
  </w:style>
  <w:style w:type="paragraph" w:customStyle="1" w:styleId="HeadingB">
    <w:name w:val="Heading B"/>
    <w:basedOn w:val="HeadingA"/>
    <w:next w:val="Normal"/>
    <w:uiPriority w:val="3"/>
    <w:rsid w:val="005E5001"/>
    <w:pPr>
      <w:spacing w:before="0"/>
    </w:pPr>
    <w:rPr>
      <w:color w:val="auto"/>
      <w:szCs w:val="26"/>
    </w:rPr>
  </w:style>
  <w:style w:type="paragraph" w:customStyle="1" w:styleId="HeadingC">
    <w:name w:val="Heading C"/>
    <w:basedOn w:val="Normal"/>
    <w:next w:val="Normal"/>
    <w:uiPriority w:val="3"/>
    <w:rsid w:val="00F84828"/>
    <w:pPr>
      <w:keepNext/>
      <w:keepLines/>
      <w:spacing w:after="0"/>
    </w:pPr>
    <w:rPr>
      <w:rFonts w:eastAsia="Times New Roman" w:cs="Times New Roman"/>
      <w:b/>
      <w:color w:val="75787B" w:themeColor="accent6"/>
      <w:szCs w:val="28"/>
    </w:rPr>
  </w:style>
  <w:style w:type="paragraph" w:customStyle="1" w:styleId="CaptionTable">
    <w:name w:val="Caption_Table"/>
    <w:basedOn w:val="Normal"/>
    <w:next w:val="Normal"/>
    <w:uiPriority w:val="4"/>
    <w:rsid w:val="006C74B8"/>
    <w:pPr>
      <w:keepNext/>
      <w:keepLines/>
      <w:numPr>
        <w:ilvl w:val="6"/>
        <w:numId w:val="2"/>
      </w:numPr>
      <w:spacing w:before="240" w:after="240"/>
    </w:pPr>
    <w:rPr>
      <w:rFonts w:eastAsia="Times New Roman" w:cs="Times New Roman"/>
      <w:color w:val="75787B" w:themeColor="accent6"/>
      <w:sz w:val="17"/>
    </w:rPr>
  </w:style>
  <w:style w:type="paragraph" w:customStyle="1" w:styleId="CaptionFigure">
    <w:name w:val="Caption_Figure"/>
    <w:basedOn w:val="Normal"/>
    <w:next w:val="Normal"/>
    <w:uiPriority w:val="4"/>
    <w:rsid w:val="006C74B8"/>
    <w:pPr>
      <w:keepNext/>
      <w:keepLines/>
      <w:numPr>
        <w:ilvl w:val="8"/>
        <w:numId w:val="2"/>
      </w:numPr>
    </w:pPr>
    <w:rPr>
      <w:bCs/>
      <w:color w:val="75787B" w:themeColor="accent6"/>
      <w:sz w:val="17"/>
      <w:szCs w:val="22"/>
    </w:rPr>
  </w:style>
  <w:style w:type="paragraph" w:customStyle="1" w:styleId="CaptionChart">
    <w:name w:val="Caption_Chart"/>
    <w:basedOn w:val="Normal"/>
    <w:next w:val="Normal"/>
    <w:uiPriority w:val="4"/>
    <w:rsid w:val="006C74B8"/>
    <w:pPr>
      <w:keepNext/>
      <w:keepLines/>
      <w:numPr>
        <w:ilvl w:val="7"/>
        <w:numId w:val="2"/>
      </w:numPr>
    </w:pPr>
    <w:rPr>
      <w:color w:val="75787B" w:themeColor="accent6"/>
      <w:sz w:val="17"/>
    </w:rPr>
  </w:style>
  <w:style w:type="paragraph" w:customStyle="1" w:styleId="ExecutiveHeading">
    <w:name w:val="Executive Heading"/>
    <w:basedOn w:val="Heading1un-numbered"/>
    <w:next w:val="Normal"/>
    <w:uiPriority w:val="3"/>
    <w:rsid w:val="005E5001"/>
    <w:pPr>
      <w:numPr>
        <w:numId w:val="10"/>
      </w:numPr>
    </w:pPr>
  </w:style>
  <w:style w:type="paragraph" w:customStyle="1" w:styleId="Reference">
    <w:name w:val="Reference"/>
    <w:basedOn w:val="Normal"/>
    <w:uiPriority w:val="4"/>
    <w:rsid w:val="002C1140"/>
    <w:pPr>
      <w:spacing w:before="240" w:after="240"/>
      <w:ind w:left="567" w:hanging="567"/>
    </w:pPr>
    <w:rPr>
      <w:rFonts w:eastAsia="Times New Roman" w:cs="Times New Roman"/>
    </w:rPr>
  </w:style>
  <w:style w:type="paragraph" w:customStyle="1" w:styleId="ExecChartCaption">
    <w:name w:val="Exec Chart Caption"/>
    <w:basedOn w:val="Caption"/>
    <w:next w:val="Normal"/>
    <w:uiPriority w:val="4"/>
    <w:rsid w:val="00CA0756"/>
    <w:pPr>
      <w:numPr>
        <w:ilvl w:val="2"/>
        <w:numId w:val="10"/>
      </w:numPr>
    </w:pPr>
    <w:rPr>
      <w:rFonts w:eastAsia="Times New Roman" w:cs="Times New Roman"/>
      <w:szCs w:val="20"/>
    </w:rPr>
  </w:style>
  <w:style w:type="paragraph" w:customStyle="1" w:styleId="ExecFigureCaption">
    <w:name w:val="Exec Figure Caption"/>
    <w:basedOn w:val="Caption"/>
    <w:next w:val="Normal"/>
    <w:uiPriority w:val="4"/>
    <w:rsid w:val="00CA0756"/>
    <w:pPr>
      <w:numPr>
        <w:ilvl w:val="3"/>
        <w:numId w:val="10"/>
      </w:numPr>
    </w:pPr>
    <w:rPr>
      <w:rFonts w:eastAsia="Times New Roman" w:cs="Times New Roman"/>
      <w:szCs w:val="20"/>
    </w:rPr>
  </w:style>
  <w:style w:type="paragraph" w:customStyle="1" w:styleId="ExecTableCaption">
    <w:name w:val="Exec Table Caption"/>
    <w:basedOn w:val="Caption"/>
    <w:next w:val="Normal"/>
    <w:uiPriority w:val="4"/>
    <w:rsid w:val="005D6648"/>
    <w:pPr>
      <w:numPr>
        <w:ilvl w:val="1"/>
        <w:numId w:val="10"/>
      </w:numPr>
    </w:pPr>
    <w:rPr>
      <w:rFonts w:eastAsia="Times New Roman" w:cs="Times New Roman"/>
      <w:szCs w:val="20"/>
    </w:rPr>
  </w:style>
  <w:style w:type="paragraph" w:customStyle="1" w:styleId="Appendixhead2">
    <w:name w:val="Appendix_head_2"/>
    <w:basedOn w:val="Heading2"/>
    <w:next w:val="Normal"/>
    <w:link w:val="Appendixhead2Char"/>
    <w:uiPriority w:val="3"/>
    <w:rsid w:val="007F276A"/>
    <w:pPr>
      <w:numPr>
        <w:numId w:val="11"/>
      </w:numPr>
      <w:tabs>
        <w:tab w:val="left" w:pos="851"/>
      </w:tabs>
      <w:outlineLvl w:val="9"/>
    </w:pPr>
    <w:rPr>
      <w:rFonts w:eastAsia="Times New Roman" w:cs="Times New Roman"/>
      <w:bCs w:val="0"/>
      <w:szCs w:val="28"/>
      <w:lang w:eastAsia="en-AU"/>
    </w:rPr>
  </w:style>
  <w:style w:type="paragraph" w:customStyle="1" w:styleId="Appendixhead3">
    <w:name w:val="Appendix_head_3"/>
    <w:basedOn w:val="Heading3"/>
    <w:next w:val="Normal"/>
    <w:link w:val="Appendixhead3Char"/>
    <w:uiPriority w:val="3"/>
    <w:rsid w:val="00E06F2E"/>
    <w:pPr>
      <w:numPr>
        <w:numId w:val="11"/>
      </w:numPr>
      <w:outlineLvl w:val="9"/>
    </w:pPr>
    <w:rPr>
      <w:rFonts w:eastAsia="Times New Roman" w:cs="Times New Roman"/>
      <w:bCs w:val="0"/>
      <w:szCs w:val="20"/>
    </w:rPr>
  </w:style>
  <w:style w:type="paragraph" w:customStyle="1" w:styleId="Appendixhead4">
    <w:name w:val="Appendix_head_4"/>
    <w:basedOn w:val="Heading4"/>
    <w:next w:val="Normal"/>
    <w:uiPriority w:val="3"/>
    <w:rsid w:val="00F84828"/>
    <w:pPr>
      <w:numPr>
        <w:numId w:val="11"/>
      </w:numPr>
      <w:tabs>
        <w:tab w:val="clear" w:pos="340"/>
      </w:tabs>
      <w:outlineLvl w:val="9"/>
    </w:pPr>
    <w:rPr>
      <w:rFonts w:eastAsia="Times New Roman" w:cs="Times New Roman"/>
      <w:bCs w:val="0"/>
      <w:iCs w:val="0"/>
      <w:szCs w:val="24"/>
      <w:lang w:eastAsia="en-AU"/>
    </w:rPr>
  </w:style>
  <w:style w:type="paragraph" w:customStyle="1" w:styleId="Appendixhead1">
    <w:name w:val="Appendix_head_1"/>
    <w:basedOn w:val="Normal"/>
    <w:next w:val="Normal"/>
    <w:link w:val="Appendixhead1Char"/>
    <w:uiPriority w:val="3"/>
    <w:rsid w:val="009E2F33"/>
    <w:pPr>
      <w:keepNext/>
      <w:keepLines/>
      <w:pageBreakBefore/>
      <w:spacing w:after="480" w:line="720" w:lineRule="atLeast"/>
      <w:ind w:left="3856" w:hanging="3856"/>
    </w:pPr>
    <w:rPr>
      <w:rFonts w:eastAsia="Times New Roman" w:cs="Arial"/>
      <w:sz w:val="60"/>
    </w:rPr>
  </w:style>
  <w:style w:type="character" w:customStyle="1" w:styleId="Appendixhead1Char">
    <w:name w:val="Appendix_head_1 Char"/>
    <w:basedOn w:val="DefaultParagraphFont"/>
    <w:link w:val="Appendixhead1"/>
    <w:uiPriority w:val="3"/>
    <w:rsid w:val="009E2F33"/>
    <w:rPr>
      <w:rFonts w:ascii="Calibri" w:eastAsia="Times New Roman" w:hAnsi="Calibri" w:cs="Arial"/>
      <w:sz w:val="60"/>
      <w:szCs w:val="20"/>
      <w:lang w:val="en-AU"/>
    </w:rPr>
  </w:style>
  <w:style w:type="paragraph" w:customStyle="1" w:styleId="AppendixTableCaption">
    <w:name w:val="Appendix Table Caption"/>
    <w:basedOn w:val="Appendixhead4"/>
    <w:next w:val="Normal"/>
    <w:link w:val="AppendixTableCaptionChar"/>
    <w:uiPriority w:val="4"/>
    <w:rsid w:val="00CA0756"/>
    <w:pPr>
      <w:numPr>
        <w:ilvl w:val="6"/>
      </w:numPr>
      <w:spacing w:after="240"/>
      <w:outlineLvl w:val="7"/>
    </w:pPr>
    <w:rPr>
      <w:b w:val="0"/>
      <w:sz w:val="17"/>
      <w:szCs w:val="22"/>
    </w:rPr>
  </w:style>
  <w:style w:type="paragraph" w:customStyle="1" w:styleId="AppendixChartCaption">
    <w:name w:val="Appendix Chart Caption"/>
    <w:basedOn w:val="AppendixTableCaption"/>
    <w:next w:val="Normal"/>
    <w:link w:val="AppendixChartCaptionChar"/>
    <w:uiPriority w:val="4"/>
    <w:rsid w:val="00CA0756"/>
    <w:pPr>
      <w:numPr>
        <w:ilvl w:val="7"/>
      </w:numPr>
      <w:outlineLvl w:val="5"/>
    </w:pPr>
  </w:style>
  <w:style w:type="paragraph" w:customStyle="1" w:styleId="AppendixFigureCaption">
    <w:name w:val="Appendix Figure Caption"/>
    <w:basedOn w:val="AppendixChartCaption"/>
    <w:next w:val="Normal"/>
    <w:link w:val="AppendixFigureCaptionChar"/>
    <w:uiPriority w:val="4"/>
    <w:rsid w:val="00CA0756"/>
    <w:pPr>
      <w:numPr>
        <w:ilvl w:val="8"/>
      </w:numPr>
      <w:outlineLvl w:val="6"/>
    </w:pPr>
  </w:style>
  <w:style w:type="character" w:customStyle="1" w:styleId="Appendixhead2Char">
    <w:name w:val="Appendix_head_2 Char"/>
    <w:basedOn w:val="DefaultParagraphFont"/>
    <w:link w:val="Appendixhead2"/>
    <w:uiPriority w:val="3"/>
    <w:rsid w:val="007F276A"/>
    <w:rPr>
      <w:rFonts w:ascii="Calibri" w:eastAsia="Times New Roman" w:hAnsi="Calibri" w:cs="Times New Roman"/>
      <w:b/>
      <w:color w:val="0097A9" w:themeColor="accent5"/>
      <w:sz w:val="32"/>
      <w:szCs w:val="28"/>
      <w:lang w:val="en-AU" w:eastAsia="en-AU"/>
    </w:rPr>
  </w:style>
  <w:style w:type="character" w:customStyle="1" w:styleId="AppendixTableCaptionChar">
    <w:name w:val="Appendix Table Caption Char"/>
    <w:basedOn w:val="DefaultParagraphFont"/>
    <w:link w:val="AppendixTableCaption"/>
    <w:uiPriority w:val="4"/>
    <w:rsid w:val="00CA0756"/>
    <w:rPr>
      <w:rFonts w:ascii="Calibri" w:eastAsia="Times New Roman" w:hAnsi="Calibri" w:cs="Times New Roman"/>
      <w:color w:val="75787B" w:themeColor="accent6"/>
      <w:sz w:val="17"/>
      <w:szCs w:val="22"/>
      <w:lang w:val="en-AU" w:eastAsia="en-AU"/>
    </w:rPr>
  </w:style>
  <w:style w:type="character" w:customStyle="1" w:styleId="Appendixhead3Char">
    <w:name w:val="Appendix_head_3 Char"/>
    <w:basedOn w:val="DefaultParagraphFont"/>
    <w:link w:val="Appendixhead3"/>
    <w:uiPriority w:val="3"/>
    <w:rsid w:val="00E06F2E"/>
    <w:rPr>
      <w:rFonts w:ascii="Calibri" w:eastAsia="Times New Roman" w:hAnsi="Calibri" w:cs="Times New Roman"/>
      <w:b/>
      <w:sz w:val="24"/>
      <w:szCs w:val="20"/>
      <w:lang w:val="en-AU"/>
    </w:rPr>
  </w:style>
  <w:style w:type="character" w:customStyle="1" w:styleId="AppendixFigureCaptionChar">
    <w:name w:val="Appendix Figure Caption Char"/>
    <w:basedOn w:val="DefaultParagraphFont"/>
    <w:link w:val="AppendixFigureCaption"/>
    <w:uiPriority w:val="4"/>
    <w:rsid w:val="00CA0756"/>
    <w:rPr>
      <w:rFonts w:ascii="Calibri" w:eastAsia="Times New Roman" w:hAnsi="Calibri" w:cs="Times New Roman"/>
      <w:color w:val="75787B" w:themeColor="accent6"/>
      <w:sz w:val="17"/>
      <w:szCs w:val="22"/>
      <w:lang w:val="en-AU" w:eastAsia="en-AU"/>
    </w:rPr>
  </w:style>
  <w:style w:type="character" w:customStyle="1" w:styleId="AppendixChartCaptionChar">
    <w:name w:val="Appendix Chart Caption Char"/>
    <w:basedOn w:val="AppendixTableCaptionChar"/>
    <w:link w:val="AppendixChartCaption"/>
    <w:uiPriority w:val="4"/>
    <w:rsid w:val="00CA0756"/>
    <w:rPr>
      <w:rFonts w:ascii="Calibri" w:eastAsia="Times New Roman" w:hAnsi="Calibri" w:cs="Times New Roman"/>
      <w:color w:val="75787B" w:themeColor="accent6"/>
      <w:sz w:val="17"/>
      <w:szCs w:val="22"/>
      <w:lang w:val="en-AU" w:eastAsia="en-AU"/>
    </w:rPr>
  </w:style>
  <w:style w:type="paragraph" w:customStyle="1" w:styleId="SourcetextTableorChart">
    <w:name w:val="Source text Table or Chart"/>
    <w:basedOn w:val="Caption"/>
    <w:next w:val="Normal"/>
    <w:uiPriority w:val="6"/>
    <w:semiHidden/>
    <w:rsid w:val="00B5479F"/>
    <w:pPr>
      <w:keepNext w:val="0"/>
      <w:keepLines w:val="0"/>
    </w:pPr>
    <w:rPr>
      <w:sz w:val="14"/>
    </w:rPr>
  </w:style>
  <w:style w:type="paragraph" w:customStyle="1" w:styleId="AlphabeticList">
    <w:name w:val="Alphabetic List"/>
    <w:basedOn w:val="Normal"/>
    <w:uiPriority w:val="4"/>
    <w:qFormat/>
    <w:rsid w:val="007F7A8C"/>
    <w:pPr>
      <w:numPr>
        <w:numId w:val="12"/>
      </w:numPr>
      <w:spacing w:after="0"/>
      <w:contextualSpacing/>
    </w:pPr>
    <w:rPr>
      <w:rFonts w:eastAsia="Times New Roman" w:cs="Times New Roman"/>
    </w:rPr>
  </w:style>
  <w:style w:type="paragraph" w:customStyle="1" w:styleId="CV-Heading">
    <w:name w:val="CV - Heading"/>
    <w:basedOn w:val="Normal"/>
    <w:uiPriority w:val="7"/>
    <w:rsid w:val="005B00B8"/>
    <w:pPr>
      <w:spacing w:before="240" w:after="0"/>
      <w:contextualSpacing/>
    </w:pPr>
    <w:rPr>
      <w:b/>
    </w:rPr>
  </w:style>
  <w:style w:type="paragraph" w:customStyle="1" w:styleId="TableHeadingCentre">
    <w:name w:val="Table Heading Centre"/>
    <w:basedOn w:val="TableHeadingLeft"/>
    <w:uiPriority w:val="5"/>
    <w:rsid w:val="00625BDB"/>
    <w:pPr>
      <w:jc w:val="center"/>
    </w:pPr>
  </w:style>
  <w:style w:type="paragraph" w:customStyle="1" w:styleId="TableHeadingRight">
    <w:name w:val="Table Heading Right"/>
    <w:basedOn w:val="TableHeadingCentre"/>
    <w:uiPriority w:val="5"/>
    <w:rsid w:val="00625BDB"/>
    <w:pPr>
      <w:jc w:val="right"/>
    </w:pPr>
  </w:style>
  <w:style w:type="paragraph" w:customStyle="1" w:styleId="TabletextRight">
    <w:name w:val="Table text Right"/>
    <w:basedOn w:val="TabletextLeft"/>
    <w:uiPriority w:val="5"/>
    <w:rsid w:val="004A4474"/>
    <w:pPr>
      <w:jc w:val="right"/>
    </w:pPr>
  </w:style>
  <w:style w:type="paragraph" w:customStyle="1" w:styleId="TabletextCentre">
    <w:name w:val="Table text Centre"/>
    <w:basedOn w:val="TabletextRight"/>
    <w:uiPriority w:val="5"/>
    <w:rsid w:val="004A4474"/>
    <w:pPr>
      <w:jc w:val="center"/>
    </w:pPr>
  </w:style>
  <w:style w:type="paragraph" w:customStyle="1" w:styleId="TableNote">
    <w:name w:val="Table Note"/>
    <w:basedOn w:val="TabletextLeft"/>
    <w:uiPriority w:val="5"/>
    <w:semiHidden/>
    <w:rsid w:val="002E67BC"/>
    <w:rPr>
      <w:sz w:val="15"/>
    </w:rPr>
  </w:style>
  <w:style w:type="paragraph" w:customStyle="1" w:styleId="TabletextCentreTotal">
    <w:name w:val="Table text Centre Total"/>
    <w:basedOn w:val="TabletextCentre"/>
    <w:uiPriority w:val="5"/>
    <w:rsid w:val="004A4474"/>
    <w:rPr>
      <w:b/>
    </w:rPr>
  </w:style>
  <w:style w:type="paragraph" w:customStyle="1" w:styleId="AlphabeticList2">
    <w:name w:val="Alphabetic List 2"/>
    <w:basedOn w:val="AlphabeticList"/>
    <w:uiPriority w:val="4"/>
    <w:qFormat/>
    <w:rsid w:val="000A0317"/>
    <w:pPr>
      <w:numPr>
        <w:ilvl w:val="1"/>
      </w:numPr>
    </w:pPr>
  </w:style>
  <w:style w:type="table" w:styleId="GridTable1Light">
    <w:name w:val="Grid Table 1 Light"/>
    <w:basedOn w:val="TableNormal"/>
    <w:uiPriority w:val="46"/>
    <w:rsid w:val="000116B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116B0"/>
    <w:pPr>
      <w:spacing w:line="240" w:lineRule="auto"/>
    </w:p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116B0"/>
    <w:pPr>
      <w:spacing w:line="240" w:lineRule="auto"/>
    </w:p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116B0"/>
    <w:pPr>
      <w:spacing w:line="240" w:lineRule="auto"/>
    </w:p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116B0"/>
    <w:pPr>
      <w:spacing w:line="240" w:lineRule="auto"/>
    </w:p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116B0"/>
    <w:pPr>
      <w:spacing w:line="240" w:lineRule="auto"/>
    </w:p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116B0"/>
    <w:pPr>
      <w:spacing w:line="240" w:lineRule="auto"/>
    </w:p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116B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116B0"/>
    <w:pPr>
      <w:spacing w:line="240" w:lineRule="auto"/>
    </w:p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2-Accent2">
    <w:name w:val="Grid Table 2 Accent 2"/>
    <w:basedOn w:val="TableNormal"/>
    <w:uiPriority w:val="47"/>
    <w:rsid w:val="000116B0"/>
    <w:pPr>
      <w:spacing w:line="240" w:lineRule="auto"/>
    </w:p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2-Accent3">
    <w:name w:val="Grid Table 2 Accent 3"/>
    <w:basedOn w:val="TableNormal"/>
    <w:uiPriority w:val="47"/>
    <w:rsid w:val="000116B0"/>
    <w:pPr>
      <w:spacing w:line="240" w:lineRule="auto"/>
    </w:p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2-Accent4">
    <w:name w:val="Grid Table 2 Accent 4"/>
    <w:basedOn w:val="TableNormal"/>
    <w:uiPriority w:val="47"/>
    <w:rsid w:val="000116B0"/>
    <w:pPr>
      <w:spacing w:line="240" w:lineRule="auto"/>
    </w:p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2-Accent5">
    <w:name w:val="Grid Table 2 Accent 5"/>
    <w:basedOn w:val="TableNormal"/>
    <w:uiPriority w:val="47"/>
    <w:rsid w:val="000116B0"/>
    <w:pPr>
      <w:spacing w:line="240" w:lineRule="auto"/>
    </w:p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2-Accent6">
    <w:name w:val="Grid Table 2 Accent 6"/>
    <w:basedOn w:val="TableNormal"/>
    <w:uiPriority w:val="47"/>
    <w:rsid w:val="000116B0"/>
    <w:pPr>
      <w:spacing w:line="240" w:lineRule="auto"/>
    </w:p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3">
    <w:name w:val="Grid Table 3"/>
    <w:basedOn w:val="TableNormal"/>
    <w:uiPriority w:val="48"/>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3-Accent2">
    <w:name w:val="Grid Table 3 Accent 2"/>
    <w:basedOn w:val="TableNormal"/>
    <w:uiPriority w:val="48"/>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3-Accent3">
    <w:name w:val="Grid Table 3 Accent 3"/>
    <w:basedOn w:val="TableNormal"/>
    <w:uiPriority w:val="48"/>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3-Accent4">
    <w:name w:val="Grid Table 3 Accent 4"/>
    <w:basedOn w:val="TableNormal"/>
    <w:uiPriority w:val="48"/>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3-Accent5">
    <w:name w:val="Grid Table 3 Accent 5"/>
    <w:basedOn w:val="TableNormal"/>
    <w:uiPriority w:val="48"/>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3-Accent6">
    <w:name w:val="Grid Table 3 Accent 6"/>
    <w:basedOn w:val="TableNormal"/>
    <w:uiPriority w:val="48"/>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GridTable4">
    <w:name w:val="Grid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4-Accent2">
    <w:name w:val="Grid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4-Accent3">
    <w:name w:val="Grid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4-Accent4">
    <w:name w:val="Grid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4-Accent5">
    <w:name w:val="Grid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4-Accent6">
    <w:name w:val="Grid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5Dark">
    <w:name w:val="Grid Table 5 Dark"/>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styleId="GridTable5Dark-Accent2">
    <w:name w:val="Grid Table 5 Dark Accent 2"/>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styleId="GridTable5Dark-Accent3">
    <w:name w:val="Grid Table 5 Dark Accent 3"/>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styleId="GridTable5Dark-Accent4">
    <w:name w:val="Grid Table 5 Dark Accent 4"/>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styleId="GridTable5Dark-Accent5">
    <w:name w:val="Grid Table 5 Dark Accent 5"/>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styleId="GridTable5Dark-Accent6">
    <w:name w:val="Grid Table 5 Dark Accent 6"/>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GridTable6Colorful">
    <w:name w:val="Grid Table 6 Colorful"/>
    <w:basedOn w:val="TableNormal"/>
    <w:uiPriority w:val="51"/>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6Colorful-Accent2">
    <w:name w:val="Grid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6Colorful-Accent3">
    <w:name w:val="Grid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6Colorful-Accent4">
    <w:name w:val="Grid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6Colorful-Accent5">
    <w:name w:val="Grid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6Colorful-Accent6">
    <w:name w:val="Grid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7Colorful">
    <w:name w:val="Grid Table 7 Colorful"/>
    <w:basedOn w:val="TableNormal"/>
    <w:uiPriority w:val="52"/>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7Colorful-Accent2">
    <w:name w:val="Grid Table 7 Colorful Accent 2"/>
    <w:basedOn w:val="TableNormal"/>
    <w:uiPriority w:val="52"/>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7Colorful-Accent3">
    <w:name w:val="Grid Table 7 Colorful Accent 3"/>
    <w:basedOn w:val="TableNormal"/>
    <w:uiPriority w:val="52"/>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7Colorful-Accent4">
    <w:name w:val="Grid Table 7 Colorful Accent 4"/>
    <w:basedOn w:val="TableNormal"/>
    <w:uiPriority w:val="52"/>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7Colorful-Accent5">
    <w:name w:val="Grid Table 7 Colorful Accent 5"/>
    <w:basedOn w:val="TableNormal"/>
    <w:uiPriority w:val="52"/>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7Colorful-Accent6">
    <w:name w:val="Grid Table 7 Colorful Accent 6"/>
    <w:basedOn w:val="TableNormal"/>
    <w:uiPriority w:val="52"/>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ListTable1Light">
    <w:name w:val="List Table 1 Light"/>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1Light-Accent2">
    <w:name w:val="List Table 1 Light Accent 2"/>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1Light-Accent3">
    <w:name w:val="List Table 1 Light Accent 3"/>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1Light-Accent4">
    <w:name w:val="List Table 1 Light Accent 4"/>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1Light-Accent5">
    <w:name w:val="List Table 1 Light Accent 5"/>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1Light-Accent6">
    <w:name w:val="List Table 1 Light Accent 6"/>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2">
    <w:name w:val="List Table 2"/>
    <w:basedOn w:val="TableNormal"/>
    <w:uiPriority w:val="47"/>
    <w:rsid w:val="000116B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116B0"/>
    <w:pPr>
      <w:spacing w:line="240" w:lineRule="auto"/>
    </w:p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2-Accent2">
    <w:name w:val="List Table 2 Accent 2"/>
    <w:basedOn w:val="TableNormal"/>
    <w:uiPriority w:val="47"/>
    <w:rsid w:val="000116B0"/>
    <w:pPr>
      <w:spacing w:line="240" w:lineRule="auto"/>
    </w:p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2-Accent3">
    <w:name w:val="List Table 2 Accent 3"/>
    <w:basedOn w:val="TableNormal"/>
    <w:uiPriority w:val="47"/>
    <w:rsid w:val="000116B0"/>
    <w:pPr>
      <w:spacing w:line="240" w:lineRule="auto"/>
    </w:p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2-Accent4">
    <w:name w:val="List Table 2 Accent 4"/>
    <w:basedOn w:val="TableNormal"/>
    <w:uiPriority w:val="47"/>
    <w:rsid w:val="000116B0"/>
    <w:pPr>
      <w:spacing w:line="240" w:lineRule="auto"/>
    </w:p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2-Accent5">
    <w:name w:val="List Table 2 Accent 5"/>
    <w:basedOn w:val="TableNormal"/>
    <w:uiPriority w:val="47"/>
    <w:rsid w:val="000116B0"/>
    <w:pPr>
      <w:spacing w:line="240" w:lineRule="auto"/>
    </w:p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2-Accent6">
    <w:name w:val="List Table 2 Accent 6"/>
    <w:basedOn w:val="TableNormal"/>
    <w:uiPriority w:val="47"/>
    <w:rsid w:val="000116B0"/>
    <w:pPr>
      <w:spacing w:line="240" w:lineRule="auto"/>
    </w:p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3">
    <w:name w:val="List Table 3"/>
    <w:basedOn w:val="TableNormal"/>
    <w:uiPriority w:val="48"/>
    <w:rsid w:val="000116B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116B0"/>
    <w:pPr>
      <w:spacing w:line="240" w:lineRule="auto"/>
    </w:p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stTable3-Accent2">
    <w:name w:val="List Table 3 Accent 2"/>
    <w:basedOn w:val="TableNormal"/>
    <w:uiPriority w:val="48"/>
    <w:rsid w:val="000116B0"/>
    <w:pPr>
      <w:spacing w:line="240" w:lineRule="auto"/>
    </w:p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ListTable3-Accent3">
    <w:name w:val="List Table 3 Accent 3"/>
    <w:basedOn w:val="TableNormal"/>
    <w:uiPriority w:val="48"/>
    <w:rsid w:val="000116B0"/>
    <w:pPr>
      <w:spacing w:line="240" w:lineRule="auto"/>
    </w:p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styleId="ListTable3-Accent4">
    <w:name w:val="List Table 3 Accent 4"/>
    <w:basedOn w:val="TableNormal"/>
    <w:uiPriority w:val="48"/>
    <w:rsid w:val="000116B0"/>
    <w:pPr>
      <w:spacing w:line="240" w:lineRule="auto"/>
    </w:p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styleId="ListTable3-Accent5">
    <w:name w:val="List Table 3 Accent 5"/>
    <w:basedOn w:val="TableNormal"/>
    <w:uiPriority w:val="48"/>
    <w:rsid w:val="000116B0"/>
    <w:pPr>
      <w:spacing w:line="240" w:lineRule="auto"/>
    </w:p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styleId="ListTable3-Accent6">
    <w:name w:val="List Table 3 Accent 6"/>
    <w:basedOn w:val="TableNormal"/>
    <w:uiPriority w:val="48"/>
    <w:rsid w:val="000116B0"/>
    <w:pPr>
      <w:spacing w:line="240" w:lineRule="auto"/>
    </w:p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styleId="ListTable4">
    <w:name w:val="List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4-Accent2">
    <w:name w:val="List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4-Accent3">
    <w:name w:val="List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4-Accent4">
    <w:name w:val="List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4-Accent5">
    <w:name w:val="List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4-Accent6">
    <w:name w:val="List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5Dark">
    <w:name w:val="List Table 5 Dark"/>
    <w:basedOn w:val="TableNormal"/>
    <w:uiPriority w:val="50"/>
    <w:rsid w:val="000116B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116B0"/>
    <w:pPr>
      <w:spacing w:line="240" w:lineRule="auto"/>
    </w:pPr>
    <w:rPr>
      <w:color w:val="FFFFFF" w:themeColor="background1"/>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116B0"/>
    <w:pPr>
      <w:spacing w:line="240" w:lineRule="auto"/>
    </w:pPr>
    <w:rPr>
      <w:color w:val="FFFFFF" w:themeColor="background1"/>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116B0"/>
    <w:pPr>
      <w:spacing w:line="240" w:lineRule="auto"/>
    </w:pPr>
    <w:rPr>
      <w:color w:val="FFFFFF" w:themeColor="background1"/>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116B0"/>
    <w:pPr>
      <w:spacing w:line="240" w:lineRule="auto"/>
    </w:pPr>
    <w:rPr>
      <w:color w:val="FFFFFF" w:themeColor="background1"/>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116B0"/>
    <w:pPr>
      <w:spacing w:line="240" w:lineRule="auto"/>
    </w:pPr>
    <w:rPr>
      <w:color w:val="FFFFFF" w:themeColor="background1"/>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116B0"/>
    <w:pPr>
      <w:spacing w:line="240" w:lineRule="auto"/>
    </w:pPr>
    <w:rPr>
      <w:color w:val="FFFFFF" w:themeColor="background1"/>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116B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6Colorful-Accent2">
    <w:name w:val="List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6Colorful-Accent3">
    <w:name w:val="List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6Colorful-Accent4">
    <w:name w:val="List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6Colorful-Accent5">
    <w:name w:val="List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6Colorful-Accent6">
    <w:name w:val="List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7Colorful">
    <w:name w:val="List Table 7 Colorful"/>
    <w:basedOn w:val="TableNormal"/>
    <w:uiPriority w:val="52"/>
    <w:rsid w:val="000116B0"/>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116B0"/>
    <w:pPr>
      <w:spacing w:line="240" w:lineRule="auto"/>
    </w:pPr>
    <w:rPr>
      <w:color w:val="638C1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116B0"/>
    <w:pPr>
      <w:spacing w:line="240" w:lineRule="auto"/>
    </w:pPr>
    <w:rPr>
      <w:color w:val="034F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116B0"/>
    <w:pPr>
      <w:spacing w:line="240" w:lineRule="auto"/>
    </w:pPr>
    <w:rPr>
      <w:color w:val="2291D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116B0"/>
    <w:pPr>
      <w:spacing w:line="240" w:lineRule="auto"/>
    </w:pPr>
    <w:rPr>
      <w:color w:val="0018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116B0"/>
    <w:pPr>
      <w:spacing w:line="240" w:lineRule="auto"/>
    </w:pPr>
    <w:rPr>
      <w:color w:val="00707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116B0"/>
    <w:pPr>
      <w:spacing w:line="240" w:lineRule="auto"/>
    </w:pPr>
    <w:rPr>
      <w:color w:val="57595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116B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116B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116B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116B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116B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116B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1E349B"/>
    <w:pPr>
      <w:spacing w:line="240" w:lineRule="auto"/>
    </w:p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Pullout-QuoteBlue">
    <w:name w:val="Pullout - Quote Blue"/>
    <w:basedOn w:val="PulloutBlue"/>
    <w:uiPriority w:val="6"/>
    <w:rsid w:val="00D67839"/>
    <w:pPr>
      <w:ind w:left="227" w:right="227"/>
    </w:pPr>
    <w:rPr>
      <w:i/>
    </w:rPr>
  </w:style>
  <w:style w:type="paragraph" w:customStyle="1" w:styleId="Pullout-QuoteGreen">
    <w:name w:val="Pullout - Quote Green"/>
    <w:basedOn w:val="Pullout-QuoteBlue"/>
    <w:qFormat/>
    <w:rsid w:val="001D3B36"/>
    <w:rPr>
      <w:color w:val="86BC25" w:themeColor="accent1"/>
    </w:rPr>
  </w:style>
  <w:style w:type="table" w:customStyle="1" w:styleId="TableGrid10">
    <w:name w:val="Table Grid1"/>
    <w:basedOn w:val="TableNormal"/>
    <w:next w:val="TableGrid"/>
    <w:uiPriority w:val="39"/>
    <w:rsid w:val="0069331A"/>
    <w:pPr>
      <w:spacing w:line="240" w:lineRule="auto"/>
    </w:pPr>
    <w:rPr>
      <w:rFonts w:ascii="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9331A"/>
    <w:pPr>
      <w:spacing w:line="240" w:lineRule="auto"/>
    </w:pPr>
    <w:rPr>
      <w:rFonts w:ascii="Open Sans" w:hAnsi="Open Sans"/>
      <w:lang w:val="en-AU"/>
    </w:rPr>
  </w:style>
  <w:style w:type="character" w:styleId="UnresolvedMention">
    <w:name w:val="Unresolved Mention"/>
    <w:basedOn w:val="DefaultParagraphFont"/>
    <w:uiPriority w:val="99"/>
    <w:unhideWhenUsed/>
    <w:rsid w:val="004A4142"/>
    <w:rPr>
      <w:color w:val="605E5C"/>
      <w:shd w:val="clear" w:color="auto" w:fill="E1DFDD"/>
    </w:rPr>
  </w:style>
  <w:style w:type="character" w:styleId="Mention">
    <w:name w:val="Mention"/>
    <w:basedOn w:val="DefaultParagraphFont"/>
    <w:uiPriority w:val="99"/>
    <w:unhideWhenUsed/>
    <w:rsid w:val="003027E4"/>
    <w:rPr>
      <w:color w:val="2B579A"/>
      <w:shd w:val="clear" w:color="auto" w:fill="E1DFDD"/>
    </w:rPr>
  </w:style>
  <w:style w:type="paragraph" w:customStyle="1" w:styleId="Letterdotpoints">
    <w:name w:val="Letter dot points"/>
    <w:basedOn w:val="ListParagraph"/>
    <w:link w:val="LetterdotpointsChar"/>
    <w:qFormat/>
    <w:rsid w:val="00E06190"/>
    <w:pPr>
      <w:numPr>
        <w:numId w:val="17"/>
      </w:numPr>
      <w:contextualSpacing w:val="0"/>
    </w:pPr>
  </w:style>
  <w:style w:type="paragraph" w:customStyle="1" w:styleId="Figurecaption">
    <w:name w:val="Figure caption"/>
    <w:basedOn w:val="Caption"/>
    <w:link w:val="FigurecaptionChar"/>
    <w:qFormat/>
    <w:rsid w:val="00E06190"/>
    <w:pPr>
      <w:spacing w:before="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rsid w:val="00E06190"/>
    <w:rPr>
      <w:rFonts w:ascii="Open Sans" w:hAnsi="Open Sans"/>
      <w:lang w:val="en-AU"/>
    </w:rPr>
  </w:style>
  <w:style w:type="character" w:customStyle="1" w:styleId="LetterdotpointsChar">
    <w:name w:val="Letter dot points Char"/>
    <w:basedOn w:val="ListParagraphChar"/>
    <w:link w:val="Letterdotpoints"/>
    <w:rsid w:val="00E06190"/>
    <w:rPr>
      <w:rFonts w:ascii="Calibri" w:hAnsi="Calibri" w:cs="Calibri"/>
      <w:sz w:val="20"/>
      <w:szCs w:val="20"/>
      <w:lang w:val="en-AU"/>
    </w:rPr>
  </w:style>
  <w:style w:type="paragraph" w:customStyle="1" w:styleId="Longdotpoints">
    <w:name w:val="Long dot points"/>
    <w:basedOn w:val="ListParagraph"/>
    <w:link w:val="LongdotpointsChar"/>
    <w:qFormat/>
    <w:rsid w:val="002240E6"/>
    <w:pPr>
      <w:numPr>
        <w:numId w:val="18"/>
      </w:numPr>
      <w:contextualSpacing w:val="0"/>
    </w:pPr>
  </w:style>
  <w:style w:type="character" w:customStyle="1" w:styleId="CaptionChar">
    <w:name w:val="Caption Char"/>
    <w:basedOn w:val="DefaultParagraphFont"/>
    <w:link w:val="Caption"/>
    <w:uiPriority w:val="3"/>
    <w:rsid w:val="00C2024B"/>
    <w:rPr>
      <w:rFonts w:ascii="Calibri" w:hAnsi="Calibri" w:cs="Calibri"/>
      <w:iCs/>
      <w:color w:val="74777A"/>
      <w:lang w:val="en-AU"/>
    </w:rPr>
  </w:style>
  <w:style w:type="character" w:customStyle="1" w:styleId="FigurecaptionChar">
    <w:name w:val="Figure caption Char"/>
    <w:basedOn w:val="CaptionChar"/>
    <w:link w:val="Figurecaption"/>
    <w:rsid w:val="00E06190"/>
    <w:rPr>
      <w:rFonts w:ascii="Calibri" w:hAnsi="Calibri" w:cs="Calibri"/>
      <w:iCs/>
      <w:color w:val="75787B" w:themeColor="accent6"/>
      <w:lang w:val="en-AU"/>
    </w:rPr>
  </w:style>
  <w:style w:type="paragraph" w:customStyle="1" w:styleId="Subdotpoint">
    <w:name w:val="Sub dot point"/>
    <w:basedOn w:val="ListParagraph"/>
    <w:link w:val="SubdotpointChar"/>
    <w:qFormat/>
    <w:rsid w:val="00E06190"/>
    <w:pPr>
      <w:numPr>
        <w:ilvl w:val="1"/>
        <w:numId w:val="19"/>
      </w:numPr>
    </w:pPr>
  </w:style>
  <w:style w:type="character" w:customStyle="1" w:styleId="LongdotpointsChar">
    <w:name w:val="Long dot points Char"/>
    <w:basedOn w:val="ListParagraphChar"/>
    <w:link w:val="Longdotpoints"/>
    <w:rsid w:val="00CC7F3C"/>
    <w:rPr>
      <w:rFonts w:ascii="Calibri" w:hAnsi="Calibri" w:cs="Calibri"/>
      <w:sz w:val="20"/>
      <w:szCs w:val="20"/>
      <w:lang w:val="en-AU"/>
    </w:rPr>
  </w:style>
  <w:style w:type="paragraph" w:customStyle="1" w:styleId="Summarytable">
    <w:name w:val="Summary table"/>
    <w:basedOn w:val="Normal"/>
    <w:link w:val="SummarytableChar"/>
    <w:qFormat/>
    <w:rsid w:val="00E06190"/>
    <w:pPr>
      <w:spacing w:before="120"/>
      <w:ind w:left="142"/>
    </w:pPr>
    <w:rPr>
      <w:b/>
      <w:bCs/>
    </w:rPr>
  </w:style>
  <w:style w:type="character" w:customStyle="1" w:styleId="SubdotpointChar">
    <w:name w:val="Sub dot point Char"/>
    <w:basedOn w:val="ListParagraphChar"/>
    <w:link w:val="Subdotpoint"/>
    <w:rsid w:val="00E06190"/>
    <w:rPr>
      <w:rFonts w:ascii="Calibri" w:hAnsi="Calibri" w:cs="Calibri"/>
      <w:sz w:val="20"/>
      <w:szCs w:val="20"/>
      <w:lang w:val="en-AU"/>
    </w:rPr>
  </w:style>
  <w:style w:type="paragraph" w:customStyle="1" w:styleId="Tableheading">
    <w:name w:val="Table heading"/>
    <w:basedOn w:val="TableHeadingLeft"/>
    <w:link w:val="TableheadingChar"/>
    <w:qFormat/>
    <w:rsid w:val="00E06190"/>
    <w:rPr>
      <w:color w:val="0097A9" w:themeColor="accent5"/>
      <w:sz w:val="20"/>
    </w:rPr>
  </w:style>
  <w:style w:type="character" w:customStyle="1" w:styleId="SummarytableChar">
    <w:name w:val="Summary table Char"/>
    <w:basedOn w:val="DefaultParagraphFont"/>
    <w:link w:val="Summarytable"/>
    <w:rsid w:val="00E06190"/>
    <w:rPr>
      <w:rFonts w:ascii="Calibri" w:hAnsi="Calibri" w:cs="Calibri"/>
      <w:b/>
      <w:bCs/>
      <w:sz w:val="20"/>
      <w:szCs w:val="20"/>
      <w:lang w:val="en-AU"/>
    </w:rPr>
  </w:style>
  <w:style w:type="character" w:customStyle="1" w:styleId="TabletextLeftChar">
    <w:name w:val="Table text Left Char"/>
    <w:basedOn w:val="DefaultParagraphFont"/>
    <w:link w:val="TabletextLeft"/>
    <w:uiPriority w:val="5"/>
    <w:rsid w:val="00E06190"/>
    <w:rPr>
      <w:rFonts w:ascii="Open Sans" w:hAnsi="Open Sans"/>
      <w:sz w:val="17"/>
      <w:lang w:val="en-AU"/>
    </w:rPr>
  </w:style>
  <w:style w:type="character" w:customStyle="1" w:styleId="TableHeadingLeftChar">
    <w:name w:val="Table Heading Left Char"/>
    <w:basedOn w:val="TabletextLeftChar"/>
    <w:link w:val="TableHeadingLeft"/>
    <w:uiPriority w:val="5"/>
    <w:rsid w:val="00E06190"/>
    <w:rPr>
      <w:rFonts w:ascii="Open Sans" w:hAnsi="Open Sans"/>
      <w:b/>
      <w:color w:val="62B5E5" w:themeColor="accent3"/>
      <w:sz w:val="17"/>
      <w:lang w:val="en-AU"/>
    </w:rPr>
  </w:style>
  <w:style w:type="character" w:customStyle="1" w:styleId="TableheadingChar">
    <w:name w:val="Table heading Char"/>
    <w:basedOn w:val="TableHeadingLeftChar"/>
    <w:link w:val="Tableheading"/>
    <w:rsid w:val="00E06190"/>
    <w:rPr>
      <w:rFonts w:ascii="Open Sans" w:hAnsi="Open Sans"/>
      <w:b/>
      <w:color w:val="0097A9" w:themeColor="accent5"/>
      <w:sz w:val="20"/>
      <w:lang w:val="en-AU"/>
    </w:rPr>
  </w:style>
  <w:style w:type="paragraph" w:customStyle="1" w:styleId="Appendixheading">
    <w:name w:val="Appendix heading"/>
    <w:basedOn w:val="Heading1"/>
    <w:link w:val="AppendixheadingChar"/>
    <w:qFormat/>
    <w:rsid w:val="0057185D"/>
    <w:pPr>
      <w:numPr>
        <w:numId w:val="11"/>
      </w:numPr>
      <w:spacing w:after="240" w:line="216" w:lineRule="auto"/>
    </w:pPr>
  </w:style>
  <w:style w:type="character" w:customStyle="1" w:styleId="AppendixheadingChar">
    <w:name w:val="Appendix heading Char"/>
    <w:basedOn w:val="Appendixhead1Char"/>
    <w:link w:val="Appendixheading"/>
    <w:rsid w:val="0057185D"/>
    <w:rPr>
      <w:rFonts w:ascii="Calibri" w:eastAsiaTheme="majorEastAsia" w:hAnsi="Calibri" w:cstheme="majorBidi"/>
      <w:bCs/>
      <w:sz w:val="60"/>
      <w:szCs w:val="28"/>
      <w:lang w:val="en-AU"/>
    </w:rPr>
  </w:style>
  <w:style w:type="character" w:customStyle="1" w:styleId="cf01">
    <w:name w:val="cf01"/>
    <w:basedOn w:val="DefaultParagraphFont"/>
    <w:rsid w:val="000A3E36"/>
    <w:rPr>
      <w:rFonts w:ascii="Segoe UI" w:hAnsi="Segoe UI" w:cs="Segoe UI" w:hint="default"/>
      <w:sz w:val="18"/>
      <w:szCs w:val="18"/>
    </w:rPr>
  </w:style>
  <w:style w:type="paragraph" w:customStyle="1" w:styleId="Heading">
    <w:name w:val="Heading"/>
    <w:basedOn w:val="Normal"/>
    <w:qFormat/>
    <w:rsid w:val="000D2017"/>
    <w:pPr>
      <w:spacing w:after="240" w:line="240" w:lineRule="atLeast"/>
    </w:pPr>
    <w:rPr>
      <w:rFonts w:asciiTheme="majorHAnsi" w:hAnsiTheme="majorHAnsi" w:cstheme="minorBidi"/>
      <w:b/>
      <w:color w:val="000000" w:themeColor="text1"/>
      <w:sz w:val="26"/>
      <w:szCs w:val="22"/>
      <w:lang w:val="en-US"/>
    </w:rPr>
  </w:style>
  <w:style w:type="paragraph" w:customStyle="1" w:styleId="Figure">
    <w:name w:val="Figure"/>
    <w:basedOn w:val="Caption"/>
    <w:link w:val="FigureChar"/>
    <w:qFormat/>
    <w:rsid w:val="00DD2757"/>
    <w:pPr>
      <w:spacing w:after="240"/>
    </w:pPr>
  </w:style>
  <w:style w:type="character" w:customStyle="1" w:styleId="FigureChar">
    <w:name w:val="Figure Char"/>
    <w:basedOn w:val="CaptionChar"/>
    <w:link w:val="Figure"/>
    <w:rsid w:val="00DD2757"/>
    <w:rPr>
      <w:rFonts w:ascii="Calibri" w:hAnsi="Calibri" w:cs="Calibri"/>
      <w:iCs/>
      <w:color w:val="75787B" w:themeColor="accent6"/>
      <w:lang w:val="en-AU"/>
    </w:rPr>
  </w:style>
  <w:style w:type="paragraph" w:customStyle="1" w:styleId="xnull1">
    <w:name w:val="x_null1"/>
    <w:basedOn w:val="Normal"/>
    <w:rsid w:val="00B400DF"/>
    <w:pPr>
      <w:spacing w:before="100" w:beforeAutospacing="1" w:after="100" w:afterAutospacing="1" w:line="240" w:lineRule="auto"/>
    </w:pPr>
    <w:rPr>
      <w:sz w:val="22"/>
      <w:szCs w:val="22"/>
      <w:lang w:eastAsia="en-AU"/>
    </w:rPr>
  </w:style>
  <w:style w:type="paragraph" w:customStyle="1" w:styleId="xnull2">
    <w:name w:val="x_null2"/>
    <w:basedOn w:val="Normal"/>
    <w:rsid w:val="00B400DF"/>
    <w:pPr>
      <w:spacing w:before="100" w:beforeAutospacing="1" w:after="100" w:afterAutospacing="1" w:line="240" w:lineRule="auto"/>
    </w:pPr>
    <w:rPr>
      <w:sz w:val="22"/>
      <w:szCs w:val="22"/>
      <w:lang w:eastAsia="en-AU"/>
    </w:rPr>
  </w:style>
  <w:style w:type="paragraph" w:customStyle="1" w:styleId="pf0">
    <w:name w:val="pf0"/>
    <w:basedOn w:val="Normal"/>
    <w:rsid w:val="00287EE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hirdleveldotpoint">
    <w:name w:val="Third level dot point"/>
    <w:basedOn w:val="Subdotpoint"/>
    <w:link w:val="ThirdleveldotpointChar"/>
    <w:qFormat/>
    <w:rsid w:val="00A30CA4"/>
    <w:pPr>
      <w:numPr>
        <w:ilvl w:val="2"/>
      </w:numPr>
    </w:pPr>
  </w:style>
  <w:style w:type="character" w:customStyle="1" w:styleId="ThirdleveldotpointChar">
    <w:name w:val="Third level dot point Char"/>
    <w:basedOn w:val="SubdotpointChar"/>
    <w:link w:val="Thirdleveldotpoint"/>
    <w:rsid w:val="00087FD3"/>
    <w:rPr>
      <w:rFonts w:ascii="Calibri" w:hAnsi="Calibri" w:cs="Calibri"/>
      <w:sz w:val="20"/>
      <w:szCs w:val="20"/>
      <w:lang w:val="en-AU"/>
    </w:rPr>
  </w:style>
  <w:style w:type="character" w:customStyle="1" w:styleId="cf11">
    <w:name w:val="cf11"/>
    <w:basedOn w:val="DefaultParagraphFont"/>
    <w:rsid w:val="00841CFC"/>
    <w:rPr>
      <w:rFonts w:ascii="Segoe UI" w:hAnsi="Segoe UI" w:cs="Segoe UI" w:hint="default"/>
      <w:b/>
      <w:bCs/>
      <w:sz w:val="18"/>
      <w:szCs w:val="18"/>
    </w:rPr>
  </w:style>
  <w:style w:type="table" w:customStyle="1" w:styleId="TableGrid20">
    <w:name w:val="Table Grid2"/>
    <w:basedOn w:val="TableNormal"/>
    <w:next w:val="TableGrid"/>
    <w:uiPriority w:val="59"/>
    <w:rsid w:val="009A7CBC"/>
    <w:pPr>
      <w:spacing w:line="240" w:lineRule="auto"/>
    </w:pPr>
    <w:rPr>
      <w:rFonts w:ascii="Calibri Light" w:hAnsi="Calibri Light"/>
      <w:sz w:val="22"/>
      <w:szCs w:val="22"/>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character" w:customStyle="1" w:styleId="ref-journal">
    <w:name w:val="ref-journal"/>
    <w:basedOn w:val="DefaultParagraphFont"/>
    <w:rsid w:val="001F362F"/>
  </w:style>
  <w:style w:type="character" w:customStyle="1" w:styleId="ref-vol">
    <w:name w:val="ref-vol"/>
    <w:basedOn w:val="DefaultParagraphFont"/>
    <w:rsid w:val="001F362F"/>
  </w:style>
  <w:style w:type="table" w:customStyle="1" w:styleId="TableGrid30">
    <w:name w:val="Table Grid3"/>
    <w:basedOn w:val="TableNormal"/>
    <w:next w:val="TableGrid"/>
    <w:uiPriority w:val="59"/>
    <w:rsid w:val="008F2AEC"/>
    <w:pPr>
      <w:spacing w:line="240" w:lineRule="auto"/>
    </w:pPr>
    <w:rPr>
      <w:rFonts w:ascii="Calibri Light" w:hAnsi="Calibri Light"/>
      <w:sz w:val="22"/>
      <w:szCs w:val="22"/>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2327">
      <w:bodyDiv w:val="1"/>
      <w:marLeft w:val="0"/>
      <w:marRight w:val="0"/>
      <w:marTop w:val="0"/>
      <w:marBottom w:val="0"/>
      <w:divBdr>
        <w:top w:val="none" w:sz="0" w:space="0" w:color="auto"/>
        <w:left w:val="none" w:sz="0" w:space="0" w:color="auto"/>
        <w:bottom w:val="none" w:sz="0" w:space="0" w:color="auto"/>
        <w:right w:val="none" w:sz="0" w:space="0" w:color="auto"/>
      </w:divBdr>
    </w:div>
    <w:div w:id="31613175">
      <w:bodyDiv w:val="1"/>
      <w:marLeft w:val="0"/>
      <w:marRight w:val="0"/>
      <w:marTop w:val="0"/>
      <w:marBottom w:val="0"/>
      <w:divBdr>
        <w:top w:val="none" w:sz="0" w:space="0" w:color="auto"/>
        <w:left w:val="none" w:sz="0" w:space="0" w:color="auto"/>
        <w:bottom w:val="none" w:sz="0" w:space="0" w:color="auto"/>
        <w:right w:val="none" w:sz="0" w:space="0" w:color="auto"/>
      </w:divBdr>
    </w:div>
    <w:div w:id="36659901">
      <w:bodyDiv w:val="1"/>
      <w:marLeft w:val="0"/>
      <w:marRight w:val="0"/>
      <w:marTop w:val="0"/>
      <w:marBottom w:val="0"/>
      <w:divBdr>
        <w:top w:val="none" w:sz="0" w:space="0" w:color="auto"/>
        <w:left w:val="none" w:sz="0" w:space="0" w:color="auto"/>
        <w:bottom w:val="none" w:sz="0" w:space="0" w:color="auto"/>
        <w:right w:val="none" w:sz="0" w:space="0" w:color="auto"/>
      </w:divBdr>
    </w:div>
    <w:div w:id="54205238">
      <w:bodyDiv w:val="1"/>
      <w:marLeft w:val="0"/>
      <w:marRight w:val="0"/>
      <w:marTop w:val="0"/>
      <w:marBottom w:val="0"/>
      <w:divBdr>
        <w:top w:val="none" w:sz="0" w:space="0" w:color="auto"/>
        <w:left w:val="none" w:sz="0" w:space="0" w:color="auto"/>
        <w:bottom w:val="none" w:sz="0" w:space="0" w:color="auto"/>
        <w:right w:val="none" w:sz="0" w:space="0" w:color="auto"/>
      </w:divBdr>
      <w:divsChild>
        <w:div w:id="555236718">
          <w:marLeft w:val="288"/>
          <w:marRight w:val="0"/>
          <w:marTop w:val="0"/>
          <w:marBottom w:val="120"/>
          <w:divBdr>
            <w:top w:val="none" w:sz="0" w:space="0" w:color="auto"/>
            <w:left w:val="none" w:sz="0" w:space="0" w:color="auto"/>
            <w:bottom w:val="none" w:sz="0" w:space="0" w:color="auto"/>
            <w:right w:val="none" w:sz="0" w:space="0" w:color="auto"/>
          </w:divBdr>
        </w:div>
        <w:div w:id="2090930404">
          <w:marLeft w:val="288"/>
          <w:marRight w:val="0"/>
          <w:marTop w:val="0"/>
          <w:marBottom w:val="120"/>
          <w:divBdr>
            <w:top w:val="none" w:sz="0" w:space="0" w:color="auto"/>
            <w:left w:val="none" w:sz="0" w:space="0" w:color="auto"/>
            <w:bottom w:val="none" w:sz="0" w:space="0" w:color="auto"/>
            <w:right w:val="none" w:sz="0" w:space="0" w:color="auto"/>
          </w:divBdr>
        </w:div>
      </w:divsChild>
    </w:div>
    <w:div w:id="100077362">
      <w:bodyDiv w:val="1"/>
      <w:marLeft w:val="0"/>
      <w:marRight w:val="0"/>
      <w:marTop w:val="0"/>
      <w:marBottom w:val="0"/>
      <w:divBdr>
        <w:top w:val="none" w:sz="0" w:space="0" w:color="auto"/>
        <w:left w:val="none" w:sz="0" w:space="0" w:color="auto"/>
        <w:bottom w:val="none" w:sz="0" w:space="0" w:color="auto"/>
        <w:right w:val="none" w:sz="0" w:space="0" w:color="auto"/>
      </w:divBdr>
    </w:div>
    <w:div w:id="108210399">
      <w:bodyDiv w:val="1"/>
      <w:marLeft w:val="0"/>
      <w:marRight w:val="0"/>
      <w:marTop w:val="0"/>
      <w:marBottom w:val="0"/>
      <w:divBdr>
        <w:top w:val="none" w:sz="0" w:space="0" w:color="auto"/>
        <w:left w:val="none" w:sz="0" w:space="0" w:color="auto"/>
        <w:bottom w:val="none" w:sz="0" w:space="0" w:color="auto"/>
        <w:right w:val="none" w:sz="0" w:space="0" w:color="auto"/>
      </w:divBdr>
    </w:div>
    <w:div w:id="111485933">
      <w:bodyDiv w:val="1"/>
      <w:marLeft w:val="0"/>
      <w:marRight w:val="0"/>
      <w:marTop w:val="0"/>
      <w:marBottom w:val="0"/>
      <w:divBdr>
        <w:top w:val="none" w:sz="0" w:space="0" w:color="auto"/>
        <w:left w:val="none" w:sz="0" w:space="0" w:color="auto"/>
        <w:bottom w:val="none" w:sz="0" w:space="0" w:color="auto"/>
        <w:right w:val="none" w:sz="0" w:space="0" w:color="auto"/>
      </w:divBdr>
    </w:div>
    <w:div w:id="113335080">
      <w:bodyDiv w:val="1"/>
      <w:marLeft w:val="0"/>
      <w:marRight w:val="0"/>
      <w:marTop w:val="0"/>
      <w:marBottom w:val="0"/>
      <w:divBdr>
        <w:top w:val="none" w:sz="0" w:space="0" w:color="auto"/>
        <w:left w:val="none" w:sz="0" w:space="0" w:color="auto"/>
        <w:bottom w:val="none" w:sz="0" w:space="0" w:color="auto"/>
        <w:right w:val="none" w:sz="0" w:space="0" w:color="auto"/>
      </w:divBdr>
    </w:div>
    <w:div w:id="135925939">
      <w:bodyDiv w:val="1"/>
      <w:marLeft w:val="0"/>
      <w:marRight w:val="0"/>
      <w:marTop w:val="0"/>
      <w:marBottom w:val="0"/>
      <w:divBdr>
        <w:top w:val="none" w:sz="0" w:space="0" w:color="auto"/>
        <w:left w:val="none" w:sz="0" w:space="0" w:color="auto"/>
        <w:bottom w:val="none" w:sz="0" w:space="0" w:color="auto"/>
        <w:right w:val="none" w:sz="0" w:space="0" w:color="auto"/>
      </w:divBdr>
    </w:div>
    <w:div w:id="144048476">
      <w:bodyDiv w:val="1"/>
      <w:marLeft w:val="0"/>
      <w:marRight w:val="0"/>
      <w:marTop w:val="0"/>
      <w:marBottom w:val="0"/>
      <w:divBdr>
        <w:top w:val="none" w:sz="0" w:space="0" w:color="auto"/>
        <w:left w:val="none" w:sz="0" w:space="0" w:color="auto"/>
        <w:bottom w:val="none" w:sz="0" w:space="0" w:color="auto"/>
        <w:right w:val="none" w:sz="0" w:space="0" w:color="auto"/>
      </w:divBdr>
      <w:divsChild>
        <w:div w:id="617222415">
          <w:marLeft w:val="274"/>
          <w:marRight w:val="0"/>
          <w:marTop w:val="0"/>
          <w:marBottom w:val="120"/>
          <w:divBdr>
            <w:top w:val="none" w:sz="0" w:space="0" w:color="auto"/>
            <w:left w:val="none" w:sz="0" w:space="0" w:color="auto"/>
            <w:bottom w:val="none" w:sz="0" w:space="0" w:color="auto"/>
            <w:right w:val="none" w:sz="0" w:space="0" w:color="auto"/>
          </w:divBdr>
        </w:div>
        <w:div w:id="799229353">
          <w:marLeft w:val="274"/>
          <w:marRight w:val="0"/>
          <w:marTop w:val="0"/>
          <w:marBottom w:val="120"/>
          <w:divBdr>
            <w:top w:val="none" w:sz="0" w:space="0" w:color="auto"/>
            <w:left w:val="none" w:sz="0" w:space="0" w:color="auto"/>
            <w:bottom w:val="none" w:sz="0" w:space="0" w:color="auto"/>
            <w:right w:val="none" w:sz="0" w:space="0" w:color="auto"/>
          </w:divBdr>
        </w:div>
        <w:div w:id="887960855">
          <w:marLeft w:val="274"/>
          <w:marRight w:val="0"/>
          <w:marTop w:val="0"/>
          <w:marBottom w:val="120"/>
          <w:divBdr>
            <w:top w:val="none" w:sz="0" w:space="0" w:color="auto"/>
            <w:left w:val="none" w:sz="0" w:space="0" w:color="auto"/>
            <w:bottom w:val="none" w:sz="0" w:space="0" w:color="auto"/>
            <w:right w:val="none" w:sz="0" w:space="0" w:color="auto"/>
          </w:divBdr>
        </w:div>
        <w:div w:id="1079711470">
          <w:marLeft w:val="274"/>
          <w:marRight w:val="0"/>
          <w:marTop w:val="0"/>
          <w:marBottom w:val="120"/>
          <w:divBdr>
            <w:top w:val="none" w:sz="0" w:space="0" w:color="auto"/>
            <w:left w:val="none" w:sz="0" w:space="0" w:color="auto"/>
            <w:bottom w:val="none" w:sz="0" w:space="0" w:color="auto"/>
            <w:right w:val="none" w:sz="0" w:space="0" w:color="auto"/>
          </w:divBdr>
        </w:div>
        <w:div w:id="1313296973">
          <w:marLeft w:val="274"/>
          <w:marRight w:val="0"/>
          <w:marTop w:val="0"/>
          <w:marBottom w:val="120"/>
          <w:divBdr>
            <w:top w:val="none" w:sz="0" w:space="0" w:color="auto"/>
            <w:left w:val="none" w:sz="0" w:space="0" w:color="auto"/>
            <w:bottom w:val="none" w:sz="0" w:space="0" w:color="auto"/>
            <w:right w:val="none" w:sz="0" w:space="0" w:color="auto"/>
          </w:divBdr>
        </w:div>
        <w:div w:id="1739933616">
          <w:marLeft w:val="274"/>
          <w:marRight w:val="0"/>
          <w:marTop w:val="0"/>
          <w:marBottom w:val="120"/>
          <w:divBdr>
            <w:top w:val="none" w:sz="0" w:space="0" w:color="auto"/>
            <w:left w:val="none" w:sz="0" w:space="0" w:color="auto"/>
            <w:bottom w:val="none" w:sz="0" w:space="0" w:color="auto"/>
            <w:right w:val="none" w:sz="0" w:space="0" w:color="auto"/>
          </w:divBdr>
        </w:div>
      </w:divsChild>
    </w:div>
    <w:div w:id="153692457">
      <w:bodyDiv w:val="1"/>
      <w:marLeft w:val="0"/>
      <w:marRight w:val="0"/>
      <w:marTop w:val="0"/>
      <w:marBottom w:val="0"/>
      <w:divBdr>
        <w:top w:val="none" w:sz="0" w:space="0" w:color="auto"/>
        <w:left w:val="none" w:sz="0" w:space="0" w:color="auto"/>
        <w:bottom w:val="none" w:sz="0" w:space="0" w:color="auto"/>
        <w:right w:val="none" w:sz="0" w:space="0" w:color="auto"/>
      </w:divBdr>
    </w:div>
    <w:div w:id="154499121">
      <w:bodyDiv w:val="1"/>
      <w:marLeft w:val="0"/>
      <w:marRight w:val="0"/>
      <w:marTop w:val="0"/>
      <w:marBottom w:val="0"/>
      <w:divBdr>
        <w:top w:val="none" w:sz="0" w:space="0" w:color="auto"/>
        <w:left w:val="none" w:sz="0" w:space="0" w:color="auto"/>
        <w:bottom w:val="none" w:sz="0" w:space="0" w:color="auto"/>
        <w:right w:val="none" w:sz="0" w:space="0" w:color="auto"/>
      </w:divBdr>
    </w:div>
    <w:div w:id="161705242">
      <w:bodyDiv w:val="1"/>
      <w:marLeft w:val="0"/>
      <w:marRight w:val="0"/>
      <w:marTop w:val="0"/>
      <w:marBottom w:val="0"/>
      <w:divBdr>
        <w:top w:val="none" w:sz="0" w:space="0" w:color="auto"/>
        <w:left w:val="none" w:sz="0" w:space="0" w:color="auto"/>
        <w:bottom w:val="none" w:sz="0" w:space="0" w:color="auto"/>
        <w:right w:val="none" w:sz="0" w:space="0" w:color="auto"/>
      </w:divBdr>
    </w:div>
    <w:div w:id="164784256">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180558568">
      <w:bodyDiv w:val="1"/>
      <w:marLeft w:val="0"/>
      <w:marRight w:val="0"/>
      <w:marTop w:val="0"/>
      <w:marBottom w:val="0"/>
      <w:divBdr>
        <w:top w:val="none" w:sz="0" w:space="0" w:color="auto"/>
        <w:left w:val="none" w:sz="0" w:space="0" w:color="auto"/>
        <w:bottom w:val="none" w:sz="0" w:space="0" w:color="auto"/>
        <w:right w:val="none" w:sz="0" w:space="0" w:color="auto"/>
      </w:divBdr>
      <w:divsChild>
        <w:div w:id="17119909">
          <w:marLeft w:val="173"/>
          <w:marRight w:val="0"/>
          <w:marTop w:val="0"/>
          <w:marBottom w:val="0"/>
          <w:divBdr>
            <w:top w:val="none" w:sz="0" w:space="0" w:color="auto"/>
            <w:left w:val="none" w:sz="0" w:space="0" w:color="auto"/>
            <w:bottom w:val="none" w:sz="0" w:space="0" w:color="auto"/>
            <w:right w:val="none" w:sz="0" w:space="0" w:color="auto"/>
          </w:divBdr>
        </w:div>
        <w:div w:id="228661460">
          <w:marLeft w:val="173"/>
          <w:marRight w:val="0"/>
          <w:marTop w:val="0"/>
          <w:marBottom w:val="0"/>
          <w:divBdr>
            <w:top w:val="none" w:sz="0" w:space="0" w:color="auto"/>
            <w:left w:val="none" w:sz="0" w:space="0" w:color="auto"/>
            <w:bottom w:val="none" w:sz="0" w:space="0" w:color="auto"/>
            <w:right w:val="none" w:sz="0" w:space="0" w:color="auto"/>
          </w:divBdr>
        </w:div>
        <w:div w:id="454980326">
          <w:marLeft w:val="173"/>
          <w:marRight w:val="0"/>
          <w:marTop w:val="0"/>
          <w:marBottom w:val="0"/>
          <w:divBdr>
            <w:top w:val="none" w:sz="0" w:space="0" w:color="auto"/>
            <w:left w:val="none" w:sz="0" w:space="0" w:color="auto"/>
            <w:bottom w:val="none" w:sz="0" w:space="0" w:color="auto"/>
            <w:right w:val="none" w:sz="0" w:space="0" w:color="auto"/>
          </w:divBdr>
        </w:div>
        <w:div w:id="1362586379">
          <w:marLeft w:val="173"/>
          <w:marRight w:val="0"/>
          <w:marTop w:val="0"/>
          <w:marBottom w:val="0"/>
          <w:divBdr>
            <w:top w:val="none" w:sz="0" w:space="0" w:color="auto"/>
            <w:left w:val="none" w:sz="0" w:space="0" w:color="auto"/>
            <w:bottom w:val="none" w:sz="0" w:space="0" w:color="auto"/>
            <w:right w:val="none" w:sz="0" w:space="0" w:color="auto"/>
          </w:divBdr>
        </w:div>
      </w:divsChild>
    </w:div>
    <w:div w:id="192156030">
      <w:bodyDiv w:val="1"/>
      <w:marLeft w:val="0"/>
      <w:marRight w:val="0"/>
      <w:marTop w:val="0"/>
      <w:marBottom w:val="0"/>
      <w:divBdr>
        <w:top w:val="none" w:sz="0" w:space="0" w:color="auto"/>
        <w:left w:val="none" w:sz="0" w:space="0" w:color="auto"/>
        <w:bottom w:val="none" w:sz="0" w:space="0" w:color="auto"/>
        <w:right w:val="none" w:sz="0" w:space="0" w:color="auto"/>
      </w:divBdr>
    </w:div>
    <w:div w:id="233517100">
      <w:bodyDiv w:val="1"/>
      <w:marLeft w:val="0"/>
      <w:marRight w:val="0"/>
      <w:marTop w:val="0"/>
      <w:marBottom w:val="0"/>
      <w:divBdr>
        <w:top w:val="none" w:sz="0" w:space="0" w:color="auto"/>
        <w:left w:val="none" w:sz="0" w:space="0" w:color="auto"/>
        <w:bottom w:val="none" w:sz="0" w:space="0" w:color="auto"/>
        <w:right w:val="none" w:sz="0" w:space="0" w:color="auto"/>
      </w:divBdr>
    </w:div>
    <w:div w:id="267736618">
      <w:bodyDiv w:val="1"/>
      <w:marLeft w:val="0"/>
      <w:marRight w:val="0"/>
      <w:marTop w:val="0"/>
      <w:marBottom w:val="0"/>
      <w:divBdr>
        <w:top w:val="none" w:sz="0" w:space="0" w:color="auto"/>
        <w:left w:val="none" w:sz="0" w:space="0" w:color="auto"/>
        <w:bottom w:val="none" w:sz="0" w:space="0" w:color="auto"/>
        <w:right w:val="none" w:sz="0" w:space="0" w:color="auto"/>
      </w:divBdr>
      <w:divsChild>
        <w:div w:id="1149131570">
          <w:marLeft w:val="274"/>
          <w:marRight w:val="0"/>
          <w:marTop w:val="0"/>
          <w:marBottom w:val="60"/>
          <w:divBdr>
            <w:top w:val="none" w:sz="0" w:space="0" w:color="auto"/>
            <w:left w:val="none" w:sz="0" w:space="0" w:color="auto"/>
            <w:bottom w:val="none" w:sz="0" w:space="0" w:color="auto"/>
            <w:right w:val="none" w:sz="0" w:space="0" w:color="auto"/>
          </w:divBdr>
        </w:div>
        <w:div w:id="1811435651">
          <w:marLeft w:val="274"/>
          <w:marRight w:val="0"/>
          <w:marTop w:val="0"/>
          <w:marBottom w:val="60"/>
          <w:divBdr>
            <w:top w:val="none" w:sz="0" w:space="0" w:color="auto"/>
            <w:left w:val="none" w:sz="0" w:space="0" w:color="auto"/>
            <w:bottom w:val="none" w:sz="0" w:space="0" w:color="auto"/>
            <w:right w:val="none" w:sz="0" w:space="0" w:color="auto"/>
          </w:divBdr>
        </w:div>
        <w:div w:id="1966501548">
          <w:marLeft w:val="274"/>
          <w:marRight w:val="0"/>
          <w:marTop w:val="0"/>
          <w:marBottom w:val="60"/>
          <w:divBdr>
            <w:top w:val="none" w:sz="0" w:space="0" w:color="auto"/>
            <w:left w:val="none" w:sz="0" w:space="0" w:color="auto"/>
            <w:bottom w:val="none" w:sz="0" w:space="0" w:color="auto"/>
            <w:right w:val="none" w:sz="0" w:space="0" w:color="auto"/>
          </w:divBdr>
        </w:div>
      </w:divsChild>
    </w:div>
    <w:div w:id="274870851">
      <w:bodyDiv w:val="1"/>
      <w:marLeft w:val="0"/>
      <w:marRight w:val="0"/>
      <w:marTop w:val="0"/>
      <w:marBottom w:val="0"/>
      <w:divBdr>
        <w:top w:val="none" w:sz="0" w:space="0" w:color="auto"/>
        <w:left w:val="none" w:sz="0" w:space="0" w:color="auto"/>
        <w:bottom w:val="none" w:sz="0" w:space="0" w:color="auto"/>
        <w:right w:val="none" w:sz="0" w:space="0" w:color="auto"/>
      </w:divBdr>
    </w:div>
    <w:div w:id="281422084">
      <w:bodyDiv w:val="1"/>
      <w:marLeft w:val="0"/>
      <w:marRight w:val="0"/>
      <w:marTop w:val="0"/>
      <w:marBottom w:val="0"/>
      <w:divBdr>
        <w:top w:val="none" w:sz="0" w:space="0" w:color="auto"/>
        <w:left w:val="none" w:sz="0" w:space="0" w:color="auto"/>
        <w:bottom w:val="none" w:sz="0" w:space="0" w:color="auto"/>
        <w:right w:val="none" w:sz="0" w:space="0" w:color="auto"/>
      </w:divBdr>
    </w:div>
    <w:div w:id="292293879">
      <w:bodyDiv w:val="1"/>
      <w:marLeft w:val="0"/>
      <w:marRight w:val="0"/>
      <w:marTop w:val="0"/>
      <w:marBottom w:val="0"/>
      <w:divBdr>
        <w:top w:val="none" w:sz="0" w:space="0" w:color="auto"/>
        <w:left w:val="none" w:sz="0" w:space="0" w:color="auto"/>
        <w:bottom w:val="none" w:sz="0" w:space="0" w:color="auto"/>
        <w:right w:val="none" w:sz="0" w:space="0" w:color="auto"/>
      </w:divBdr>
      <w:divsChild>
        <w:div w:id="1697852259">
          <w:marLeft w:val="173"/>
          <w:marRight w:val="0"/>
          <w:marTop w:val="0"/>
          <w:marBottom w:val="0"/>
          <w:divBdr>
            <w:top w:val="none" w:sz="0" w:space="0" w:color="auto"/>
            <w:left w:val="none" w:sz="0" w:space="0" w:color="auto"/>
            <w:bottom w:val="none" w:sz="0" w:space="0" w:color="auto"/>
            <w:right w:val="none" w:sz="0" w:space="0" w:color="auto"/>
          </w:divBdr>
        </w:div>
      </w:divsChild>
    </w:div>
    <w:div w:id="306788579">
      <w:bodyDiv w:val="1"/>
      <w:marLeft w:val="0"/>
      <w:marRight w:val="0"/>
      <w:marTop w:val="0"/>
      <w:marBottom w:val="0"/>
      <w:divBdr>
        <w:top w:val="none" w:sz="0" w:space="0" w:color="auto"/>
        <w:left w:val="none" w:sz="0" w:space="0" w:color="auto"/>
        <w:bottom w:val="none" w:sz="0" w:space="0" w:color="auto"/>
        <w:right w:val="none" w:sz="0" w:space="0" w:color="auto"/>
      </w:divBdr>
    </w:div>
    <w:div w:id="308218485">
      <w:bodyDiv w:val="1"/>
      <w:marLeft w:val="0"/>
      <w:marRight w:val="0"/>
      <w:marTop w:val="0"/>
      <w:marBottom w:val="0"/>
      <w:divBdr>
        <w:top w:val="none" w:sz="0" w:space="0" w:color="auto"/>
        <w:left w:val="none" w:sz="0" w:space="0" w:color="auto"/>
        <w:bottom w:val="none" w:sz="0" w:space="0" w:color="auto"/>
        <w:right w:val="none" w:sz="0" w:space="0" w:color="auto"/>
      </w:divBdr>
      <w:divsChild>
        <w:div w:id="139272133">
          <w:marLeft w:val="1008"/>
          <w:marRight w:val="0"/>
          <w:marTop w:val="0"/>
          <w:marBottom w:val="120"/>
          <w:divBdr>
            <w:top w:val="none" w:sz="0" w:space="0" w:color="auto"/>
            <w:left w:val="none" w:sz="0" w:space="0" w:color="auto"/>
            <w:bottom w:val="none" w:sz="0" w:space="0" w:color="auto"/>
            <w:right w:val="none" w:sz="0" w:space="0" w:color="auto"/>
          </w:divBdr>
        </w:div>
        <w:div w:id="227307854">
          <w:marLeft w:val="288"/>
          <w:marRight w:val="0"/>
          <w:marTop w:val="0"/>
          <w:marBottom w:val="120"/>
          <w:divBdr>
            <w:top w:val="none" w:sz="0" w:space="0" w:color="auto"/>
            <w:left w:val="none" w:sz="0" w:space="0" w:color="auto"/>
            <w:bottom w:val="none" w:sz="0" w:space="0" w:color="auto"/>
            <w:right w:val="none" w:sz="0" w:space="0" w:color="auto"/>
          </w:divBdr>
        </w:div>
        <w:div w:id="288704292">
          <w:marLeft w:val="288"/>
          <w:marRight w:val="0"/>
          <w:marTop w:val="0"/>
          <w:marBottom w:val="120"/>
          <w:divBdr>
            <w:top w:val="none" w:sz="0" w:space="0" w:color="auto"/>
            <w:left w:val="none" w:sz="0" w:space="0" w:color="auto"/>
            <w:bottom w:val="none" w:sz="0" w:space="0" w:color="auto"/>
            <w:right w:val="none" w:sz="0" w:space="0" w:color="auto"/>
          </w:divBdr>
        </w:div>
        <w:div w:id="354695972">
          <w:marLeft w:val="1008"/>
          <w:marRight w:val="0"/>
          <w:marTop w:val="0"/>
          <w:marBottom w:val="120"/>
          <w:divBdr>
            <w:top w:val="none" w:sz="0" w:space="0" w:color="auto"/>
            <w:left w:val="none" w:sz="0" w:space="0" w:color="auto"/>
            <w:bottom w:val="none" w:sz="0" w:space="0" w:color="auto"/>
            <w:right w:val="none" w:sz="0" w:space="0" w:color="auto"/>
          </w:divBdr>
        </w:div>
        <w:div w:id="560677086">
          <w:marLeft w:val="288"/>
          <w:marRight w:val="0"/>
          <w:marTop w:val="0"/>
          <w:marBottom w:val="120"/>
          <w:divBdr>
            <w:top w:val="none" w:sz="0" w:space="0" w:color="auto"/>
            <w:left w:val="none" w:sz="0" w:space="0" w:color="auto"/>
            <w:bottom w:val="none" w:sz="0" w:space="0" w:color="auto"/>
            <w:right w:val="none" w:sz="0" w:space="0" w:color="auto"/>
          </w:divBdr>
        </w:div>
        <w:div w:id="621545131">
          <w:marLeft w:val="288"/>
          <w:marRight w:val="0"/>
          <w:marTop w:val="0"/>
          <w:marBottom w:val="120"/>
          <w:divBdr>
            <w:top w:val="none" w:sz="0" w:space="0" w:color="auto"/>
            <w:left w:val="none" w:sz="0" w:space="0" w:color="auto"/>
            <w:bottom w:val="none" w:sz="0" w:space="0" w:color="auto"/>
            <w:right w:val="none" w:sz="0" w:space="0" w:color="auto"/>
          </w:divBdr>
        </w:div>
        <w:div w:id="685987660">
          <w:marLeft w:val="288"/>
          <w:marRight w:val="0"/>
          <w:marTop w:val="0"/>
          <w:marBottom w:val="120"/>
          <w:divBdr>
            <w:top w:val="none" w:sz="0" w:space="0" w:color="auto"/>
            <w:left w:val="none" w:sz="0" w:space="0" w:color="auto"/>
            <w:bottom w:val="none" w:sz="0" w:space="0" w:color="auto"/>
            <w:right w:val="none" w:sz="0" w:space="0" w:color="auto"/>
          </w:divBdr>
        </w:div>
        <w:div w:id="891426541">
          <w:marLeft w:val="288"/>
          <w:marRight w:val="0"/>
          <w:marTop w:val="0"/>
          <w:marBottom w:val="120"/>
          <w:divBdr>
            <w:top w:val="none" w:sz="0" w:space="0" w:color="auto"/>
            <w:left w:val="none" w:sz="0" w:space="0" w:color="auto"/>
            <w:bottom w:val="none" w:sz="0" w:space="0" w:color="auto"/>
            <w:right w:val="none" w:sz="0" w:space="0" w:color="auto"/>
          </w:divBdr>
        </w:div>
        <w:div w:id="1025449517">
          <w:marLeft w:val="1008"/>
          <w:marRight w:val="0"/>
          <w:marTop w:val="0"/>
          <w:marBottom w:val="120"/>
          <w:divBdr>
            <w:top w:val="none" w:sz="0" w:space="0" w:color="auto"/>
            <w:left w:val="none" w:sz="0" w:space="0" w:color="auto"/>
            <w:bottom w:val="none" w:sz="0" w:space="0" w:color="auto"/>
            <w:right w:val="none" w:sz="0" w:space="0" w:color="auto"/>
          </w:divBdr>
        </w:div>
        <w:div w:id="1095904702">
          <w:marLeft w:val="1008"/>
          <w:marRight w:val="0"/>
          <w:marTop w:val="0"/>
          <w:marBottom w:val="120"/>
          <w:divBdr>
            <w:top w:val="none" w:sz="0" w:space="0" w:color="auto"/>
            <w:left w:val="none" w:sz="0" w:space="0" w:color="auto"/>
            <w:bottom w:val="none" w:sz="0" w:space="0" w:color="auto"/>
            <w:right w:val="none" w:sz="0" w:space="0" w:color="auto"/>
          </w:divBdr>
        </w:div>
        <w:div w:id="1421608316">
          <w:marLeft w:val="1008"/>
          <w:marRight w:val="0"/>
          <w:marTop w:val="0"/>
          <w:marBottom w:val="120"/>
          <w:divBdr>
            <w:top w:val="none" w:sz="0" w:space="0" w:color="auto"/>
            <w:left w:val="none" w:sz="0" w:space="0" w:color="auto"/>
            <w:bottom w:val="none" w:sz="0" w:space="0" w:color="auto"/>
            <w:right w:val="none" w:sz="0" w:space="0" w:color="auto"/>
          </w:divBdr>
        </w:div>
        <w:div w:id="1645772589">
          <w:marLeft w:val="288"/>
          <w:marRight w:val="0"/>
          <w:marTop w:val="0"/>
          <w:marBottom w:val="120"/>
          <w:divBdr>
            <w:top w:val="none" w:sz="0" w:space="0" w:color="auto"/>
            <w:left w:val="none" w:sz="0" w:space="0" w:color="auto"/>
            <w:bottom w:val="none" w:sz="0" w:space="0" w:color="auto"/>
            <w:right w:val="none" w:sz="0" w:space="0" w:color="auto"/>
          </w:divBdr>
        </w:div>
        <w:div w:id="2006586377">
          <w:marLeft w:val="1008"/>
          <w:marRight w:val="0"/>
          <w:marTop w:val="0"/>
          <w:marBottom w:val="120"/>
          <w:divBdr>
            <w:top w:val="none" w:sz="0" w:space="0" w:color="auto"/>
            <w:left w:val="none" w:sz="0" w:space="0" w:color="auto"/>
            <w:bottom w:val="none" w:sz="0" w:space="0" w:color="auto"/>
            <w:right w:val="none" w:sz="0" w:space="0" w:color="auto"/>
          </w:divBdr>
        </w:div>
        <w:div w:id="2008435122">
          <w:marLeft w:val="288"/>
          <w:marRight w:val="0"/>
          <w:marTop w:val="0"/>
          <w:marBottom w:val="120"/>
          <w:divBdr>
            <w:top w:val="none" w:sz="0" w:space="0" w:color="auto"/>
            <w:left w:val="none" w:sz="0" w:space="0" w:color="auto"/>
            <w:bottom w:val="none" w:sz="0" w:space="0" w:color="auto"/>
            <w:right w:val="none" w:sz="0" w:space="0" w:color="auto"/>
          </w:divBdr>
        </w:div>
        <w:div w:id="2136874909">
          <w:marLeft w:val="288"/>
          <w:marRight w:val="0"/>
          <w:marTop w:val="0"/>
          <w:marBottom w:val="120"/>
          <w:divBdr>
            <w:top w:val="none" w:sz="0" w:space="0" w:color="auto"/>
            <w:left w:val="none" w:sz="0" w:space="0" w:color="auto"/>
            <w:bottom w:val="none" w:sz="0" w:space="0" w:color="auto"/>
            <w:right w:val="none" w:sz="0" w:space="0" w:color="auto"/>
          </w:divBdr>
        </w:div>
      </w:divsChild>
    </w:div>
    <w:div w:id="317153418">
      <w:bodyDiv w:val="1"/>
      <w:marLeft w:val="0"/>
      <w:marRight w:val="0"/>
      <w:marTop w:val="0"/>
      <w:marBottom w:val="0"/>
      <w:divBdr>
        <w:top w:val="none" w:sz="0" w:space="0" w:color="auto"/>
        <w:left w:val="none" w:sz="0" w:space="0" w:color="auto"/>
        <w:bottom w:val="none" w:sz="0" w:space="0" w:color="auto"/>
        <w:right w:val="none" w:sz="0" w:space="0" w:color="auto"/>
      </w:divBdr>
    </w:div>
    <w:div w:id="327637080">
      <w:bodyDiv w:val="1"/>
      <w:marLeft w:val="0"/>
      <w:marRight w:val="0"/>
      <w:marTop w:val="0"/>
      <w:marBottom w:val="0"/>
      <w:divBdr>
        <w:top w:val="none" w:sz="0" w:space="0" w:color="auto"/>
        <w:left w:val="none" w:sz="0" w:space="0" w:color="auto"/>
        <w:bottom w:val="none" w:sz="0" w:space="0" w:color="auto"/>
        <w:right w:val="none" w:sz="0" w:space="0" w:color="auto"/>
      </w:divBdr>
    </w:div>
    <w:div w:id="331686770">
      <w:bodyDiv w:val="1"/>
      <w:marLeft w:val="0"/>
      <w:marRight w:val="0"/>
      <w:marTop w:val="0"/>
      <w:marBottom w:val="0"/>
      <w:divBdr>
        <w:top w:val="none" w:sz="0" w:space="0" w:color="auto"/>
        <w:left w:val="none" w:sz="0" w:space="0" w:color="auto"/>
        <w:bottom w:val="none" w:sz="0" w:space="0" w:color="auto"/>
        <w:right w:val="none" w:sz="0" w:space="0" w:color="auto"/>
      </w:divBdr>
    </w:div>
    <w:div w:id="352271383">
      <w:bodyDiv w:val="1"/>
      <w:marLeft w:val="0"/>
      <w:marRight w:val="0"/>
      <w:marTop w:val="0"/>
      <w:marBottom w:val="0"/>
      <w:divBdr>
        <w:top w:val="none" w:sz="0" w:space="0" w:color="auto"/>
        <w:left w:val="none" w:sz="0" w:space="0" w:color="auto"/>
        <w:bottom w:val="none" w:sz="0" w:space="0" w:color="auto"/>
        <w:right w:val="none" w:sz="0" w:space="0" w:color="auto"/>
      </w:divBdr>
      <w:divsChild>
        <w:div w:id="53966091">
          <w:marLeft w:val="994"/>
          <w:marRight w:val="0"/>
          <w:marTop w:val="0"/>
          <w:marBottom w:val="0"/>
          <w:divBdr>
            <w:top w:val="none" w:sz="0" w:space="0" w:color="auto"/>
            <w:left w:val="none" w:sz="0" w:space="0" w:color="auto"/>
            <w:bottom w:val="none" w:sz="0" w:space="0" w:color="auto"/>
            <w:right w:val="none" w:sz="0" w:space="0" w:color="auto"/>
          </w:divBdr>
        </w:div>
        <w:div w:id="81529342">
          <w:marLeft w:val="994"/>
          <w:marRight w:val="0"/>
          <w:marTop w:val="0"/>
          <w:marBottom w:val="0"/>
          <w:divBdr>
            <w:top w:val="none" w:sz="0" w:space="0" w:color="auto"/>
            <w:left w:val="none" w:sz="0" w:space="0" w:color="auto"/>
            <w:bottom w:val="none" w:sz="0" w:space="0" w:color="auto"/>
            <w:right w:val="none" w:sz="0" w:space="0" w:color="auto"/>
          </w:divBdr>
        </w:div>
        <w:div w:id="94642359">
          <w:marLeft w:val="994"/>
          <w:marRight w:val="0"/>
          <w:marTop w:val="0"/>
          <w:marBottom w:val="0"/>
          <w:divBdr>
            <w:top w:val="none" w:sz="0" w:space="0" w:color="auto"/>
            <w:left w:val="none" w:sz="0" w:space="0" w:color="auto"/>
            <w:bottom w:val="none" w:sz="0" w:space="0" w:color="auto"/>
            <w:right w:val="none" w:sz="0" w:space="0" w:color="auto"/>
          </w:divBdr>
        </w:div>
        <w:div w:id="155926697">
          <w:marLeft w:val="274"/>
          <w:marRight w:val="0"/>
          <w:marTop w:val="0"/>
          <w:marBottom w:val="0"/>
          <w:divBdr>
            <w:top w:val="none" w:sz="0" w:space="0" w:color="auto"/>
            <w:left w:val="none" w:sz="0" w:space="0" w:color="auto"/>
            <w:bottom w:val="none" w:sz="0" w:space="0" w:color="auto"/>
            <w:right w:val="none" w:sz="0" w:space="0" w:color="auto"/>
          </w:divBdr>
        </w:div>
        <w:div w:id="176236515">
          <w:marLeft w:val="274"/>
          <w:marRight w:val="0"/>
          <w:marTop w:val="0"/>
          <w:marBottom w:val="0"/>
          <w:divBdr>
            <w:top w:val="none" w:sz="0" w:space="0" w:color="auto"/>
            <w:left w:val="none" w:sz="0" w:space="0" w:color="auto"/>
            <w:bottom w:val="none" w:sz="0" w:space="0" w:color="auto"/>
            <w:right w:val="none" w:sz="0" w:space="0" w:color="auto"/>
          </w:divBdr>
        </w:div>
        <w:div w:id="404105078">
          <w:marLeft w:val="994"/>
          <w:marRight w:val="0"/>
          <w:marTop w:val="0"/>
          <w:marBottom w:val="0"/>
          <w:divBdr>
            <w:top w:val="none" w:sz="0" w:space="0" w:color="auto"/>
            <w:left w:val="none" w:sz="0" w:space="0" w:color="auto"/>
            <w:bottom w:val="none" w:sz="0" w:space="0" w:color="auto"/>
            <w:right w:val="none" w:sz="0" w:space="0" w:color="auto"/>
          </w:divBdr>
        </w:div>
        <w:div w:id="429663251">
          <w:marLeft w:val="274"/>
          <w:marRight w:val="0"/>
          <w:marTop w:val="0"/>
          <w:marBottom w:val="0"/>
          <w:divBdr>
            <w:top w:val="none" w:sz="0" w:space="0" w:color="auto"/>
            <w:left w:val="none" w:sz="0" w:space="0" w:color="auto"/>
            <w:bottom w:val="none" w:sz="0" w:space="0" w:color="auto"/>
            <w:right w:val="none" w:sz="0" w:space="0" w:color="auto"/>
          </w:divBdr>
        </w:div>
        <w:div w:id="534276280">
          <w:marLeft w:val="994"/>
          <w:marRight w:val="0"/>
          <w:marTop w:val="0"/>
          <w:marBottom w:val="0"/>
          <w:divBdr>
            <w:top w:val="none" w:sz="0" w:space="0" w:color="auto"/>
            <w:left w:val="none" w:sz="0" w:space="0" w:color="auto"/>
            <w:bottom w:val="none" w:sz="0" w:space="0" w:color="auto"/>
            <w:right w:val="none" w:sz="0" w:space="0" w:color="auto"/>
          </w:divBdr>
        </w:div>
        <w:div w:id="683749935">
          <w:marLeft w:val="274"/>
          <w:marRight w:val="0"/>
          <w:marTop w:val="0"/>
          <w:marBottom w:val="0"/>
          <w:divBdr>
            <w:top w:val="none" w:sz="0" w:space="0" w:color="auto"/>
            <w:left w:val="none" w:sz="0" w:space="0" w:color="auto"/>
            <w:bottom w:val="none" w:sz="0" w:space="0" w:color="auto"/>
            <w:right w:val="none" w:sz="0" w:space="0" w:color="auto"/>
          </w:divBdr>
        </w:div>
        <w:div w:id="748037954">
          <w:marLeft w:val="274"/>
          <w:marRight w:val="0"/>
          <w:marTop w:val="0"/>
          <w:marBottom w:val="0"/>
          <w:divBdr>
            <w:top w:val="none" w:sz="0" w:space="0" w:color="auto"/>
            <w:left w:val="none" w:sz="0" w:space="0" w:color="auto"/>
            <w:bottom w:val="none" w:sz="0" w:space="0" w:color="auto"/>
            <w:right w:val="none" w:sz="0" w:space="0" w:color="auto"/>
          </w:divBdr>
        </w:div>
        <w:div w:id="915214282">
          <w:marLeft w:val="994"/>
          <w:marRight w:val="0"/>
          <w:marTop w:val="0"/>
          <w:marBottom w:val="0"/>
          <w:divBdr>
            <w:top w:val="none" w:sz="0" w:space="0" w:color="auto"/>
            <w:left w:val="none" w:sz="0" w:space="0" w:color="auto"/>
            <w:bottom w:val="none" w:sz="0" w:space="0" w:color="auto"/>
            <w:right w:val="none" w:sz="0" w:space="0" w:color="auto"/>
          </w:divBdr>
        </w:div>
        <w:div w:id="937297473">
          <w:marLeft w:val="994"/>
          <w:marRight w:val="0"/>
          <w:marTop w:val="0"/>
          <w:marBottom w:val="0"/>
          <w:divBdr>
            <w:top w:val="none" w:sz="0" w:space="0" w:color="auto"/>
            <w:left w:val="none" w:sz="0" w:space="0" w:color="auto"/>
            <w:bottom w:val="none" w:sz="0" w:space="0" w:color="auto"/>
            <w:right w:val="none" w:sz="0" w:space="0" w:color="auto"/>
          </w:divBdr>
        </w:div>
        <w:div w:id="1164391583">
          <w:marLeft w:val="274"/>
          <w:marRight w:val="0"/>
          <w:marTop w:val="0"/>
          <w:marBottom w:val="0"/>
          <w:divBdr>
            <w:top w:val="none" w:sz="0" w:space="0" w:color="auto"/>
            <w:left w:val="none" w:sz="0" w:space="0" w:color="auto"/>
            <w:bottom w:val="none" w:sz="0" w:space="0" w:color="auto"/>
            <w:right w:val="none" w:sz="0" w:space="0" w:color="auto"/>
          </w:divBdr>
        </w:div>
        <w:div w:id="1165822486">
          <w:marLeft w:val="994"/>
          <w:marRight w:val="0"/>
          <w:marTop w:val="0"/>
          <w:marBottom w:val="0"/>
          <w:divBdr>
            <w:top w:val="none" w:sz="0" w:space="0" w:color="auto"/>
            <w:left w:val="none" w:sz="0" w:space="0" w:color="auto"/>
            <w:bottom w:val="none" w:sz="0" w:space="0" w:color="auto"/>
            <w:right w:val="none" w:sz="0" w:space="0" w:color="auto"/>
          </w:divBdr>
        </w:div>
        <w:div w:id="1624582316">
          <w:marLeft w:val="274"/>
          <w:marRight w:val="0"/>
          <w:marTop w:val="0"/>
          <w:marBottom w:val="0"/>
          <w:divBdr>
            <w:top w:val="none" w:sz="0" w:space="0" w:color="auto"/>
            <w:left w:val="none" w:sz="0" w:space="0" w:color="auto"/>
            <w:bottom w:val="none" w:sz="0" w:space="0" w:color="auto"/>
            <w:right w:val="none" w:sz="0" w:space="0" w:color="auto"/>
          </w:divBdr>
        </w:div>
        <w:div w:id="1681471670">
          <w:marLeft w:val="994"/>
          <w:marRight w:val="0"/>
          <w:marTop w:val="0"/>
          <w:marBottom w:val="0"/>
          <w:divBdr>
            <w:top w:val="none" w:sz="0" w:space="0" w:color="auto"/>
            <w:left w:val="none" w:sz="0" w:space="0" w:color="auto"/>
            <w:bottom w:val="none" w:sz="0" w:space="0" w:color="auto"/>
            <w:right w:val="none" w:sz="0" w:space="0" w:color="auto"/>
          </w:divBdr>
        </w:div>
        <w:div w:id="1993871658">
          <w:marLeft w:val="274"/>
          <w:marRight w:val="0"/>
          <w:marTop w:val="0"/>
          <w:marBottom w:val="0"/>
          <w:divBdr>
            <w:top w:val="none" w:sz="0" w:space="0" w:color="auto"/>
            <w:left w:val="none" w:sz="0" w:space="0" w:color="auto"/>
            <w:bottom w:val="none" w:sz="0" w:space="0" w:color="auto"/>
            <w:right w:val="none" w:sz="0" w:space="0" w:color="auto"/>
          </w:divBdr>
        </w:div>
      </w:divsChild>
    </w:div>
    <w:div w:id="357390279">
      <w:bodyDiv w:val="1"/>
      <w:marLeft w:val="0"/>
      <w:marRight w:val="0"/>
      <w:marTop w:val="0"/>
      <w:marBottom w:val="0"/>
      <w:divBdr>
        <w:top w:val="none" w:sz="0" w:space="0" w:color="auto"/>
        <w:left w:val="none" w:sz="0" w:space="0" w:color="auto"/>
        <w:bottom w:val="none" w:sz="0" w:space="0" w:color="auto"/>
        <w:right w:val="none" w:sz="0" w:space="0" w:color="auto"/>
      </w:divBdr>
    </w:div>
    <w:div w:id="363480168">
      <w:bodyDiv w:val="1"/>
      <w:marLeft w:val="0"/>
      <w:marRight w:val="0"/>
      <w:marTop w:val="0"/>
      <w:marBottom w:val="0"/>
      <w:divBdr>
        <w:top w:val="none" w:sz="0" w:space="0" w:color="auto"/>
        <w:left w:val="none" w:sz="0" w:space="0" w:color="auto"/>
        <w:bottom w:val="none" w:sz="0" w:space="0" w:color="auto"/>
        <w:right w:val="none" w:sz="0" w:space="0" w:color="auto"/>
      </w:divBdr>
    </w:div>
    <w:div w:id="422608246">
      <w:bodyDiv w:val="1"/>
      <w:marLeft w:val="0"/>
      <w:marRight w:val="0"/>
      <w:marTop w:val="0"/>
      <w:marBottom w:val="0"/>
      <w:divBdr>
        <w:top w:val="none" w:sz="0" w:space="0" w:color="auto"/>
        <w:left w:val="none" w:sz="0" w:space="0" w:color="auto"/>
        <w:bottom w:val="none" w:sz="0" w:space="0" w:color="auto"/>
        <w:right w:val="none" w:sz="0" w:space="0" w:color="auto"/>
      </w:divBdr>
      <w:divsChild>
        <w:div w:id="348725768">
          <w:marLeft w:val="274"/>
          <w:marRight w:val="0"/>
          <w:marTop w:val="0"/>
          <w:marBottom w:val="0"/>
          <w:divBdr>
            <w:top w:val="none" w:sz="0" w:space="0" w:color="auto"/>
            <w:left w:val="none" w:sz="0" w:space="0" w:color="auto"/>
            <w:bottom w:val="none" w:sz="0" w:space="0" w:color="auto"/>
            <w:right w:val="none" w:sz="0" w:space="0" w:color="auto"/>
          </w:divBdr>
        </w:div>
        <w:div w:id="749961010">
          <w:marLeft w:val="274"/>
          <w:marRight w:val="0"/>
          <w:marTop w:val="0"/>
          <w:marBottom w:val="0"/>
          <w:divBdr>
            <w:top w:val="none" w:sz="0" w:space="0" w:color="auto"/>
            <w:left w:val="none" w:sz="0" w:space="0" w:color="auto"/>
            <w:bottom w:val="none" w:sz="0" w:space="0" w:color="auto"/>
            <w:right w:val="none" w:sz="0" w:space="0" w:color="auto"/>
          </w:divBdr>
        </w:div>
      </w:divsChild>
    </w:div>
    <w:div w:id="428090077">
      <w:bodyDiv w:val="1"/>
      <w:marLeft w:val="0"/>
      <w:marRight w:val="0"/>
      <w:marTop w:val="0"/>
      <w:marBottom w:val="0"/>
      <w:divBdr>
        <w:top w:val="none" w:sz="0" w:space="0" w:color="auto"/>
        <w:left w:val="none" w:sz="0" w:space="0" w:color="auto"/>
        <w:bottom w:val="none" w:sz="0" w:space="0" w:color="auto"/>
        <w:right w:val="none" w:sz="0" w:space="0" w:color="auto"/>
      </w:divBdr>
    </w:div>
    <w:div w:id="434325534">
      <w:bodyDiv w:val="1"/>
      <w:marLeft w:val="0"/>
      <w:marRight w:val="0"/>
      <w:marTop w:val="0"/>
      <w:marBottom w:val="0"/>
      <w:divBdr>
        <w:top w:val="none" w:sz="0" w:space="0" w:color="auto"/>
        <w:left w:val="none" w:sz="0" w:space="0" w:color="auto"/>
        <w:bottom w:val="none" w:sz="0" w:space="0" w:color="auto"/>
        <w:right w:val="none" w:sz="0" w:space="0" w:color="auto"/>
      </w:divBdr>
    </w:div>
    <w:div w:id="446899035">
      <w:bodyDiv w:val="1"/>
      <w:marLeft w:val="0"/>
      <w:marRight w:val="0"/>
      <w:marTop w:val="0"/>
      <w:marBottom w:val="0"/>
      <w:divBdr>
        <w:top w:val="none" w:sz="0" w:space="0" w:color="auto"/>
        <w:left w:val="none" w:sz="0" w:space="0" w:color="auto"/>
        <w:bottom w:val="none" w:sz="0" w:space="0" w:color="auto"/>
        <w:right w:val="none" w:sz="0" w:space="0" w:color="auto"/>
      </w:divBdr>
    </w:div>
    <w:div w:id="452990391">
      <w:bodyDiv w:val="1"/>
      <w:marLeft w:val="0"/>
      <w:marRight w:val="0"/>
      <w:marTop w:val="0"/>
      <w:marBottom w:val="0"/>
      <w:divBdr>
        <w:top w:val="none" w:sz="0" w:space="0" w:color="auto"/>
        <w:left w:val="none" w:sz="0" w:space="0" w:color="auto"/>
        <w:bottom w:val="none" w:sz="0" w:space="0" w:color="auto"/>
        <w:right w:val="none" w:sz="0" w:space="0" w:color="auto"/>
      </w:divBdr>
    </w:div>
    <w:div w:id="475999139">
      <w:bodyDiv w:val="1"/>
      <w:marLeft w:val="0"/>
      <w:marRight w:val="0"/>
      <w:marTop w:val="0"/>
      <w:marBottom w:val="0"/>
      <w:divBdr>
        <w:top w:val="none" w:sz="0" w:space="0" w:color="auto"/>
        <w:left w:val="none" w:sz="0" w:space="0" w:color="auto"/>
        <w:bottom w:val="none" w:sz="0" w:space="0" w:color="auto"/>
        <w:right w:val="none" w:sz="0" w:space="0" w:color="auto"/>
      </w:divBdr>
    </w:div>
    <w:div w:id="476999428">
      <w:bodyDiv w:val="1"/>
      <w:marLeft w:val="0"/>
      <w:marRight w:val="0"/>
      <w:marTop w:val="0"/>
      <w:marBottom w:val="0"/>
      <w:divBdr>
        <w:top w:val="none" w:sz="0" w:space="0" w:color="auto"/>
        <w:left w:val="none" w:sz="0" w:space="0" w:color="auto"/>
        <w:bottom w:val="none" w:sz="0" w:space="0" w:color="auto"/>
        <w:right w:val="none" w:sz="0" w:space="0" w:color="auto"/>
      </w:divBdr>
    </w:div>
    <w:div w:id="484468928">
      <w:bodyDiv w:val="1"/>
      <w:marLeft w:val="0"/>
      <w:marRight w:val="0"/>
      <w:marTop w:val="0"/>
      <w:marBottom w:val="0"/>
      <w:divBdr>
        <w:top w:val="none" w:sz="0" w:space="0" w:color="auto"/>
        <w:left w:val="none" w:sz="0" w:space="0" w:color="auto"/>
        <w:bottom w:val="none" w:sz="0" w:space="0" w:color="auto"/>
        <w:right w:val="none" w:sz="0" w:space="0" w:color="auto"/>
      </w:divBdr>
    </w:div>
    <w:div w:id="502206662">
      <w:bodyDiv w:val="1"/>
      <w:marLeft w:val="0"/>
      <w:marRight w:val="0"/>
      <w:marTop w:val="0"/>
      <w:marBottom w:val="0"/>
      <w:divBdr>
        <w:top w:val="none" w:sz="0" w:space="0" w:color="auto"/>
        <w:left w:val="none" w:sz="0" w:space="0" w:color="auto"/>
        <w:bottom w:val="none" w:sz="0" w:space="0" w:color="auto"/>
        <w:right w:val="none" w:sz="0" w:space="0" w:color="auto"/>
      </w:divBdr>
    </w:div>
    <w:div w:id="506362092">
      <w:bodyDiv w:val="1"/>
      <w:marLeft w:val="0"/>
      <w:marRight w:val="0"/>
      <w:marTop w:val="0"/>
      <w:marBottom w:val="0"/>
      <w:divBdr>
        <w:top w:val="none" w:sz="0" w:space="0" w:color="auto"/>
        <w:left w:val="none" w:sz="0" w:space="0" w:color="auto"/>
        <w:bottom w:val="none" w:sz="0" w:space="0" w:color="auto"/>
        <w:right w:val="none" w:sz="0" w:space="0" w:color="auto"/>
      </w:divBdr>
    </w:div>
    <w:div w:id="512646757">
      <w:bodyDiv w:val="1"/>
      <w:marLeft w:val="0"/>
      <w:marRight w:val="0"/>
      <w:marTop w:val="0"/>
      <w:marBottom w:val="0"/>
      <w:divBdr>
        <w:top w:val="none" w:sz="0" w:space="0" w:color="auto"/>
        <w:left w:val="none" w:sz="0" w:space="0" w:color="auto"/>
        <w:bottom w:val="none" w:sz="0" w:space="0" w:color="auto"/>
        <w:right w:val="none" w:sz="0" w:space="0" w:color="auto"/>
      </w:divBdr>
      <w:divsChild>
        <w:div w:id="191844288">
          <w:marLeft w:val="173"/>
          <w:marRight w:val="0"/>
          <w:marTop w:val="0"/>
          <w:marBottom w:val="0"/>
          <w:divBdr>
            <w:top w:val="none" w:sz="0" w:space="0" w:color="auto"/>
            <w:left w:val="none" w:sz="0" w:space="0" w:color="auto"/>
            <w:bottom w:val="none" w:sz="0" w:space="0" w:color="auto"/>
            <w:right w:val="none" w:sz="0" w:space="0" w:color="auto"/>
          </w:divBdr>
        </w:div>
        <w:div w:id="197819752">
          <w:marLeft w:val="173"/>
          <w:marRight w:val="0"/>
          <w:marTop w:val="0"/>
          <w:marBottom w:val="0"/>
          <w:divBdr>
            <w:top w:val="none" w:sz="0" w:space="0" w:color="auto"/>
            <w:left w:val="none" w:sz="0" w:space="0" w:color="auto"/>
            <w:bottom w:val="none" w:sz="0" w:space="0" w:color="auto"/>
            <w:right w:val="none" w:sz="0" w:space="0" w:color="auto"/>
          </w:divBdr>
        </w:div>
        <w:div w:id="283579693">
          <w:marLeft w:val="173"/>
          <w:marRight w:val="0"/>
          <w:marTop w:val="0"/>
          <w:marBottom w:val="0"/>
          <w:divBdr>
            <w:top w:val="none" w:sz="0" w:space="0" w:color="auto"/>
            <w:left w:val="none" w:sz="0" w:space="0" w:color="auto"/>
            <w:bottom w:val="none" w:sz="0" w:space="0" w:color="auto"/>
            <w:right w:val="none" w:sz="0" w:space="0" w:color="auto"/>
          </w:divBdr>
        </w:div>
        <w:div w:id="754784416">
          <w:marLeft w:val="173"/>
          <w:marRight w:val="0"/>
          <w:marTop w:val="0"/>
          <w:marBottom w:val="0"/>
          <w:divBdr>
            <w:top w:val="none" w:sz="0" w:space="0" w:color="auto"/>
            <w:left w:val="none" w:sz="0" w:space="0" w:color="auto"/>
            <w:bottom w:val="none" w:sz="0" w:space="0" w:color="auto"/>
            <w:right w:val="none" w:sz="0" w:space="0" w:color="auto"/>
          </w:divBdr>
        </w:div>
      </w:divsChild>
    </w:div>
    <w:div w:id="528227428">
      <w:bodyDiv w:val="1"/>
      <w:marLeft w:val="0"/>
      <w:marRight w:val="0"/>
      <w:marTop w:val="0"/>
      <w:marBottom w:val="0"/>
      <w:divBdr>
        <w:top w:val="none" w:sz="0" w:space="0" w:color="auto"/>
        <w:left w:val="none" w:sz="0" w:space="0" w:color="auto"/>
        <w:bottom w:val="none" w:sz="0" w:space="0" w:color="auto"/>
        <w:right w:val="none" w:sz="0" w:space="0" w:color="auto"/>
      </w:divBdr>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546915864">
      <w:bodyDiv w:val="1"/>
      <w:marLeft w:val="0"/>
      <w:marRight w:val="0"/>
      <w:marTop w:val="0"/>
      <w:marBottom w:val="0"/>
      <w:divBdr>
        <w:top w:val="none" w:sz="0" w:space="0" w:color="auto"/>
        <w:left w:val="none" w:sz="0" w:space="0" w:color="auto"/>
        <w:bottom w:val="none" w:sz="0" w:space="0" w:color="auto"/>
        <w:right w:val="none" w:sz="0" w:space="0" w:color="auto"/>
      </w:divBdr>
    </w:div>
    <w:div w:id="547686293">
      <w:bodyDiv w:val="1"/>
      <w:marLeft w:val="0"/>
      <w:marRight w:val="0"/>
      <w:marTop w:val="0"/>
      <w:marBottom w:val="0"/>
      <w:divBdr>
        <w:top w:val="none" w:sz="0" w:space="0" w:color="auto"/>
        <w:left w:val="none" w:sz="0" w:space="0" w:color="auto"/>
        <w:bottom w:val="none" w:sz="0" w:space="0" w:color="auto"/>
        <w:right w:val="none" w:sz="0" w:space="0" w:color="auto"/>
      </w:divBdr>
    </w:div>
    <w:div w:id="552930273">
      <w:bodyDiv w:val="1"/>
      <w:marLeft w:val="0"/>
      <w:marRight w:val="0"/>
      <w:marTop w:val="0"/>
      <w:marBottom w:val="0"/>
      <w:divBdr>
        <w:top w:val="none" w:sz="0" w:space="0" w:color="auto"/>
        <w:left w:val="none" w:sz="0" w:space="0" w:color="auto"/>
        <w:bottom w:val="none" w:sz="0" w:space="0" w:color="auto"/>
        <w:right w:val="none" w:sz="0" w:space="0" w:color="auto"/>
      </w:divBdr>
    </w:div>
    <w:div w:id="597370761">
      <w:bodyDiv w:val="1"/>
      <w:marLeft w:val="0"/>
      <w:marRight w:val="0"/>
      <w:marTop w:val="0"/>
      <w:marBottom w:val="0"/>
      <w:divBdr>
        <w:top w:val="none" w:sz="0" w:space="0" w:color="auto"/>
        <w:left w:val="none" w:sz="0" w:space="0" w:color="auto"/>
        <w:bottom w:val="none" w:sz="0" w:space="0" w:color="auto"/>
        <w:right w:val="none" w:sz="0" w:space="0" w:color="auto"/>
      </w:divBdr>
    </w:div>
    <w:div w:id="598370729">
      <w:bodyDiv w:val="1"/>
      <w:marLeft w:val="0"/>
      <w:marRight w:val="0"/>
      <w:marTop w:val="0"/>
      <w:marBottom w:val="0"/>
      <w:divBdr>
        <w:top w:val="none" w:sz="0" w:space="0" w:color="auto"/>
        <w:left w:val="none" w:sz="0" w:space="0" w:color="auto"/>
        <w:bottom w:val="none" w:sz="0" w:space="0" w:color="auto"/>
        <w:right w:val="none" w:sz="0" w:space="0" w:color="auto"/>
      </w:divBdr>
    </w:div>
    <w:div w:id="601915370">
      <w:bodyDiv w:val="1"/>
      <w:marLeft w:val="0"/>
      <w:marRight w:val="0"/>
      <w:marTop w:val="0"/>
      <w:marBottom w:val="0"/>
      <w:divBdr>
        <w:top w:val="none" w:sz="0" w:space="0" w:color="auto"/>
        <w:left w:val="none" w:sz="0" w:space="0" w:color="auto"/>
        <w:bottom w:val="none" w:sz="0" w:space="0" w:color="auto"/>
        <w:right w:val="none" w:sz="0" w:space="0" w:color="auto"/>
      </w:divBdr>
    </w:div>
    <w:div w:id="620192279">
      <w:bodyDiv w:val="1"/>
      <w:marLeft w:val="0"/>
      <w:marRight w:val="0"/>
      <w:marTop w:val="0"/>
      <w:marBottom w:val="0"/>
      <w:divBdr>
        <w:top w:val="none" w:sz="0" w:space="0" w:color="auto"/>
        <w:left w:val="none" w:sz="0" w:space="0" w:color="auto"/>
        <w:bottom w:val="none" w:sz="0" w:space="0" w:color="auto"/>
        <w:right w:val="none" w:sz="0" w:space="0" w:color="auto"/>
      </w:divBdr>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651107893">
      <w:bodyDiv w:val="1"/>
      <w:marLeft w:val="0"/>
      <w:marRight w:val="0"/>
      <w:marTop w:val="0"/>
      <w:marBottom w:val="0"/>
      <w:divBdr>
        <w:top w:val="none" w:sz="0" w:space="0" w:color="auto"/>
        <w:left w:val="none" w:sz="0" w:space="0" w:color="auto"/>
        <w:bottom w:val="none" w:sz="0" w:space="0" w:color="auto"/>
        <w:right w:val="none" w:sz="0" w:space="0" w:color="auto"/>
      </w:divBdr>
    </w:div>
    <w:div w:id="689913429">
      <w:bodyDiv w:val="1"/>
      <w:marLeft w:val="0"/>
      <w:marRight w:val="0"/>
      <w:marTop w:val="0"/>
      <w:marBottom w:val="0"/>
      <w:divBdr>
        <w:top w:val="none" w:sz="0" w:space="0" w:color="auto"/>
        <w:left w:val="none" w:sz="0" w:space="0" w:color="auto"/>
        <w:bottom w:val="none" w:sz="0" w:space="0" w:color="auto"/>
        <w:right w:val="none" w:sz="0" w:space="0" w:color="auto"/>
      </w:divBdr>
      <w:divsChild>
        <w:div w:id="124392619">
          <w:marLeft w:val="173"/>
          <w:marRight w:val="0"/>
          <w:marTop w:val="0"/>
          <w:marBottom w:val="0"/>
          <w:divBdr>
            <w:top w:val="none" w:sz="0" w:space="0" w:color="auto"/>
            <w:left w:val="none" w:sz="0" w:space="0" w:color="auto"/>
            <w:bottom w:val="none" w:sz="0" w:space="0" w:color="auto"/>
            <w:right w:val="none" w:sz="0" w:space="0" w:color="auto"/>
          </w:divBdr>
        </w:div>
        <w:div w:id="277026185">
          <w:marLeft w:val="173"/>
          <w:marRight w:val="0"/>
          <w:marTop w:val="0"/>
          <w:marBottom w:val="0"/>
          <w:divBdr>
            <w:top w:val="none" w:sz="0" w:space="0" w:color="auto"/>
            <w:left w:val="none" w:sz="0" w:space="0" w:color="auto"/>
            <w:bottom w:val="none" w:sz="0" w:space="0" w:color="auto"/>
            <w:right w:val="none" w:sz="0" w:space="0" w:color="auto"/>
          </w:divBdr>
        </w:div>
        <w:div w:id="1135490393">
          <w:marLeft w:val="173"/>
          <w:marRight w:val="0"/>
          <w:marTop w:val="0"/>
          <w:marBottom w:val="0"/>
          <w:divBdr>
            <w:top w:val="none" w:sz="0" w:space="0" w:color="auto"/>
            <w:left w:val="none" w:sz="0" w:space="0" w:color="auto"/>
            <w:bottom w:val="none" w:sz="0" w:space="0" w:color="auto"/>
            <w:right w:val="none" w:sz="0" w:space="0" w:color="auto"/>
          </w:divBdr>
        </w:div>
        <w:div w:id="1818523484">
          <w:marLeft w:val="173"/>
          <w:marRight w:val="0"/>
          <w:marTop w:val="0"/>
          <w:marBottom w:val="0"/>
          <w:divBdr>
            <w:top w:val="none" w:sz="0" w:space="0" w:color="auto"/>
            <w:left w:val="none" w:sz="0" w:space="0" w:color="auto"/>
            <w:bottom w:val="none" w:sz="0" w:space="0" w:color="auto"/>
            <w:right w:val="none" w:sz="0" w:space="0" w:color="auto"/>
          </w:divBdr>
        </w:div>
      </w:divsChild>
    </w:div>
    <w:div w:id="691803470">
      <w:bodyDiv w:val="1"/>
      <w:marLeft w:val="0"/>
      <w:marRight w:val="0"/>
      <w:marTop w:val="0"/>
      <w:marBottom w:val="0"/>
      <w:divBdr>
        <w:top w:val="none" w:sz="0" w:space="0" w:color="auto"/>
        <w:left w:val="none" w:sz="0" w:space="0" w:color="auto"/>
        <w:bottom w:val="none" w:sz="0" w:space="0" w:color="auto"/>
        <w:right w:val="none" w:sz="0" w:space="0" w:color="auto"/>
      </w:divBdr>
    </w:div>
    <w:div w:id="701517997">
      <w:bodyDiv w:val="1"/>
      <w:marLeft w:val="0"/>
      <w:marRight w:val="0"/>
      <w:marTop w:val="0"/>
      <w:marBottom w:val="0"/>
      <w:divBdr>
        <w:top w:val="none" w:sz="0" w:space="0" w:color="auto"/>
        <w:left w:val="none" w:sz="0" w:space="0" w:color="auto"/>
        <w:bottom w:val="none" w:sz="0" w:space="0" w:color="auto"/>
        <w:right w:val="none" w:sz="0" w:space="0" w:color="auto"/>
      </w:divBdr>
      <w:divsChild>
        <w:div w:id="390733135">
          <w:marLeft w:val="173"/>
          <w:marRight w:val="0"/>
          <w:marTop w:val="0"/>
          <w:marBottom w:val="0"/>
          <w:divBdr>
            <w:top w:val="none" w:sz="0" w:space="0" w:color="auto"/>
            <w:left w:val="none" w:sz="0" w:space="0" w:color="auto"/>
            <w:bottom w:val="none" w:sz="0" w:space="0" w:color="auto"/>
            <w:right w:val="none" w:sz="0" w:space="0" w:color="auto"/>
          </w:divBdr>
        </w:div>
        <w:div w:id="1466314272">
          <w:marLeft w:val="173"/>
          <w:marRight w:val="0"/>
          <w:marTop w:val="0"/>
          <w:marBottom w:val="0"/>
          <w:divBdr>
            <w:top w:val="none" w:sz="0" w:space="0" w:color="auto"/>
            <w:left w:val="none" w:sz="0" w:space="0" w:color="auto"/>
            <w:bottom w:val="none" w:sz="0" w:space="0" w:color="auto"/>
            <w:right w:val="none" w:sz="0" w:space="0" w:color="auto"/>
          </w:divBdr>
        </w:div>
        <w:div w:id="1648778018">
          <w:marLeft w:val="173"/>
          <w:marRight w:val="0"/>
          <w:marTop w:val="0"/>
          <w:marBottom w:val="0"/>
          <w:divBdr>
            <w:top w:val="none" w:sz="0" w:space="0" w:color="auto"/>
            <w:left w:val="none" w:sz="0" w:space="0" w:color="auto"/>
            <w:bottom w:val="none" w:sz="0" w:space="0" w:color="auto"/>
            <w:right w:val="none" w:sz="0" w:space="0" w:color="auto"/>
          </w:divBdr>
        </w:div>
        <w:div w:id="1697072503">
          <w:marLeft w:val="173"/>
          <w:marRight w:val="0"/>
          <w:marTop w:val="0"/>
          <w:marBottom w:val="0"/>
          <w:divBdr>
            <w:top w:val="none" w:sz="0" w:space="0" w:color="auto"/>
            <w:left w:val="none" w:sz="0" w:space="0" w:color="auto"/>
            <w:bottom w:val="none" w:sz="0" w:space="0" w:color="auto"/>
            <w:right w:val="none" w:sz="0" w:space="0" w:color="auto"/>
          </w:divBdr>
        </w:div>
        <w:div w:id="2119447365">
          <w:marLeft w:val="173"/>
          <w:marRight w:val="0"/>
          <w:marTop w:val="0"/>
          <w:marBottom w:val="0"/>
          <w:divBdr>
            <w:top w:val="none" w:sz="0" w:space="0" w:color="auto"/>
            <w:left w:val="none" w:sz="0" w:space="0" w:color="auto"/>
            <w:bottom w:val="none" w:sz="0" w:space="0" w:color="auto"/>
            <w:right w:val="none" w:sz="0" w:space="0" w:color="auto"/>
          </w:divBdr>
        </w:div>
      </w:divsChild>
    </w:div>
    <w:div w:id="731923074">
      <w:bodyDiv w:val="1"/>
      <w:marLeft w:val="0"/>
      <w:marRight w:val="0"/>
      <w:marTop w:val="0"/>
      <w:marBottom w:val="0"/>
      <w:divBdr>
        <w:top w:val="none" w:sz="0" w:space="0" w:color="auto"/>
        <w:left w:val="none" w:sz="0" w:space="0" w:color="auto"/>
        <w:bottom w:val="none" w:sz="0" w:space="0" w:color="auto"/>
        <w:right w:val="none" w:sz="0" w:space="0" w:color="auto"/>
      </w:divBdr>
    </w:div>
    <w:div w:id="789787593">
      <w:bodyDiv w:val="1"/>
      <w:marLeft w:val="0"/>
      <w:marRight w:val="0"/>
      <w:marTop w:val="0"/>
      <w:marBottom w:val="0"/>
      <w:divBdr>
        <w:top w:val="none" w:sz="0" w:space="0" w:color="auto"/>
        <w:left w:val="none" w:sz="0" w:space="0" w:color="auto"/>
        <w:bottom w:val="none" w:sz="0" w:space="0" w:color="auto"/>
        <w:right w:val="none" w:sz="0" w:space="0" w:color="auto"/>
      </w:divBdr>
    </w:div>
    <w:div w:id="793058716">
      <w:bodyDiv w:val="1"/>
      <w:marLeft w:val="0"/>
      <w:marRight w:val="0"/>
      <w:marTop w:val="0"/>
      <w:marBottom w:val="0"/>
      <w:divBdr>
        <w:top w:val="none" w:sz="0" w:space="0" w:color="auto"/>
        <w:left w:val="none" w:sz="0" w:space="0" w:color="auto"/>
        <w:bottom w:val="none" w:sz="0" w:space="0" w:color="auto"/>
        <w:right w:val="none" w:sz="0" w:space="0" w:color="auto"/>
      </w:divBdr>
    </w:div>
    <w:div w:id="840198186">
      <w:bodyDiv w:val="1"/>
      <w:marLeft w:val="0"/>
      <w:marRight w:val="0"/>
      <w:marTop w:val="0"/>
      <w:marBottom w:val="0"/>
      <w:divBdr>
        <w:top w:val="none" w:sz="0" w:space="0" w:color="auto"/>
        <w:left w:val="none" w:sz="0" w:space="0" w:color="auto"/>
        <w:bottom w:val="none" w:sz="0" w:space="0" w:color="auto"/>
        <w:right w:val="none" w:sz="0" w:space="0" w:color="auto"/>
      </w:divBdr>
    </w:div>
    <w:div w:id="852184715">
      <w:bodyDiv w:val="1"/>
      <w:marLeft w:val="0"/>
      <w:marRight w:val="0"/>
      <w:marTop w:val="0"/>
      <w:marBottom w:val="0"/>
      <w:divBdr>
        <w:top w:val="none" w:sz="0" w:space="0" w:color="auto"/>
        <w:left w:val="none" w:sz="0" w:space="0" w:color="auto"/>
        <w:bottom w:val="none" w:sz="0" w:space="0" w:color="auto"/>
        <w:right w:val="none" w:sz="0" w:space="0" w:color="auto"/>
      </w:divBdr>
    </w:div>
    <w:div w:id="856188887">
      <w:bodyDiv w:val="1"/>
      <w:marLeft w:val="0"/>
      <w:marRight w:val="0"/>
      <w:marTop w:val="0"/>
      <w:marBottom w:val="0"/>
      <w:divBdr>
        <w:top w:val="none" w:sz="0" w:space="0" w:color="auto"/>
        <w:left w:val="none" w:sz="0" w:space="0" w:color="auto"/>
        <w:bottom w:val="none" w:sz="0" w:space="0" w:color="auto"/>
        <w:right w:val="none" w:sz="0" w:space="0" w:color="auto"/>
      </w:divBdr>
      <w:divsChild>
        <w:div w:id="352222561">
          <w:marLeft w:val="274"/>
          <w:marRight w:val="0"/>
          <w:marTop w:val="0"/>
          <w:marBottom w:val="0"/>
          <w:divBdr>
            <w:top w:val="none" w:sz="0" w:space="0" w:color="auto"/>
            <w:left w:val="none" w:sz="0" w:space="0" w:color="auto"/>
            <w:bottom w:val="none" w:sz="0" w:space="0" w:color="auto"/>
            <w:right w:val="none" w:sz="0" w:space="0" w:color="auto"/>
          </w:divBdr>
        </w:div>
        <w:div w:id="532037661">
          <w:marLeft w:val="274"/>
          <w:marRight w:val="0"/>
          <w:marTop w:val="0"/>
          <w:marBottom w:val="0"/>
          <w:divBdr>
            <w:top w:val="none" w:sz="0" w:space="0" w:color="auto"/>
            <w:left w:val="none" w:sz="0" w:space="0" w:color="auto"/>
            <w:bottom w:val="none" w:sz="0" w:space="0" w:color="auto"/>
            <w:right w:val="none" w:sz="0" w:space="0" w:color="auto"/>
          </w:divBdr>
        </w:div>
      </w:divsChild>
    </w:div>
    <w:div w:id="858667542">
      <w:bodyDiv w:val="1"/>
      <w:marLeft w:val="0"/>
      <w:marRight w:val="0"/>
      <w:marTop w:val="0"/>
      <w:marBottom w:val="0"/>
      <w:divBdr>
        <w:top w:val="none" w:sz="0" w:space="0" w:color="auto"/>
        <w:left w:val="none" w:sz="0" w:space="0" w:color="auto"/>
        <w:bottom w:val="none" w:sz="0" w:space="0" w:color="auto"/>
        <w:right w:val="none" w:sz="0" w:space="0" w:color="auto"/>
      </w:divBdr>
    </w:div>
    <w:div w:id="868296480">
      <w:bodyDiv w:val="1"/>
      <w:marLeft w:val="0"/>
      <w:marRight w:val="0"/>
      <w:marTop w:val="0"/>
      <w:marBottom w:val="0"/>
      <w:divBdr>
        <w:top w:val="none" w:sz="0" w:space="0" w:color="auto"/>
        <w:left w:val="none" w:sz="0" w:space="0" w:color="auto"/>
        <w:bottom w:val="none" w:sz="0" w:space="0" w:color="auto"/>
        <w:right w:val="none" w:sz="0" w:space="0" w:color="auto"/>
      </w:divBdr>
    </w:div>
    <w:div w:id="884099366">
      <w:bodyDiv w:val="1"/>
      <w:marLeft w:val="0"/>
      <w:marRight w:val="0"/>
      <w:marTop w:val="0"/>
      <w:marBottom w:val="0"/>
      <w:divBdr>
        <w:top w:val="none" w:sz="0" w:space="0" w:color="auto"/>
        <w:left w:val="none" w:sz="0" w:space="0" w:color="auto"/>
        <w:bottom w:val="none" w:sz="0" w:space="0" w:color="auto"/>
        <w:right w:val="none" w:sz="0" w:space="0" w:color="auto"/>
      </w:divBdr>
      <w:divsChild>
        <w:div w:id="144594649">
          <w:marLeft w:val="274"/>
          <w:marRight w:val="0"/>
          <w:marTop w:val="0"/>
          <w:marBottom w:val="0"/>
          <w:divBdr>
            <w:top w:val="none" w:sz="0" w:space="0" w:color="auto"/>
            <w:left w:val="none" w:sz="0" w:space="0" w:color="auto"/>
            <w:bottom w:val="none" w:sz="0" w:space="0" w:color="auto"/>
            <w:right w:val="none" w:sz="0" w:space="0" w:color="auto"/>
          </w:divBdr>
        </w:div>
        <w:div w:id="454761323">
          <w:marLeft w:val="274"/>
          <w:marRight w:val="0"/>
          <w:marTop w:val="0"/>
          <w:marBottom w:val="0"/>
          <w:divBdr>
            <w:top w:val="none" w:sz="0" w:space="0" w:color="auto"/>
            <w:left w:val="none" w:sz="0" w:space="0" w:color="auto"/>
            <w:bottom w:val="none" w:sz="0" w:space="0" w:color="auto"/>
            <w:right w:val="none" w:sz="0" w:space="0" w:color="auto"/>
          </w:divBdr>
        </w:div>
        <w:div w:id="639726148">
          <w:marLeft w:val="274"/>
          <w:marRight w:val="0"/>
          <w:marTop w:val="0"/>
          <w:marBottom w:val="0"/>
          <w:divBdr>
            <w:top w:val="none" w:sz="0" w:space="0" w:color="auto"/>
            <w:left w:val="none" w:sz="0" w:space="0" w:color="auto"/>
            <w:bottom w:val="none" w:sz="0" w:space="0" w:color="auto"/>
            <w:right w:val="none" w:sz="0" w:space="0" w:color="auto"/>
          </w:divBdr>
        </w:div>
        <w:div w:id="1591498609">
          <w:marLeft w:val="274"/>
          <w:marRight w:val="0"/>
          <w:marTop w:val="0"/>
          <w:marBottom w:val="0"/>
          <w:divBdr>
            <w:top w:val="none" w:sz="0" w:space="0" w:color="auto"/>
            <w:left w:val="none" w:sz="0" w:space="0" w:color="auto"/>
            <w:bottom w:val="none" w:sz="0" w:space="0" w:color="auto"/>
            <w:right w:val="none" w:sz="0" w:space="0" w:color="auto"/>
          </w:divBdr>
        </w:div>
      </w:divsChild>
    </w:div>
    <w:div w:id="903293243">
      <w:bodyDiv w:val="1"/>
      <w:marLeft w:val="0"/>
      <w:marRight w:val="0"/>
      <w:marTop w:val="0"/>
      <w:marBottom w:val="0"/>
      <w:divBdr>
        <w:top w:val="none" w:sz="0" w:space="0" w:color="auto"/>
        <w:left w:val="none" w:sz="0" w:space="0" w:color="auto"/>
        <w:bottom w:val="none" w:sz="0" w:space="0" w:color="auto"/>
        <w:right w:val="none" w:sz="0" w:space="0" w:color="auto"/>
      </w:divBdr>
    </w:div>
    <w:div w:id="903488636">
      <w:bodyDiv w:val="1"/>
      <w:marLeft w:val="0"/>
      <w:marRight w:val="0"/>
      <w:marTop w:val="0"/>
      <w:marBottom w:val="0"/>
      <w:divBdr>
        <w:top w:val="none" w:sz="0" w:space="0" w:color="auto"/>
        <w:left w:val="none" w:sz="0" w:space="0" w:color="auto"/>
        <w:bottom w:val="none" w:sz="0" w:space="0" w:color="auto"/>
        <w:right w:val="none" w:sz="0" w:space="0" w:color="auto"/>
      </w:divBdr>
    </w:div>
    <w:div w:id="913659340">
      <w:bodyDiv w:val="1"/>
      <w:marLeft w:val="0"/>
      <w:marRight w:val="0"/>
      <w:marTop w:val="0"/>
      <w:marBottom w:val="0"/>
      <w:divBdr>
        <w:top w:val="none" w:sz="0" w:space="0" w:color="auto"/>
        <w:left w:val="none" w:sz="0" w:space="0" w:color="auto"/>
        <w:bottom w:val="none" w:sz="0" w:space="0" w:color="auto"/>
        <w:right w:val="none" w:sz="0" w:space="0" w:color="auto"/>
      </w:divBdr>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942491675">
      <w:bodyDiv w:val="1"/>
      <w:marLeft w:val="0"/>
      <w:marRight w:val="0"/>
      <w:marTop w:val="0"/>
      <w:marBottom w:val="0"/>
      <w:divBdr>
        <w:top w:val="none" w:sz="0" w:space="0" w:color="auto"/>
        <w:left w:val="none" w:sz="0" w:space="0" w:color="auto"/>
        <w:bottom w:val="none" w:sz="0" w:space="0" w:color="auto"/>
        <w:right w:val="none" w:sz="0" w:space="0" w:color="auto"/>
      </w:divBdr>
    </w:div>
    <w:div w:id="1008410175">
      <w:bodyDiv w:val="1"/>
      <w:marLeft w:val="0"/>
      <w:marRight w:val="0"/>
      <w:marTop w:val="0"/>
      <w:marBottom w:val="0"/>
      <w:divBdr>
        <w:top w:val="none" w:sz="0" w:space="0" w:color="auto"/>
        <w:left w:val="none" w:sz="0" w:space="0" w:color="auto"/>
        <w:bottom w:val="none" w:sz="0" w:space="0" w:color="auto"/>
        <w:right w:val="none" w:sz="0" w:space="0" w:color="auto"/>
      </w:divBdr>
      <w:divsChild>
        <w:div w:id="555514032">
          <w:marLeft w:val="274"/>
          <w:marRight w:val="0"/>
          <w:marTop w:val="0"/>
          <w:marBottom w:val="60"/>
          <w:divBdr>
            <w:top w:val="none" w:sz="0" w:space="0" w:color="auto"/>
            <w:left w:val="none" w:sz="0" w:space="0" w:color="auto"/>
            <w:bottom w:val="none" w:sz="0" w:space="0" w:color="auto"/>
            <w:right w:val="none" w:sz="0" w:space="0" w:color="auto"/>
          </w:divBdr>
        </w:div>
        <w:div w:id="843787834">
          <w:marLeft w:val="274"/>
          <w:marRight w:val="0"/>
          <w:marTop w:val="0"/>
          <w:marBottom w:val="60"/>
          <w:divBdr>
            <w:top w:val="none" w:sz="0" w:space="0" w:color="auto"/>
            <w:left w:val="none" w:sz="0" w:space="0" w:color="auto"/>
            <w:bottom w:val="none" w:sz="0" w:space="0" w:color="auto"/>
            <w:right w:val="none" w:sz="0" w:space="0" w:color="auto"/>
          </w:divBdr>
        </w:div>
        <w:div w:id="1091006696">
          <w:marLeft w:val="274"/>
          <w:marRight w:val="0"/>
          <w:marTop w:val="0"/>
          <w:marBottom w:val="60"/>
          <w:divBdr>
            <w:top w:val="none" w:sz="0" w:space="0" w:color="auto"/>
            <w:left w:val="none" w:sz="0" w:space="0" w:color="auto"/>
            <w:bottom w:val="none" w:sz="0" w:space="0" w:color="auto"/>
            <w:right w:val="none" w:sz="0" w:space="0" w:color="auto"/>
          </w:divBdr>
        </w:div>
      </w:divsChild>
    </w:div>
    <w:div w:id="1016538130">
      <w:bodyDiv w:val="1"/>
      <w:marLeft w:val="0"/>
      <w:marRight w:val="0"/>
      <w:marTop w:val="0"/>
      <w:marBottom w:val="0"/>
      <w:divBdr>
        <w:top w:val="none" w:sz="0" w:space="0" w:color="auto"/>
        <w:left w:val="none" w:sz="0" w:space="0" w:color="auto"/>
        <w:bottom w:val="none" w:sz="0" w:space="0" w:color="auto"/>
        <w:right w:val="none" w:sz="0" w:space="0" w:color="auto"/>
      </w:divBdr>
    </w:div>
    <w:div w:id="1030764246">
      <w:bodyDiv w:val="1"/>
      <w:marLeft w:val="0"/>
      <w:marRight w:val="0"/>
      <w:marTop w:val="0"/>
      <w:marBottom w:val="0"/>
      <w:divBdr>
        <w:top w:val="none" w:sz="0" w:space="0" w:color="auto"/>
        <w:left w:val="none" w:sz="0" w:space="0" w:color="auto"/>
        <w:bottom w:val="none" w:sz="0" w:space="0" w:color="auto"/>
        <w:right w:val="none" w:sz="0" w:space="0" w:color="auto"/>
      </w:divBdr>
    </w:div>
    <w:div w:id="1040132166">
      <w:bodyDiv w:val="1"/>
      <w:marLeft w:val="0"/>
      <w:marRight w:val="0"/>
      <w:marTop w:val="0"/>
      <w:marBottom w:val="0"/>
      <w:divBdr>
        <w:top w:val="none" w:sz="0" w:space="0" w:color="auto"/>
        <w:left w:val="none" w:sz="0" w:space="0" w:color="auto"/>
        <w:bottom w:val="none" w:sz="0" w:space="0" w:color="auto"/>
        <w:right w:val="none" w:sz="0" w:space="0" w:color="auto"/>
      </w:divBdr>
    </w:div>
    <w:div w:id="1055012105">
      <w:bodyDiv w:val="1"/>
      <w:marLeft w:val="0"/>
      <w:marRight w:val="0"/>
      <w:marTop w:val="0"/>
      <w:marBottom w:val="0"/>
      <w:divBdr>
        <w:top w:val="none" w:sz="0" w:space="0" w:color="auto"/>
        <w:left w:val="none" w:sz="0" w:space="0" w:color="auto"/>
        <w:bottom w:val="none" w:sz="0" w:space="0" w:color="auto"/>
        <w:right w:val="none" w:sz="0" w:space="0" w:color="auto"/>
      </w:divBdr>
    </w:div>
    <w:div w:id="1061057212">
      <w:bodyDiv w:val="1"/>
      <w:marLeft w:val="0"/>
      <w:marRight w:val="0"/>
      <w:marTop w:val="0"/>
      <w:marBottom w:val="0"/>
      <w:divBdr>
        <w:top w:val="none" w:sz="0" w:space="0" w:color="auto"/>
        <w:left w:val="none" w:sz="0" w:space="0" w:color="auto"/>
        <w:bottom w:val="none" w:sz="0" w:space="0" w:color="auto"/>
        <w:right w:val="none" w:sz="0" w:space="0" w:color="auto"/>
      </w:divBdr>
      <w:divsChild>
        <w:div w:id="2054041848">
          <w:marLeft w:val="274"/>
          <w:marRight w:val="0"/>
          <w:marTop w:val="0"/>
          <w:marBottom w:val="120"/>
          <w:divBdr>
            <w:top w:val="none" w:sz="0" w:space="0" w:color="auto"/>
            <w:left w:val="none" w:sz="0" w:space="0" w:color="auto"/>
            <w:bottom w:val="none" w:sz="0" w:space="0" w:color="auto"/>
            <w:right w:val="none" w:sz="0" w:space="0" w:color="auto"/>
          </w:divBdr>
        </w:div>
      </w:divsChild>
    </w:div>
    <w:div w:id="1078482241">
      <w:bodyDiv w:val="1"/>
      <w:marLeft w:val="0"/>
      <w:marRight w:val="0"/>
      <w:marTop w:val="0"/>
      <w:marBottom w:val="0"/>
      <w:divBdr>
        <w:top w:val="none" w:sz="0" w:space="0" w:color="auto"/>
        <w:left w:val="none" w:sz="0" w:space="0" w:color="auto"/>
        <w:bottom w:val="none" w:sz="0" w:space="0" w:color="auto"/>
        <w:right w:val="none" w:sz="0" w:space="0" w:color="auto"/>
      </w:divBdr>
    </w:div>
    <w:div w:id="1085036868">
      <w:bodyDiv w:val="1"/>
      <w:marLeft w:val="0"/>
      <w:marRight w:val="0"/>
      <w:marTop w:val="0"/>
      <w:marBottom w:val="0"/>
      <w:divBdr>
        <w:top w:val="none" w:sz="0" w:space="0" w:color="auto"/>
        <w:left w:val="none" w:sz="0" w:space="0" w:color="auto"/>
        <w:bottom w:val="none" w:sz="0" w:space="0" w:color="auto"/>
        <w:right w:val="none" w:sz="0" w:space="0" w:color="auto"/>
      </w:divBdr>
    </w:div>
    <w:div w:id="1096286405">
      <w:bodyDiv w:val="1"/>
      <w:marLeft w:val="0"/>
      <w:marRight w:val="0"/>
      <w:marTop w:val="0"/>
      <w:marBottom w:val="0"/>
      <w:divBdr>
        <w:top w:val="none" w:sz="0" w:space="0" w:color="auto"/>
        <w:left w:val="none" w:sz="0" w:space="0" w:color="auto"/>
        <w:bottom w:val="none" w:sz="0" w:space="0" w:color="auto"/>
        <w:right w:val="none" w:sz="0" w:space="0" w:color="auto"/>
      </w:divBdr>
    </w:div>
    <w:div w:id="1106581446">
      <w:bodyDiv w:val="1"/>
      <w:marLeft w:val="0"/>
      <w:marRight w:val="0"/>
      <w:marTop w:val="0"/>
      <w:marBottom w:val="0"/>
      <w:divBdr>
        <w:top w:val="none" w:sz="0" w:space="0" w:color="auto"/>
        <w:left w:val="none" w:sz="0" w:space="0" w:color="auto"/>
        <w:bottom w:val="none" w:sz="0" w:space="0" w:color="auto"/>
        <w:right w:val="none" w:sz="0" w:space="0" w:color="auto"/>
      </w:divBdr>
    </w:div>
    <w:div w:id="1133214357">
      <w:bodyDiv w:val="1"/>
      <w:marLeft w:val="0"/>
      <w:marRight w:val="0"/>
      <w:marTop w:val="0"/>
      <w:marBottom w:val="0"/>
      <w:divBdr>
        <w:top w:val="none" w:sz="0" w:space="0" w:color="auto"/>
        <w:left w:val="none" w:sz="0" w:space="0" w:color="auto"/>
        <w:bottom w:val="none" w:sz="0" w:space="0" w:color="auto"/>
        <w:right w:val="none" w:sz="0" w:space="0" w:color="auto"/>
      </w:divBdr>
    </w:div>
    <w:div w:id="1143277474">
      <w:bodyDiv w:val="1"/>
      <w:marLeft w:val="0"/>
      <w:marRight w:val="0"/>
      <w:marTop w:val="0"/>
      <w:marBottom w:val="0"/>
      <w:divBdr>
        <w:top w:val="none" w:sz="0" w:space="0" w:color="auto"/>
        <w:left w:val="none" w:sz="0" w:space="0" w:color="auto"/>
        <w:bottom w:val="none" w:sz="0" w:space="0" w:color="auto"/>
        <w:right w:val="none" w:sz="0" w:space="0" w:color="auto"/>
      </w:divBdr>
    </w:div>
    <w:div w:id="1213227608">
      <w:bodyDiv w:val="1"/>
      <w:marLeft w:val="0"/>
      <w:marRight w:val="0"/>
      <w:marTop w:val="0"/>
      <w:marBottom w:val="0"/>
      <w:divBdr>
        <w:top w:val="none" w:sz="0" w:space="0" w:color="auto"/>
        <w:left w:val="none" w:sz="0" w:space="0" w:color="auto"/>
        <w:bottom w:val="none" w:sz="0" w:space="0" w:color="auto"/>
        <w:right w:val="none" w:sz="0" w:space="0" w:color="auto"/>
      </w:divBdr>
    </w:div>
    <w:div w:id="1216239307">
      <w:bodyDiv w:val="1"/>
      <w:marLeft w:val="0"/>
      <w:marRight w:val="0"/>
      <w:marTop w:val="0"/>
      <w:marBottom w:val="0"/>
      <w:divBdr>
        <w:top w:val="none" w:sz="0" w:space="0" w:color="auto"/>
        <w:left w:val="none" w:sz="0" w:space="0" w:color="auto"/>
        <w:bottom w:val="none" w:sz="0" w:space="0" w:color="auto"/>
        <w:right w:val="none" w:sz="0" w:space="0" w:color="auto"/>
      </w:divBdr>
      <w:divsChild>
        <w:div w:id="279147841">
          <w:marLeft w:val="173"/>
          <w:marRight w:val="0"/>
          <w:marTop w:val="0"/>
          <w:marBottom w:val="0"/>
          <w:divBdr>
            <w:top w:val="none" w:sz="0" w:space="0" w:color="auto"/>
            <w:left w:val="none" w:sz="0" w:space="0" w:color="auto"/>
            <w:bottom w:val="none" w:sz="0" w:space="0" w:color="auto"/>
            <w:right w:val="none" w:sz="0" w:space="0" w:color="auto"/>
          </w:divBdr>
        </w:div>
        <w:div w:id="928999657">
          <w:marLeft w:val="173"/>
          <w:marRight w:val="0"/>
          <w:marTop w:val="0"/>
          <w:marBottom w:val="0"/>
          <w:divBdr>
            <w:top w:val="none" w:sz="0" w:space="0" w:color="auto"/>
            <w:left w:val="none" w:sz="0" w:space="0" w:color="auto"/>
            <w:bottom w:val="none" w:sz="0" w:space="0" w:color="auto"/>
            <w:right w:val="none" w:sz="0" w:space="0" w:color="auto"/>
          </w:divBdr>
        </w:div>
        <w:div w:id="953905670">
          <w:marLeft w:val="418"/>
          <w:marRight w:val="0"/>
          <w:marTop w:val="0"/>
          <w:marBottom w:val="0"/>
          <w:divBdr>
            <w:top w:val="none" w:sz="0" w:space="0" w:color="auto"/>
            <w:left w:val="none" w:sz="0" w:space="0" w:color="auto"/>
            <w:bottom w:val="none" w:sz="0" w:space="0" w:color="auto"/>
            <w:right w:val="none" w:sz="0" w:space="0" w:color="auto"/>
          </w:divBdr>
        </w:div>
        <w:div w:id="1432971440">
          <w:marLeft w:val="418"/>
          <w:marRight w:val="0"/>
          <w:marTop w:val="0"/>
          <w:marBottom w:val="0"/>
          <w:divBdr>
            <w:top w:val="none" w:sz="0" w:space="0" w:color="auto"/>
            <w:left w:val="none" w:sz="0" w:space="0" w:color="auto"/>
            <w:bottom w:val="none" w:sz="0" w:space="0" w:color="auto"/>
            <w:right w:val="none" w:sz="0" w:space="0" w:color="auto"/>
          </w:divBdr>
        </w:div>
      </w:divsChild>
    </w:div>
    <w:div w:id="1221401148">
      <w:bodyDiv w:val="1"/>
      <w:marLeft w:val="0"/>
      <w:marRight w:val="0"/>
      <w:marTop w:val="0"/>
      <w:marBottom w:val="0"/>
      <w:divBdr>
        <w:top w:val="none" w:sz="0" w:space="0" w:color="auto"/>
        <w:left w:val="none" w:sz="0" w:space="0" w:color="auto"/>
        <w:bottom w:val="none" w:sz="0" w:space="0" w:color="auto"/>
        <w:right w:val="none" w:sz="0" w:space="0" w:color="auto"/>
      </w:divBdr>
      <w:divsChild>
        <w:div w:id="647825223">
          <w:marLeft w:val="274"/>
          <w:marRight w:val="0"/>
          <w:marTop w:val="0"/>
          <w:marBottom w:val="120"/>
          <w:divBdr>
            <w:top w:val="none" w:sz="0" w:space="0" w:color="auto"/>
            <w:left w:val="none" w:sz="0" w:space="0" w:color="auto"/>
            <w:bottom w:val="none" w:sz="0" w:space="0" w:color="auto"/>
            <w:right w:val="none" w:sz="0" w:space="0" w:color="auto"/>
          </w:divBdr>
        </w:div>
      </w:divsChild>
    </w:div>
    <w:div w:id="1221405324">
      <w:bodyDiv w:val="1"/>
      <w:marLeft w:val="0"/>
      <w:marRight w:val="0"/>
      <w:marTop w:val="0"/>
      <w:marBottom w:val="0"/>
      <w:divBdr>
        <w:top w:val="none" w:sz="0" w:space="0" w:color="auto"/>
        <w:left w:val="none" w:sz="0" w:space="0" w:color="auto"/>
        <w:bottom w:val="none" w:sz="0" w:space="0" w:color="auto"/>
        <w:right w:val="none" w:sz="0" w:space="0" w:color="auto"/>
      </w:divBdr>
    </w:div>
    <w:div w:id="1230581047">
      <w:bodyDiv w:val="1"/>
      <w:marLeft w:val="0"/>
      <w:marRight w:val="0"/>
      <w:marTop w:val="0"/>
      <w:marBottom w:val="0"/>
      <w:divBdr>
        <w:top w:val="none" w:sz="0" w:space="0" w:color="auto"/>
        <w:left w:val="none" w:sz="0" w:space="0" w:color="auto"/>
        <w:bottom w:val="none" w:sz="0" w:space="0" w:color="auto"/>
        <w:right w:val="none" w:sz="0" w:space="0" w:color="auto"/>
      </w:divBdr>
    </w:div>
    <w:div w:id="1262689563">
      <w:bodyDiv w:val="1"/>
      <w:marLeft w:val="0"/>
      <w:marRight w:val="0"/>
      <w:marTop w:val="0"/>
      <w:marBottom w:val="0"/>
      <w:divBdr>
        <w:top w:val="none" w:sz="0" w:space="0" w:color="auto"/>
        <w:left w:val="none" w:sz="0" w:space="0" w:color="auto"/>
        <w:bottom w:val="none" w:sz="0" w:space="0" w:color="auto"/>
        <w:right w:val="none" w:sz="0" w:space="0" w:color="auto"/>
      </w:divBdr>
    </w:div>
    <w:div w:id="1269118740">
      <w:bodyDiv w:val="1"/>
      <w:marLeft w:val="0"/>
      <w:marRight w:val="0"/>
      <w:marTop w:val="0"/>
      <w:marBottom w:val="0"/>
      <w:divBdr>
        <w:top w:val="none" w:sz="0" w:space="0" w:color="auto"/>
        <w:left w:val="none" w:sz="0" w:space="0" w:color="auto"/>
        <w:bottom w:val="none" w:sz="0" w:space="0" w:color="auto"/>
        <w:right w:val="none" w:sz="0" w:space="0" w:color="auto"/>
      </w:divBdr>
    </w:div>
    <w:div w:id="1282810571">
      <w:bodyDiv w:val="1"/>
      <w:marLeft w:val="0"/>
      <w:marRight w:val="0"/>
      <w:marTop w:val="0"/>
      <w:marBottom w:val="0"/>
      <w:divBdr>
        <w:top w:val="none" w:sz="0" w:space="0" w:color="auto"/>
        <w:left w:val="none" w:sz="0" w:space="0" w:color="auto"/>
        <w:bottom w:val="none" w:sz="0" w:space="0" w:color="auto"/>
        <w:right w:val="none" w:sz="0" w:space="0" w:color="auto"/>
      </w:divBdr>
    </w:div>
    <w:div w:id="1284924219">
      <w:bodyDiv w:val="1"/>
      <w:marLeft w:val="0"/>
      <w:marRight w:val="0"/>
      <w:marTop w:val="0"/>
      <w:marBottom w:val="0"/>
      <w:divBdr>
        <w:top w:val="none" w:sz="0" w:space="0" w:color="auto"/>
        <w:left w:val="none" w:sz="0" w:space="0" w:color="auto"/>
        <w:bottom w:val="none" w:sz="0" w:space="0" w:color="auto"/>
        <w:right w:val="none" w:sz="0" w:space="0" w:color="auto"/>
      </w:divBdr>
    </w:div>
    <w:div w:id="1290167972">
      <w:bodyDiv w:val="1"/>
      <w:marLeft w:val="0"/>
      <w:marRight w:val="0"/>
      <w:marTop w:val="0"/>
      <w:marBottom w:val="0"/>
      <w:divBdr>
        <w:top w:val="none" w:sz="0" w:space="0" w:color="auto"/>
        <w:left w:val="none" w:sz="0" w:space="0" w:color="auto"/>
        <w:bottom w:val="none" w:sz="0" w:space="0" w:color="auto"/>
        <w:right w:val="none" w:sz="0" w:space="0" w:color="auto"/>
      </w:divBdr>
    </w:div>
    <w:div w:id="1293172434">
      <w:bodyDiv w:val="1"/>
      <w:marLeft w:val="0"/>
      <w:marRight w:val="0"/>
      <w:marTop w:val="0"/>
      <w:marBottom w:val="0"/>
      <w:divBdr>
        <w:top w:val="none" w:sz="0" w:space="0" w:color="auto"/>
        <w:left w:val="none" w:sz="0" w:space="0" w:color="auto"/>
        <w:bottom w:val="none" w:sz="0" w:space="0" w:color="auto"/>
        <w:right w:val="none" w:sz="0" w:space="0" w:color="auto"/>
      </w:divBdr>
    </w:div>
    <w:div w:id="1314985127">
      <w:bodyDiv w:val="1"/>
      <w:marLeft w:val="0"/>
      <w:marRight w:val="0"/>
      <w:marTop w:val="0"/>
      <w:marBottom w:val="0"/>
      <w:divBdr>
        <w:top w:val="none" w:sz="0" w:space="0" w:color="auto"/>
        <w:left w:val="none" w:sz="0" w:space="0" w:color="auto"/>
        <w:bottom w:val="none" w:sz="0" w:space="0" w:color="auto"/>
        <w:right w:val="none" w:sz="0" w:space="0" w:color="auto"/>
      </w:divBdr>
      <w:divsChild>
        <w:div w:id="1697386642">
          <w:marLeft w:val="173"/>
          <w:marRight w:val="0"/>
          <w:marTop w:val="0"/>
          <w:marBottom w:val="0"/>
          <w:divBdr>
            <w:top w:val="none" w:sz="0" w:space="0" w:color="auto"/>
            <w:left w:val="none" w:sz="0" w:space="0" w:color="auto"/>
            <w:bottom w:val="none" w:sz="0" w:space="0" w:color="auto"/>
            <w:right w:val="none" w:sz="0" w:space="0" w:color="auto"/>
          </w:divBdr>
        </w:div>
        <w:div w:id="2133211082">
          <w:marLeft w:val="173"/>
          <w:marRight w:val="0"/>
          <w:marTop w:val="0"/>
          <w:marBottom w:val="0"/>
          <w:divBdr>
            <w:top w:val="none" w:sz="0" w:space="0" w:color="auto"/>
            <w:left w:val="none" w:sz="0" w:space="0" w:color="auto"/>
            <w:bottom w:val="none" w:sz="0" w:space="0" w:color="auto"/>
            <w:right w:val="none" w:sz="0" w:space="0" w:color="auto"/>
          </w:divBdr>
        </w:div>
      </w:divsChild>
    </w:div>
    <w:div w:id="1339503096">
      <w:bodyDiv w:val="1"/>
      <w:marLeft w:val="0"/>
      <w:marRight w:val="0"/>
      <w:marTop w:val="0"/>
      <w:marBottom w:val="0"/>
      <w:divBdr>
        <w:top w:val="none" w:sz="0" w:space="0" w:color="auto"/>
        <w:left w:val="none" w:sz="0" w:space="0" w:color="auto"/>
        <w:bottom w:val="none" w:sz="0" w:space="0" w:color="auto"/>
        <w:right w:val="none" w:sz="0" w:space="0" w:color="auto"/>
      </w:divBdr>
    </w:div>
    <w:div w:id="1350646427">
      <w:bodyDiv w:val="1"/>
      <w:marLeft w:val="0"/>
      <w:marRight w:val="0"/>
      <w:marTop w:val="0"/>
      <w:marBottom w:val="0"/>
      <w:divBdr>
        <w:top w:val="none" w:sz="0" w:space="0" w:color="auto"/>
        <w:left w:val="none" w:sz="0" w:space="0" w:color="auto"/>
        <w:bottom w:val="none" w:sz="0" w:space="0" w:color="auto"/>
        <w:right w:val="none" w:sz="0" w:space="0" w:color="auto"/>
      </w:divBdr>
    </w:div>
    <w:div w:id="1407454212">
      <w:bodyDiv w:val="1"/>
      <w:marLeft w:val="0"/>
      <w:marRight w:val="0"/>
      <w:marTop w:val="0"/>
      <w:marBottom w:val="0"/>
      <w:divBdr>
        <w:top w:val="none" w:sz="0" w:space="0" w:color="auto"/>
        <w:left w:val="none" w:sz="0" w:space="0" w:color="auto"/>
        <w:bottom w:val="none" w:sz="0" w:space="0" w:color="auto"/>
        <w:right w:val="none" w:sz="0" w:space="0" w:color="auto"/>
      </w:divBdr>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449083035">
      <w:bodyDiv w:val="1"/>
      <w:marLeft w:val="0"/>
      <w:marRight w:val="0"/>
      <w:marTop w:val="0"/>
      <w:marBottom w:val="0"/>
      <w:divBdr>
        <w:top w:val="none" w:sz="0" w:space="0" w:color="auto"/>
        <w:left w:val="none" w:sz="0" w:space="0" w:color="auto"/>
        <w:bottom w:val="none" w:sz="0" w:space="0" w:color="auto"/>
        <w:right w:val="none" w:sz="0" w:space="0" w:color="auto"/>
      </w:divBdr>
    </w:div>
    <w:div w:id="1467897346">
      <w:bodyDiv w:val="1"/>
      <w:marLeft w:val="0"/>
      <w:marRight w:val="0"/>
      <w:marTop w:val="0"/>
      <w:marBottom w:val="0"/>
      <w:divBdr>
        <w:top w:val="none" w:sz="0" w:space="0" w:color="auto"/>
        <w:left w:val="none" w:sz="0" w:space="0" w:color="auto"/>
        <w:bottom w:val="none" w:sz="0" w:space="0" w:color="auto"/>
        <w:right w:val="none" w:sz="0" w:space="0" w:color="auto"/>
      </w:divBdr>
    </w:div>
    <w:div w:id="1497921192">
      <w:bodyDiv w:val="1"/>
      <w:marLeft w:val="0"/>
      <w:marRight w:val="0"/>
      <w:marTop w:val="0"/>
      <w:marBottom w:val="0"/>
      <w:divBdr>
        <w:top w:val="none" w:sz="0" w:space="0" w:color="auto"/>
        <w:left w:val="none" w:sz="0" w:space="0" w:color="auto"/>
        <w:bottom w:val="none" w:sz="0" w:space="0" w:color="auto"/>
        <w:right w:val="none" w:sz="0" w:space="0" w:color="auto"/>
      </w:divBdr>
    </w:div>
    <w:div w:id="1503427585">
      <w:bodyDiv w:val="1"/>
      <w:marLeft w:val="0"/>
      <w:marRight w:val="0"/>
      <w:marTop w:val="0"/>
      <w:marBottom w:val="0"/>
      <w:divBdr>
        <w:top w:val="none" w:sz="0" w:space="0" w:color="auto"/>
        <w:left w:val="none" w:sz="0" w:space="0" w:color="auto"/>
        <w:bottom w:val="none" w:sz="0" w:space="0" w:color="auto"/>
        <w:right w:val="none" w:sz="0" w:space="0" w:color="auto"/>
      </w:divBdr>
    </w:div>
    <w:div w:id="1519926146">
      <w:bodyDiv w:val="1"/>
      <w:marLeft w:val="0"/>
      <w:marRight w:val="0"/>
      <w:marTop w:val="0"/>
      <w:marBottom w:val="0"/>
      <w:divBdr>
        <w:top w:val="none" w:sz="0" w:space="0" w:color="auto"/>
        <w:left w:val="none" w:sz="0" w:space="0" w:color="auto"/>
        <w:bottom w:val="none" w:sz="0" w:space="0" w:color="auto"/>
        <w:right w:val="none" w:sz="0" w:space="0" w:color="auto"/>
      </w:divBdr>
    </w:div>
    <w:div w:id="1524006078">
      <w:bodyDiv w:val="1"/>
      <w:marLeft w:val="0"/>
      <w:marRight w:val="0"/>
      <w:marTop w:val="0"/>
      <w:marBottom w:val="0"/>
      <w:divBdr>
        <w:top w:val="none" w:sz="0" w:space="0" w:color="auto"/>
        <w:left w:val="none" w:sz="0" w:space="0" w:color="auto"/>
        <w:bottom w:val="none" w:sz="0" w:space="0" w:color="auto"/>
        <w:right w:val="none" w:sz="0" w:space="0" w:color="auto"/>
      </w:divBdr>
    </w:div>
    <w:div w:id="1541437286">
      <w:bodyDiv w:val="1"/>
      <w:marLeft w:val="0"/>
      <w:marRight w:val="0"/>
      <w:marTop w:val="0"/>
      <w:marBottom w:val="0"/>
      <w:divBdr>
        <w:top w:val="none" w:sz="0" w:space="0" w:color="auto"/>
        <w:left w:val="none" w:sz="0" w:space="0" w:color="auto"/>
        <w:bottom w:val="none" w:sz="0" w:space="0" w:color="auto"/>
        <w:right w:val="none" w:sz="0" w:space="0" w:color="auto"/>
      </w:divBdr>
      <w:divsChild>
        <w:div w:id="410395853">
          <w:marLeft w:val="173"/>
          <w:marRight w:val="0"/>
          <w:marTop w:val="0"/>
          <w:marBottom w:val="0"/>
          <w:divBdr>
            <w:top w:val="none" w:sz="0" w:space="0" w:color="auto"/>
            <w:left w:val="none" w:sz="0" w:space="0" w:color="auto"/>
            <w:bottom w:val="none" w:sz="0" w:space="0" w:color="auto"/>
            <w:right w:val="none" w:sz="0" w:space="0" w:color="auto"/>
          </w:divBdr>
        </w:div>
        <w:div w:id="1106119447">
          <w:marLeft w:val="173"/>
          <w:marRight w:val="0"/>
          <w:marTop w:val="0"/>
          <w:marBottom w:val="0"/>
          <w:divBdr>
            <w:top w:val="none" w:sz="0" w:space="0" w:color="auto"/>
            <w:left w:val="none" w:sz="0" w:space="0" w:color="auto"/>
            <w:bottom w:val="none" w:sz="0" w:space="0" w:color="auto"/>
            <w:right w:val="none" w:sz="0" w:space="0" w:color="auto"/>
          </w:divBdr>
        </w:div>
        <w:div w:id="1404259926">
          <w:marLeft w:val="173"/>
          <w:marRight w:val="0"/>
          <w:marTop w:val="0"/>
          <w:marBottom w:val="0"/>
          <w:divBdr>
            <w:top w:val="none" w:sz="0" w:space="0" w:color="auto"/>
            <w:left w:val="none" w:sz="0" w:space="0" w:color="auto"/>
            <w:bottom w:val="none" w:sz="0" w:space="0" w:color="auto"/>
            <w:right w:val="none" w:sz="0" w:space="0" w:color="auto"/>
          </w:divBdr>
        </w:div>
      </w:divsChild>
    </w:div>
    <w:div w:id="1546605435">
      <w:bodyDiv w:val="1"/>
      <w:marLeft w:val="0"/>
      <w:marRight w:val="0"/>
      <w:marTop w:val="0"/>
      <w:marBottom w:val="0"/>
      <w:divBdr>
        <w:top w:val="none" w:sz="0" w:space="0" w:color="auto"/>
        <w:left w:val="none" w:sz="0" w:space="0" w:color="auto"/>
        <w:bottom w:val="none" w:sz="0" w:space="0" w:color="auto"/>
        <w:right w:val="none" w:sz="0" w:space="0" w:color="auto"/>
      </w:divBdr>
    </w:div>
    <w:div w:id="1566139504">
      <w:bodyDiv w:val="1"/>
      <w:marLeft w:val="0"/>
      <w:marRight w:val="0"/>
      <w:marTop w:val="0"/>
      <w:marBottom w:val="0"/>
      <w:divBdr>
        <w:top w:val="none" w:sz="0" w:space="0" w:color="auto"/>
        <w:left w:val="none" w:sz="0" w:space="0" w:color="auto"/>
        <w:bottom w:val="none" w:sz="0" w:space="0" w:color="auto"/>
        <w:right w:val="none" w:sz="0" w:space="0" w:color="auto"/>
      </w:divBdr>
    </w:div>
    <w:div w:id="1569921374">
      <w:bodyDiv w:val="1"/>
      <w:marLeft w:val="0"/>
      <w:marRight w:val="0"/>
      <w:marTop w:val="0"/>
      <w:marBottom w:val="0"/>
      <w:divBdr>
        <w:top w:val="none" w:sz="0" w:space="0" w:color="auto"/>
        <w:left w:val="none" w:sz="0" w:space="0" w:color="auto"/>
        <w:bottom w:val="none" w:sz="0" w:space="0" w:color="auto"/>
        <w:right w:val="none" w:sz="0" w:space="0" w:color="auto"/>
      </w:divBdr>
    </w:div>
    <w:div w:id="1582134933">
      <w:bodyDiv w:val="1"/>
      <w:marLeft w:val="0"/>
      <w:marRight w:val="0"/>
      <w:marTop w:val="0"/>
      <w:marBottom w:val="0"/>
      <w:divBdr>
        <w:top w:val="none" w:sz="0" w:space="0" w:color="auto"/>
        <w:left w:val="none" w:sz="0" w:space="0" w:color="auto"/>
        <w:bottom w:val="none" w:sz="0" w:space="0" w:color="auto"/>
        <w:right w:val="none" w:sz="0" w:space="0" w:color="auto"/>
      </w:divBdr>
    </w:div>
    <w:div w:id="1588617609">
      <w:bodyDiv w:val="1"/>
      <w:marLeft w:val="0"/>
      <w:marRight w:val="0"/>
      <w:marTop w:val="0"/>
      <w:marBottom w:val="0"/>
      <w:divBdr>
        <w:top w:val="none" w:sz="0" w:space="0" w:color="auto"/>
        <w:left w:val="none" w:sz="0" w:space="0" w:color="auto"/>
        <w:bottom w:val="none" w:sz="0" w:space="0" w:color="auto"/>
        <w:right w:val="none" w:sz="0" w:space="0" w:color="auto"/>
      </w:divBdr>
      <w:divsChild>
        <w:div w:id="402067229">
          <w:marLeft w:val="274"/>
          <w:marRight w:val="0"/>
          <w:marTop w:val="0"/>
          <w:marBottom w:val="120"/>
          <w:divBdr>
            <w:top w:val="none" w:sz="0" w:space="0" w:color="auto"/>
            <w:left w:val="none" w:sz="0" w:space="0" w:color="auto"/>
            <w:bottom w:val="none" w:sz="0" w:space="0" w:color="auto"/>
            <w:right w:val="none" w:sz="0" w:space="0" w:color="auto"/>
          </w:divBdr>
        </w:div>
      </w:divsChild>
    </w:div>
    <w:div w:id="1657538194">
      <w:bodyDiv w:val="1"/>
      <w:marLeft w:val="0"/>
      <w:marRight w:val="0"/>
      <w:marTop w:val="0"/>
      <w:marBottom w:val="0"/>
      <w:divBdr>
        <w:top w:val="none" w:sz="0" w:space="0" w:color="auto"/>
        <w:left w:val="none" w:sz="0" w:space="0" w:color="auto"/>
        <w:bottom w:val="none" w:sz="0" w:space="0" w:color="auto"/>
        <w:right w:val="none" w:sz="0" w:space="0" w:color="auto"/>
      </w:divBdr>
    </w:div>
    <w:div w:id="1682975508">
      <w:bodyDiv w:val="1"/>
      <w:marLeft w:val="0"/>
      <w:marRight w:val="0"/>
      <w:marTop w:val="0"/>
      <w:marBottom w:val="0"/>
      <w:divBdr>
        <w:top w:val="none" w:sz="0" w:space="0" w:color="auto"/>
        <w:left w:val="none" w:sz="0" w:space="0" w:color="auto"/>
        <w:bottom w:val="none" w:sz="0" w:space="0" w:color="auto"/>
        <w:right w:val="none" w:sz="0" w:space="0" w:color="auto"/>
      </w:divBdr>
    </w:div>
    <w:div w:id="1687059055">
      <w:bodyDiv w:val="1"/>
      <w:marLeft w:val="0"/>
      <w:marRight w:val="0"/>
      <w:marTop w:val="0"/>
      <w:marBottom w:val="0"/>
      <w:divBdr>
        <w:top w:val="none" w:sz="0" w:space="0" w:color="auto"/>
        <w:left w:val="none" w:sz="0" w:space="0" w:color="auto"/>
        <w:bottom w:val="none" w:sz="0" w:space="0" w:color="auto"/>
        <w:right w:val="none" w:sz="0" w:space="0" w:color="auto"/>
      </w:divBdr>
    </w:div>
    <w:div w:id="1723365132">
      <w:bodyDiv w:val="1"/>
      <w:marLeft w:val="0"/>
      <w:marRight w:val="0"/>
      <w:marTop w:val="0"/>
      <w:marBottom w:val="0"/>
      <w:divBdr>
        <w:top w:val="none" w:sz="0" w:space="0" w:color="auto"/>
        <w:left w:val="none" w:sz="0" w:space="0" w:color="auto"/>
        <w:bottom w:val="none" w:sz="0" w:space="0" w:color="auto"/>
        <w:right w:val="none" w:sz="0" w:space="0" w:color="auto"/>
      </w:divBdr>
      <w:divsChild>
        <w:div w:id="1557160983">
          <w:marLeft w:val="0"/>
          <w:marRight w:val="0"/>
          <w:marTop w:val="0"/>
          <w:marBottom w:val="0"/>
          <w:divBdr>
            <w:top w:val="none" w:sz="0" w:space="0" w:color="auto"/>
            <w:left w:val="none" w:sz="0" w:space="0" w:color="auto"/>
            <w:bottom w:val="none" w:sz="0" w:space="0" w:color="auto"/>
            <w:right w:val="none" w:sz="0" w:space="0" w:color="auto"/>
          </w:divBdr>
        </w:div>
        <w:div w:id="1625772131">
          <w:marLeft w:val="0"/>
          <w:marRight w:val="0"/>
          <w:marTop w:val="0"/>
          <w:marBottom w:val="0"/>
          <w:divBdr>
            <w:top w:val="none" w:sz="0" w:space="0" w:color="auto"/>
            <w:left w:val="none" w:sz="0" w:space="0" w:color="auto"/>
            <w:bottom w:val="none" w:sz="0" w:space="0" w:color="auto"/>
            <w:right w:val="none" w:sz="0" w:space="0" w:color="auto"/>
          </w:divBdr>
        </w:div>
      </w:divsChild>
    </w:div>
    <w:div w:id="1742023669">
      <w:bodyDiv w:val="1"/>
      <w:marLeft w:val="0"/>
      <w:marRight w:val="0"/>
      <w:marTop w:val="0"/>
      <w:marBottom w:val="0"/>
      <w:divBdr>
        <w:top w:val="none" w:sz="0" w:space="0" w:color="auto"/>
        <w:left w:val="none" w:sz="0" w:space="0" w:color="auto"/>
        <w:bottom w:val="none" w:sz="0" w:space="0" w:color="auto"/>
        <w:right w:val="none" w:sz="0" w:space="0" w:color="auto"/>
      </w:divBdr>
    </w:div>
    <w:div w:id="1747915706">
      <w:bodyDiv w:val="1"/>
      <w:marLeft w:val="0"/>
      <w:marRight w:val="0"/>
      <w:marTop w:val="0"/>
      <w:marBottom w:val="0"/>
      <w:divBdr>
        <w:top w:val="none" w:sz="0" w:space="0" w:color="auto"/>
        <w:left w:val="none" w:sz="0" w:space="0" w:color="auto"/>
        <w:bottom w:val="none" w:sz="0" w:space="0" w:color="auto"/>
        <w:right w:val="none" w:sz="0" w:space="0" w:color="auto"/>
      </w:divBdr>
    </w:div>
    <w:div w:id="1768231448">
      <w:bodyDiv w:val="1"/>
      <w:marLeft w:val="0"/>
      <w:marRight w:val="0"/>
      <w:marTop w:val="0"/>
      <w:marBottom w:val="0"/>
      <w:divBdr>
        <w:top w:val="none" w:sz="0" w:space="0" w:color="auto"/>
        <w:left w:val="none" w:sz="0" w:space="0" w:color="auto"/>
        <w:bottom w:val="none" w:sz="0" w:space="0" w:color="auto"/>
        <w:right w:val="none" w:sz="0" w:space="0" w:color="auto"/>
      </w:divBdr>
    </w:div>
    <w:div w:id="1789858148">
      <w:bodyDiv w:val="1"/>
      <w:marLeft w:val="0"/>
      <w:marRight w:val="0"/>
      <w:marTop w:val="0"/>
      <w:marBottom w:val="0"/>
      <w:divBdr>
        <w:top w:val="none" w:sz="0" w:space="0" w:color="auto"/>
        <w:left w:val="none" w:sz="0" w:space="0" w:color="auto"/>
        <w:bottom w:val="none" w:sz="0" w:space="0" w:color="auto"/>
        <w:right w:val="none" w:sz="0" w:space="0" w:color="auto"/>
      </w:divBdr>
    </w:div>
    <w:div w:id="1806240960">
      <w:bodyDiv w:val="1"/>
      <w:marLeft w:val="0"/>
      <w:marRight w:val="0"/>
      <w:marTop w:val="0"/>
      <w:marBottom w:val="0"/>
      <w:divBdr>
        <w:top w:val="none" w:sz="0" w:space="0" w:color="auto"/>
        <w:left w:val="none" w:sz="0" w:space="0" w:color="auto"/>
        <w:bottom w:val="none" w:sz="0" w:space="0" w:color="auto"/>
        <w:right w:val="none" w:sz="0" w:space="0" w:color="auto"/>
      </w:divBdr>
      <w:divsChild>
        <w:div w:id="153494744">
          <w:marLeft w:val="274"/>
          <w:marRight w:val="0"/>
          <w:marTop w:val="0"/>
          <w:marBottom w:val="0"/>
          <w:divBdr>
            <w:top w:val="none" w:sz="0" w:space="0" w:color="auto"/>
            <w:left w:val="none" w:sz="0" w:space="0" w:color="auto"/>
            <w:bottom w:val="none" w:sz="0" w:space="0" w:color="auto"/>
            <w:right w:val="none" w:sz="0" w:space="0" w:color="auto"/>
          </w:divBdr>
        </w:div>
        <w:div w:id="251746140">
          <w:marLeft w:val="274"/>
          <w:marRight w:val="0"/>
          <w:marTop w:val="0"/>
          <w:marBottom w:val="0"/>
          <w:divBdr>
            <w:top w:val="none" w:sz="0" w:space="0" w:color="auto"/>
            <w:left w:val="none" w:sz="0" w:space="0" w:color="auto"/>
            <w:bottom w:val="none" w:sz="0" w:space="0" w:color="auto"/>
            <w:right w:val="none" w:sz="0" w:space="0" w:color="auto"/>
          </w:divBdr>
        </w:div>
        <w:div w:id="303201091">
          <w:marLeft w:val="274"/>
          <w:marRight w:val="0"/>
          <w:marTop w:val="0"/>
          <w:marBottom w:val="0"/>
          <w:divBdr>
            <w:top w:val="none" w:sz="0" w:space="0" w:color="auto"/>
            <w:left w:val="none" w:sz="0" w:space="0" w:color="auto"/>
            <w:bottom w:val="none" w:sz="0" w:space="0" w:color="auto"/>
            <w:right w:val="none" w:sz="0" w:space="0" w:color="auto"/>
          </w:divBdr>
        </w:div>
        <w:div w:id="321474506">
          <w:marLeft w:val="274"/>
          <w:marRight w:val="0"/>
          <w:marTop w:val="0"/>
          <w:marBottom w:val="0"/>
          <w:divBdr>
            <w:top w:val="none" w:sz="0" w:space="0" w:color="auto"/>
            <w:left w:val="none" w:sz="0" w:space="0" w:color="auto"/>
            <w:bottom w:val="none" w:sz="0" w:space="0" w:color="auto"/>
            <w:right w:val="none" w:sz="0" w:space="0" w:color="auto"/>
          </w:divBdr>
        </w:div>
        <w:div w:id="750082657">
          <w:marLeft w:val="274"/>
          <w:marRight w:val="0"/>
          <w:marTop w:val="0"/>
          <w:marBottom w:val="0"/>
          <w:divBdr>
            <w:top w:val="none" w:sz="0" w:space="0" w:color="auto"/>
            <w:left w:val="none" w:sz="0" w:space="0" w:color="auto"/>
            <w:bottom w:val="none" w:sz="0" w:space="0" w:color="auto"/>
            <w:right w:val="none" w:sz="0" w:space="0" w:color="auto"/>
          </w:divBdr>
        </w:div>
        <w:div w:id="808745329">
          <w:marLeft w:val="274"/>
          <w:marRight w:val="0"/>
          <w:marTop w:val="0"/>
          <w:marBottom w:val="0"/>
          <w:divBdr>
            <w:top w:val="none" w:sz="0" w:space="0" w:color="auto"/>
            <w:left w:val="none" w:sz="0" w:space="0" w:color="auto"/>
            <w:bottom w:val="none" w:sz="0" w:space="0" w:color="auto"/>
            <w:right w:val="none" w:sz="0" w:space="0" w:color="auto"/>
          </w:divBdr>
        </w:div>
        <w:div w:id="1485122151">
          <w:marLeft w:val="274"/>
          <w:marRight w:val="0"/>
          <w:marTop w:val="0"/>
          <w:marBottom w:val="0"/>
          <w:divBdr>
            <w:top w:val="none" w:sz="0" w:space="0" w:color="auto"/>
            <w:left w:val="none" w:sz="0" w:space="0" w:color="auto"/>
            <w:bottom w:val="none" w:sz="0" w:space="0" w:color="auto"/>
            <w:right w:val="none" w:sz="0" w:space="0" w:color="auto"/>
          </w:divBdr>
        </w:div>
        <w:div w:id="1630937670">
          <w:marLeft w:val="274"/>
          <w:marRight w:val="0"/>
          <w:marTop w:val="0"/>
          <w:marBottom w:val="0"/>
          <w:divBdr>
            <w:top w:val="none" w:sz="0" w:space="0" w:color="auto"/>
            <w:left w:val="none" w:sz="0" w:space="0" w:color="auto"/>
            <w:bottom w:val="none" w:sz="0" w:space="0" w:color="auto"/>
            <w:right w:val="none" w:sz="0" w:space="0" w:color="auto"/>
          </w:divBdr>
        </w:div>
        <w:div w:id="1894804953">
          <w:marLeft w:val="274"/>
          <w:marRight w:val="0"/>
          <w:marTop w:val="0"/>
          <w:marBottom w:val="0"/>
          <w:divBdr>
            <w:top w:val="none" w:sz="0" w:space="0" w:color="auto"/>
            <w:left w:val="none" w:sz="0" w:space="0" w:color="auto"/>
            <w:bottom w:val="none" w:sz="0" w:space="0" w:color="auto"/>
            <w:right w:val="none" w:sz="0" w:space="0" w:color="auto"/>
          </w:divBdr>
        </w:div>
      </w:divsChild>
    </w:div>
    <w:div w:id="1806464647">
      <w:bodyDiv w:val="1"/>
      <w:marLeft w:val="0"/>
      <w:marRight w:val="0"/>
      <w:marTop w:val="0"/>
      <w:marBottom w:val="0"/>
      <w:divBdr>
        <w:top w:val="none" w:sz="0" w:space="0" w:color="auto"/>
        <w:left w:val="none" w:sz="0" w:space="0" w:color="auto"/>
        <w:bottom w:val="none" w:sz="0" w:space="0" w:color="auto"/>
        <w:right w:val="none" w:sz="0" w:space="0" w:color="auto"/>
      </w:divBdr>
      <w:divsChild>
        <w:div w:id="2078093939">
          <w:marLeft w:val="274"/>
          <w:marRight w:val="0"/>
          <w:marTop w:val="0"/>
          <w:marBottom w:val="60"/>
          <w:divBdr>
            <w:top w:val="none" w:sz="0" w:space="0" w:color="auto"/>
            <w:left w:val="none" w:sz="0" w:space="0" w:color="auto"/>
            <w:bottom w:val="none" w:sz="0" w:space="0" w:color="auto"/>
            <w:right w:val="none" w:sz="0" w:space="0" w:color="auto"/>
          </w:divBdr>
        </w:div>
        <w:div w:id="2125229947">
          <w:marLeft w:val="274"/>
          <w:marRight w:val="0"/>
          <w:marTop w:val="0"/>
          <w:marBottom w:val="60"/>
          <w:divBdr>
            <w:top w:val="none" w:sz="0" w:space="0" w:color="auto"/>
            <w:left w:val="none" w:sz="0" w:space="0" w:color="auto"/>
            <w:bottom w:val="none" w:sz="0" w:space="0" w:color="auto"/>
            <w:right w:val="none" w:sz="0" w:space="0" w:color="auto"/>
          </w:divBdr>
        </w:div>
      </w:divsChild>
    </w:div>
    <w:div w:id="1824393903">
      <w:bodyDiv w:val="1"/>
      <w:marLeft w:val="0"/>
      <w:marRight w:val="0"/>
      <w:marTop w:val="0"/>
      <w:marBottom w:val="0"/>
      <w:divBdr>
        <w:top w:val="none" w:sz="0" w:space="0" w:color="auto"/>
        <w:left w:val="none" w:sz="0" w:space="0" w:color="auto"/>
        <w:bottom w:val="none" w:sz="0" w:space="0" w:color="auto"/>
        <w:right w:val="none" w:sz="0" w:space="0" w:color="auto"/>
      </w:divBdr>
    </w:div>
    <w:div w:id="1851140105">
      <w:bodyDiv w:val="1"/>
      <w:marLeft w:val="0"/>
      <w:marRight w:val="0"/>
      <w:marTop w:val="0"/>
      <w:marBottom w:val="0"/>
      <w:divBdr>
        <w:top w:val="none" w:sz="0" w:space="0" w:color="auto"/>
        <w:left w:val="none" w:sz="0" w:space="0" w:color="auto"/>
        <w:bottom w:val="none" w:sz="0" w:space="0" w:color="auto"/>
        <w:right w:val="none" w:sz="0" w:space="0" w:color="auto"/>
      </w:divBdr>
    </w:div>
    <w:div w:id="1855918610">
      <w:bodyDiv w:val="1"/>
      <w:marLeft w:val="0"/>
      <w:marRight w:val="0"/>
      <w:marTop w:val="0"/>
      <w:marBottom w:val="0"/>
      <w:divBdr>
        <w:top w:val="none" w:sz="0" w:space="0" w:color="auto"/>
        <w:left w:val="none" w:sz="0" w:space="0" w:color="auto"/>
        <w:bottom w:val="none" w:sz="0" w:space="0" w:color="auto"/>
        <w:right w:val="none" w:sz="0" w:space="0" w:color="auto"/>
      </w:divBdr>
    </w:div>
    <w:div w:id="1884823439">
      <w:bodyDiv w:val="1"/>
      <w:marLeft w:val="0"/>
      <w:marRight w:val="0"/>
      <w:marTop w:val="0"/>
      <w:marBottom w:val="0"/>
      <w:divBdr>
        <w:top w:val="none" w:sz="0" w:space="0" w:color="auto"/>
        <w:left w:val="none" w:sz="0" w:space="0" w:color="auto"/>
        <w:bottom w:val="none" w:sz="0" w:space="0" w:color="auto"/>
        <w:right w:val="none" w:sz="0" w:space="0" w:color="auto"/>
      </w:divBdr>
    </w:div>
    <w:div w:id="1980382328">
      <w:bodyDiv w:val="1"/>
      <w:marLeft w:val="0"/>
      <w:marRight w:val="0"/>
      <w:marTop w:val="0"/>
      <w:marBottom w:val="0"/>
      <w:divBdr>
        <w:top w:val="none" w:sz="0" w:space="0" w:color="auto"/>
        <w:left w:val="none" w:sz="0" w:space="0" w:color="auto"/>
        <w:bottom w:val="none" w:sz="0" w:space="0" w:color="auto"/>
        <w:right w:val="none" w:sz="0" w:space="0" w:color="auto"/>
      </w:divBdr>
    </w:div>
    <w:div w:id="1980574571">
      <w:bodyDiv w:val="1"/>
      <w:marLeft w:val="0"/>
      <w:marRight w:val="0"/>
      <w:marTop w:val="0"/>
      <w:marBottom w:val="0"/>
      <w:divBdr>
        <w:top w:val="none" w:sz="0" w:space="0" w:color="auto"/>
        <w:left w:val="none" w:sz="0" w:space="0" w:color="auto"/>
        <w:bottom w:val="none" w:sz="0" w:space="0" w:color="auto"/>
        <w:right w:val="none" w:sz="0" w:space="0" w:color="auto"/>
      </w:divBdr>
    </w:div>
    <w:div w:id="1983002245">
      <w:bodyDiv w:val="1"/>
      <w:marLeft w:val="0"/>
      <w:marRight w:val="0"/>
      <w:marTop w:val="0"/>
      <w:marBottom w:val="0"/>
      <w:divBdr>
        <w:top w:val="none" w:sz="0" w:space="0" w:color="auto"/>
        <w:left w:val="none" w:sz="0" w:space="0" w:color="auto"/>
        <w:bottom w:val="none" w:sz="0" w:space="0" w:color="auto"/>
        <w:right w:val="none" w:sz="0" w:space="0" w:color="auto"/>
      </w:divBdr>
    </w:div>
    <w:div w:id="2008633348">
      <w:bodyDiv w:val="1"/>
      <w:marLeft w:val="0"/>
      <w:marRight w:val="0"/>
      <w:marTop w:val="0"/>
      <w:marBottom w:val="0"/>
      <w:divBdr>
        <w:top w:val="none" w:sz="0" w:space="0" w:color="auto"/>
        <w:left w:val="none" w:sz="0" w:space="0" w:color="auto"/>
        <w:bottom w:val="none" w:sz="0" w:space="0" w:color="auto"/>
        <w:right w:val="none" w:sz="0" w:space="0" w:color="auto"/>
      </w:divBdr>
    </w:div>
    <w:div w:id="2020156789">
      <w:bodyDiv w:val="1"/>
      <w:marLeft w:val="0"/>
      <w:marRight w:val="0"/>
      <w:marTop w:val="0"/>
      <w:marBottom w:val="0"/>
      <w:divBdr>
        <w:top w:val="none" w:sz="0" w:space="0" w:color="auto"/>
        <w:left w:val="none" w:sz="0" w:space="0" w:color="auto"/>
        <w:bottom w:val="none" w:sz="0" w:space="0" w:color="auto"/>
        <w:right w:val="none" w:sz="0" w:space="0" w:color="auto"/>
      </w:divBdr>
    </w:div>
    <w:div w:id="2039430014">
      <w:bodyDiv w:val="1"/>
      <w:marLeft w:val="0"/>
      <w:marRight w:val="0"/>
      <w:marTop w:val="0"/>
      <w:marBottom w:val="0"/>
      <w:divBdr>
        <w:top w:val="none" w:sz="0" w:space="0" w:color="auto"/>
        <w:left w:val="none" w:sz="0" w:space="0" w:color="auto"/>
        <w:bottom w:val="none" w:sz="0" w:space="0" w:color="auto"/>
        <w:right w:val="none" w:sz="0" w:space="0" w:color="auto"/>
      </w:divBdr>
    </w:div>
    <w:div w:id="2067754170">
      <w:bodyDiv w:val="1"/>
      <w:marLeft w:val="0"/>
      <w:marRight w:val="0"/>
      <w:marTop w:val="0"/>
      <w:marBottom w:val="0"/>
      <w:divBdr>
        <w:top w:val="none" w:sz="0" w:space="0" w:color="auto"/>
        <w:left w:val="none" w:sz="0" w:space="0" w:color="auto"/>
        <w:bottom w:val="none" w:sz="0" w:space="0" w:color="auto"/>
        <w:right w:val="none" w:sz="0" w:space="0" w:color="auto"/>
      </w:divBdr>
    </w:div>
    <w:div w:id="2102406833">
      <w:bodyDiv w:val="1"/>
      <w:marLeft w:val="0"/>
      <w:marRight w:val="0"/>
      <w:marTop w:val="0"/>
      <w:marBottom w:val="0"/>
      <w:divBdr>
        <w:top w:val="none" w:sz="0" w:space="0" w:color="auto"/>
        <w:left w:val="none" w:sz="0" w:space="0" w:color="auto"/>
        <w:bottom w:val="none" w:sz="0" w:space="0" w:color="auto"/>
        <w:right w:val="none" w:sz="0" w:space="0" w:color="auto"/>
      </w:divBdr>
    </w:div>
    <w:div w:id="2107142976">
      <w:bodyDiv w:val="1"/>
      <w:marLeft w:val="0"/>
      <w:marRight w:val="0"/>
      <w:marTop w:val="0"/>
      <w:marBottom w:val="0"/>
      <w:divBdr>
        <w:top w:val="none" w:sz="0" w:space="0" w:color="auto"/>
        <w:left w:val="none" w:sz="0" w:space="0" w:color="auto"/>
        <w:bottom w:val="none" w:sz="0" w:space="0" w:color="auto"/>
        <w:right w:val="none" w:sz="0" w:space="0" w:color="auto"/>
      </w:divBdr>
    </w:div>
    <w:div w:id="21268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image" Target="media/image57.png"/><Relationship Id="rId21" Type="http://schemas.openxmlformats.org/officeDocument/2006/relationships/footer" Target="footer2.xml"/><Relationship Id="rId42" Type="http://schemas.openxmlformats.org/officeDocument/2006/relationships/hyperlink" Target="http://www.publichospitalfunding.gov.au" TargetMode="External"/><Relationship Id="rId47" Type="http://schemas.openxmlformats.org/officeDocument/2006/relationships/header" Target="header15.xml"/><Relationship Id="rId63" Type="http://schemas.openxmlformats.org/officeDocument/2006/relationships/image" Target="media/image31.png"/><Relationship Id="rId68" Type="http://schemas.openxmlformats.org/officeDocument/2006/relationships/image" Target="media/image34.png"/><Relationship Id="rId84" Type="http://schemas.openxmlformats.org/officeDocument/2006/relationships/chart" Target="charts/chart14.xml"/><Relationship Id="rId89" Type="http://schemas.openxmlformats.org/officeDocument/2006/relationships/image" Target="media/image39.png"/><Relationship Id="rId112" Type="http://schemas.openxmlformats.org/officeDocument/2006/relationships/header" Target="header27.xml"/><Relationship Id="rId133" Type="http://schemas.openxmlformats.org/officeDocument/2006/relationships/hyperlink" Target="https://www.aihw.gov.au/reports-data/myhospitals/sectors/emergency-department-care" TargetMode="External"/><Relationship Id="rId138" Type="http://schemas.openxmlformats.org/officeDocument/2006/relationships/hyperlink" Target="https://federalfinancialrelations.gov.au/sites/federalfinancialrelations.gov.au/files/2021-07/NT_bilateral_-_signed.pdf" TargetMode="External"/><Relationship Id="rId154" Type="http://schemas.openxmlformats.org/officeDocument/2006/relationships/hyperlink" Target="https://www.ihacpa.gov.au/health-care/pricing/national-efficient-price-determination" TargetMode="External"/><Relationship Id="rId159" Type="http://schemas.openxmlformats.org/officeDocument/2006/relationships/hyperlink" Target="https://www.pc.gov.au/inquiries/completed/productivity-review/report" TargetMode="External"/><Relationship Id="rId16" Type="http://schemas.openxmlformats.org/officeDocument/2006/relationships/footer" Target="footer1.xml"/><Relationship Id="rId107" Type="http://schemas.openxmlformats.org/officeDocument/2006/relationships/image" Target="media/image53.png"/><Relationship Id="rId11" Type="http://schemas.openxmlformats.org/officeDocument/2006/relationships/image" Target="media/image1.emf"/><Relationship Id="rId32" Type="http://schemas.openxmlformats.org/officeDocument/2006/relationships/header" Target="header12.xml"/><Relationship Id="rId37" Type="http://schemas.microsoft.com/office/2007/relationships/diagramDrawing" Target="diagrams/drawing1.xml"/><Relationship Id="rId53" Type="http://schemas.openxmlformats.org/officeDocument/2006/relationships/image" Target="media/image21.svg"/><Relationship Id="rId58" Type="http://schemas.openxmlformats.org/officeDocument/2006/relationships/image" Target="media/image26.png"/><Relationship Id="rId74" Type="http://schemas.openxmlformats.org/officeDocument/2006/relationships/image" Target="media/image35.png"/><Relationship Id="rId79" Type="http://schemas.openxmlformats.org/officeDocument/2006/relationships/chart" Target="charts/chart9.xml"/><Relationship Id="rId102" Type="http://schemas.openxmlformats.org/officeDocument/2006/relationships/chart" Target="charts/chart16.xml"/><Relationship Id="rId123" Type="http://schemas.openxmlformats.org/officeDocument/2006/relationships/hyperlink" Target="https://www.abs.gov.au/statistics/economy/price-indexes-and-inflation/consumer-price-index-australia" TargetMode="External"/><Relationship Id="rId128" Type="http://schemas.openxmlformats.org/officeDocument/2006/relationships/hyperlink" Target="https://www.aihw.gov.au/reports/workforce/health-workforce" TargetMode="External"/><Relationship Id="rId144" Type="http://schemas.openxmlformats.org/officeDocument/2006/relationships/hyperlink" Target="https://federalfinancialrelations.gov.au/sites/federalfinancialrelations.gov.au/files/2021-10/NHRA-longterm-reforms-roadmap.PDF" TargetMode="External"/><Relationship Id="rId149" Type="http://schemas.openxmlformats.org/officeDocument/2006/relationships/hyperlink" Target="https://treasury.gov.au/publication/2023-intergenerational-report" TargetMode="External"/><Relationship Id="rId5" Type="http://schemas.openxmlformats.org/officeDocument/2006/relationships/numbering" Target="numbering.xml"/><Relationship Id="rId90" Type="http://schemas.openxmlformats.org/officeDocument/2006/relationships/header" Target="header22.xml"/><Relationship Id="rId95" Type="http://schemas.openxmlformats.org/officeDocument/2006/relationships/image" Target="media/image43.png"/><Relationship Id="rId160" Type="http://schemas.openxmlformats.org/officeDocument/2006/relationships/hyperlink" Target="https://www.anao.gov.au/sites/default/files/Auditor-General_Report_2018-2019_26.PDF" TargetMode="External"/><Relationship Id="rId22" Type="http://schemas.openxmlformats.org/officeDocument/2006/relationships/header" Target="header6.xml"/><Relationship Id="rId27" Type="http://schemas.openxmlformats.org/officeDocument/2006/relationships/image" Target="media/image6.png"/><Relationship Id="rId43" Type="http://schemas.openxmlformats.org/officeDocument/2006/relationships/image" Target="media/image13.png"/><Relationship Id="rId48" Type="http://schemas.openxmlformats.org/officeDocument/2006/relationships/image" Target="media/image16.png"/><Relationship Id="rId64" Type="http://schemas.openxmlformats.org/officeDocument/2006/relationships/image" Target="media/image32.png"/><Relationship Id="rId69" Type="http://schemas.openxmlformats.org/officeDocument/2006/relationships/chart" Target="charts/chart1.xml"/><Relationship Id="rId113" Type="http://schemas.openxmlformats.org/officeDocument/2006/relationships/image" Target="media/image55.png"/><Relationship Id="rId118" Type="http://schemas.openxmlformats.org/officeDocument/2006/relationships/header" Target="header31.xml"/><Relationship Id="rId134" Type="http://schemas.openxmlformats.org/officeDocument/2006/relationships/hyperlink" Target="https://federalfinancialrelations.gov.au/sites/federalfinancialrelations.gov.au/files/2021-08/Tas_bilateral_-_signed.pdf" TargetMode="External"/><Relationship Id="rId139" Type="http://schemas.openxmlformats.org/officeDocument/2006/relationships/hyperlink" Target="https://federalfinancialrelations.gov.au/sites/federalfinancialrelations.gov.au/files/2021-07/NT_bilateral_extension_signed.pdf" TargetMode="External"/><Relationship Id="rId80" Type="http://schemas.openxmlformats.org/officeDocument/2006/relationships/chart" Target="charts/chart10.xml"/><Relationship Id="rId85" Type="http://schemas.openxmlformats.org/officeDocument/2006/relationships/image" Target="media/image37.png"/><Relationship Id="rId150" Type="http://schemas.openxmlformats.org/officeDocument/2006/relationships/hyperlink" Target="https://budget.gov.au/content/bp1/download/bp1_2023-24_230727.pdf" TargetMode="External"/><Relationship Id="rId155" Type="http://schemas.openxmlformats.org/officeDocument/2006/relationships/hyperlink" Target="https://www.ihacpa.gov.au/health-care/pricing/national-efficient-cost-determination" TargetMode="External"/><Relationship Id="rId12" Type="http://schemas.openxmlformats.org/officeDocument/2006/relationships/image" Target="media/image2.emf"/><Relationship Id="rId17" Type="http://schemas.openxmlformats.org/officeDocument/2006/relationships/hyperlink" Target="mailto:NationalHealthSecretariat@health.nsw.gov.au" TargetMode="External"/><Relationship Id="rId33" Type="http://schemas.openxmlformats.org/officeDocument/2006/relationships/diagramData" Target="diagrams/data1.xml"/><Relationship Id="rId38" Type="http://schemas.openxmlformats.org/officeDocument/2006/relationships/image" Target="media/image9.png"/><Relationship Id="rId59" Type="http://schemas.openxmlformats.org/officeDocument/2006/relationships/image" Target="media/image27.png"/><Relationship Id="rId103" Type="http://schemas.openxmlformats.org/officeDocument/2006/relationships/image" Target="media/image49.png"/><Relationship Id="rId108" Type="http://schemas.openxmlformats.org/officeDocument/2006/relationships/image" Target="media/image54.png"/><Relationship Id="rId124" Type="http://schemas.openxmlformats.org/officeDocument/2006/relationships/hyperlink" Target="https://www.safetyandquality.gov.au/publications-and-resources/resource-library/acsqhc-annual-report-2021-22" TargetMode="External"/><Relationship Id="rId129" Type="http://schemas.openxmlformats.org/officeDocument/2006/relationships/hyperlink" Target="https://www.aihw.gov.au/reports/hospitals/australias-hospitals-at-a-glance/contents/hospital-activity" TargetMode="External"/><Relationship Id="rId54" Type="http://schemas.openxmlformats.org/officeDocument/2006/relationships/image" Target="media/image22.png"/><Relationship Id="rId70" Type="http://schemas.openxmlformats.org/officeDocument/2006/relationships/chart" Target="charts/chart2.xml"/><Relationship Id="rId75" Type="http://schemas.openxmlformats.org/officeDocument/2006/relationships/chart" Target="charts/chart6.xml"/><Relationship Id="rId91" Type="http://schemas.openxmlformats.org/officeDocument/2006/relationships/header" Target="header23.xml"/><Relationship Id="rId96" Type="http://schemas.openxmlformats.org/officeDocument/2006/relationships/image" Target="media/image44.svg"/><Relationship Id="rId140" Type="http://schemas.openxmlformats.org/officeDocument/2006/relationships/hyperlink" Target="https://federalfinancialrelations.gov.au/agreements/national-health-reform-agreement" TargetMode="External"/><Relationship Id="rId145" Type="http://schemas.openxmlformats.org/officeDocument/2006/relationships/hyperlink" Target="https://federalfinancialrelations.gov.au/sites/federalfinancialrelations.gov.au/files/2021-05/healthcare_national-agreement.pdf" TargetMode="External"/><Relationship Id="rId161" Type="http://schemas.openxmlformats.org/officeDocument/2006/relationships/hyperlink" Target="https://www.commonwealthfund.org/publications/fund-reports/2021/aug/mirror-mirror-2021-reflecting-poorl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7.png"/><Relationship Id="rId36" Type="http://schemas.openxmlformats.org/officeDocument/2006/relationships/diagramColors" Target="diagrams/colors1.xml"/><Relationship Id="rId49" Type="http://schemas.openxmlformats.org/officeDocument/2006/relationships/image" Target="media/image17.png"/><Relationship Id="rId57" Type="http://schemas.openxmlformats.org/officeDocument/2006/relationships/image" Target="media/image25.svg"/><Relationship Id="rId106" Type="http://schemas.openxmlformats.org/officeDocument/2006/relationships/image" Target="media/image52.png"/><Relationship Id="rId114" Type="http://schemas.openxmlformats.org/officeDocument/2006/relationships/header" Target="header28.xml"/><Relationship Id="rId119" Type="http://schemas.openxmlformats.org/officeDocument/2006/relationships/header" Target="header32.xml"/><Relationship Id="rId127" Type="http://schemas.openxmlformats.org/officeDocument/2006/relationships/hyperlink" Target="https://www.aihw.gov.au/reports-data/indicators/australias-health-performance-framework" TargetMode="External"/><Relationship Id="rId10"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image" Target="media/image14.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eader" Target="header16.xml"/><Relationship Id="rId73" Type="http://schemas.openxmlformats.org/officeDocument/2006/relationships/chart" Target="charts/chart5.xml"/><Relationship Id="rId78" Type="http://schemas.openxmlformats.org/officeDocument/2006/relationships/image" Target="media/image36.png"/><Relationship Id="rId81" Type="http://schemas.openxmlformats.org/officeDocument/2006/relationships/chart" Target="charts/chart11.xml"/><Relationship Id="rId86" Type="http://schemas.openxmlformats.org/officeDocument/2006/relationships/header" Target="header19.xml"/><Relationship Id="rId94" Type="http://schemas.openxmlformats.org/officeDocument/2006/relationships/image" Target="media/image42.svg"/><Relationship Id="rId99" Type="http://schemas.openxmlformats.org/officeDocument/2006/relationships/image" Target="media/image47.png"/><Relationship Id="rId101" Type="http://schemas.openxmlformats.org/officeDocument/2006/relationships/chart" Target="charts/chart15.xml"/><Relationship Id="rId122" Type="http://schemas.openxmlformats.org/officeDocument/2006/relationships/hyperlink" Target="https://www.publichospitalfunding.gov.au/public-hospital-funding-reports" TargetMode="External"/><Relationship Id="rId130" Type="http://schemas.openxmlformats.org/officeDocument/2006/relationships/hyperlink" Target="https://www.aihw.gov.au/reports/health-welfare-expenditure/health-expenditure-australia-2020-21/contents/about" TargetMode="External"/><Relationship Id="rId135" Type="http://schemas.openxmlformats.org/officeDocument/2006/relationships/hyperlink" Target="https://federalfinancialrelations.gov.au/sites/federalfinancialrelations.gov.au/files/2021-09/Tas_bilateral_extension_signed.PDF" TargetMode="External"/><Relationship Id="rId143" Type="http://schemas.openxmlformats.org/officeDocument/2006/relationships/hyperlink" Target="https://federalfinancialrelations.gov.au/sites/federalfinancialrelations.gov.au/files/2021-07/NHRA_2020-25_Addendum_consolidated.pdf" TargetMode="External"/><Relationship Id="rId148" Type="http://schemas.openxmlformats.org/officeDocument/2006/relationships/hyperlink" Target="https://www.pc.gov.au/ongoing/report-on-government-services" TargetMode="External"/><Relationship Id="rId151" Type="http://schemas.openxmlformats.org/officeDocument/2006/relationships/hyperlink" Target="https://www.health.gov.au/sites/default/files/documents/2022/03/national-medical-workforce-strategy-2021-2031.pdf" TargetMode="External"/><Relationship Id="rId156" Type="http://schemas.openxmlformats.org/officeDocument/2006/relationships/hyperlink" Target="https://www.ihacpa.gov.au/sites/default/files/2023-03/national_pricing_model_technical_specifications_2032-24.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10.png"/><Relationship Id="rId109" Type="http://schemas.openxmlformats.org/officeDocument/2006/relationships/chart" Target="charts/chart17.xml"/><Relationship Id="rId34" Type="http://schemas.openxmlformats.org/officeDocument/2006/relationships/diagramLayout" Target="diagrams/layout1.xml"/><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chart" Target="charts/chart7.xml"/><Relationship Id="rId97" Type="http://schemas.openxmlformats.org/officeDocument/2006/relationships/image" Target="media/image45.png"/><Relationship Id="rId104" Type="http://schemas.openxmlformats.org/officeDocument/2006/relationships/image" Target="media/image50.png"/><Relationship Id="rId120" Type="http://schemas.openxmlformats.org/officeDocument/2006/relationships/header" Target="header33.xml"/><Relationship Id="rId125" Type="http://schemas.openxmlformats.org/officeDocument/2006/relationships/hyperlink" Target="https://www.safetyandquality.gov.au/sites/default/files/2021-04/The%20Fourth%20Australian%20Atlas%20of%20Healthcare%20Variation%202021_Full%20publication.pdf" TargetMode="External"/><Relationship Id="rId141" Type="http://schemas.openxmlformats.org/officeDocument/2006/relationships/hyperlink" Target="https://www.legislation.gov.au/Details/C2012C00746" TargetMode="External"/><Relationship Id="rId146" Type="http://schemas.openxmlformats.org/officeDocument/2006/relationships/hyperlink" Target="https://www.closingthegap.gov.au/sites/default/files/2022-09/ctg-national-agreement_apr-21-comm-infra-targets-updated-24-august-2022_0.pdf" TargetMode="External"/><Relationship Id="rId7" Type="http://schemas.openxmlformats.org/officeDocument/2006/relationships/settings" Target="settings.xml"/><Relationship Id="rId71" Type="http://schemas.openxmlformats.org/officeDocument/2006/relationships/chart" Target="charts/chart3.xml"/><Relationship Id="rId92" Type="http://schemas.openxmlformats.org/officeDocument/2006/relationships/header" Target="header24.xml"/><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header" Target="header8.xml"/><Relationship Id="rId40" Type="http://schemas.openxmlformats.org/officeDocument/2006/relationships/image" Target="media/image11.png"/><Relationship Id="rId45" Type="http://schemas.openxmlformats.org/officeDocument/2006/relationships/header" Target="header13.xml"/><Relationship Id="rId66" Type="http://schemas.openxmlformats.org/officeDocument/2006/relationships/header" Target="header17.xml"/><Relationship Id="rId87" Type="http://schemas.openxmlformats.org/officeDocument/2006/relationships/header" Target="header20.xml"/><Relationship Id="rId110" Type="http://schemas.openxmlformats.org/officeDocument/2006/relationships/header" Target="header25.xml"/><Relationship Id="rId115" Type="http://schemas.openxmlformats.org/officeDocument/2006/relationships/header" Target="header29.xml"/><Relationship Id="rId131" Type="http://schemas.openxmlformats.org/officeDocument/2006/relationships/hyperlink" Target="https://www.aihw.gov.au/reports-data/myhospitals/intersection/quality/apc" TargetMode="External"/><Relationship Id="rId136" Type="http://schemas.openxmlformats.org/officeDocument/2006/relationships/hyperlink" Target="https://federalfinancialrelations.gov.au/sites/federalfinancialrelations.gov.au/files/2021-07/ACT_bilateral_-_signed.pdf" TargetMode="External"/><Relationship Id="rId157" Type="http://schemas.openxmlformats.org/officeDocument/2006/relationships/hyperlink" Target="https://www.ihacpa.gov.au/resources/pricing-framework-australian-public-hospital-services-2023-24" TargetMode="External"/><Relationship Id="rId61" Type="http://schemas.openxmlformats.org/officeDocument/2006/relationships/image" Target="media/image29.png"/><Relationship Id="rId82" Type="http://schemas.openxmlformats.org/officeDocument/2006/relationships/chart" Target="charts/chart12.xml"/><Relationship Id="rId152" Type="http://schemas.openxmlformats.org/officeDocument/2006/relationships/hyperlink" Target="https://www.health.gov.au/sites/default/files/2022-12/national-medicines-policy.pdf" TargetMode="Externa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header" Target="header11.xml"/><Relationship Id="rId35" Type="http://schemas.openxmlformats.org/officeDocument/2006/relationships/diagramQuickStyle" Target="diagrams/quickStyle1.xml"/><Relationship Id="rId56" Type="http://schemas.openxmlformats.org/officeDocument/2006/relationships/image" Target="media/image24.png"/><Relationship Id="rId77" Type="http://schemas.openxmlformats.org/officeDocument/2006/relationships/chart" Target="charts/chart8.xml"/><Relationship Id="rId100" Type="http://schemas.openxmlformats.org/officeDocument/2006/relationships/image" Target="media/image48.svg"/><Relationship Id="rId105" Type="http://schemas.openxmlformats.org/officeDocument/2006/relationships/image" Target="media/image51.png"/><Relationship Id="rId126" Type="http://schemas.openxmlformats.org/officeDocument/2006/relationships/hyperlink" Target="https://www.aihw.gov.au/reports/corporate-publications/annual-report-2021-22/contents/summary" TargetMode="External"/><Relationship Id="rId147" Type="http://schemas.openxmlformats.org/officeDocument/2006/relationships/hyperlink" Target="https://federalfinancialrelations.gov.au/agreements/covid-19-response" TargetMode="External"/><Relationship Id="rId8" Type="http://schemas.openxmlformats.org/officeDocument/2006/relationships/webSettings" Target="webSettings.xml"/><Relationship Id="rId51" Type="http://schemas.openxmlformats.org/officeDocument/2006/relationships/image" Target="media/image19.svg"/><Relationship Id="rId72" Type="http://schemas.openxmlformats.org/officeDocument/2006/relationships/chart" Target="charts/chart4.xml"/><Relationship Id="rId93" Type="http://schemas.openxmlformats.org/officeDocument/2006/relationships/image" Target="media/image41.png"/><Relationship Id="rId98" Type="http://schemas.openxmlformats.org/officeDocument/2006/relationships/image" Target="media/image46.png"/><Relationship Id="rId121" Type="http://schemas.openxmlformats.org/officeDocument/2006/relationships/hyperlink" Target="https://www.publichospitalfunding.gov.au/publications/national-health-funding-pool-annual-report-2021-22" TargetMode="External"/><Relationship Id="rId142" Type="http://schemas.openxmlformats.org/officeDocument/2006/relationships/hyperlink" Target="https://federalfinancialrelations.gov.au/sites/federalfinancialrelations.gov.au/files/2021-08/national-agreement.pdf" TargetMode="External"/><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header" Target="header14.xml"/><Relationship Id="rId67" Type="http://schemas.openxmlformats.org/officeDocument/2006/relationships/header" Target="header18.xml"/><Relationship Id="rId116" Type="http://schemas.openxmlformats.org/officeDocument/2006/relationships/header" Target="header30.xml"/><Relationship Id="rId137" Type="http://schemas.openxmlformats.org/officeDocument/2006/relationships/hyperlink" Target="https://federalfinancialrelations.gov.au/sites/federalfinancialrelations.gov.au/files/2021-07/ACT_bilateral_extension_signed.pdf" TargetMode="External"/><Relationship Id="rId158" Type="http://schemas.openxmlformats.org/officeDocument/2006/relationships/hyperlink" Target="https://www.ihacpa.gov.au/resources/ihpa-annual-report-2021-22" TargetMode="External"/><Relationship Id="rId20" Type="http://schemas.openxmlformats.org/officeDocument/2006/relationships/header" Target="header5.xml"/><Relationship Id="rId41" Type="http://schemas.openxmlformats.org/officeDocument/2006/relationships/image" Target="media/image12.png"/><Relationship Id="rId62" Type="http://schemas.openxmlformats.org/officeDocument/2006/relationships/image" Target="media/image30.png"/><Relationship Id="rId83" Type="http://schemas.openxmlformats.org/officeDocument/2006/relationships/chart" Target="charts/chart13.xml"/><Relationship Id="rId88" Type="http://schemas.openxmlformats.org/officeDocument/2006/relationships/header" Target="header21.xml"/><Relationship Id="rId111" Type="http://schemas.openxmlformats.org/officeDocument/2006/relationships/header" Target="header26.xml"/><Relationship Id="rId132" Type="http://schemas.openxmlformats.org/officeDocument/2006/relationships/hyperlink" Target="https://www.aihw.gov.au/reports-data/myhospitals/sectors/elective-surgery" TargetMode="External"/><Relationship Id="rId153" Type="http://schemas.openxmlformats.org/officeDocument/2006/relationships/hyperlink" Target="https://hwd.health.gov.au/resources/data/gp-primarycare.html"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aihw.gov.au/reports/health-welfare-expenditure/health-expenditure-australia-2020-21/contents/spending-trends-by-sources/government-sources" TargetMode="External"/><Relationship Id="rId117" Type="http://schemas.openxmlformats.org/officeDocument/2006/relationships/hyperlink" Target="https://www.aihw.gov.au/reports/rural-remote-australians/rural-and-remote-health" TargetMode="External"/><Relationship Id="rId21" Type="http://schemas.openxmlformats.org/officeDocument/2006/relationships/hyperlink" Target="https://www.pc.gov.au/ongoing/report-on-government-services/2019/health/public-hospitals" TargetMode="External"/><Relationship Id="rId42" Type="http://schemas.openxmlformats.org/officeDocument/2006/relationships/hyperlink" Target="https://www.abs.gov.au/articles/covid-19-mortality-wave" TargetMode="External"/><Relationship Id="rId47" Type="http://schemas.openxmlformats.org/officeDocument/2006/relationships/hyperlink" Target="https://www.health.gov.au/sites/default/files/2023-08/medicare-statistics-per-patient-bulk-billing-dashboard-2022-23.pdf" TargetMode="External"/><Relationship Id="rId63" Type="http://schemas.openxmlformats.org/officeDocument/2006/relationships/hyperlink" Target="https://www.pc.gov.au/ongoing/report-on-government-services/2023/community-services/aged-care-services/rogs-2023-partf-section14-aged-care-data-tables.xlsx" TargetMode="External"/><Relationship Id="rId68" Type="http://schemas.openxmlformats.org/officeDocument/2006/relationships/hyperlink" Target="https://www.abs.gov.au/statistics/health/health-services/patient-experiences/latest-release" TargetMode="External"/><Relationship Id="rId84" Type="http://schemas.openxmlformats.org/officeDocument/2006/relationships/hyperlink" Target="https://www1.racgp.org.au/newsgp/professional/rejected-referrals-compromising-patient-care" TargetMode="External"/><Relationship Id="rId89" Type="http://schemas.openxmlformats.org/officeDocument/2006/relationships/hyperlink" Target="https://www.anao.gov.au/sites/default/files/Auditor-General_Report_2018-2019_26.PDF" TargetMode="External"/><Relationship Id="rId112" Type="http://schemas.openxmlformats.org/officeDocument/2006/relationships/hyperlink" Target="http://www.health.gov.au/sites/default/files/documents/2021/12/national-preventive-health-strategy-2021-2030.pdf" TargetMode="External"/><Relationship Id="rId133" Type="http://schemas.openxmlformats.org/officeDocument/2006/relationships/hyperlink" Target="https://www.aihw.gov.au/reports-data/myhospitals/intersection/activity/eswt" TargetMode="External"/><Relationship Id="rId138" Type="http://schemas.openxmlformats.org/officeDocument/2006/relationships/hyperlink" Target="https://catalyst.nejm.org/doi/full/10.1056/CAT.20.0530" TargetMode="External"/><Relationship Id="rId16" Type="http://schemas.openxmlformats.org/officeDocument/2006/relationships/hyperlink" Target="https://www.aihw.gov.au/reports/health-welfare-expenditure/health-expenditure-australia-2020-21/contents/spending-trends-by-areas-of-spending/hospitals" TargetMode="External"/><Relationship Id="rId107" Type="http://schemas.openxmlformats.org/officeDocument/2006/relationships/hyperlink" Target="https://www.ihacpa.gov.au/sites/default/files/2023-03/national_pricing_model_technical_specifications_2032-24.pdf" TargetMode="External"/><Relationship Id="rId11" Type="http://schemas.openxmlformats.org/officeDocument/2006/relationships/hyperlink" Target="https://www.aihw.gov.au/reports/health-welfare-expenditure/health-expenditure-australia-2020-21/contents/spending-trends-by-sources" TargetMode="External"/><Relationship Id="rId32" Type="http://schemas.openxmlformats.org/officeDocument/2006/relationships/hyperlink" Target="https://www.oecdbetterlifeindex.org/topics/health/" TargetMode="External"/><Relationship Id="rId37" Type="http://schemas.openxmlformats.org/officeDocument/2006/relationships/hyperlink" Target="https://www.abs.gov.au/statistics/health/health-conditions-and-risks/health-conditions-prevalence/2020-21" TargetMode="External"/><Relationship Id="rId53" Type="http://schemas.openxmlformats.org/officeDocument/2006/relationships/hyperlink" Target="https://www.ama.com.au/articles/ama-ambulance-ramping-report-card" TargetMode="External"/><Relationship Id="rId58" Type="http://schemas.openxmlformats.org/officeDocument/2006/relationships/hyperlink" Target="https://www.aihw.gov.au/reports-data/myhospitals/sectors/emergency-department-care" TargetMode="External"/><Relationship Id="rId74" Type="http://schemas.openxmlformats.org/officeDocument/2006/relationships/hyperlink" Target="https://www.health.gov.au/topics/rural-health-workforce/about" TargetMode="External"/><Relationship Id="rId79" Type="http://schemas.openxmlformats.org/officeDocument/2006/relationships/hyperlink" Target="https://www.aihw.gov.au/reports-data/myhospitals/intersection/activity/eswt" TargetMode="External"/><Relationship Id="rId102" Type="http://schemas.openxmlformats.org/officeDocument/2006/relationships/hyperlink" Target="https://www.publichospitalfunding.gov.au/public-hospital-funding/funding-formula" TargetMode="External"/><Relationship Id="rId123" Type="http://schemas.openxmlformats.org/officeDocument/2006/relationships/hyperlink" Target="https://www.naccho.org.au/app/uploads/2022/11/NACCHO_KeyFacts_infographics_A4_221115.pdf" TargetMode="External"/><Relationship Id="rId128" Type="http://schemas.openxmlformats.org/officeDocument/2006/relationships/hyperlink" Target="https://www.health.gov.au/resources/publications/national-aboriginal-and-torres-strait-islander-health-workforce-strategic-framework-and-implementation-plan-2021-2031?language=en" TargetMode="External"/><Relationship Id="rId5" Type="http://schemas.openxmlformats.org/officeDocument/2006/relationships/hyperlink" Target="https://www.publichospitalfunding.gov.au/public-hospital-funding/funding-types" TargetMode="External"/><Relationship Id="rId90" Type="http://schemas.openxmlformats.org/officeDocument/2006/relationships/hyperlink" Target="https://www.phncooperative.org.au/" TargetMode="External"/><Relationship Id="rId95" Type="http://schemas.openxmlformats.org/officeDocument/2006/relationships/hyperlink" Target="https://bmcmedicine.biomedcentral.com/articles/10.1186/s12916-020-01563-4" TargetMode="External"/><Relationship Id="rId22" Type="http://schemas.openxmlformats.org/officeDocument/2006/relationships/hyperlink" Target="https://www.aihw.gov.au/reports/health-welfare-expenditure/health-expenditure-australia-2020-21/contents/spending-trends-by-areas-of-spending" TargetMode="External"/><Relationship Id="rId27" Type="http://schemas.openxmlformats.org/officeDocument/2006/relationships/hyperlink" Target="https://www.aihw.gov.au/reports/health-welfare-expenditure/health-expenditure-australia-2020-21/contents/spending-trends-by-sources/government-sources-state-and-territory-government" TargetMode="External"/><Relationship Id="rId43" Type="http://schemas.openxmlformats.org/officeDocument/2006/relationships/hyperlink" Target="https://www.aihw.gov.au/getmedia/0cbc6c45-b97a-44f7-ad1f-2517a1f0378c/hiamhbrfhsu.pdf?inline=true" TargetMode="External"/><Relationship Id="rId48" Type="http://schemas.openxmlformats.org/officeDocument/2006/relationships/hyperlink" Target="https://www.abs.gov.au/statistics/health/health-services/patient-experiences/2021-22" TargetMode="External"/><Relationship Id="rId64" Type="http://schemas.openxmlformats.org/officeDocument/2006/relationships/hyperlink" Target="https://www.aihw.gov.au/reports/international-comparisons/oecd-health-care-quality-and-outcomes-indicators-2021/contents/about" TargetMode="External"/><Relationship Id="rId69" Type="http://schemas.openxmlformats.org/officeDocument/2006/relationships/hyperlink" Target="https://www.health.gov.au/sites/default/files/documents/2022/03/national-medical-workforce-strategy-2021-2031.pdf" TargetMode="External"/><Relationship Id="rId113" Type="http://schemas.openxmlformats.org/officeDocument/2006/relationships/hyperlink" Target="https://www.aihw.gov.au/reports/life-expectancy-deaths/mort-books/contents/mort-books" TargetMode="External"/><Relationship Id="rId118" Type="http://schemas.openxmlformats.org/officeDocument/2006/relationships/hyperlink" Target="https://labourmarketinsights.gov.au/industries/industry-details?industryCode=Q" TargetMode="External"/><Relationship Id="rId134" Type="http://schemas.openxmlformats.org/officeDocument/2006/relationships/hyperlink" Target="https://www.aihw.gov.au/reports-data/myhospitals/intersection/activity/ed" TargetMode="External"/><Relationship Id="rId139" Type="http://schemas.openxmlformats.org/officeDocument/2006/relationships/hyperlink" Target="https://catalyst.nejm.org/doi/full/10.1056/CAT.20.0530" TargetMode="External"/><Relationship Id="rId8" Type="http://schemas.openxmlformats.org/officeDocument/2006/relationships/hyperlink" Target="https://www.publichospitalfunding.gov.au/publications/annual-report-2021-22-maintenance-effort" TargetMode="External"/><Relationship Id="rId51" Type="http://schemas.openxmlformats.org/officeDocument/2006/relationships/hyperlink" Target="https://www.aihw.gov.au/getmedia/df0abd15-5dd8-4a56-94fa-c9ab68690e18/aihw-hse-225.pdf?inline=true" TargetMode="External"/><Relationship Id="rId72" Type="http://schemas.openxmlformats.org/officeDocument/2006/relationships/hyperlink" Target="https://www.nationalskillscommission.gov.au/sites/default/files/2022-10/Care%20Workforce%20Labour%20Market%20Study.pdf" TargetMode="External"/><Relationship Id="rId80" Type="http://schemas.openxmlformats.org/officeDocument/2006/relationships/hyperlink" Target="https://www.aihw.gov.au/reports-data/myhospitals/intersection/activity/eswt" TargetMode="External"/><Relationship Id="rId85" Type="http://schemas.openxmlformats.org/officeDocument/2006/relationships/hyperlink" Target="https://www.smh.com.au/business/consumer-affairs/vulnerable-and-shocked-patients-targeted-by-hospital-revenue-push-20190311-p513ad.html" TargetMode="External"/><Relationship Id="rId93" Type="http://schemas.openxmlformats.org/officeDocument/2006/relationships/hyperlink" Target="https://www.safetyandquality.gov.au/sites/default/files/2021-04/The%20Fourth%20Australian%20Atlas%20of%20Healthcare%20Variation%202021_Full%20publication.pdf" TargetMode="External"/><Relationship Id="rId98" Type="http://schemas.openxmlformats.org/officeDocument/2006/relationships/hyperlink" Target="https://www.publichospitalfunding.gov.au/public-hospital-funding-reports" TargetMode="External"/><Relationship Id="rId121" Type="http://schemas.openxmlformats.org/officeDocument/2006/relationships/hyperlink" Target="https://www.naccho.org.au/app/uploads/2022/11/NACCHO_KeyFacts_infographics_A4_221115.pdf" TargetMode="External"/><Relationship Id="rId3" Type="http://schemas.openxmlformats.org/officeDocument/2006/relationships/hyperlink" Target="https://www.publichospitalfunding.gov.au/sites/default/files/images/documents/nhfp_annual_report_2021-22.pdf" TargetMode="External"/><Relationship Id="rId12" Type="http://schemas.openxmlformats.org/officeDocument/2006/relationships/hyperlink" Target="https://www.aihw.gov.au/reports/health-welfare-expenditure/health-expenditure-australia-2020-21/contents/spending-trends-by-areas-of-spending" TargetMode="External"/><Relationship Id="rId17" Type="http://schemas.openxmlformats.org/officeDocument/2006/relationships/hyperlink" Target="https://www.aihw.gov.au/reports/primary-health-care/medicare-subsidised-gp-allied-health-and-specialis/contents/about" TargetMode="External"/><Relationship Id="rId25" Type="http://schemas.openxmlformats.org/officeDocument/2006/relationships/hyperlink" Target="https://data.oecd.org/gga/general-government-spending.htm" TargetMode="External"/><Relationship Id="rId33" Type="http://schemas.openxmlformats.org/officeDocument/2006/relationships/hyperlink" Target="https://www.pc.gov.au/inquiries/completed/productivity-review/report/productivity-reviewsupporting4.pdf" TargetMode="External"/><Relationship Id="rId38" Type="http://schemas.openxmlformats.org/officeDocument/2006/relationships/hyperlink" Target="https://www.aihw.gov.au/getmedia/be95235d-fd4d-4824-9ade-34b7491dd66f/aihw-aus-231.pdf?inline=true" TargetMode="External"/><Relationship Id="rId46" Type="http://schemas.openxmlformats.org/officeDocument/2006/relationships/hyperlink" Target="https://www.aihw.gov.au/getmedia/01d88043-31ba-424a-a682-98673783072e/ah16-6-6-indigenous-australians-access-health-services.pdf.aspx" TargetMode="External"/><Relationship Id="rId59" Type="http://schemas.openxmlformats.org/officeDocument/2006/relationships/hyperlink" Target="https://myhospitalsapi.aihw.gov.au/api/v1/measure-downloads/myh-es" TargetMode="External"/><Relationship Id="rId67" Type="http://schemas.openxmlformats.org/officeDocument/2006/relationships/hyperlink" Target="https://www.ahpra.gov.au/News/2023-08-17--New-workforce-data.aspx" TargetMode="External"/><Relationship Id="rId103" Type="http://schemas.openxmlformats.org/officeDocument/2006/relationships/hyperlink" Target="https://www.ihacpa.gov.au/sites/default/files/2023-03/national_pricing_model_technical_specifications_2032-24.pdf" TargetMode="External"/><Relationship Id="rId108" Type="http://schemas.openxmlformats.org/officeDocument/2006/relationships/hyperlink" Target="https://www.health.gov.au/sites/default/files/2022-12/national-medicines-policy.pdf" TargetMode="External"/><Relationship Id="rId116" Type="http://schemas.openxmlformats.org/officeDocument/2006/relationships/hyperlink" Target="https://www.health.gov.au/sites/default/files/documents/2022/03/national-medical-workforce-strategy-2021-2031.pdf" TargetMode="External"/><Relationship Id="rId124" Type="http://schemas.openxmlformats.org/officeDocument/2006/relationships/hyperlink" Target="https://www.aihw.gov.au/reports/life-expectancy-deaths/deaths-in-australia/contents/summary" TargetMode="External"/><Relationship Id="rId129" Type="http://schemas.openxmlformats.org/officeDocument/2006/relationships/hyperlink" Target="https://www.gov.scot/policies/health-workforce/" TargetMode="External"/><Relationship Id="rId137" Type="http://schemas.openxmlformats.org/officeDocument/2006/relationships/hyperlink" Target="https://myhospitalsapi.aihw.gov.au/api/v1/measure-downloads/myh-es" TargetMode="External"/><Relationship Id="rId20" Type="http://schemas.openxmlformats.org/officeDocument/2006/relationships/hyperlink" Target="http://www9.health.gov.au/mbs/fullDisplay.cfm?type=item&amp;qt=ItemID&amp;q=23" TargetMode="External"/><Relationship Id="rId41" Type="http://schemas.openxmlformats.org/officeDocument/2006/relationships/hyperlink" Target="https://www.aihw.gov.au/getmedia/c076f42f-61ea-4348-9c0a-d996353e838f/aihw-bod-22.pdf?inline=true" TargetMode="External"/><Relationship Id="rId54" Type="http://schemas.openxmlformats.org/officeDocument/2006/relationships/hyperlink" Target="https://www.aihw.gov.au/getmedia/1b305ffc-b7a4-4f80-aa66-d90614c5f8f4/12271.pdf.aspx?inline=true" TargetMode="External"/><Relationship Id="rId62" Type="http://schemas.openxmlformats.org/officeDocument/2006/relationships/hyperlink" Target="https://www.pc.gov.au/ongoing/report-on-government-services/2023/community-services/aged-care-services/rogs-2023-partf-section14-aged-care-data-tables.xlsx" TargetMode="External"/><Relationship Id="rId70" Type="http://schemas.openxmlformats.org/officeDocument/2006/relationships/hyperlink" Target="https://www.health.gov.au/sites/default/files/documents/2022/03/national-medical-workforce-strategy-2021-2031.pdf" TargetMode="External"/><Relationship Id="rId75" Type="http://schemas.openxmlformats.org/officeDocument/2006/relationships/hyperlink" Target="https://www.health.gov.au/our-work/national-nursing-workforce-strategy" TargetMode="External"/><Relationship Id="rId83" Type="http://schemas.openxmlformats.org/officeDocument/2006/relationships/hyperlink" Target="https://journalists.medianet.com.au/Release/883946/3818719" TargetMode="External"/><Relationship Id="rId88" Type="http://schemas.openxmlformats.org/officeDocument/2006/relationships/hyperlink" Target="https://www.ihacpa.gov.au/sites/default/files/2022-02/Private%20Patient%20Public%20Hospital%20Service%20Utilisation.pdf" TargetMode="External"/><Relationship Id="rId91" Type="http://schemas.openxmlformats.org/officeDocument/2006/relationships/hyperlink" Target="https://www.pc.gov.au/ongoing/report-on-government-services/2023/communityservices/aged-care-services" TargetMode="External"/><Relationship Id="rId96" Type="http://schemas.openxmlformats.org/officeDocument/2006/relationships/hyperlink" Target="https://www.mja.com.au/journal/2012/197/2/caretrack-assessing-appropriateness-health-care-delivery-australia" TargetMode="External"/><Relationship Id="rId111" Type="http://schemas.openxmlformats.org/officeDocument/2006/relationships/hyperlink" Target="https://www.health.nsw.gov.au/lumos" TargetMode="External"/><Relationship Id="rId132" Type="http://schemas.openxmlformats.org/officeDocument/2006/relationships/hyperlink" Target="https://www.aihw.gov.au/reports-data/myhospitals/intersection/activity/ed" TargetMode="External"/><Relationship Id="rId140" Type="http://schemas.openxmlformats.org/officeDocument/2006/relationships/hyperlink" Target="https://catalyst.nejm.org/doi/full/10.1056/CAT.20.0530" TargetMode="External"/><Relationship Id="rId1" Type="http://schemas.openxmlformats.org/officeDocument/2006/relationships/hyperlink" Target="https://www.publichospitalfunding.gov.au/sites/default/files/images/documents/nhfp_annual_report_2021-22.pdf" TargetMode="External"/><Relationship Id="rId6" Type="http://schemas.openxmlformats.org/officeDocument/2006/relationships/hyperlink" Target="https://www.publichospitalfunding.gov.au/public-hospital-funding/funding-formula" TargetMode="External"/><Relationship Id="rId15" Type="http://schemas.openxmlformats.org/officeDocument/2006/relationships/hyperlink" Target="https://www.aihw.gov.au/reports/health-welfare-expenditure/health-expenditure-australia-2020-21/contents/spending-trends-by-areas-of-spending/hospitals" TargetMode="External"/><Relationship Id="rId23" Type="http://schemas.openxmlformats.org/officeDocument/2006/relationships/hyperlink" Target="https://www.aihw.gov.au/reports/health-welfare-expenditure/health-expenditure-australia-2020-21/contents/about" TargetMode="External"/><Relationship Id="rId28" Type="http://schemas.openxmlformats.org/officeDocument/2006/relationships/hyperlink" Target="https://treasury.gov.au/sites/default/files/2023-08/p2023-435150.pdf" TargetMode="External"/><Relationship Id="rId36" Type="http://schemas.openxmlformats.org/officeDocument/2006/relationships/hyperlink" Target="https://www.aihw.gov.au/getmedia/d9ae4bfa-df27-4e3c-9846-ba452bef6ac5/aihw-bod-37.pdf.aspx?inline=true" TargetMode="External"/><Relationship Id="rId49" Type="http://schemas.openxmlformats.org/officeDocument/2006/relationships/hyperlink" Target="https://www.health.gov.au/sites/default/files/2023-05/overview-budget-2023-24_0.pdf" TargetMode="External"/><Relationship Id="rId57" Type="http://schemas.openxmlformats.org/officeDocument/2006/relationships/hyperlink" Target="https://myhospitalsapi.aihw.gov.au/api/v1/measure-downloads/myh-ed" TargetMode="External"/><Relationship Id="rId106" Type="http://schemas.openxmlformats.org/officeDocument/2006/relationships/hyperlink" Target="https://www.ihacpa.gov.au/resources/hospital-teaching-training-and-research-activities-national-best-endeavours-data-set-technical-specifications-reporting" TargetMode="External"/><Relationship Id="rId114" Type="http://schemas.openxmlformats.org/officeDocument/2006/relationships/hyperlink" Target="https://www1.health.gov.au/internet/main/publishing.nsf/Content/national-strategic-framework-rural-remote-health" TargetMode="External"/><Relationship Id="rId119" Type="http://schemas.openxmlformats.org/officeDocument/2006/relationships/hyperlink" Target="https://www.nationalskillscommission.gov.au/sites/default/files/2022-10/Care%20Workforce%20Labour%20Market%20Study.pdf" TargetMode="External"/><Relationship Id="rId127" Type="http://schemas.openxmlformats.org/officeDocument/2006/relationships/hyperlink" Target="https://www.health.gov.au/our-work/national-nursing-workforce-strategy" TargetMode="External"/><Relationship Id="rId10" Type="http://schemas.openxmlformats.org/officeDocument/2006/relationships/hyperlink" Target="https://www.apra.gov.au/register-of-private-health-insurers" TargetMode="External"/><Relationship Id="rId31" Type="http://schemas.openxmlformats.org/officeDocument/2006/relationships/hyperlink" Target="https://www.commonwealthfund.org/publications/fund-reports/2021/aug/mirror-mirror-2021-reflecting-poorly" TargetMode="External"/><Relationship Id="rId44" Type="http://schemas.openxmlformats.org/officeDocument/2006/relationships/hyperlink" Target="https://www.aihw.gov.au/reports/workforce/health-workforce" TargetMode="External"/><Relationship Id="rId52" Type="http://schemas.openxmlformats.org/officeDocument/2006/relationships/hyperlink" Target="https://www.aihw.gov.au/reports-data/myhospitals/sectors/emergency-department-care" TargetMode="External"/><Relationship Id="rId60" Type="http://schemas.openxmlformats.org/officeDocument/2006/relationships/hyperlink" Target="https://myhospitalsapi.aihw.gov.au/api/v1/measure-downloads/myh-ed" TargetMode="External"/><Relationship Id="rId65" Type="http://schemas.openxmlformats.org/officeDocument/2006/relationships/hyperlink" Target="https://www.aihw.gov.au/reports-data/myhospitals/intersection/quality/apc" TargetMode="External"/><Relationship Id="rId73" Type="http://schemas.openxmlformats.org/officeDocument/2006/relationships/hyperlink" Target="https://www.aihw.gov.au/reports/rural-remote-australians/rural-and-remote-health" TargetMode="External"/><Relationship Id="rId78" Type="http://schemas.openxmlformats.org/officeDocument/2006/relationships/hyperlink" Target="https://www.aihw.gov.au/reports-data/myhospitals/intersection/activity/ed" TargetMode="External"/><Relationship Id="rId81" Type="http://schemas.openxmlformats.org/officeDocument/2006/relationships/hyperlink" Target="https://www.publichospitalfunding.gov.au/sites/default/files/images/documents/nhfp_annual_report_2021-22.pdf" TargetMode="External"/><Relationship Id="rId86" Type="http://schemas.openxmlformats.org/officeDocument/2006/relationships/hyperlink" Target="https://www.audit.vic.gov.au/sites/default/files/2019-06/200619-Managing-Private.pdf" TargetMode="External"/><Relationship Id="rId94" Type="http://schemas.openxmlformats.org/officeDocument/2006/relationships/hyperlink" Target="https://www.pc.gov.au/inquiries/completed/productivity-review/report/productivity-review.pdf" TargetMode="External"/><Relationship Id="rId99" Type="http://schemas.openxmlformats.org/officeDocument/2006/relationships/hyperlink" Target="https://www.publichospitalfunding.gov.au/sites/default/files/images/documents/nhfp_annual_report_2021-22.pdf" TargetMode="External"/><Relationship Id="rId101" Type="http://schemas.openxmlformats.org/officeDocument/2006/relationships/hyperlink" Target="https://www.aihw.gov.au/getmedia/931a083a-e2a1-4f0d-9a09-140d55682711/Health-expenditure-Australia-2020-21.pdf?inline=true" TargetMode="External"/><Relationship Id="rId122" Type="http://schemas.openxmlformats.org/officeDocument/2006/relationships/hyperlink" Target="https://www.ihacpa.gov.au/sites/default/files/2023-03/national_pricing_model_technical_specifications_2032-24.pdf" TargetMode="External"/><Relationship Id="rId130" Type="http://schemas.openxmlformats.org/officeDocument/2006/relationships/hyperlink" Target="https://digitalhealth.org.au/blog/northern-health-using-the-clinicians-digital-health-platform/" TargetMode="External"/><Relationship Id="rId135" Type="http://schemas.openxmlformats.org/officeDocument/2006/relationships/hyperlink" Target="https://www.aihw.gov.au/reports-data/myhospitals/intersection/activity/ed" TargetMode="External"/><Relationship Id="rId4" Type="http://schemas.openxmlformats.org/officeDocument/2006/relationships/hyperlink" Target="https://budget.gov.au/content/bp1/download/bp1_2023-24_230727.pdf" TargetMode="External"/><Relationship Id="rId9" Type="http://schemas.openxmlformats.org/officeDocument/2006/relationships/hyperlink" Target="https://www.tsra.gov.au/__data/assets/pdf_file/0003/34590/TSRA-HCF-Guest-speaker-_-Matt-Cooke-QAIHC.pdf" TargetMode="External"/><Relationship Id="rId13" Type="http://schemas.openxmlformats.org/officeDocument/2006/relationships/hyperlink" Target="https://www.health.gov.au/resources/publications/list-of-declared-hospitals?language=en" TargetMode="External"/><Relationship Id="rId18" Type="http://schemas.openxmlformats.org/officeDocument/2006/relationships/hyperlink" Target="https://www.aihw.gov.au/reports/primary-health-care/medicare-subsidised-gp-allied-health-and-specialis/contents/about" TargetMode="External"/><Relationship Id="rId39" Type="http://schemas.openxmlformats.org/officeDocument/2006/relationships/hyperlink" Target="https://treasury.gov.au/sites/default/files/2023-08/p2023-435150.pdf" TargetMode="External"/><Relationship Id="rId109" Type="http://schemas.openxmlformats.org/officeDocument/2006/relationships/hyperlink" Target="https://www.servicesaustralia.gov.au/highly-specialised-drugs" TargetMode="External"/><Relationship Id="rId34" Type="http://schemas.openxmlformats.org/officeDocument/2006/relationships/hyperlink" Target="https://www.aihw.gov.au/getmedia/c076f42f-61ea-4348-9c0a-d996353e838f/aihw-bod-22.pdf?inline=true" TargetMode="External"/><Relationship Id="rId50" Type="http://schemas.openxmlformats.org/officeDocument/2006/relationships/hyperlink" Target="https://www.aihw.gov.au/reports-data/myhospitals/sectors/admitted-patients" TargetMode="External"/><Relationship Id="rId55" Type="http://schemas.openxmlformats.org/officeDocument/2006/relationships/hyperlink" Target="https://www.aihw.gov.au/reports/hospitals/australias-hospitals-at-a-glance/contents/hospital-activity" TargetMode="External"/><Relationship Id="rId76" Type="http://schemas.openxmlformats.org/officeDocument/2006/relationships/hyperlink" Target="https://federalfinancialrelations.gov.au/sites/federalfinancialrelations.gov.au/files/2021-04/covid-19_response_vaccine_amendment_schedule.pdf" TargetMode="External"/><Relationship Id="rId97" Type="http://schemas.openxmlformats.org/officeDocument/2006/relationships/hyperlink" Target="https://www.choosingwisely.org.au/" TargetMode="External"/><Relationship Id="rId104" Type="http://schemas.openxmlformats.org/officeDocument/2006/relationships/hyperlink" Target="https://www.publichospitalfunding.gov.au/public-hospital-funding/funding-types" TargetMode="External"/><Relationship Id="rId120" Type="http://schemas.openxmlformats.org/officeDocument/2006/relationships/hyperlink" Target="https://www.closingthegap.gov.au/national-agreement" TargetMode="External"/><Relationship Id="rId125" Type="http://schemas.openxmlformats.org/officeDocument/2006/relationships/hyperlink" Target="https://www.health.gov.au/topics/rural-health-workforce/about" TargetMode="External"/><Relationship Id="rId7" Type="http://schemas.openxmlformats.org/officeDocument/2006/relationships/hyperlink" Target="https://www.publichospitalfunding.gov.au/sites/default/files/images/documents/nhfp_annual_report_2021-22.pdf" TargetMode="External"/><Relationship Id="rId71" Type="http://schemas.openxmlformats.org/officeDocument/2006/relationships/hyperlink" Target="https://labourmarketinsights.gov.au/industries/industry-details?industryCode=Q" TargetMode="External"/><Relationship Id="rId92" Type="http://schemas.openxmlformats.org/officeDocument/2006/relationships/hyperlink" Target="https://treasury.gov.au/publication/2023-intergenerational-report" TargetMode="External"/><Relationship Id="rId2" Type="http://schemas.openxmlformats.org/officeDocument/2006/relationships/hyperlink" Target="https://www.publichospitalfunding.gov.au/publications/annual-report-2021-22-maintenance-effort" TargetMode="External"/><Relationship Id="rId29" Type="http://schemas.openxmlformats.org/officeDocument/2006/relationships/hyperlink" Target="https://treasury.gov.au/sites/default/files/2023-08/p2023-435150.pdf" TargetMode="External"/><Relationship Id="rId24" Type="http://schemas.openxmlformats.org/officeDocument/2006/relationships/hyperlink" Target="https://www.aihw.gov.au/reports/health-welfare-expenditure/health-expenditure-australia-2020-21/contents/overview/the-health-sector-relative-to-the-economy" TargetMode="External"/><Relationship Id="rId40" Type="http://schemas.openxmlformats.org/officeDocument/2006/relationships/hyperlink" Target="https://www.aihw.gov.au/reports/life-expectancy-deaths/deaths-in-australia/contents/summary" TargetMode="External"/><Relationship Id="rId45" Type="http://schemas.openxmlformats.org/officeDocument/2006/relationships/hyperlink" Target="https://www.aihw.gov.au/reports/rural-remote-australians/rural-and-remote-health" TargetMode="External"/><Relationship Id="rId66" Type="http://schemas.openxmlformats.org/officeDocument/2006/relationships/hyperlink" Target="https://www.abs.gov.au/statistics/health/health-services/patient-experiences/latest-release" TargetMode="External"/><Relationship Id="rId87" Type="http://schemas.openxmlformats.org/officeDocument/2006/relationships/hyperlink" Target="https://www.qao.qld.gov.au/sites/default/files/reports/rtp_right_of_private_practice_senior_medical_officer_conduct.pdf" TargetMode="External"/><Relationship Id="rId110" Type="http://schemas.openxmlformats.org/officeDocument/2006/relationships/hyperlink" Target="https://www.health.gov.au/resources/publications/national-health-reform-agreement-nhra-long-term-health-reforms-roadmap" TargetMode="External"/><Relationship Id="rId115" Type="http://schemas.openxmlformats.org/officeDocument/2006/relationships/hyperlink" Target="https://www.health.gov.au/topics/rural-health-workforce/stronger-rural-health-strategy" TargetMode="External"/><Relationship Id="rId131" Type="http://schemas.openxmlformats.org/officeDocument/2006/relationships/hyperlink" Target="https://federalfinancialrelations.gov.au/sites/federalfinancialrelations.gov.au/files/2021-08/national-agreement.pdf" TargetMode="External"/><Relationship Id="rId136" Type="http://schemas.openxmlformats.org/officeDocument/2006/relationships/hyperlink" Target="https://www.pm.gov.au/media/improving-future-preparedness-inquiry-response-covid-19-pandemic" TargetMode="External"/><Relationship Id="rId61" Type="http://schemas.openxmlformats.org/officeDocument/2006/relationships/hyperlink" Target="https://acem.org.au/Content-Sources/Advancing-Emergency-Medicine/Better-Outcomes-for-Patients/Access-Block-(1)/Access-Block" TargetMode="External"/><Relationship Id="rId82" Type="http://schemas.openxmlformats.org/officeDocument/2006/relationships/hyperlink" Target="https://www.abs.gov.au/statistics/health/health-conditions-and-risks/health-conditions-prevalence/2020-21" TargetMode="External"/><Relationship Id="rId19" Type="http://schemas.openxmlformats.org/officeDocument/2006/relationships/hyperlink" Target="https://www.aihw.gov.au/reports/diagnostic-services/pathology-imaging-and-other-diagnostic-services" TargetMode="External"/><Relationship Id="rId14" Type="http://schemas.openxmlformats.org/officeDocument/2006/relationships/hyperlink" Target="https://www.aihw.gov.au/reports/hospitals/australias-hospitals-at-a-glance/contents/hospital-activity" TargetMode="External"/><Relationship Id="rId30" Type="http://schemas.openxmlformats.org/officeDocument/2006/relationships/hyperlink" Target="https://www.publichospitalfunding.gov.au/public-hospital-funding-reports" TargetMode="External"/><Relationship Id="rId35" Type="http://schemas.openxmlformats.org/officeDocument/2006/relationships/hyperlink" Target="https://www.pc.gov.au/inquiries/completed/productivity-review/report/productivity-review-supporting6.pdf" TargetMode="External"/><Relationship Id="rId56" Type="http://schemas.openxmlformats.org/officeDocument/2006/relationships/hyperlink" Target="https://myhospitalsapi.aihw.gov.au/api/v1/measure-downloads/myh-ed" TargetMode="External"/><Relationship Id="rId77" Type="http://schemas.openxmlformats.org/officeDocument/2006/relationships/hyperlink" Target="https://www.aihw.gov.au/reports-data/myhospitals/intersection/activity/apc" TargetMode="External"/><Relationship Id="rId100" Type="http://schemas.openxmlformats.org/officeDocument/2006/relationships/hyperlink" Target="https://www.swslhd.health.nsw.gov.au/pdfs/ScheduleC-2022-2023.pdf" TargetMode="External"/><Relationship Id="rId105" Type="http://schemas.openxmlformats.org/officeDocument/2006/relationships/hyperlink" Target="https://www.publichospitalfunding.gov.au/publications/national-health-funding-pool-annual-report-2021-22" TargetMode="External"/><Relationship Id="rId126" Type="http://schemas.openxmlformats.org/officeDocument/2006/relationships/hyperlink" Target="https://www.health.gov.au/resources/publications/national-medical-workforce-strategy-2021-2031?language=en"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8.png"/></Relationships>
</file>

<file path=word/_rels/header14.xml.rels><?xml version="1.0" encoding="UTF-8" standalone="yes"?>
<Relationships xmlns="http://schemas.openxmlformats.org/package/2006/relationships"><Relationship Id="rId1" Type="http://schemas.openxmlformats.org/officeDocument/2006/relationships/image" Target="media/image15.png"/></Relationships>
</file>

<file path=word/_rels/header17.xml.rels><?xml version="1.0" encoding="UTF-8" standalone="yes"?>
<Relationships xmlns="http://schemas.openxmlformats.org/package/2006/relationships"><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8.png"/></Relationships>
</file>

<file path=word/_rels/header23.xml.rels><?xml version="1.0" encoding="UTF-8" standalone="yes"?>
<Relationships xmlns="http://schemas.openxmlformats.org/package/2006/relationships"><Relationship Id="rId1" Type="http://schemas.openxmlformats.org/officeDocument/2006/relationships/image" Target="media/image40.png"/></Relationships>
</file>

<file path=word/_rels/header26.xml.rels><?xml version="1.0" encoding="UTF-8" standalone="yes"?>
<Relationships xmlns="http://schemas.openxmlformats.org/package/2006/relationships"><Relationship Id="rId1" Type="http://schemas.openxmlformats.org/officeDocument/2006/relationships/image" Target="media/image40.png"/></Relationships>
</file>

<file path=word/_rels/header29.xml.rels><?xml version="1.0" encoding="UTF-8" standalone="yes"?>
<Relationships xmlns="http://schemas.openxmlformats.org/package/2006/relationships"><Relationship Id="rId1" Type="http://schemas.openxmlformats.org/officeDocument/2006/relationships/image" Target="media/image56.png"/></Relationships>
</file>

<file path=word/_rels/header32.xml.rels><?xml version="1.0" encoding="UTF-8" standalone="yes"?>
<Relationships xmlns="http://schemas.openxmlformats.org/package/2006/relationships"><Relationship Id="rId1" Type="http://schemas.openxmlformats.org/officeDocument/2006/relationships/image" Target="media/image58.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isaaho\Downloads\Public%20hospital%20spending%20by%20source%20of%20funds%20-%202010-21.csv"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ausdeloitte.sharepoint.com/sites/DHAC-NHRAreviewanalyticalsupport/Shared%20Documents/General/08%20Analysis/20230517_NHRA%20Review%20-%20Supporting%20Dashboard_Master_DRAF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ausdeloitte.sharepoint.com/sites/DHAC-NHRAreviewanalyticalsupport/Shared%20Documents/General/08%20Analysis/20230517_NHRA%20Review%20-%20Supporting%20Dashboard_Master_DRAF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ausdeloitte.sharepoint.com/sites/DHAC-NHRAreviewanalyticalsupport/Shared%20Documents/General/08%20Analysis/20230517_NHRA%20Review%20-%20Supporting%20Dashboard_Master_DRAFT.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ausdeloitte.sharepoint.com/sites/DHAC-NHRAreviewanalyticalsupport/Shared%20Documents/General/08%20Analysis/20230517_NHRA%20Review%20-%20Supporting%20Dashboard_Master_DRAF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ausdeloitte.sharepoint.com/sites/DHAC-NHRAreviewanalyticalsupport/Shared%20Documents/General/08%20Analysis/20230517_NHRA%20Review%20-%20Supporting%20Dashboard_Master_DRAF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1" Type="http://schemas.openxmlformats.org/officeDocument/2006/relationships/oleObject" Target="https://ausdeloitte.sharepoint.com/sites/DHAC-NHRAreviewanalyticalsupport/Shared%20Documents/General/08%20Analysis/20230721_Placemat%20Graphs.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5.xml"/><Relationship Id="rId1" Type="http://schemas.microsoft.com/office/2011/relationships/chartStyle" Target="style15.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17.xml.rels><?xml version="1.0" encoding="UTF-8" standalone="yes"?>
<Relationships xmlns="http://schemas.openxmlformats.org/package/2006/relationships"><Relationship Id="rId3" Type="http://schemas.openxmlformats.org/officeDocument/2006/relationships/oleObject" Target="https://ausdeloitte.sharepoint.com/sites/DHAC-NHRAreviewanalyticalsupport/Shared%20Documents/General/08%20Analysis/20230517_NHRA%20Review%20-%20Supporting%20Dashboard_Master_DRAFT.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https://ausdeloitte.sharepoint.com/sites/DHAC-NHRAreviewanalyticalsupport/Shared%20Documents/General/08%20Analysis/20230517_NHRA%20Review%20-%20Supporting%20Dashboard_Master_DRAF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saaho\Downloads\Ratio%20of%20health%20expenditure%20to%20GDP.csv"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ausdeloitte.sharepoint.com/sites/DHAC-NHRAreviewanalyticalsupport/Shared%20Documents/General/08%20Analysis/20230517_NHRA%20Review%20-%20Supporting%20Dashboard_Master_DRAF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ausdeloitte.sharepoint.com/sites/DHAC-NHRAreviewanalyticalsupport/Shared%20Documents/General/08%20Analysis/NHRA%20Data%20Extractions%20V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ausdeloitte.sharepoint.com/sites/DHAC-NHRAreviewanalyticalsupport/Shared%20Documents/General/08%20Analysis/20230721_Placemat%20Graph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isaaho\Downloads\Proportion%20of%20people%20with%20selected%20chronic%20conditions%20by%20age,%202020-21.csv"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ausdeloitte.sharepoint.com/sites/DHAC-NHRAreviewanalyticalsupport/Shared%20Documents/General/08%20Analysis/20230517_NHRA%20Review%20-%20Supporting%20Dashboard_Master_DRAF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[Public hospital spending by source of funds - 2010-21.csv]Sheet1!PivotTable9</c:name>
    <c:fmtId val="-1"/>
  </c:pivotSource>
  <c:chart>
    <c:title>
      <c:tx>
        <c:rich>
          <a:bodyPr rot="0" spcFirstLastPara="1" vertOverflow="ellipsis" vert="horz" wrap="square" anchor="ctr" anchorCtr="1"/>
          <a:lstStyle/>
          <a:p>
            <a:pPr>
              <a:defRPr sz="950" b="0" i="0" u="none" strike="noStrike" kern="1200" spc="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r>
              <a:rPr lang="en-AU" sz="950"/>
              <a:t>Public hospital spending by source of funds, constant prices, 2010-11 to 2020-21</a:t>
            </a:r>
          </a:p>
        </c:rich>
      </c:tx>
      <c:layout>
        <c:manualLayout>
          <c:xMode val="edge"/>
          <c:yMode val="edge"/>
          <c:x val="0.12931648054976069"/>
          <c:y val="3.5874439461883408E-2"/>
        </c:manualLayout>
      </c:layout>
      <c:overlay val="0"/>
      <c:spPr>
        <a:noFill/>
        <a:ln>
          <a:noFill/>
        </a:ln>
        <a:effectLst/>
      </c:spPr>
      <c:txPr>
        <a:bodyPr rot="0" spcFirstLastPara="1" vertOverflow="ellipsis" vert="horz" wrap="square" anchor="ctr" anchorCtr="1"/>
        <a:lstStyle/>
        <a:p>
          <a:pPr>
            <a:defRPr sz="950" b="0" i="0" u="none" strike="noStrike" kern="1200" spc="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title>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9.751511835738752E-2"/>
          <c:y val="0.21428139183055972"/>
          <c:w val="0.87109666649066508"/>
          <c:h val="0.41308015771856049"/>
        </c:manualLayout>
      </c:layout>
      <c:lineChart>
        <c:grouping val="standard"/>
        <c:varyColors val="0"/>
        <c:ser>
          <c:idx val="0"/>
          <c:order val="0"/>
          <c:tx>
            <c:strRef>
              <c:f>Sheet1!$B$3:$B$4</c:f>
              <c:strCache>
                <c:ptCount val="1"/>
                <c:pt idx="0">
                  <c:v>Australian Government</c:v>
                </c:pt>
              </c:strCache>
            </c:strRef>
          </c:tx>
          <c:spPr>
            <a:ln w="28575" cap="rnd">
              <a:solidFill>
                <a:schemeClr val="accent3">
                  <a:lumMod val="75000"/>
                </a:schemeClr>
              </a:solidFill>
              <a:round/>
            </a:ln>
            <a:effectLst/>
          </c:spPr>
          <c:marker>
            <c:symbol val="none"/>
          </c:marker>
          <c:cat>
            <c:strRef>
              <c:f>Sheet1!$A$5:$A$16</c:f>
              <c:strCache>
                <c:ptCount val="11"/>
                <c:pt idx="0">
                  <c:v>2010-11</c:v>
                </c:pt>
                <c:pt idx="1">
                  <c:v>2011-12</c:v>
                </c:pt>
                <c:pt idx="2">
                  <c:v>2012-13</c:v>
                </c:pt>
                <c:pt idx="3">
                  <c:v>2013-14</c:v>
                </c:pt>
                <c:pt idx="4">
                  <c:v>2014-15</c:v>
                </c:pt>
                <c:pt idx="5">
                  <c:v>2015-16</c:v>
                </c:pt>
                <c:pt idx="6">
                  <c:v>2016-17</c:v>
                </c:pt>
                <c:pt idx="7">
                  <c:v>2017-18</c:v>
                </c:pt>
                <c:pt idx="8">
                  <c:v>2018-19</c:v>
                </c:pt>
                <c:pt idx="9">
                  <c:v>2019-20</c:v>
                </c:pt>
                <c:pt idx="10">
                  <c:v>2020-21</c:v>
                </c:pt>
              </c:strCache>
            </c:strRef>
          </c:cat>
          <c:val>
            <c:numRef>
              <c:f>Sheet1!$B$5:$B$16</c:f>
              <c:numCache>
                <c:formatCode>0.00</c:formatCode>
                <c:ptCount val="11"/>
                <c:pt idx="0">
                  <c:v>19.494205813000001</c:v>
                </c:pt>
                <c:pt idx="1">
                  <c:v>19.850324661999998</c:v>
                </c:pt>
                <c:pt idx="2">
                  <c:v>19.208506975999999</c:v>
                </c:pt>
                <c:pt idx="3">
                  <c:v>19.615355123000001</c:v>
                </c:pt>
                <c:pt idx="4">
                  <c:v>20.627648045000001</c:v>
                </c:pt>
                <c:pt idx="5">
                  <c:v>22.371890702999998</c:v>
                </c:pt>
                <c:pt idx="6">
                  <c:v>24.046890369</c:v>
                </c:pt>
                <c:pt idx="7">
                  <c:v>24.676543716000001</c:v>
                </c:pt>
                <c:pt idx="8">
                  <c:v>26.013914197999998</c:v>
                </c:pt>
                <c:pt idx="9">
                  <c:v>27.834703770000001</c:v>
                </c:pt>
                <c:pt idx="10">
                  <c:v>28.051556291000001</c:v>
                </c:pt>
              </c:numCache>
            </c:numRef>
          </c:val>
          <c:smooth val="0"/>
          <c:extLst>
            <c:ext xmlns:c16="http://schemas.microsoft.com/office/drawing/2014/chart" uri="{C3380CC4-5D6E-409C-BE32-E72D297353CC}">
              <c16:uniqueId val="{00000000-B5A3-475E-9C0A-5D42C52B7A01}"/>
            </c:ext>
          </c:extLst>
        </c:ser>
        <c:ser>
          <c:idx val="1"/>
          <c:order val="1"/>
          <c:tx>
            <c:strRef>
              <c:f>Sheet1!$C$3:$C$4</c:f>
              <c:strCache>
                <c:ptCount val="1"/>
                <c:pt idx="0">
                  <c:v>Non-government</c:v>
                </c:pt>
              </c:strCache>
            </c:strRef>
          </c:tx>
          <c:spPr>
            <a:ln w="28575" cap="rnd">
              <a:solidFill>
                <a:schemeClr val="accent2"/>
              </a:solidFill>
              <a:round/>
            </a:ln>
            <a:effectLst/>
          </c:spPr>
          <c:marker>
            <c:symbol val="none"/>
          </c:marker>
          <c:cat>
            <c:strRef>
              <c:f>Sheet1!$A$5:$A$16</c:f>
              <c:strCache>
                <c:ptCount val="11"/>
                <c:pt idx="0">
                  <c:v>2010-11</c:v>
                </c:pt>
                <c:pt idx="1">
                  <c:v>2011-12</c:v>
                </c:pt>
                <c:pt idx="2">
                  <c:v>2012-13</c:v>
                </c:pt>
                <c:pt idx="3">
                  <c:v>2013-14</c:v>
                </c:pt>
                <c:pt idx="4">
                  <c:v>2014-15</c:v>
                </c:pt>
                <c:pt idx="5">
                  <c:v>2015-16</c:v>
                </c:pt>
                <c:pt idx="6">
                  <c:v>2016-17</c:v>
                </c:pt>
                <c:pt idx="7">
                  <c:v>2017-18</c:v>
                </c:pt>
                <c:pt idx="8">
                  <c:v>2018-19</c:v>
                </c:pt>
                <c:pt idx="9">
                  <c:v>2019-20</c:v>
                </c:pt>
                <c:pt idx="10">
                  <c:v>2020-21</c:v>
                </c:pt>
              </c:strCache>
            </c:strRef>
          </c:cat>
          <c:val>
            <c:numRef>
              <c:f>Sheet1!$C$5:$C$16</c:f>
              <c:numCache>
                <c:formatCode>0.00</c:formatCode>
                <c:ptCount val="11"/>
                <c:pt idx="0">
                  <c:v>3.9986014550000002</c:v>
                </c:pt>
                <c:pt idx="1">
                  <c:v>4.1435684989999997</c:v>
                </c:pt>
                <c:pt idx="2">
                  <c:v>4.5409769679999998</c:v>
                </c:pt>
                <c:pt idx="3">
                  <c:v>4.5493141039999996</c:v>
                </c:pt>
                <c:pt idx="4">
                  <c:v>4.8619638109999999</c:v>
                </c:pt>
                <c:pt idx="5">
                  <c:v>4.4527710989999996</c:v>
                </c:pt>
                <c:pt idx="6">
                  <c:v>4.673899392</c:v>
                </c:pt>
                <c:pt idx="7">
                  <c:v>5.1911250070000001</c:v>
                </c:pt>
                <c:pt idx="8">
                  <c:v>5.2823117750000002</c:v>
                </c:pt>
                <c:pt idx="9">
                  <c:v>4.7547386490000001</c:v>
                </c:pt>
                <c:pt idx="10">
                  <c:v>5.181034157</c:v>
                </c:pt>
              </c:numCache>
            </c:numRef>
          </c:val>
          <c:smooth val="0"/>
          <c:extLst>
            <c:ext xmlns:c16="http://schemas.microsoft.com/office/drawing/2014/chart" uri="{C3380CC4-5D6E-409C-BE32-E72D297353CC}">
              <c16:uniqueId val="{00000001-B5A3-475E-9C0A-5D42C52B7A01}"/>
            </c:ext>
          </c:extLst>
        </c:ser>
        <c:ser>
          <c:idx val="2"/>
          <c:order val="2"/>
          <c:tx>
            <c:strRef>
              <c:f>Sheet1!$D$3:$D$4</c:f>
              <c:strCache>
                <c:ptCount val="1"/>
                <c:pt idx="0">
                  <c:v>State and territory governments</c:v>
                </c:pt>
              </c:strCache>
            </c:strRef>
          </c:tx>
          <c:spPr>
            <a:ln w="28575" cap="rnd">
              <a:solidFill>
                <a:srgbClr val="A26000"/>
              </a:solidFill>
              <a:round/>
            </a:ln>
            <a:effectLst/>
          </c:spPr>
          <c:marker>
            <c:symbol val="none"/>
          </c:marker>
          <c:cat>
            <c:strRef>
              <c:f>Sheet1!$A$5:$A$16</c:f>
              <c:strCache>
                <c:ptCount val="11"/>
                <c:pt idx="0">
                  <c:v>2010-11</c:v>
                </c:pt>
                <c:pt idx="1">
                  <c:v>2011-12</c:v>
                </c:pt>
                <c:pt idx="2">
                  <c:v>2012-13</c:v>
                </c:pt>
                <c:pt idx="3">
                  <c:v>2013-14</c:v>
                </c:pt>
                <c:pt idx="4">
                  <c:v>2014-15</c:v>
                </c:pt>
                <c:pt idx="5">
                  <c:v>2015-16</c:v>
                </c:pt>
                <c:pt idx="6">
                  <c:v>2016-17</c:v>
                </c:pt>
                <c:pt idx="7">
                  <c:v>2017-18</c:v>
                </c:pt>
                <c:pt idx="8">
                  <c:v>2018-19</c:v>
                </c:pt>
                <c:pt idx="9">
                  <c:v>2019-20</c:v>
                </c:pt>
                <c:pt idx="10">
                  <c:v>2020-21</c:v>
                </c:pt>
              </c:strCache>
            </c:strRef>
          </c:cat>
          <c:val>
            <c:numRef>
              <c:f>Sheet1!$D$5:$D$16</c:f>
              <c:numCache>
                <c:formatCode>0.00</c:formatCode>
                <c:ptCount val="11"/>
                <c:pt idx="0">
                  <c:v>25.881295608999999</c:v>
                </c:pt>
                <c:pt idx="1">
                  <c:v>28.002434829999999</c:v>
                </c:pt>
                <c:pt idx="2">
                  <c:v>28.422739754999998</c:v>
                </c:pt>
                <c:pt idx="3">
                  <c:v>29.268204458</c:v>
                </c:pt>
                <c:pt idx="4">
                  <c:v>29.277241004</c:v>
                </c:pt>
                <c:pt idx="5">
                  <c:v>30.374438130000001</c:v>
                </c:pt>
                <c:pt idx="6">
                  <c:v>30.09490753</c:v>
                </c:pt>
                <c:pt idx="7">
                  <c:v>32.016605335000001</c:v>
                </c:pt>
                <c:pt idx="8">
                  <c:v>33.133750525000004</c:v>
                </c:pt>
                <c:pt idx="9">
                  <c:v>34.848258430999998</c:v>
                </c:pt>
                <c:pt idx="10">
                  <c:v>37.293082505999998</c:v>
                </c:pt>
              </c:numCache>
            </c:numRef>
          </c:val>
          <c:smooth val="0"/>
          <c:extLst>
            <c:ext xmlns:c16="http://schemas.microsoft.com/office/drawing/2014/chart" uri="{C3380CC4-5D6E-409C-BE32-E72D297353CC}">
              <c16:uniqueId val="{00000002-B5A3-475E-9C0A-5D42C52B7A01}"/>
            </c:ext>
          </c:extLst>
        </c:ser>
        <c:dLbls>
          <c:showLegendKey val="0"/>
          <c:showVal val="0"/>
          <c:showCatName val="0"/>
          <c:showSerName val="0"/>
          <c:showPercent val="0"/>
          <c:showBubbleSize val="0"/>
        </c:dLbls>
        <c:smooth val="0"/>
        <c:axId val="869043679"/>
        <c:axId val="1202965215"/>
      </c:lineChart>
      <c:catAx>
        <c:axId val="869043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1202965215"/>
        <c:crosses val="autoZero"/>
        <c:auto val="1"/>
        <c:lblAlgn val="ctr"/>
        <c:lblOffset val="100"/>
        <c:noMultiLvlLbl val="0"/>
      </c:catAx>
      <c:valAx>
        <c:axId val="120296521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r>
                  <a:rPr lang="en-AU"/>
                  <a:t>$ billion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869043679"/>
        <c:crosses val="autoZero"/>
        <c:crossBetween val="between"/>
        <c:majorUnit val="10"/>
      </c:valAx>
      <c:spPr>
        <a:noFill/>
        <a:ln>
          <a:noFill/>
        </a:ln>
        <a:effectLst/>
      </c:spPr>
    </c:plotArea>
    <c:legend>
      <c:legendPos val="b"/>
      <c:layout>
        <c:manualLayout>
          <c:xMode val="edge"/>
          <c:yMode val="edge"/>
          <c:x val="1.2591902966037065E-2"/>
          <c:y val="0.86157265893956902"/>
          <c:w val="0.96947217269184038"/>
          <c:h val="0.10211871776239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Calibri Light" panose="020F0302020204030204" pitchFamily="34" charset="0"/>
          <a:cs typeface="Calibri Light" panose="020F030202020403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[20230517_NHRA Review - Supporting Dashboard_Master_DRAFT.xlsx]Effectiveness!PivotTable2</c:name>
    <c:fmtId val="-1"/>
  </c:pivotSource>
  <c:chart>
    <c:title>
      <c:tx>
        <c:rich>
          <a:bodyPr rot="0" spcFirstLastPara="1" vertOverflow="ellipsis" vert="horz" wrap="square" anchor="ctr" anchorCtr="1"/>
          <a:lstStyle/>
          <a:p>
            <a:pPr>
              <a:defRPr sz="900" b="0" i="0" u="none" strike="noStrike" kern="1200" cap="none" spc="20" baseline="0">
                <a:solidFill>
                  <a:schemeClr val="dk1">
                    <a:lumMod val="50000"/>
                    <a:lumOff val="50000"/>
                  </a:schemeClr>
                </a:solidFill>
                <a:latin typeface="Calibri" panose="020F0502020204030204" pitchFamily="34" charset="0"/>
                <a:ea typeface="+mn-ea"/>
                <a:cs typeface="Calibri" panose="020F0502020204030204" pitchFamily="34" charset="0"/>
              </a:defRPr>
            </a:pPr>
            <a:r>
              <a:rPr lang="en-US" sz="900"/>
              <a:t>Proportion of presentations who depart the ED within four hours</a:t>
            </a:r>
          </a:p>
        </c:rich>
      </c:tx>
      <c:overlay val="0"/>
      <c:spPr>
        <a:noFill/>
        <a:ln>
          <a:noFill/>
        </a:ln>
        <a:effectLst/>
      </c:spPr>
      <c:txPr>
        <a:bodyPr rot="0" spcFirstLastPara="1" vertOverflow="ellipsis" vert="horz" wrap="square" anchor="ctr" anchorCtr="1"/>
        <a:lstStyle/>
        <a:p>
          <a:pPr>
            <a:defRPr sz="900" b="0" i="0" u="none" strike="noStrike" kern="1200" cap="none" spc="20" baseline="0">
              <a:solidFill>
                <a:schemeClr val="dk1">
                  <a:lumMod val="50000"/>
                  <a:lumOff val="50000"/>
                </a:schemeClr>
              </a:solidFill>
              <a:latin typeface="Calibri" panose="020F0502020204030204" pitchFamily="34" charset="0"/>
              <a:ea typeface="+mn-ea"/>
              <a:cs typeface="Calibri" panose="020F0502020204030204" pitchFamily="34" charset="0"/>
            </a:defRPr>
          </a:pPr>
          <a:endParaRPr lang="en-US"/>
        </a:p>
      </c:txPr>
    </c:title>
    <c:autoTitleDeleted val="0"/>
    <c:pivotFmts>
      <c:pivotFmt>
        <c:idx val="0"/>
        <c:spPr>
          <a:solidFill>
            <a:schemeClr val="accent1"/>
          </a:solidFill>
          <a:ln w="28575" cap="rnd" cmpd="sng" algn="ctr">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cmpd="sng" algn="ctr">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cmpd="sng" algn="ctr">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cmpd="sng" algn="ctr">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cmpd="sng" algn="ctr">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Effectiveness!$S$13:$S$14</c:f>
              <c:strCache>
                <c:ptCount val="1"/>
                <c:pt idx="0">
                  <c:v>All patients</c:v>
                </c:pt>
              </c:strCache>
            </c:strRef>
          </c:tx>
          <c:spPr>
            <a:ln w="22225" cap="rnd" cmpd="sng" algn="ctr">
              <a:solidFill>
                <a:schemeClr val="accent5"/>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Calibri" panose="020F0502020204030204" pitchFamily="34" charset="0"/>
                    <a:ea typeface="+mn-ea"/>
                    <a:cs typeface="Calibri" panose="020F050202020403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Effectiveness!$R$15:$R$26</c:f>
              <c:strCache>
                <c:ptCount val="11"/>
                <c:pt idx="0">
                  <c:v>2011–12</c:v>
                </c:pt>
                <c:pt idx="1">
                  <c:v>2012–13</c:v>
                </c:pt>
                <c:pt idx="2">
                  <c:v>2013–14</c:v>
                </c:pt>
                <c:pt idx="3">
                  <c:v>2014–15</c:v>
                </c:pt>
                <c:pt idx="4">
                  <c:v>2015–16</c:v>
                </c:pt>
                <c:pt idx="5">
                  <c:v>2016–17</c:v>
                </c:pt>
                <c:pt idx="6">
                  <c:v>2017–18</c:v>
                </c:pt>
                <c:pt idx="7">
                  <c:v>2018–19</c:v>
                </c:pt>
                <c:pt idx="8">
                  <c:v>2019–20</c:v>
                </c:pt>
                <c:pt idx="9">
                  <c:v>2020–21</c:v>
                </c:pt>
                <c:pt idx="10">
                  <c:v>2021–22</c:v>
                </c:pt>
              </c:strCache>
            </c:strRef>
          </c:cat>
          <c:val>
            <c:numRef>
              <c:f>Effectiveness!$S$15:$S$26</c:f>
              <c:numCache>
                <c:formatCode>General</c:formatCode>
                <c:ptCount val="11"/>
                <c:pt idx="0">
                  <c:v>64</c:v>
                </c:pt>
                <c:pt idx="1">
                  <c:v>67</c:v>
                </c:pt>
                <c:pt idx="2">
                  <c:v>73</c:v>
                </c:pt>
                <c:pt idx="3">
                  <c:v>73</c:v>
                </c:pt>
                <c:pt idx="4">
                  <c:v>73</c:v>
                </c:pt>
                <c:pt idx="5">
                  <c:v>72</c:v>
                </c:pt>
                <c:pt idx="6">
                  <c:v>71</c:v>
                </c:pt>
                <c:pt idx="7">
                  <c:v>70</c:v>
                </c:pt>
                <c:pt idx="8">
                  <c:v>69</c:v>
                </c:pt>
                <c:pt idx="9">
                  <c:v>67</c:v>
                </c:pt>
                <c:pt idx="10">
                  <c:v>61</c:v>
                </c:pt>
              </c:numCache>
            </c:numRef>
          </c:val>
          <c:smooth val="0"/>
          <c:extLst>
            <c:ext xmlns:c16="http://schemas.microsoft.com/office/drawing/2014/chart" uri="{C3380CC4-5D6E-409C-BE32-E72D297353CC}">
              <c16:uniqueId val="{00000000-3E6B-4550-9676-556B11B28A65}"/>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560370559"/>
        <c:axId val="1560372639"/>
      </c:lineChart>
      <c:catAx>
        <c:axId val="156037055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Calibri" panose="020F0502020204030204" pitchFamily="34" charset="0"/>
                <a:ea typeface="+mn-ea"/>
                <a:cs typeface="Calibri" panose="020F0502020204030204" pitchFamily="34" charset="0"/>
              </a:defRPr>
            </a:pPr>
            <a:endParaRPr lang="en-US"/>
          </a:p>
        </c:txPr>
        <c:crossAx val="1560372639"/>
        <c:crosses val="autoZero"/>
        <c:auto val="1"/>
        <c:lblAlgn val="ctr"/>
        <c:lblOffset val="100"/>
        <c:noMultiLvlLbl val="0"/>
      </c:catAx>
      <c:valAx>
        <c:axId val="1560372639"/>
        <c:scaling>
          <c:orientation val="minMax"/>
          <c:min val="40"/>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Calibri" panose="020F0502020204030204" pitchFamily="34" charset="0"/>
                    <a:ea typeface="+mn-ea"/>
                    <a:cs typeface="Calibri" panose="020F0502020204030204" pitchFamily="34" charset="0"/>
                  </a:defRPr>
                </a:pPr>
                <a:r>
                  <a:rPr lang="en-AU" cap="none"/>
                  <a:t>Percentage of presentations (%)</a:t>
                </a:r>
              </a:p>
            </c:rich>
          </c:tx>
          <c:layout>
            <c:manualLayout>
              <c:xMode val="edge"/>
              <c:yMode val="edge"/>
              <c:x val="2.3521453578468299E-2"/>
              <c:y val="0.10278636091252764"/>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Calibri" panose="020F0502020204030204" pitchFamily="34" charset="0"/>
                  <a:ea typeface="+mn-ea"/>
                  <a:cs typeface="Calibri" panose="020F050202020403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Calibri" panose="020F0502020204030204" pitchFamily="34" charset="0"/>
                <a:ea typeface="+mn-ea"/>
                <a:cs typeface="Calibri" panose="020F0502020204030204" pitchFamily="34" charset="0"/>
              </a:defRPr>
            </a:pPr>
            <a:endParaRPr lang="en-US"/>
          </a:p>
        </c:txPr>
        <c:crossAx val="1560370559"/>
        <c:crosses val="autoZero"/>
        <c:crossBetween val="between"/>
        <c:majorUnit val="10"/>
      </c:valAx>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900">
          <a:latin typeface="Calibri" panose="020F0502020204030204" pitchFamily="34" charset="0"/>
          <a:cs typeface="Calibri" panose="020F0502020204030204" pitchFamily="34" charset="0"/>
        </a:defRPr>
      </a:pPr>
      <a:endParaRPr lang="en-US"/>
    </a:p>
  </c:txPr>
  <c:externalData r:id="rId3">
    <c:autoUpdate val="0"/>
  </c:externalData>
  <c:extLst>
    <c:ext xmlns:c14="http://schemas.microsoft.com/office/drawing/2007/8/2/chart" uri="{781A3756-C4B2-4CAC-9D66-4F8BD8637D16}">
      <c14:pivotOptions>
        <c14:dropZonesVisible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[20230517_NHRA Review - Supporting Dashboard_Master_DRAFT.xlsx]Effectiveness!PivotTable16</c:name>
    <c:fmtId val="-1"/>
  </c:pivotSource>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r>
              <a:rPr lang="en-AU" sz="1000"/>
              <a:t>Proportion of patients waiting longer than the clinically recommended time for elective surgery</a:t>
            </a:r>
            <a:r>
              <a:rPr lang="en-AU" sz="1000" baseline="0"/>
              <a:t> by clinical category, 2012-22</a:t>
            </a:r>
            <a:endParaRPr lang="en-AU" sz="1000"/>
          </a:p>
        </c:rich>
      </c:tx>
      <c:layout>
        <c:manualLayout>
          <c:xMode val="edge"/>
          <c:yMode val="edge"/>
          <c:x val="0.11953784984797693"/>
          <c:y val="2.527646129541864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title>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9.7652347911956552E-2"/>
          <c:y val="0.23704593797813189"/>
          <c:w val="0.55908588654141"/>
          <c:h val="0.47764102946847287"/>
        </c:manualLayout>
      </c:layout>
      <c:lineChart>
        <c:grouping val="standard"/>
        <c:varyColors val="0"/>
        <c:ser>
          <c:idx val="0"/>
          <c:order val="0"/>
          <c:tx>
            <c:strRef>
              <c:f>Effectiveness!$S$218:$S$219</c:f>
              <c:strCache>
                <c:ptCount val="1"/>
                <c:pt idx="0">
                  <c:v>Category 1 (&lt;30 days)</c:v>
                </c:pt>
              </c:strCache>
            </c:strRef>
          </c:tx>
          <c:spPr>
            <a:ln w="28575" cap="rnd">
              <a:solidFill>
                <a:srgbClr val="A26000"/>
              </a:solidFill>
              <a:round/>
            </a:ln>
            <a:effectLst/>
          </c:spPr>
          <c:marker>
            <c:symbol val="none"/>
          </c:marker>
          <c:cat>
            <c:strRef>
              <c:f>Effectiveness!$R$220:$R$230</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Effectiveness!$S$220:$S$230</c:f>
              <c:numCache>
                <c:formatCode>General</c:formatCode>
                <c:ptCount val="10"/>
                <c:pt idx="0">
                  <c:v>5.2000000000000028</c:v>
                </c:pt>
                <c:pt idx="1">
                  <c:v>3</c:v>
                </c:pt>
                <c:pt idx="2">
                  <c:v>2.7000000000000028</c:v>
                </c:pt>
                <c:pt idx="3">
                  <c:v>3.0999999999999943</c:v>
                </c:pt>
                <c:pt idx="4">
                  <c:v>3.5999999999999943</c:v>
                </c:pt>
                <c:pt idx="5">
                  <c:v>4.5</c:v>
                </c:pt>
                <c:pt idx="6">
                  <c:v>4.2999999999999972</c:v>
                </c:pt>
                <c:pt idx="7">
                  <c:v>4.2999999999999972</c:v>
                </c:pt>
                <c:pt idx="8">
                  <c:v>5.5</c:v>
                </c:pt>
                <c:pt idx="9">
                  <c:v>6.2000000000000028</c:v>
                </c:pt>
              </c:numCache>
            </c:numRef>
          </c:val>
          <c:smooth val="0"/>
          <c:extLst>
            <c:ext xmlns:c16="http://schemas.microsoft.com/office/drawing/2014/chart" uri="{C3380CC4-5D6E-409C-BE32-E72D297353CC}">
              <c16:uniqueId val="{00000000-673A-4315-A182-3F163B6F7A3F}"/>
            </c:ext>
          </c:extLst>
        </c:ser>
        <c:ser>
          <c:idx val="1"/>
          <c:order val="1"/>
          <c:tx>
            <c:strRef>
              <c:f>Effectiveness!$T$218:$T$219</c:f>
              <c:strCache>
                <c:ptCount val="1"/>
                <c:pt idx="0">
                  <c:v>Category 2 (&lt;90 days)</c:v>
                </c:pt>
              </c:strCache>
            </c:strRef>
          </c:tx>
          <c:spPr>
            <a:ln w="28575" cap="rnd">
              <a:solidFill>
                <a:schemeClr val="accent2"/>
              </a:solidFill>
              <a:round/>
            </a:ln>
            <a:effectLst/>
          </c:spPr>
          <c:marker>
            <c:symbol val="none"/>
          </c:marker>
          <c:cat>
            <c:strRef>
              <c:f>Effectiveness!$R$220:$R$230</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Effectiveness!$T$220:$T$230</c:f>
              <c:numCache>
                <c:formatCode>General</c:formatCode>
                <c:ptCount val="10"/>
                <c:pt idx="0">
                  <c:v>20.200000000000003</c:v>
                </c:pt>
                <c:pt idx="1">
                  <c:v>17.400000000000006</c:v>
                </c:pt>
                <c:pt idx="2">
                  <c:v>13.400000000000006</c:v>
                </c:pt>
                <c:pt idx="3">
                  <c:v>12.900000000000006</c:v>
                </c:pt>
                <c:pt idx="4">
                  <c:v>11.400000000000006</c:v>
                </c:pt>
                <c:pt idx="5">
                  <c:v>12</c:v>
                </c:pt>
                <c:pt idx="6">
                  <c:v>12.599999999999994</c:v>
                </c:pt>
                <c:pt idx="7">
                  <c:v>17.099999999999994</c:v>
                </c:pt>
                <c:pt idx="8">
                  <c:v>24.5</c:v>
                </c:pt>
                <c:pt idx="9">
                  <c:v>31.299999999999997</c:v>
                </c:pt>
              </c:numCache>
            </c:numRef>
          </c:val>
          <c:smooth val="0"/>
          <c:extLst>
            <c:ext xmlns:c16="http://schemas.microsoft.com/office/drawing/2014/chart" uri="{C3380CC4-5D6E-409C-BE32-E72D297353CC}">
              <c16:uniqueId val="{00000001-673A-4315-A182-3F163B6F7A3F}"/>
            </c:ext>
          </c:extLst>
        </c:ser>
        <c:ser>
          <c:idx val="2"/>
          <c:order val="2"/>
          <c:tx>
            <c:strRef>
              <c:f>Effectiveness!$U$218:$U$219</c:f>
              <c:strCache>
                <c:ptCount val="1"/>
                <c:pt idx="0">
                  <c:v>Category 3 (&lt;365 days)</c:v>
                </c:pt>
              </c:strCache>
            </c:strRef>
          </c:tx>
          <c:spPr>
            <a:ln w="28575" cap="rnd">
              <a:solidFill>
                <a:schemeClr val="accent4">
                  <a:lumMod val="60000"/>
                  <a:lumOff val="40000"/>
                </a:schemeClr>
              </a:solidFill>
              <a:round/>
            </a:ln>
            <a:effectLst/>
          </c:spPr>
          <c:marker>
            <c:symbol val="none"/>
          </c:marker>
          <c:cat>
            <c:strRef>
              <c:f>Effectiveness!$R$220:$R$230</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Effectiveness!$U$220:$U$230</c:f>
              <c:numCache>
                <c:formatCode>General</c:formatCode>
                <c:ptCount val="10"/>
                <c:pt idx="0">
                  <c:v>7.2000000000000028</c:v>
                </c:pt>
                <c:pt idx="1">
                  <c:v>5.7999999999999972</c:v>
                </c:pt>
                <c:pt idx="2">
                  <c:v>4.5</c:v>
                </c:pt>
                <c:pt idx="3">
                  <c:v>4.7999999999999972</c:v>
                </c:pt>
                <c:pt idx="4">
                  <c:v>4.2999999999999972</c:v>
                </c:pt>
                <c:pt idx="5">
                  <c:v>4.9000000000000057</c:v>
                </c:pt>
                <c:pt idx="6">
                  <c:v>5.7999999999999972</c:v>
                </c:pt>
                <c:pt idx="7">
                  <c:v>8.7000000000000028</c:v>
                </c:pt>
                <c:pt idx="8">
                  <c:v>22.200000000000003</c:v>
                </c:pt>
                <c:pt idx="9">
                  <c:v>21.5</c:v>
                </c:pt>
              </c:numCache>
            </c:numRef>
          </c:val>
          <c:smooth val="0"/>
          <c:extLst>
            <c:ext xmlns:c16="http://schemas.microsoft.com/office/drawing/2014/chart" uri="{C3380CC4-5D6E-409C-BE32-E72D297353CC}">
              <c16:uniqueId val="{00000002-673A-4315-A182-3F163B6F7A3F}"/>
            </c:ext>
          </c:extLst>
        </c:ser>
        <c:ser>
          <c:idx val="3"/>
          <c:order val="3"/>
          <c:tx>
            <c:strRef>
              <c:f>Effectiveness!$V$218:$V$219</c:f>
              <c:strCache>
                <c:ptCount val="1"/>
                <c:pt idx="0">
                  <c:v>Average</c:v>
                </c:pt>
              </c:strCache>
            </c:strRef>
          </c:tx>
          <c:spPr>
            <a:ln w="28575" cap="rnd">
              <a:solidFill>
                <a:schemeClr val="accent4"/>
              </a:solidFill>
              <a:round/>
            </a:ln>
            <a:effectLst/>
          </c:spPr>
          <c:marker>
            <c:symbol val="none"/>
          </c:marker>
          <c:cat>
            <c:strRef>
              <c:f>Effectiveness!$R$220:$R$230</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Effectiveness!$V$220:$V$230</c:f>
              <c:numCache>
                <c:formatCode>General</c:formatCode>
                <c:ptCount val="10"/>
                <c:pt idx="0">
                  <c:v>11.700000000000003</c:v>
                </c:pt>
                <c:pt idx="1">
                  <c:v>9.5999999999999943</c:v>
                </c:pt>
                <c:pt idx="2">
                  <c:v>7.4000000000000057</c:v>
                </c:pt>
                <c:pt idx="3">
                  <c:v>7.4000000000000057</c:v>
                </c:pt>
                <c:pt idx="4">
                  <c:v>6.7999999999999972</c:v>
                </c:pt>
                <c:pt idx="5">
                  <c:v>7.5</c:v>
                </c:pt>
                <c:pt idx="6">
                  <c:v>8</c:v>
                </c:pt>
                <c:pt idx="7">
                  <c:v>10.5</c:v>
                </c:pt>
                <c:pt idx="8">
                  <c:v>17.900000000000006</c:v>
                </c:pt>
                <c:pt idx="9">
                  <c:v>19.5</c:v>
                </c:pt>
              </c:numCache>
            </c:numRef>
          </c:val>
          <c:smooth val="0"/>
          <c:extLst>
            <c:ext xmlns:c16="http://schemas.microsoft.com/office/drawing/2014/chart" uri="{C3380CC4-5D6E-409C-BE32-E72D297353CC}">
              <c16:uniqueId val="{00000003-673A-4315-A182-3F163B6F7A3F}"/>
            </c:ext>
          </c:extLst>
        </c:ser>
        <c:dLbls>
          <c:showLegendKey val="0"/>
          <c:showVal val="0"/>
          <c:showCatName val="0"/>
          <c:showSerName val="0"/>
          <c:showPercent val="0"/>
          <c:showBubbleSize val="0"/>
        </c:dLbls>
        <c:smooth val="0"/>
        <c:axId val="1743985216"/>
        <c:axId val="1743987712"/>
      </c:lineChart>
      <c:catAx>
        <c:axId val="174398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1743987712"/>
        <c:crosses val="autoZero"/>
        <c:auto val="1"/>
        <c:lblAlgn val="ctr"/>
        <c:lblOffset val="100"/>
        <c:noMultiLvlLbl val="0"/>
      </c:catAx>
      <c:valAx>
        <c:axId val="1743987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r>
                  <a:rPr lang="en-AU"/>
                  <a:t>%</a:t>
                </a:r>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1743985216"/>
        <c:crosses val="autoZero"/>
        <c:crossBetween val="between"/>
      </c:valAx>
      <c:spPr>
        <a:noFill/>
        <a:ln>
          <a:noFill/>
        </a:ln>
        <a:effectLst/>
      </c:spPr>
    </c:plotArea>
    <c:legend>
      <c:legendPos val="r"/>
      <c:layout>
        <c:manualLayout>
          <c:xMode val="edge"/>
          <c:yMode val="edge"/>
          <c:x val="0.69310818325927082"/>
          <c:y val="0.26328071550297921"/>
          <c:w val="0.29105023258231333"/>
          <c:h val="0.570816136134641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Calibri Light" panose="020F0302020204030204" pitchFamily="34" charset="0"/>
          <a:cs typeface="Calibri Light" panose="020F0302020204030204" pitchFamily="34" charset="0"/>
        </a:defRPr>
      </a:pPr>
      <a:endParaRPr lang="en-US"/>
    </a:p>
  </c:txPr>
  <c:externalData r:id="rId3">
    <c:autoUpdate val="0"/>
  </c:externalData>
  <c:extLst>
    <c:ext xmlns:c14="http://schemas.microsoft.com/office/drawing/2007/8/2/chart" uri="{781A3756-C4B2-4CAC-9D66-4F8BD8637D16}">
      <c14:pivotOptions>
        <c14:dropZonesVisible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[20230517_NHRA Review - Supporting Dashboard_Master_DRAFT.xlsx]Effectiveness!PivotTable8</c:name>
    <c:fmtId val="-1"/>
  </c:pivotSource>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r>
              <a:rPr lang="en-US" sz="1000"/>
              <a:t>Rate of separations with a HAC,</a:t>
            </a:r>
            <a:r>
              <a:rPr lang="en-US" sz="1000" baseline="0"/>
              <a:t> per 100 separations</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title>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Effectiveness!$S$675</c:f>
              <c:strCache>
                <c:ptCount val="1"/>
                <c:pt idx="0">
                  <c:v>Total</c:v>
                </c:pt>
              </c:strCache>
            </c:strRef>
          </c:tx>
          <c:spPr>
            <a:ln w="28575" cap="rnd">
              <a:solidFill>
                <a:schemeClr val="accent5">
                  <a:lumMod val="75000"/>
                </a:schemeClr>
              </a:solidFill>
              <a:round/>
            </a:ln>
            <a:effectLst/>
          </c:spPr>
          <c:marker>
            <c:symbol val="none"/>
          </c:marker>
          <c:dLbls>
            <c:dLbl>
              <c:idx val="0"/>
              <c:layout>
                <c:manualLayout>
                  <c:x val="0"/>
                  <c:y val="3.13725490196078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45-4C48-B54C-C63A7CFB11D8}"/>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45-4C48-B54C-C63A7CFB11D8}"/>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45-4C48-B54C-C63A7CFB11D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Effectiveness!$R$676:$R$686</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Effectiveness!$S$676:$S$686</c:f>
              <c:numCache>
                <c:formatCode>General</c:formatCode>
                <c:ptCount val="10"/>
                <c:pt idx="0">
                  <c:v>2.7781183020099687</c:v>
                </c:pt>
                <c:pt idx="1">
                  <c:v>2.9613304502246982</c:v>
                </c:pt>
                <c:pt idx="2">
                  <c:v>2.8689474333817797</c:v>
                </c:pt>
                <c:pt idx="3">
                  <c:v>2.864436377383174</c:v>
                </c:pt>
                <c:pt idx="4">
                  <c:v>2.8128897550786784</c:v>
                </c:pt>
                <c:pt idx="5">
                  <c:v>2.6607578249114061</c:v>
                </c:pt>
                <c:pt idx="6">
                  <c:v>2.2000000000000002</c:v>
                </c:pt>
                <c:pt idx="7">
                  <c:v>2.1</c:v>
                </c:pt>
                <c:pt idx="8">
                  <c:v>2.0093761599184345</c:v>
                </c:pt>
                <c:pt idx="9">
                  <c:v>2.1</c:v>
                </c:pt>
              </c:numCache>
            </c:numRef>
          </c:val>
          <c:smooth val="0"/>
          <c:extLst>
            <c:ext xmlns:c16="http://schemas.microsoft.com/office/drawing/2014/chart" uri="{C3380CC4-5D6E-409C-BE32-E72D297353CC}">
              <c16:uniqueId val="{00000003-4245-4C48-B54C-C63A7CFB11D8}"/>
            </c:ext>
          </c:extLst>
        </c:ser>
        <c:dLbls>
          <c:showLegendKey val="0"/>
          <c:showVal val="0"/>
          <c:showCatName val="0"/>
          <c:showSerName val="0"/>
          <c:showPercent val="0"/>
          <c:showBubbleSize val="0"/>
        </c:dLbls>
        <c:smooth val="0"/>
        <c:axId val="124341823"/>
        <c:axId val="124342239"/>
      </c:lineChart>
      <c:catAx>
        <c:axId val="124341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124342239"/>
        <c:crosses val="autoZero"/>
        <c:auto val="1"/>
        <c:lblAlgn val="ctr"/>
        <c:lblOffset val="100"/>
        <c:noMultiLvlLbl val="0"/>
      </c:catAx>
      <c:valAx>
        <c:axId val="124342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1243418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Calibri Light" panose="020F0302020204030204" pitchFamily="34" charset="0"/>
          <a:cs typeface="Calibri Light" panose="020F0302020204030204" pitchFamily="34" charset="0"/>
        </a:defRPr>
      </a:pPr>
      <a:endParaRPr lang="en-US"/>
    </a:p>
  </c:txPr>
  <c:externalData r:id="rId3">
    <c:autoUpdate val="0"/>
  </c:externalData>
  <c:extLst>
    <c:ext xmlns:c14="http://schemas.microsoft.com/office/drawing/2007/8/2/chart" uri="{781A3756-C4B2-4CAC-9D66-4F8BD8637D16}">
      <c14:pivotOptions>
        <c14:dropZonesVisible val="1"/>
      </c14:pivotOptions>
    </c:ext>
    <c:ext xmlns:c16="http://schemas.microsoft.com/office/drawing/2014/chart" uri="{E28EC0CA-F0BB-4C9C-879D-F8772B89E7AC}">
      <c16:pivotOptions16>
        <c16:showExpandCollapseFieldButtons val="1"/>
      </c16:pivotOptions16>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AU"/>
              <a:t>Indexed growth in </a:t>
            </a:r>
            <a:r>
              <a:rPr lang="en-AU" baseline="0"/>
              <a:t>NEP and Health Consumer Price Index</a:t>
            </a:r>
            <a:endParaRPr lang="en-AU"/>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manualLayout>
          <c:layoutTarget val="inner"/>
          <c:xMode val="edge"/>
          <c:yMode val="edge"/>
          <c:x val="9.468464329282783E-2"/>
          <c:y val="0.21733742547357301"/>
          <c:w val="0.85325118211055873"/>
          <c:h val="0.43747056385753641"/>
        </c:manualLayout>
      </c:layout>
      <c:lineChart>
        <c:grouping val="standard"/>
        <c:varyColors val="0"/>
        <c:ser>
          <c:idx val="1"/>
          <c:order val="0"/>
          <c:tx>
            <c:strRef>
              <c:f>Efficiency!$V$13</c:f>
              <c:strCache>
                <c:ptCount val="1"/>
                <c:pt idx="0">
                  <c:v>Indexed NEP</c:v>
                </c:pt>
              </c:strCache>
            </c:strRef>
          </c:tx>
          <c:spPr>
            <a:ln w="28575" cap="rnd">
              <a:solidFill>
                <a:schemeClr val="accent4"/>
              </a:solidFill>
              <a:round/>
            </a:ln>
            <a:effectLst/>
          </c:spPr>
          <c:marker>
            <c:symbol val="none"/>
          </c:marker>
          <c:cat>
            <c:strRef>
              <c:f>Efficiency!$R$14:$R$23</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Efficiency!$V$14:$V$23</c:f>
              <c:numCache>
                <c:formatCode>General</c:formatCode>
                <c:ptCount val="10"/>
                <c:pt idx="0">
                  <c:v>100</c:v>
                </c:pt>
                <c:pt idx="1">
                  <c:v>103.84775374376041</c:v>
                </c:pt>
                <c:pt idx="2">
                  <c:v>104.13893510815309</c:v>
                </c:pt>
                <c:pt idx="3">
                  <c:v>103.3901830282862</c:v>
                </c:pt>
                <c:pt idx="4">
                  <c:v>101.55990016638937</c:v>
                </c:pt>
                <c:pt idx="5">
                  <c:v>102.12146422628953</c:v>
                </c:pt>
                <c:pt idx="6">
                  <c:v>104.24292845257905</c:v>
                </c:pt>
                <c:pt idx="7">
                  <c:v>106.78036605657239</c:v>
                </c:pt>
                <c:pt idx="8">
                  <c:v>110.64891846921797</c:v>
                </c:pt>
                <c:pt idx="9">
                  <c:v>116.41014975041597</c:v>
                </c:pt>
              </c:numCache>
            </c:numRef>
          </c:val>
          <c:smooth val="0"/>
          <c:extLst>
            <c:ext xmlns:c16="http://schemas.microsoft.com/office/drawing/2014/chart" uri="{C3380CC4-5D6E-409C-BE32-E72D297353CC}">
              <c16:uniqueId val="{00000000-8B27-428D-8CAC-7050D8991B11}"/>
            </c:ext>
          </c:extLst>
        </c:ser>
        <c:ser>
          <c:idx val="2"/>
          <c:order val="1"/>
          <c:tx>
            <c:strRef>
              <c:f>Efficiency!$W$13</c:f>
              <c:strCache>
                <c:ptCount val="1"/>
                <c:pt idx="0">
                  <c:v>Indexed Health CPI</c:v>
                </c:pt>
              </c:strCache>
            </c:strRef>
          </c:tx>
          <c:spPr>
            <a:ln w="28575" cap="rnd">
              <a:solidFill>
                <a:schemeClr val="accent5">
                  <a:lumMod val="75000"/>
                </a:schemeClr>
              </a:solidFill>
              <a:round/>
            </a:ln>
            <a:effectLst/>
          </c:spPr>
          <c:marker>
            <c:symbol val="none"/>
          </c:marker>
          <c:cat>
            <c:strRef>
              <c:f>Efficiency!$R$14:$R$23</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Efficiency!$W$14:$W$23</c:f>
              <c:numCache>
                <c:formatCode>General</c:formatCode>
                <c:ptCount val="10"/>
                <c:pt idx="0">
                  <c:v>100</c:v>
                </c:pt>
                <c:pt idx="1">
                  <c:v>104.89999999999999</c:v>
                </c:pt>
                <c:pt idx="2">
                  <c:v>109.41069999999998</c:v>
                </c:pt>
                <c:pt idx="3">
                  <c:v>114.33418149999997</c:v>
                </c:pt>
                <c:pt idx="4">
                  <c:v>118.67888039699997</c:v>
                </c:pt>
                <c:pt idx="5">
                  <c:v>122.71396233049798</c:v>
                </c:pt>
                <c:pt idx="6">
                  <c:v>126.39538120041291</c:v>
                </c:pt>
                <c:pt idx="7">
                  <c:v>127.53293963121662</c:v>
                </c:pt>
                <c:pt idx="8">
                  <c:v>133.65452073351503</c:v>
                </c:pt>
                <c:pt idx="9">
                  <c:v>136.86222923111939</c:v>
                </c:pt>
              </c:numCache>
            </c:numRef>
          </c:val>
          <c:smooth val="0"/>
          <c:extLst>
            <c:ext xmlns:c16="http://schemas.microsoft.com/office/drawing/2014/chart" uri="{C3380CC4-5D6E-409C-BE32-E72D297353CC}">
              <c16:uniqueId val="{00000001-8B27-428D-8CAC-7050D8991B11}"/>
            </c:ext>
          </c:extLst>
        </c:ser>
        <c:dLbls>
          <c:showLegendKey val="0"/>
          <c:showVal val="0"/>
          <c:showCatName val="0"/>
          <c:showSerName val="0"/>
          <c:showPercent val="0"/>
          <c:showBubbleSize val="0"/>
        </c:dLbls>
        <c:smooth val="0"/>
        <c:axId val="114359312"/>
        <c:axId val="114361392"/>
      </c:lineChart>
      <c:catAx>
        <c:axId val="11435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14361392"/>
        <c:crosses val="autoZero"/>
        <c:auto val="1"/>
        <c:lblAlgn val="ctr"/>
        <c:lblOffset val="100"/>
        <c:noMultiLvlLbl val="0"/>
      </c:catAx>
      <c:valAx>
        <c:axId val="114361392"/>
        <c:scaling>
          <c:orientation val="minMax"/>
          <c:min val="6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1435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[20230517_NHRA Review - Supporting Dashboard_Master_DRAFT.xlsx]Efficiency!PivotTable8</c:name>
    <c:fmtId val="-1"/>
  </c:pivotSource>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AU"/>
              <a:t>Indexed growth in hospital beds compared</a:t>
            </a:r>
            <a:r>
              <a:rPr lang="en-AU" baseline="0"/>
              <a:t> to hospital separations and total NWAU per 1000 population</a:t>
            </a:r>
            <a:endParaRPr lang="en-AU"/>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pivotFmt>
      <c:pivotFmt>
        <c:idx val="7"/>
        <c:spPr>
          <a:solidFill>
            <a:schemeClr val="accent1"/>
          </a:solidFill>
          <a:ln w="28575" cap="rnd">
            <a:solidFill>
              <a:schemeClr val="accent1"/>
            </a:solidFill>
            <a:round/>
          </a:ln>
          <a:effectLst/>
        </c:spPr>
        <c:marker>
          <c:symbol val="none"/>
        </c:marker>
      </c:pivotFmt>
      <c:pivotFmt>
        <c:idx val="8"/>
        <c:spPr>
          <a:solidFill>
            <a:schemeClr val="accent1"/>
          </a:solidFill>
          <a:ln w="28575" cap="rnd">
            <a:solidFill>
              <a:schemeClr val="accent1"/>
            </a:solidFill>
            <a:round/>
          </a:ln>
          <a:effectLst/>
        </c:spPr>
        <c:marker>
          <c:symbol val="none"/>
        </c:marker>
      </c:pivotFmt>
      <c:pivotFmt>
        <c:idx val="9"/>
        <c:spPr>
          <a:solidFill>
            <a:schemeClr val="accent1"/>
          </a:solidFill>
          <a:ln w="28575" cap="rnd">
            <a:solidFill>
              <a:schemeClr val="accent1"/>
            </a:solidFill>
            <a:round/>
          </a:ln>
          <a:effectLst/>
        </c:spPr>
        <c:marker>
          <c:symbol val="none"/>
        </c:marker>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Efficiency!$S$88</c:f>
              <c:strCache>
                <c:ptCount val="1"/>
                <c:pt idx="0">
                  <c:v>Beds per Capita</c:v>
                </c:pt>
              </c:strCache>
            </c:strRef>
          </c:tx>
          <c:spPr>
            <a:ln w="28575" cap="rnd">
              <a:solidFill>
                <a:schemeClr val="accent1"/>
              </a:solidFill>
              <a:round/>
            </a:ln>
            <a:effectLst/>
          </c:spPr>
          <c:marker>
            <c:symbol val="none"/>
          </c:marker>
          <c:cat>
            <c:strRef>
              <c:f>Efficiency!$R$89:$R$99</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Efficiency!$S$89:$S$99</c:f>
              <c:numCache>
                <c:formatCode>General</c:formatCode>
                <c:ptCount val="10"/>
                <c:pt idx="0">
                  <c:v>100</c:v>
                </c:pt>
                <c:pt idx="1">
                  <c:v>96.153846153846146</c:v>
                </c:pt>
                <c:pt idx="2">
                  <c:v>100</c:v>
                </c:pt>
                <c:pt idx="3">
                  <c:v>100</c:v>
                </c:pt>
                <c:pt idx="4">
                  <c:v>100</c:v>
                </c:pt>
                <c:pt idx="5">
                  <c:v>100</c:v>
                </c:pt>
                <c:pt idx="6">
                  <c:v>100</c:v>
                </c:pt>
                <c:pt idx="7">
                  <c:v>96.153846153846146</c:v>
                </c:pt>
                <c:pt idx="8">
                  <c:v>96.153846153846146</c:v>
                </c:pt>
              </c:numCache>
            </c:numRef>
          </c:val>
          <c:smooth val="0"/>
          <c:extLst>
            <c:ext xmlns:c16="http://schemas.microsoft.com/office/drawing/2014/chart" uri="{C3380CC4-5D6E-409C-BE32-E72D297353CC}">
              <c16:uniqueId val="{00000000-9ABF-4C1F-8A7B-328F0562C66D}"/>
            </c:ext>
          </c:extLst>
        </c:ser>
        <c:ser>
          <c:idx val="1"/>
          <c:order val="1"/>
          <c:tx>
            <c:strRef>
              <c:f>Efficiency!$T$88</c:f>
              <c:strCache>
                <c:ptCount val="1"/>
                <c:pt idx="0">
                  <c:v>Beds per Capita Over 65</c:v>
                </c:pt>
              </c:strCache>
            </c:strRef>
          </c:tx>
          <c:spPr>
            <a:ln w="28575" cap="rnd">
              <a:solidFill>
                <a:schemeClr val="accent2"/>
              </a:solidFill>
              <a:round/>
            </a:ln>
            <a:effectLst/>
          </c:spPr>
          <c:marker>
            <c:symbol val="none"/>
          </c:marker>
          <c:cat>
            <c:strRef>
              <c:f>Efficiency!$R$89:$R$99</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Efficiency!$T$89:$T$99</c:f>
              <c:numCache>
                <c:formatCode>General</c:formatCode>
                <c:ptCount val="10"/>
                <c:pt idx="0">
                  <c:v>100</c:v>
                </c:pt>
                <c:pt idx="1">
                  <c:v>94.133873805815426</c:v>
                </c:pt>
                <c:pt idx="2">
                  <c:v>95.849936003985874</c:v>
                </c:pt>
                <c:pt idx="3">
                  <c:v>93.850860279801083</c:v>
                </c:pt>
                <c:pt idx="4">
                  <c:v>91.900771038962546</c:v>
                </c:pt>
                <c:pt idx="5">
                  <c:v>89.998467888948056</c:v>
                </c:pt>
                <c:pt idx="6">
                  <c:v>88.142779852333433</c:v>
                </c:pt>
                <c:pt idx="7">
                  <c:v>83.01208139037324</c:v>
                </c:pt>
                <c:pt idx="8">
                  <c:v>81.314142286475359</c:v>
                </c:pt>
              </c:numCache>
            </c:numRef>
          </c:val>
          <c:smooth val="0"/>
          <c:extLst>
            <c:ext xmlns:c16="http://schemas.microsoft.com/office/drawing/2014/chart" uri="{C3380CC4-5D6E-409C-BE32-E72D297353CC}">
              <c16:uniqueId val="{00000001-9ABF-4C1F-8A7B-328F0562C66D}"/>
            </c:ext>
          </c:extLst>
        </c:ser>
        <c:ser>
          <c:idx val="2"/>
          <c:order val="2"/>
          <c:tx>
            <c:strRef>
              <c:f>Efficiency!$U$88</c:f>
              <c:strCache>
                <c:ptCount val="1"/>
                <c:pt idx="0">
                  <c:v>Separations per Capita</c:v>
                </c:pt>
              </c:strCache>
            </c:strRef>
          </c:tx>
          <c:spPr>
            <a:ln w="28575" cap="rnd">
              <a:solidFill>
                <a:schemeClr val="accent3"/>
              </a:solidFill>
              <a:round/>
            </a:ln>
            <a:effectLst/>
          </c:spPr>
          <c:marker>
            <c:symbol val="none"/>
          </c:marker>
          <c:cat>
            <c:strRef>
              <c:f>Efficiency!$R$89:$R$99</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Efficiency!$U$89:$U$99</c:f>
              <c:numCache>
                <c:formatCode>General</c:formatCode>
                <c:ptCount val="10"/>
                <c:pt idx="0">
                  <c:v>100</c:v>
                </c:pt>
                <c:pt idx="1">
                  <c:v>101.70239578614296</c:v>
                </c:pt>
                <c:pt idx="2">
                  <c:v>104.87788029916713</c:v>
                </c:pt>
                <c:pt idx="3">
                  <c:v>108.42335829440775</c:v>
                </c:pt>
                <c:pt idx="4">
                  <c:v>112.00257097552266</c:v>
                </c:pt>
                <c:pt idx="5">
                  <c:v>112.63614647976678</c:v>
                </c:pt>
                <c:pt idx="6">
                  <c:v>112.84308472557449</c:v>
                </c:pt>
                <c:pt idx="7">
                  <c:v>109.3130392695937</c:v>
                </c:pt>
                <c:pt idx="8">
                  <c:v>112.70717891692757</c:v>
                </c:pt>
                <c:pt idx="9">
                  <c:v>108.48939976483763</c:v>
                </c:pt>
              </c:numCache>
            </c:numRef>
          </c:val>
          <c:smooth val="0"/>
          <c:extLst>
            <c:ext xmlns:c16="http://schemas.microsoft.com/office/drawing/2014/chart" uri="{C3380CC4-5D6E-409C-BE32-E72D297353CC}">
              <c16:uniqueId val="{00000002-9ABF-4C1F-8A7B-328F0562C66D}"/>
            </c:ext>
          </c:extLst>
        </c:ser>
        <c:ser>
          <c:idx val="3"/>
          <c:order val="3"/>
          <c:tx>
            <c:strRef>
              <c:f>Efficiency!$V$88</c:f>
              <c:strCache>
                <c:ptCount val="1"/>
                <c:pt idx="0">
                  <c:v>NWAU per Capita</c:v>
                </c:pt>
              </c:strCache>
            </c:strRef>
          </c:tx>
          <c:spPr>
            <a:ln w="28575" cap="rnd">
              <a:solidFill>
                <a:schemeClr val="accent4"/>
              </a:solidFill>
              <a:round/>
            </a:ln>
            <a:effectLst/>
          </c:spPr>
          <c:marker>
            <c:symbol val="none"/>
          </c:marker>
          <c:cat>
            <c:strRef>
              <c:f>Efficiency!$R$89:$R$99</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Efficiency!$V$89:$V$99</c:f>
              <c:numCache>
                <c:formatCode>General</c:formatCode>
                <c:ptCount val="10"/>
                <c:pt idx="0">
                  <c:v>100</c:v>
                </c:pt>
                <c:pt idx="1">
                  <c:v>115.14664822653285</c:v>
                </c:pt>
                <c:pt idx="2">
                  <c:v>122.59901531333276</c:v>
                </c:pt>
                <c:pt idx="3">
                  <c:v>128.60870245273978</c:v>
                </c:pt>
                <c:pt idx="4">
                  <c:v>131.12998816385047</c:v>
                </c:pt>
                <c:pt idx="5">
                  <c:v>135.25113022807921</c:v>
                </c:pt>
                <c:pt idx="6">
                  <c:v>140.31527770526048</c:v>
                </c:pt>
                <c:pt idx="7">
                  <c:v>138.8495710164874</c:v>
                </c:pt>
                <c:pt idx="8">
                  <c:v>139.02386187716246</c:v>
                </c:pt>
                <c:pt idx="9">
                  <c:v>140.02022681907258</c:v>
                </c:pt>
              </c:numCache>
            </c:numRef>
          </c:val>
          <c:smooth val="0"/>
          <c:extLst>
            <c:ext xmlns:c16="http://schemas.microsoft.com/office/drawing/2014/chart" uri="{C3380CC4-5D6E-409C-BE32-E72D297353CC}">
              <c16:uniqueId val="{00000003-9ABF-4C1F-8A7B-328F0562C66D}"/>
            </c:ext>
          </c:extLst>
        </c:ser>
        <c:dLbls>
          <c:showLegendKey val="0"/>
          <c:showVal val="0"/>
          <c:showCatName val="0"/>
          <c:showSerName val="0"/>
          <c:showPercent val="0"/>
          <c:showBubbleSize val="0"/>
        </c:dLbls>
        <c:smooth val="0"/>
        <c:axId val="391339119"/>
        <c:axId val="391339535"/>
      </c:lineChart>
      <c:catAx>
        <c:axId val="391339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91339535"/>
        <c:crosses val="autoZero"/>
        <c:auto val="1"/>
        <c:lblAlgn val="ctr"/>
        <c:lblOffset val="100"/>
        <c:noMultiLvlLbl val="0"/>
      </c:catAx>
      <c:valAx>
        <c:axId val="391339535"/>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91339119"/>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Calibri" panose="020F0502020204030204" pitchFamily="34" charset="0"/>
          <a:cs typeface="Calibri" panose="020F0502020204030204" pitchFamily="34" charset="0"/>
        </a:defRPr>
      </a:pPr>
      <a:endParaRPr lang="en-US"/>
    </a:p>
  </c:txPr>
  <c:externalData r:id="rId3">
    <c:autoUpdate val="0"/>
  </c:externalData>
  <c:extLst>
    <c:ext xmlns:c14="http://schemas.microsoft.com/office/drawing/2007/8/2/chart" uri="{781A3756-C4B2-4CAC-9D66-4F8BD8637D16}">
      <c14:pivotOptions>
        <c14:dropZonesVisible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[20230721_Placemat Graphs.xlsx]Efficiency!PivotTable1</c:name>
    <c:fmtId val="-1"/>
  </c:pivotSource>
  <c:chart>
    <c:title>
      <c:tx>
        <c:rich>
          <a:bodyPr/>
          <a:lstStyle/>
          <a:p>
            <a:pPr>
              <a:defRPr sz="1000"/>
            </a:pPr>
            <a:r>
              <a:rPr lang="en-AU" sz="1000"/>
              <a:t>Indexed public hospital separations,</a:t>
            </a:r>
            <a:r>
              <a:rPr lang="en-AU" sz="1000" baseline="0"/>
              <a:t> bed capacity, and NWAU from 2012-2021</a:t>
            </a:r>
            <a:endParaRPr lang="en-AU" sz="1000"/>
          </a:p>
        </c:rich>
      </c:tx>
      <c:overlay val="0"/>
    </c:title>
    <c:autoTitleDeleted val="0"/>
    <c:pivotFmts>
      <c:pivotFmt>
        <c:idx val="0"/>
        <c:spPr>
          <a:solidFill>
            <a:schemeClr val="accent1"/>
          </a:solidFill>
          <a:ln w="28575" cap="rnd">
            <a:solidFill>
              <a:schemeClr val="accent1"/>
            </a:solidFill>
            <a:round/>
          </a:ln>
          <a:effectLst/>
        </c:spPr>
      </c:pivotFmt>
      <c:pivotFmt>
        <c:idx val="1"/>
        <c:spPr>
          <a:solidFill>
            <a:schemeClr val="accent1"/>
          </a:solidFill>
          <a:ln w="28575" cap="rnd">
            <a:solidFill>
              <a:schemeClr val="accent1"/>
            </a:solidFill>
            <a:round/>
          </a:ln>
          <a:effectLst/>
        </c:spPr>
      </c:pivotFmt>
      <c:pivotFmt>
        <c:idx val="2"/>
        <c:spPr>
          <a:solidFill>
            <a:schemeClr val="accent1"/>
          </a:solidFill>
          <a:ln w="28575" cap="rnd">
            <a:solidFill>
              <a:schemeClr val="accent1"/>
            </a:solidFill>
            <a:round/>
          </a:ln>
          <a:effectLst/>
        </c:spPr>
      </c:pivotFmt>
      <c:pivotFmt>
        <c:idx val="3"/>
        <c:spPr>
          <a:solidFill>
            <a:schemeClr val="accent1"/>
          </a:solidFill>
          <a:ln w="28575" cap="rnd">
            <a:solidFill>
              <a:schemeClr val="accent1"/>
            </a:solidFill>
            <a:round/>
          </a:ln>
          <a:effectLst/>
        </c:spPr>
      </c:pivotFmt>
      <c:pivotFmt>
        <c:idx val="4"/>
        <c:spPr>
          <a:ln w="28575" cap="rnd">
            <a:solidFill>
              <a:schemeClr val="accent1"/>
            </a:solidFill>
            <a:round/>
          </a:ln>
          <a:effectLst/>
        </c:spPr>
      </c:pivotFmt>
      <c:pivotFmt>
        <c:idx val="5"/>
        <c:spPr>
          <a:ln w="28575" cap="rnd">
            <a:solidFill>
              <a:schemeClr val="accent1"/>
            </a:solidFill>
            <a:round/>
          </a:ln>
          <a:effectLst/>
        </c:spPr>
      </c:pivotFmt>
      <c:pivotFmt>
        <c:idx val="6"/>
        <c:spPr>
          <a:ln w="28575" cap="rnd">
            <a:solidFill>
              <a:srgbClr val="92D050"/>
            </a:solidFill>
            <a:round/>
          </a:ln>
          <a:effectLst/>
        </c:spPr>
      </c:pivotFmt>
      <c:pivotFmt>
        <c:idx val="7"/>
        <c:spPr>
          <a:ln w="28575" cap="rnd">
            <a:solidFill>
              <a:srgbClr val="0070C0"/>
            </a:solidFill>
            <a:prstDash val="sysDash"/>
            <a:round/>
          </a:ln>
          <a:effectLst/>
        </c:spPr>
      </c:pivotFmt>
      <c:pivotFmt>
        <c:idx val="8"/>
        <c:spPr>
          <a:ln>
            <a:solidFill>
              <a:srgbClr val="FFC000"/>
            </a:solidFill>
            <a:prstDash val="lgDash"/>
          </a:ln>
        </c:spPr>
      </c:pivotFmt>
      <c:pivotFmt>
        <c:idx val="9"/>
        <c:dLbl>
          <c:idx val="0"/>
          <c:numFmt formatCode="#,##0" sourceLinked="0"/>
          <c:spPr>
            <a:noFill/>
            <a:ln>
              <a:noFill/>
            </a:ln>
            <a:effectLst/>
          </c:spPr>
          <c:txPr>
            <a:bodyPr wrap="square" lIns="38100" tIns="19050" rIns="38100" bIns="19050" anchor="ctr">
              <a:spAutoFit/>
            </a:bodyPr>
            <a:lstStyle/>
            <a:p>
              <a:pPr>
                <a:defRPr b="1">
                  <a:solidFill>
                    <a:srgbClr val="FFC00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0"/>
        <c:dLbl>
          <c:idx val="0"/>
          <c:numFmt formatCode="#,##0" sourceLinked="0"/>
          <c:spPr>
            <a:noFill/>
            <a:ln>
              <a:noFill/>
            </a:ln>
            <a:effectLst/>
          </c:spPr>
          <c:txPr>
            <a:bodyPr wrap="square" lIns="38100" tIns="19050" rIns="38100" bIns="19050" anchor="ctr">
              <a:spAutoFit/>
            </a:bodyPr>
            <a:lstStyle/>
            <a:p>
              <a:pPr>
                <a:defRPr b="1">
                  <a:solidFill>
                    <a:srgbClr val="0070C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1"/>
        <c:dLbl>
          <c:idx val="0"/>
          <c:numFmt formatCode="#,##0" sourceLinked="0"/>
          <c:spPr>
            <a:noFill/>
            <a:ln>
              <a:noFill/>
            </a:ln>
            <a:effectLst/>
          </c:spPr>
          <c:txPr>
            <a:bodyPr wrap="square" lIns="38100" tIns="19050" rIns="38100" bIns="19050" anchor="ctr">
              <a:spAutoFit/>
            </a:bodyPr>
            <a:lstStyle/>
            <a:p>
              <a:pPr>
                <a:defRPr b="1">
                  <a:solidFill>
                    <a:srgbClr val="92D05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2"/>
        <c:dLbl>
          <c:idx val="0"/>
          <c:numFmt formatCode="#,##0" sourceLinked="0"/>
          <c:spPr>
            <a:noFill/>
            <a:ln>
              <a:noFill/>
            </a:ln>
            <a:effectLst/>
          </c:spPr>
          <c:txPr>
            <a:bodyPr wrap="square" lIns="38100" tIns="19050" rIns="38100" bIns="19050" anchor="ctr">
              <a:spAutoFit/>
            </a:bodyPr>
            <a:lstStyle/>
            <a:p>
              <a:pPr>
                <a:defRPr b="1">
                  <a:solidFill>
                    <a:schemeClr val="bg2">
                      <a:lumMod val="50000"/>
                    </a:schemeClr>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3"/>
        <c:spPr>
          <a:ln>
            <a:solidFill>
              <a:srgbClr val="00B050"/>
            </a:solidFill>
            <a:prstDash val="dashDot"/>
          </a:ln>
        </c:spPr>
      </c:pivotFmt>
      <c:pivotFmt>
        <c:idx val="14"/>
        <c:dLbl>
          <c:idx val="0"/>
          <c:numFmt formatCode="#,##0" sourceLinked="0"/>
          <c:spPr>
            <a:noFill/>
            <a:ln>
              <a:noFill/>
            </a:ln>
            <a:effectLst/>
          </c:spPr>
          <c:txPr>
            <a:bodyPr wrap="square" lIns="38100" tIns="19050" rIns="38100" bIns="19050" anchor="ctr">
              <a:spAutoFit/>
            </a:bodyPr>
            <a:lstStyle/>
            <a:p>
              <a:pPr>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5"/>
        <c:spPr>
          <a:ln w="28575" cap="rnd">
            <a:solidFill>
              <a:srgbClr val="92D050"/>
            </a:solidFill>
            <a:round/>
          </a:ln>
          <a:effectLst/>
        </c:spPr>
      </c:pivotFmt>
      <c:pivotFmt>
        <c:idx val="16"/>
        <c:dLbl>
          <c:idx val="0"/>
          <c:numFmt formatCode="#,##0" sourceLinked="0"/>
          <c:spPr>
            <a:noFill/>
            <a:ln>
              <a:noFill/>
            </a:ln>
            <a:effectLst/>
          </c:spPr>
          <c:txPr>
            <a:bodyPr wrap="square" lIns="38100" tIns="19050" rIns="38100" bIns="19050" anchor="ctr">
              <a:spAutoFit/>
            </a:bodyPr>
            <a:lstStyle/>
            <a:p>
              <a:pPr>
                <a:defRPr b="1">
                  <a:solidFill>
                    <a:srgbClr val="92D05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7"/>
        <c:spPr>
          <a:ln>
            <a:solidFill>
              <a:srgbClr val="00B050"/>
            </a:solidFill>
            <a:prstDash val="dashDot"/>
          </a:ln>
        </c:spPr>
      </c:pivotFmt>
      <c:pivotFmt>
        <c:idx val="18"/>
        <c:dLbl>
          <c:idx val="0"/>
          <c:numFmt formatCode="#,##0" sourceLinked="0"/>
          <c:spPr>
            <a:noFill/>
            <a:ln>
              <a:noFill/>
            </a:ln>
            <a:effectLst/>
          </c:spPr>
          <c:txPr>
            <a:bodyPr wrap="square" lIns="38100" tIns="19050" rIns="38100" bIns="19050" anchor="ctr">
              <a:spAutoFit/>
            </a:bodyPr>
            <a:lstStyle/>
            <a:p>
              <a:pPr>
                <a:defRPr>
                  <a:solidFill>
                    <a:srgbClr val="00B05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9"/>
        <c:spPr>
          <a:ln w="28575" cap="rnd">
            <a:solidFill>
              <a:srgbClr val="0070C0"/>
            </a:solidFill>
            <a:prstDash val="sysDash"/>
            <a:round/>
          </a:ln>
          <a:effectLst/>
        </c:spPr>
      </c:pivotFmt>
      <c:pivotFmt>
        <c:idx val="20"/>
        <c:dLbl>
          <c:idx val="0"/>
          <c:numFmt formatCode="#,##0" sourceLinked="0"/>
          <c:spPr>
            <a:noFill/>
            <a:ln>
              <a:noFill/>
            </a:ln>
            <a:effectLst/>
          </c:spPr>
          <c:txPr>
            <a:bodyPr wrap="square" lIns="38100" tIns="19050" rIns="38100" bIns="19050" anchor="ctr">
              <a:spAutoFit/>
            </a:bodyPr>
            <a:lstStyle/>
            <a:p>
              <a:pPr>
                <a:defRPr b="1">
                  <a:solidFill>
                    <a:srgbClr val="0070C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1"/>
        <c:spPr>
          <a:ln>
            <a:solidFill>
              <a:srgbClr val="FFC000"/>
            </a:solidFill>
            <a:prstDash val="lgDash"/>
          </a:ln>
        </c:spPr>
      </c:pivotFmt>
      <c:pivotFmt>
        <c:idx val="22"/>
        <c:dLbl>
          <c:idx val="0"/>
          <c:numFmt formatCode="#,##0" sourceLinked="0"/>
          <c:spPr>
            <a:noFill/>
            <a:ln>
              <a:noFill/>
            </a:ln>
            <a:effectLst/>
          </c:spPr>
          <c:txPr>
            <a:bodyPr wrap="square" lIns="38100" tIns="19050" rIns="38100" bIns="19050" anchor="ctr">
              <a:spAutoFit/>
            </a:bodyPr>
            <a:lstStyle/>
            <a:p>
              <a:pPr>
                <a:defRPr b="1">
                  <a:solidFill>
                    <a:schemeClr val="bg2">
                      <a:lumMod val="50000"/>
                    </a:schemeClr>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3"/>
        <c:dLbl>
          <c:idx val="0"/>
          <c:numFmt formatCode="#,##0" sourceLinked="0"/>
          <c:spPr>
            <a:noFill/>
            <a:ln>
              <a:noFill/>
            </a:ln>
            <a:effectLst/>
          </c:spPr>
          <c:txPr>
            <a:bodyPr wrap="square" lIns="38100" tIns="19050" rIns="38100" bIns="19050" anchor="ctr">
              <a:spAutoFit/>
            </a:bodyPr>
            <a:lstStyle/>
            <a:p>
              <a:pPr>
                <a:defRPr b="1">
                  <a:solidFill>
                    <a:srgbClr val="FFC00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4"/>
        <c:spPr>
          <a:ln>
            <a:solidFill>
              <a:srgbClr val="FF0000"/>
            </a:solidFill>
          </a:ln>
        </c:spPr>
      </c:pivotFmt>
      <c:pivotFmt>
        <c:idx val="25"/>
        <c:dLbl>
          <c:idx val="0"/>
          <c:numFmt formatCode="#,##0" sourceLinked="0"/>
          <c:spPr>
            <a:noFill/>
            <a:ln>
              <a:noFill/>
            </a:ln>
            <a:effectLst/>
          </c:spPr>
          <c:txPr>
            <a:bodyPr wrap="square" lIns="38100" tIns="19050" rIns="38100" bIns="19050" anchor="ctr">
              <a:spAutoFit/>
            </a:bodyPr>
            <a:lstStyle/>
            <a:p>
              <a:pPr>
                <a:defRPr b="1">
                  <a:solidFill>
                    <a:srgbClr val="FF000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6"/>
        <c:spPr>
          <a:ln w="28575" cap="rnd">
            <a:solidFill>
              <a:srgbClr val="92D050"/>
            </a:solidFill>
            <a:round/>
          </a:ln>
          <a:effectLst/>
        </c:spPr>
      </c:pivotFmt>
      <c:pivotFmt>
        <c:idx val="27"/>
        <c:dLbl>
          <c:idx val="0"/>
          <c:numFmt formatCode="#,##0" sourceLinked="0"/>
          <c:spPr>
            <a:noFill/>
            <a:ln>
              <a:noFill/>
            </a:ln>
            <a:effectLst/>
          </c:spPr>
          <c:txPr>
            <a:bodyPr wrap="square" lIns="38100" tIns="19050" rIns="38100" bIns="19050" anchor="ctr">
              <a:spAutoFit/>
            </a:bodyPr>
            <a:lstStyle/>
            <a:p>
              <a:pPr>
                <a:defRPr b="1">
                  <a:solidFill>
                    <a:srgbClr val="92D05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8"/>
        <c:spPr>
          <a:ln>
            <a:solidFill>
              <a:srgbClr val="00B050"/>
            </a:solidFill>
            <a:prstDash val="dashDot"/>
          </a:ln>
        </c:spPr>
      </c:pivotFmt>
      <c:pivotFmt>
        <c:idx val="29"/>
        <c:dLbl>
          <c:idx val="0"/>
          <c:numFmt formatCode="#,##0" sourceLinked="0"/>
          <c:spPr>
            <a:noFill/>
            <a:ln>
              <a:noFill/>
            </a:ln>
            <a:effectLst/>
          </c:spPr>
          <c:txPr>
            <a:bodyPr wrap="square" lIns="38100" tIns="19050" rIns="38100" bIns="19050" anchor="ctr">
              <a:spAutoFit/>
            </a:bodyPr>
            <a:lstStyle/>
            <a:p>
              <a:pPr>
                <a:defRPr>
                  <a:solidFill>
                    <a:srgbClr val="00B05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0"/>
        <c:spPr>
          <a:ln w="28575" cap="rnd">
            <a:solidFill>
              <a:srgbClr val="0070C0"/>
            </a:solidFill>
            <a:prstDash val="sysDash"/>
            <a:round/>
          </a:ln>
          <a:effectLst/>
        </c:spPr>
      </c:pivotFmt>
      <c:pivotFmt>
        <c:idx val="31"/>
        <c:dLbl>
          <c:idx val="0"/>
          <c:numFmt formatCode="#,##0" sourceLinked="0"/>
          <c:spPr>
            <a:noFill/>
            <a:ln>
              <a:noFill/>
            </a:ln>
            <a:effectLst/>
          </c:spPr>
          <c:txPr>
            <a:bodyPr wrap="square" lIns="38100" tIns="19050" rIns="38100" bIns="19050" anchor="ctr">
              <a:spAutoFit/>
            </a:bodyPr>
            <a:lstStyle/>
            <a:p>
              <a:pPr>
                <a:defRPr b="1">
                  <a:solidFill>
                    <a:srgbClr val="0070C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2"/>
        <c:spPr>
          <a:ln>
            <a:solidFill>
              <a:srgbClr val="FFC000"/>
            </a:solidFill>
            <a:prstDash val="lgDash"/>
          </a:ln>
        </c:spPr>
      </c:pivotFmt>
      <c:pivotFmt>
        <c:idx val="33"/>
        <c:dLbl>
          <c:idx val="0"/>
          <c:numFmt formatCode="#,##0" sourceLinked="0"/>
          <c:spPr>
            <a:noFill/>
            <a:ln>
              <a:noFill/>
            </a:ln>
            <a:effectLst/>
          </c:spPr>
          <c:txPr>
            <a:bodyPr wrap="square" lIns="38100" tIns="19050" rIns="38100" bIns="19050" anchor="ctr">
              <a:spAutoFit/>
            </a:bodyPr>
            <a:lstStyle/>
            <a:p>
              <a:pPr>
                <a:defRPr b="1">
                  <a:solidFill>
                    <a:schemeClr val="bg2">
                      <a:lumMod val="50000"/>
                    </a:schemeClr>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4"/>
        <c:dLbl>
          <c:idx val="0"/>
          <c:numFmt formatCode="#,##0" sourceLinked="0"/>
          <c:spPr>
            <a:noFill/>
            <a:ln>
              <a:noFill/>
            </a:ln>
            <a:effectLst/>
          </c:spPr>
          <c:txPr>
            <a:bodyPr wrap="square" lIns="38100" tIns="19050" rIns="38100" bIns="19050" anchor="ctr">
              <a:spAutoFit/>
            </a:bodyPr>
            <a:lstStyle/>
            <a:p>
              <a:pPr>
                <a:defRPr b="1">
                  <a:solidFill>
                    <a:srgbClr val="FFC00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5"/>
        <c:spPr>
          <a:ln>
            <a:solidFill>
              <a:srgbClr val="FF0000"/>
            </a:solidFill>
          </a:ln>
        </c:spPr>
      </c:pivotFmt>
      <c:pivotFmt>
        <c:idx val="36"/>
        <c:dLbl>
          <c:idx val="0"/>
          <c:numFmt formatCode="#,##0" sourceLinked="0"/>
          <c:spPr>
            <a:noFill/>
            <a:ln>
              <a:noFill/>
            </a:ln>
            <a:effectLst/>
          </c:spPr>
          <c:txPr>
            <a:bodyPr wrap="square" lIns="38100" tIns="19050" rIns="38100" bIns="19050" anchor="ctr">
              <a:spAutoFit/>
            </a:bodyPr>
            <a:lstStyle/>
            <a:p>
              <a:pPr>
                <a:defRPr b="1">
                  <a:solidFill>
                    <a:srgbClr val="FF000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7"/>
        <c:spPr>
          <a:ln w="28575" cap="rnd">
            <a:solidFill>
              <a:srgbClr val="92D050"/>
            </a:solidFill>
            <a:round/>
          </a:ln>
          <a:effectLst/>
        </c:spPr>
      </c:pivotFmt>
      <c:pivotFmt>
        <c:idx val="38"/>
        <c:dLbl>
          <c:idx val="0"/>
          <c:numFmt formatCode="#,##0" sourceLinked="0"/>
          <c:spPr>
            <a:noFill/>
            <a:ln>
              <a:noFill/>
            </a:ln>
            <a:effectLst/>
          </c:spPr>
          <c:txPr>
            <a:bodyPr wrap="square" lIns="38100" tIns="19050" rIns="38100" bIns="19050" anchor="ctr">
              <a:spAutoFit/>
            </a:bodyPr>
            <a:lstStyle/>
            <a:p>
              <a:pPr>
                <a:defRPr b="1">
                  <a:solidFill>
                    <a:srgbClr val="92D05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9"/>
        <c:spPr>
          <a:ln>
            <a:solidFill>
              <a:srgbClr val="00B050"/>
            </a:solidFill>
            <a:prstDash val="dashDot"/>
          </a:ln>
        </c:spPr>
      </c:pivotFmt>
      <c:pivotFmt>
        <c:idx val="40"/>
        <c:dLbl>
          <c:idx val="0"/>
          <c:numFmt formatCode="#,##0" sourceLinked="0"/>
          <c:spPr>
            <a:noFill/>
            <a:ln>
              <a:noFill/>
            </a:ln>
            <a:effectLst/>
          </c:spPr>
          <c:txPr>
            <a:bodyPr wrap="square" lIns="38100" tIns="19050" rIns="38100" bIns="19050" anchor="ctr">
              <a:spAutoFit/>
            </a:bodyPr>
            <a:lstStyle/>
            <a:p>
              <a:pPr>
                <a:defRPr>
                  <a:solidFill>
                    <a:srgbClr val="00B05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1"/>
        <c:spPr>
          <a:ln w="28575" cap="rnd">
            <a:solidFill>
              <a:srgbClr val="0070C0"/>
            </a:solidFill>
            <a:prstDash val="sysDash"/>
            <a:round/>
          </a:ln>
          <a:effectLst/>
        </c:spPr>
      </c:pivotFmt>
      <c:pivotFmt>
        <c:idx val="42"/>
        <c:dLbl>
          <c:idx val="0"/>
          <c:numFmt formatCode="#,##0" sourceLinked="0"/>
          <c:spPr>
            <a:noFill/>
            <a:ln>
              <a:noFill/>
            </a:ln>
            <a:effectLst/>
          </c:spPr>
          <c:txPr>
            <a:bodyPr wrap="square" lIns="38100" tIns="19050" rIns="38100" bIns="19050" anchor="ctr">
              <a:spAutoFit/>
            </a:bodyPr>
            <a:lstStyle/>
            <a:p>
              <a:pPr>
                <a:defRPr b="1">
                  <a:solidFill>
                    <a:srgbClr val="0070C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3"/>
        <c:spPr>
          <a:ln>
            <a:solidFill>
              <a:srgbClr val="FFC000"/>
            </a:solidFill>
            <a:prstDash val="lgDash"/>
          </a:ln>
        </c:spPr>
      </c:pivotFmt>
      <c:pivotFmt>
        <c:idx val="44"/>
        <c:dLbl>
          <c:idx val="0"/>
          <c:numFmt formatCode="#,##0" sourceLinked="0"/>
          <c:spPr>
            <a:noFill/>
            <a:ln>
              <a:noFill/>
            </a:ln>
            <a:effectLst/>
          </c:spPr>
          <c:txPr>
            <a:bodyPr wrap="square" lIns="38100" tIns="19050" rIns="38100" bIns="19050" anchor="ctr">
              <a:spAutoFit/>
            </a:bodyPr>
            <a:lstStyle/>
            <a:p>
              <a:pPr>
                <a:defRPr b="1">
                  <a:solidFill>
                    <a:schemeClr val="bg2">
                      <a:lumMod val="50000"/>
                    </a:schemeClr>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5"/>
        <c:dLbl>
          <c:idx val="0"/>
          <c:numFmt formatCode="#,##0" sourceLinked="0"/>
          <c:spPr>
            <a:noFill/>
            <a:ln>
              <a:noFill/>
            </a:ln>
            <a:effectLst/>
          </c:spPr>
          <c:txPr>
            <a:bodyPr wrap="square" lIns="38100" tIns="19050" rIns="38100" bIns="19050" anchor="ctr">
              <a:spAutoFit/>
            </a:bodyPr>
            <a:lstStyle/>
            <a:p>
              <a:pPr>
                <a:defRPr b="1">
                  <a:solidFill>
                    <a:srgbClr val="FFC00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6"/>
        <c:spPr>
          <a:ln>
            <a:solidFill>
              <a:srgbClr val="FF0000"/>
            </a:solidFill>
          </a:ln>
        </c:spPr>
      </c:pivotFmt>
      <c:pivotFmt>
        <c:idx val="47"/>
        <c:dLbl>
          <c:idx val="0"/>
          <c:numFmt formatCode="#,##0" sourceLinked="0"/>
          <c:spPr>
            <a:noFill/>
            <a:ln>
              <a:noFill/>
            </a:ln>
            <a:effectLst/>
          </c:spPr>
          <c:txPr>
            <a:bodyPr wrap="square" lIns="38100" tIns="19050" rIns="38100" bIns="19050" anchor="ctr">
              <a:spAutoFit/>
            </a:bodyPr>
            <a:lstStyle/>
            <a:p>
              <a:pPr>
                <a:defRPr b="1">
                  <a:solidFill>
                    <a:srgbClr val="FF000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8"/>
        <c:spPr>
          <a:ln w="28575" cap="rnd">
            <a:solidFill>
              <a:srgbClr val="92D050"/>
            </a:solidFill>
            <a:round/>
          </a:ln>
          <a:effectLst/>
        </c:spPr>
      </c:pivotFmt>
      <c:pivotFmt>
        <c:idx val="49"/>
        <c:dLbl>
          <c:idx val="0"/>
          <c:numFmt formatCode="#,##0" sourceLinked="0"/>
          <c:spPr>
            <a:noFill/>
            <a:ln>
              <a:noFill/>
            </a:ln>
            <a:effectLst/>
          </c:spPr>
          <c:txPr>
            <a:bodyPr wrap="square" lIns="38100" tIns="19050" rIns="38100" bIns="19050" anchor="ctr">
              <a:spAutoFit/>
            </a:bodyPr>
            <a:lstStyle/>
            <a:p>
              <a:pPr>
                <a:defRPr b="1">
                  <a:solidFill>
                    <a:srgbClr val="92D05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50"/>
        <c:spPr>
          <a:ln>
            <a:solidFill>
              <a:srgbClr val="00B050"/>
            </a:solidFill>
            <a:prstDash val="dashDot"/>
          </a:ln>
        </c:spPr>
      </c:pivotFmt>
      <c:pivotFmt>
        <c:idx val="51"/>
        <c:dLbl>
          <c:idx val="0"/>
          <c:numFmt formatCode="#,##0" sourceLinked="0"/>
          <c:spPr>
            <a:noFill/>
            <a:ln>
              <a:noFill/>
            </a:ln>
            <a:effectLst/>
          </c:spPr>
          <c:txPr>
            <a:bodyPr wrap="square" lIns="38100" tIns="19050" rIns="38100" bIns="19050" anchor="ctr">
              <a:spAutoFit/>
            </a:bodyPr>
            <a:lstStyle/>
            <a:p>
              <a:pPr>
                <a:defRPr>
                  <a:solidFill>
                    <a:srgbClr val="00B05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52"/>
        <c:spPr>
          <a:ln w="28575" cap="rnd">
            <a:solidFill>
              <a:srgbClr val="0070C0"/>
            </a:solidFill>
            <a:prstDash val="sysDash"/>
            <a:round/>
          </a:ln>
          <a:effectLst/>
        </c:spPr>
      </c:pivotFmt>
      <c:pivotFmt>
        <c:idx val="53"/>
        <c:dLbl>
          <c:idx val="0"/>
          <c:numFmt formatCode="#,##0" sourceLinked="0"/>
          <c:spPr>
            <a:noFill/>
            <a:ln>
              <a:noFill/>
            </a:ln>
            <a:effectLst/>
          </c:spPr>
          <c:txPr>
            <a:bodyPr wrap="square" lIns="38100" tIns="19050" rIns="38100" bIns="19050" anchor="ctr">
              <a:spAutoFit/>
            </a:bodyPr>
            <a:lstStyle/>
            <a:p>
              <a:pPr>
                <a:defRPr b="1">
                  <a:solidFill>
                    <a:srgbClr val="0070C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54"/>
        <c:spPr>
          <a:ln>
            <a:solidFill>
              <a:srgbClr val="FFC000"/>
            </a:solidFill>
            <a:prstDash val="lgDash"/>
          </a:ln>
        </c:spPr>
      </c:pivotFmt>
      <c:pivotFmt>
        <c:idx val="55"/>
        <c:dLbl>
          <c:idx val="0"/>
          <c:numFmt formatCode="#,##0" sourceLinked="0"/>
          <c:spPr>
            <a:noFill/>
            <a:ln>
              <a:noFill/>
            </a:ln>
            <a:effectLst/>
          </c:spPr>
          <c:txPr>
            <a:bodyPr wrap="square" lIns="38100" tIns="19050" rIns="38100" bIns="19050" anchor="ctr">
              <a:spAutoFit/>
            </a:bodyPr>
            <a:lstStyle/>
            <a:p>
              <a:pPr>
                <a:defRPr b="1">
                  <a:solidFill>
                    <a:schemeClr val="bg2">
                      <a:lumMod val="50000"/>
                    </a:schemeClr>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56"/>
        <c:dLbl>
          <c:idx val="0"/>
          <c:numFmt formatCode="#,##0" sourceLinked="0"/>
          <c:spPr>
            <a:noFill/>
            <a:ln>
              <a:noFill/>
            </a:ln>
            <a:effectLst/>
          </c:spPr>
          <c:txPr>
            <a:bodyPr wrap="square" lIns="38100" tIns="19050" rIns="38100" bIns="19050" anchor="ctr">
              <a:spAutoFit/>
            </a:bodyPr>
            <a:lstStyle/>
            <a:p>
              <a:pPr>
                <a:defRPr b="1">
                  <a:solidFill>
                    <a:srgbClr val="FFC00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57"/>
        <c:spPr>
          <a:ln>
            <a:solidFill>
              <a:srgbClr val="FF0000"/>
            </a:solidFill>
          </a:ln>
        </c:spPr>
      </c:pivotFmt>
      <c:pivotFmt>
        <c:idx val="58"/>
        <c:dLbl>
          <c:idx val="0"/>
          <c:numFmt formatCode="#,##0" sourceLinked="0"/>
          <c:spPr>
            <a:noFill/>
            <a:ln>
              <a:noFill/>
            </a:ln>
            <a:effectLst/>
          </c:spPr>
          <c:txPr>
            <a:bodyPr wrap="square" lIns="38100" tIns="19050" rIns="38100" bIns="19050" anchor="ctr">
              <a:spAutoFit/>
            </a:bodyPr>
            <a:lstStyle/>
            <a:p>
              <a:pPr>
                <a:defRPr b="1">
                  <a:solidFill>
                    <a:srgbClr val="FF000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59"/>
        <c:spPr>
          <a:ln w="28575" cap="rnd">
            <a:solidFill>
              <a:srgbClr val="92D050"/>
            </a:solidFill>
            <a:round/>
          </a:ln>
          <a:effectLst/>
        </c:spPr>
      </c:pivotFmt>
      <c:pivotFmt>
        <c:idx val="60"/>
        <c:dLbl>
          <c:idx val="0"/>
          <c:numFmt formatCode="#,##0" sourceLinked="0"/>
          <c:spPr>
            <a:noFill/>
            <a:ln>
              <a:noFill/>
            </a:ln>
            <a:effectLst/>
          </c:spPr>
          <c:txPr>
            <a:bodyPr wrap="square" lIns="38100" tIns="19050" rIns="38100" bIns="19050" anchor="ctr">
              <a:spAutoFit/>
            </a:bodyPr>
            <a:lstStyle/>
            <a:p>
              <a:pPr>
                <a:defRPr b="1">
                  <a:solidFill>
                    <a:srgbClr val="92D05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61"/>
        <c:spPr>
          <a:ln>
            <a:solidFill>
              <a:srgbClr val="00B050"/>
            </a:solidFill>
            <a:prstDash val="dashDot"/>
          </a:ln>
        </c:spPr>
      </c:pivotFmt>
      <c:pivotFmt>
        <c:idx val="62"/>
        <c:dLbl>
          <c:idx val="0"/>
          <c:numFmt formatCode="#,##0" sourceLinked="0"/>
          <c:spPr>
            <a:noFill/>
            <a:ln>
              <a:noFill/>
            </a:ln>
            <a:effectLst/>
          </c:spPr>
          <c:txPr>
            <a:bodyPr wrap="square" lIns="38100" tIns="19050" rIns="38100" bIns="19050" anchor="ctr">
              <a:spAutoFit/>
            </a:bodyPr>
            <a:lstStyle/>
            <a:p>
              <a:pPr>
                <a:defRPr b="1"/>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63"/>
        <c:spPr>
          <a:ln w="28575" cap="rnd">
            <a:solidFill>
              <a:srgbClr val="0070C0"/>
            </a:solidFill>
            <a:prstDash val="sysDash"/>
            <a:round/>
          </a:ln>
          <a:effectLst/>
        </c:spPr>
      </c:pivotFmt>
      <c:pivotFmt>
        <c:idx val="64"/>
        <c:dLbl>
          <c:idx val="0"/>
          <c:numFmt formatCode="#,##0" sourceLinked="0"/>
          <c:spPr>
            <a:noFill/>
            <a:ln>
              <a:noFill/>
            </a:ln>
            <a:effectLst/>
          </c:spPr>
          <c:txPr>
            <a:bodyPr wrap="square" lIns="38100" tIns="19050" rIns="38100" bIns="19050" anchor="ctr">
              <a:spAutoFit/>
            </a:bodyPr>
            <a:lstStyle/>
            <a:p>
              <a:pPr>
                <a:defRPr b="1">
                  <a:solidFill>
                    <a:srgbClr val="0070C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65"/>
        <c:spPr>
          <a:ln>
            <a:solidFill>
              <a:srgbClr val="FFC000"/>
            </a:solidFill>
            <a:prstDash val="lgDash"/>
          </a:ln>
        </c:spPr>
      </c:pivotFmt>
      <c:pivotFmt>
        <c:idx val="66"/>
        <c:dLbl>
          <c:idx val="0"/>
          <c:numFmt formatCode="#,##0" sourceLinked="0"/>
          <c:spPr>
            <a:noFill/>
            <a:ln>
              <a:noFill/>
            </a:ln>
            <a:effectLst/>
          </c:spPr>
          <c:txPr>
            <a:bodyPr wrap="square" lIns="38100" tIns="19050" rIns="38100" bIns="19050" anchor="ctr">
              <a:spAutoFit/>
            </a:bodyPr>
            <a:lstStyle/>
            <a:p>
              <a:pPr>
                <a:defRPr b="1">
                  <a:solidFill>
                    <a:schemeClr val="bg2">
                      <a:lumMod val="50000"/>
                    </a:schemeClr>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67"/>
        <c:dLbl>
          <c:idx val="0"/>
          <c:numFmt formatCode="#,##0" sourceLinked="0"/>
          <c:spPr>
            <a:noFill/>
            <a:ln>
              <a:noFill/>
            </a:ln>
            <a:effectLst/>
          </c:spPr>
          <c:txPr>
            <a:bodyPr wrap="square" lIns="38100" tIns="19050" rIns="38100" bIns="19050" anchor="ctr">
              <a:spAutoFit/>
            </a:bodyPr>
            <a:lstStyle/>
            <a:p>
              <a:pPr>
                <a:defRPr b="1">
                  <a:solidFill>
                    <a:srgbClr val="FFC00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68"/>
        <c:spPr>
          <a:ln>
            <a:solidFill>
              <a:srgbClr val="FF0000"/>
            </a:solidFill>
          </a:ln>
        </c:spPr>
      </c:pivotFmt>
      <c:pivotFmt>
        <c:idx val="69"/>
        <c:dLbl>
          <c:idx val="0"/>
          <c:numFmt formatCode="#,##0" sourceLinked="0"/>
          <c:spPr>
            <a:noFill/>
            <a:ln>
              <a:noFill/>
            </a:ln>
            <a:effectLst/>
          </c:spPr>
          <c:txPr>
            <a:bodyPr wrap="square" lIns="38100" tIns="19050" rIns="38100" bIns="19050" anchor="ctr">
              <a:spAutoFit/>
            </a:bodyPr>
            <a:lstStyle/>
            <a:p>
              <a:pPr>
                <a:defRPr b="1">
                  <a:solidFill>
                    <a:srgbClr val="FF000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70"/>
        <c:spPr>
          <a:ln w="28575" cap="rnd">
            <a:solidFill>
              <a:srgbClr val="92D050"/>
            </a:solidFill>
            <a:round/>
          </a:ln>
          <a:effectLst/>
        </c:spPr>
      </c:pivotFmt>
      <c:pivotFmt>
        <c:idx val="71"/>
        <c:dLbl>
          <c:idx val="0"/>
          <c:numFmt formatCode="#,##0" sourceLinked="0"/>
          <c:spPr>
            <a:noFill/>
            <a:ln>
              <a:noFill/>
            </a:ln>
            <a:effectLst/>
          </c:spPr>
          <c:txPr>
            <a:bodyPr wrap="square" lIns="38100" tIns="19050" rIns="38100" bIns="19050" anchor="ctr">
              <a:spAutoFit/>
            </a:bodyPr>
            <a:lstStyle/>
            <a:p>
              <a:pPr>
                <a:defRPr b="1">
                  <a:solidFill>
                    <a:srgbClr val="92D05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72"/>
        <c:spPr>
          <a:ln>
            <a:solidFill>
              <a:srgbClr val="00B050"/>
            </a:solidFill>
            <a:prstDash val="dashDot"/>
          </a:ln>
        </c:spPr>
      </c:pivotFmt>
      <c:pivotFmt>
        <c:idx val="73"/>
        <c:dLbl>
          <c:idx val="0"/>
          <c:numFmt formatCode="#,##0" sourceLinked="0"/>
          <c:spPr>
            <a:noFill/>
            <a:ln>
              <a:noFill/>
            </a:ln>
            <a:effectLst/>
          </c:spPr>
          <c:txPr>
            <a:bodyPr wrap="square" lIns="38100" tIns="19050" rIns="38100" bIns="19050" anchor="ctr">
              <a:spAutoFit/>
            </a:bodyPr>
            <a:lstStyle/>
            <a:p>
              <a:pPr>
                <a:defRPr b="1"/>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74"/>
        <c:spPr>
          <a:ln w="28575" cap="rnd">
            <a:solidFill>
              <a:srgbClr val="0070C0"/>
            </a:solidFill>
            <a:prstDash val="sysDash"/>
            <a:round/>
          </a:ln>
          <a:effectLst/>
        </c:spPr>
      </c:pivotFmt>
      <c:pivotFmt>
        <c:idx val="75"/>
        <c:dLbl>
          <c:idx val="0"/>
          <c:numFmt formatCode="#,##0" sourceLinked="0"/>
          <c:spPr>
            <a:noFill/>
            <a:ln>
              <a:noFill/>
            </a:ln>
            <a:effectLst/>
          </c:spPr>
          <c:txPr>
            <a:bodyPr wrap="square" lIns="38100" tIns="19050" rIns="38100" bIns="19050" anchor="ctr">
              <a:spAutoFit/>
            </a:bodyPr>
            <a:lstStyle/>
            <a:p>
              <a:pPr>
                <a:defRPr b="1">
                  <a:solidFill>
                    <a:srgbClr val="0070C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76"/>
        <c:spPr>
          <a:ln>
            <a:solidFill>
              <a:srgbClr val="FFC000"/>
            </a:solidFill>
            <a:prstDash val="lgDash"/>
          </a:ln>
        </c:spPr>
      </c:pivotFmt>
      <c:pivotFmt>
        <c:idx val="77"/>
        <c:dLbl>
          <c:idx val="0"/>
          <c:numFmt formatCode="#,##0" sourceLinked="0"/>
          <c:spPr>
            <a:noFill/>
            <a:ln>
              <a:noFill/>
            </a:ln>
            <a:effectLst/>
          </c:spPr>
          <c:txPr>
            <a:bodyPr wrap="square" lIns="38100" tIns="19050" rIns="38100" bIns="19050" anchor="ctr">
              <a:spAutoFit/>
            </a:bodyPr>
            <a:lstStyle/>
            <a:p>
              <a:pPr>
                <a:defRPr b="1">
                  <a:solidFill>
                    <a:schemeClr val="bg2">
                      <a:lumMod val="50000"/>
                    </a:schemeClr>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78"/>
        <c:dLbl>
          <c:idx val="0"/>
          <c:numFmt formatCode="#,##0" sourceLinked="0"/>
          <c:spPr>
            <a:noFill/>
            <a:ln>
              <a:noFill/>
            </a:ln>
            <a:effectLst/>
          </c:spPr>
          <c:txPr>
            <a:bodyPr wrap="square" lIns="38100" tIns="19050" rIns="38100" bIns="19050" anchor="ctr">
              <a:spAutoFit/>
            </a:bodyPr>
            <a:lstStyle/>
            <a:p>
              <a:pPr>
                <a:defRPr b="1">
                  <a:solidFill>
                    <a:srgbClr val="FFC00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79"/>
        <c:spPr>
          <a:ln w="28575" cap="rnd">
            <a:solidFill>
              <a:srgbClr val="92D050"/>
            </a:solidFill>
            <a:round/>
          </a:ln>
          <a:effectLst/>
        </c:spPr>
      </c:pivotFmt>
      <c:pivotFmt>
        <c:idx val="80"/>
        <c:dLbl>
          <c:idx val="0"/>
          <c:numFmt formatCode="#,##0" sourceLinked="0"/>
          <c:spPr>
            <a:noFill/>
            <a:ln>
              <a:noFill/>
            </a:ln>
            <a:effectLst/>
          </c:spPr>
          <c:txPr>
            <a:bodyPr wrap="square" lIns="38100" tIns="19050" rIns="38100" bIns="19050" anchor="ctr">
              <a:spAutoFit/>
            </a:bodyPr>
            <a:lstStyle/>
            <a:p>
              <a:pPr>
                <a:defRPr b="1">
                  <a:solidFill>
                    <a:srgbClr val="92D05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81"/>
        <c:spPr>
          <a:ln>
            <a:solidFill>
              <a:srgbClr val="00B050"/>
            </a:solidFill>
            <a:prstDash val="dashDot"/>
          </a:ln>
        </c:spPr>
      </c:pivotFmt>
      <c:pivotFmt>
        <c:idx val="82"/>
        <c:dLbl>
          <c:idx val="0"/>
          <c:numFmt formatCode="#,##0" sourceLinked="0"/>
          <c:spPr>
            <a:noFill/>
            <a:ln>
              <a:noFill/>
            </a:ln>
            <a:effectLst/>
          </c:spPr>
          <c:txPr>
            <a:bodyPr wrap="square" lIns="38100" tIns="19050" rIns="38100" bIns="19050" anchor="ctr">
              <a:spAutoFit/>
            </a:bodyPr>
            <a:lstStyle/>
            <a:p>
              <a:pPr>
                <a:defRPr b="1"/>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83"/>
        <c:spPr>
          <a:ln w="28575" cap="rnd">
            <a:solidFill>
              <a:srgbClr val="0070C0"/>
            </a:solidFill>
            <a:prstDash val="sysDash"/>
            <a:round/>
          </a:ln>
          <a:effectLst/>
        </c:spPr>
      </c:pivotFmt>
      <c:pivotFmt>
        <c:idx val="84"/>
        <c:dLbl>
          <c:idx val="0"/>
          <c:numFmt formatCode="#,##0" sourceLinked="0"/>
          <c:spPr>
            <a:noFill/>
            <a:ln>
              <a:noFill/>
            </a:ln>
            <a:effectLst/>
          </c:spPr>
          <c:txPr>
            <a:bodyPr wrap="square" lIns="38100" tIns="19050" rIns="38100" bIns="19050" anchor="ctr">
              <a:spAutoFit/>
            </a:bodyPr>
            <a:lstStyle/>
            <a:p>
              <a:pPr>
                <a:defRPr b="1">
                  <a:solidFill>
                    <a:srgbClr val="0070C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85"/>
        <c:spPr>
          <a:ln>
            <a:solidFill>
              <a:srgbClr val="FFC000"/>
            </a:solidFill>
            <a:prstDash val="lgDash"/>
          </a:ln>
        </c:spPr>
      </c:pivotFmt>
      <c:pivotFmt>
        <c:idx val="86"/>
        <c:dLbl>
          <c:idx val="0"/>
          <c:numFmt formatCode="#,##0" sourceLinked="0"/>
          <c:spPr>
            <a:noFill/>
            <a:ln>
              <a:noFill/>
            </a:ln>
            <a:effectLst/>
          </c:spPr>
          <c:txPr>
            <a:bodyPr wrap="square" lIns="38100" tIns="19050" rIns="38100" bIns="19050" anchor="ctr">
              <a:spAutoFit/>
            </a:bodyPr>
            <a:lstStyle/>
            <a:p>
              <a:pPr>
                <a:defRPr b="1">
                  <a:solidFill>
                    <a:schemeClr val="bg2">
                      <a:lumMod val="50000"/>
                    </a:schemeClr>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87"/>
        <c:dLbl>
          <c:idx val="0"/>
          <c:numFmt formatCode="#,##0" sourceLinked="0"/>
          <c:spPr>
            <a:noFill/>
            <a:ln>
              <a:noFill/>
            </a:ln>
            <a:effectLst/>
          </c:spPr>
          <c:txPr>
            <a:bodyPr wrap="square" lIns="38100" tIns="19050" rIns="38100" bIns="19050" anchor="ctr">
              <a:spAutoFit/>
            </a:bodyPr>
            <a:lstStyle/>
            <a:p>
              <a:pPr>
                <a:defRPr b="1">
                  <a:solidFill>
                    <a:srgbClr val="FFC00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88"/>
        <c:spPr>
          <a:ln w="28575" cap="rnd">
            <a:solidFill>
              <a:srgbClr val="92D050"/>
            </a:solidFill>
            <a:round/>
          </a:ln>
          <a:effectLst/>
        </c:spPr>
        <c:marker>
          <c:symbol val="none"/>
        </c:marker>
        <c:dLbl>
          <c:idx val="0"/>
          <c:delete val="1"/>
          <c:extLst>
            <c:ext xmlns:c15="http://schemas.microsoft.com/office/drawing/2012/chart" uri="{CE6537A1-D6FC-4f65-9D91-7224C49458BB}"/>
          </c:extLst>
        </c:dLbl>
      </c:pivotFmt>
      <c:pivotFmt>
        <c:idx val="89"/>
        <c:dLbl>
          <c:idx val="0"/>
          <c:numFmt formatCode="#,##0" sourceLinked="0"/>
          <c:spPr>
            <a:noFill/>
            <a:ln>
              <a:noFill/>
            </a:ln>
            <a:effectLst/>
          </c:spPr>
          <c:txPr>
            <a:bodyPr wrap="square" lIns="38100" tIns="19050" rIns="38100" bIns="19050" anchor="ctr">
              <a:spAutoFit/>
            </a:bodyPr>
            <a:lstStyle/>
            <a:p>
              <a:pPr>
                <a:defRPr b="1">
                  <a:solidFill>
                    <a:srgbClr val="92D050"/>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0"/>
        <c:spPr>
          <a:ln>
            <a:solidFill>
              <a:srgbClr val="00B050"/>
            </a:solidFill>
            <a:prstDash val="dashDot"/>
          </a:ln>
        </c:spPr>
        <c:marker>
          <c:symbol val="none"/>
        </c:marker>
        <c:dLbl>
          <c:idx val="0"/>
          <c:delete val="1"/>
          <c:extLst>
            <c:ext xmlns:c15="http://schemas.microsoft.com/office/drawing/2012/chart" uri="{CE6537A1-D6FC-4f65-9D91-7224C49458BB}"/>
          </c:extLst>
        </c:dLbl>
      </c:pivotFmt>
      <c:pivotFmt>
        <c:idx val="91"/>
        <c:dLbl>
          <c:idx val="0"/>
          <c:numFmt formatCode="#,##0" sourceLinked="0"/>
          <c:spPr>
            <a:noFill/>
            <a:ln>
              <a:noFill/>
            </a:ln>
            <a:effectLst/>
          </c:spPr>
          <c:txPr>
            <a:bodyPr wrap="square" lIns="38100" tIns="19050" rIns="38100" bIns="19050" anchor="ctr">
              <a:spAutoFit/>
            </a:bodyPr>
            <a:lstStyle/>
            <a:p>
              <a:pPr>
                <a:defRPr>
                  <a:solidFill>
                    <a:srgbClr val="00B050"/>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2"/>
        <c:spPr>
          <a:ln w="28575" cap="rnd">
            <a:solidFill>
              <a:srgbClr val="0070C0"/>
            </a:solidFill>
            <a:prstDash val="sysDash"/>
            <a:round/>
          </a:ln>
          <a:effectLst/>
        </c:spPr>
        <c:marker>
          <c:symbol val="none"/>
        </c:marker>
        <c:dLbl>
          <c:idx val="0"/>
          <c:delete val="1"/>
          <c:extLst>
            <c:ext xmlns:c15="http://schemas.microsoft.com/office/drawing/2012/chart" uri="{CE6537A1-D6FC-4f65-9D91-7224C49458BB}"/>
          </c:extLst>
        </c:dLbl>
      </c:pivotFmt>
      <c:pivotFmt>
        <c:idx val="93"/>
        <c:spPr>
          <a:ln>
            <a:solidFill>
              <a:srgbClr val="FFC000"/>
            </a:solidFill>
            <a:prstDash val="lgDash"/>
          </a:ln>
        </c:spPr>
        <c:marker>
          <c:symbol val="none"/>
        </c:marker>
        <c:dLbl>
          <c:idx val="0"/>
          <c:delete val="1"/>
          <c:extLst>
            <c:ext xmlns:c15="http://schemas.microsoft.com/office/drawing/2012/chart" uri="{CE6537A1-D6FC-4f65-9D91-7224C49458BB}"/>
          </c:extLst>
        </c:dLbl>
      </c:pivotFmt>
      <c:pivotFmt>
        <c:idx val="94"/>
        <c:dLbl>
          <c:idx val="0"/>
          <c:spPr>
            <a:noFill/>
            <a:ln>
              <a:noFill/>
            </a:ln>
            <a:effectLst/>
          </c:spPr>
          <c:txPr>
            <a:bodyPr wrap="square" lIns="38100" tIns="19050" rIns="38100" bIns="19050" anchor="ctr">
              <a:spAutoFit/>
            </a:bodyPr>
            <a:lstStyle/>
            <a:p>
              <a:pPr>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95"/>
        <c:dLbl>
          <c:idx val="0"/>
          <c:numFmt formatCode="#,##0" sourceLinked="0"/>
          <c:spPr>
            <a:noFill/>
            <a:ln>
              <a:noFill/>
            </a:ln>
            <a:effectLst/>
          </c:spPr>
          <c:txPr>
            <a:bodyPr wrap="square" lIns="38100" tIns="19050" rIns="38100" bIns="19050" anchor="ctr">
              <a:spAutoFit/>
            </a:bodyPr>
            <a:lstStyle/>
            <a:p>
              <a:pPr>
                <a:defRPr b="1">
                  <a:solidFill>
                    <a:srgbClr val="FFC000"/>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6"/>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7"/>
        <c:spPr>
          <a:ln>
            <a:solidFill>
              <a:srgbClr val="FFC000"/>
            </a:solidFill>
            <a:prstDash val="lgDash"/>
          </a:ln>
        </c:spPr>
        <c:marker>
          <c:symbol val="none"/>
        </c:marker>
        <c:dLbl>
          <c:idx val="0"/>
          <c:delete val="1"/>
          <c:extLst>
            <c:ext xmlns:c15="http://schemas.microsoft.com/office/drawing/2012/chart" uri="{CE6537A1-D6FC-4f65-9D91-7224C49458BB}"/>
          </c:extLst>
        </c:dLbl>
      </c:pivotFmt>
      <c:pivotFmt>
        <c:idx val="98"/>
        <c:dLbl>
          <c:idx val="0"/>
          <c:spPr>
            <a:noFill/>
            <a:ln>
              <a:noFill/>
            </a:ln>
            <a:effectLst/>
          </c:spPr>
          <c:txPr>
            <a:bodyPr wrap="square" lIns="38100" tIns="19050" rIns="38100" bIns="19050" anchor="ctr">
              <a:spAutoFit/>
            </a:bodyPr>
            <a:lstStyle/>
            <a:p>
              <a:pPr>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99"/>
        <c:dLbl>
          <c:idx val="0"/>
          <c:numFmt formatCode="#,##0" sourceLinked="0"/>
          <c:spPr>
            <a:noFill/>
            <a:ln>
              <a:noFill/>
            </a:ln>
            <a:effectLst/>
          </c:spPr>
          <c:txPr>
            <a:bodyPr wrap="square" lIns="38100" tIns="19050" rIns="38100" bIns="19050" anchor="ctr">
              <a:spAutoFit/>
            </a:bodyPr>
            <a:lstStyle/>
            <a:p>
              <a:pPr>
                <a:defRPr b="1">
                  <a:solidFill>
                    <a:srgbClr val="FFC000"/>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0"/>
        <c:spPr>
          <a:ln w="28575" cap="rnd">
            <a:solidFill>
              <a:srgbClr val="0070C0"/>
            </a:solidFill>
            <a:prstDash val="sysDash"/>
            <a:round/>
          </a:ln>
          <a:effectLst/>
        </c:spPr>
        <c:marker>
          <c:symbol val="none"/>
        </c:marker>
        <c:dLbl>
          <c:idx val="0"/>
          <c:delete val="1"/>
          <c:extLst>
            <c:ext xmlns:c15="http://schemas.microsoft.com/office/drawing/2012/chart" uri="{CE6537A1-D6FC-4f65-9D91-7224C49458BB}"/>
          </c:extLst>
        </c:dLbl>
      </c:pivotFmt>
      <c:pivotFmt>
        <c:idx val="101"/>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2"/>
        <c:spPr>
          <a:ln w="28575" cap="rnd">
            <a:solidFill>
              <a:srgbClr val="92D050"/>
            </a:solidFill>
            <a:round/>
          </a:ln>
          <a:effectLst/>
        </c:spPr>
        <c:marker>
          <c:symbol val="none"/>
        </c:marker>
        <c:dLbl>
          <c:idx val="0"/>
          <c:delete val="1"/>
          <c:extLst>
            <c:ext xmlns:c15="http://schemas.microsoft.com/office/drawing/2012/chart" uri="{CE6537A1-D6FC-4f65-9D91-7224C49458BB}"/>
          </c:extLst>
        </c:dLbl>
      </c:pivotFmt>
      <c:pivotFmt>
        <c:idx val="103"/>
        <c:dLbl>
          <c:idx val="0"/>
          <c:numFmt formatCode="#,##0" sourceLinked="0"/>
          <c:spPr>
            <a:noFill/>
            <a:ln>
              <a:noFill/>
            </a:ln>
            <a:effectLst/>
          </c:spPr>
          <c:txPr>
            <a:bodyPr wrap="square" lIns="38100" tIns="19050" rIns="38100" bIns="19050" anchor="ctr">
              <a:spAutoFit/>
            </a:bodyPr>
            <a:lstStyle/>
            <a:p>
              <a:pPr>
                <a:defRPr b="1">
                  <a:solidFill>
                    <a:srgbClr val="92D050"/>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4"/>
        <c:spPr>
          <a:ln>
            <a:solidFill>
              <a:srgbClr val="00B050"/>
            </a:solidFill>
            <a:prstDash val="dashDot"/>
          </a:ln>
        </c:spPr>
        <c:marker>
          <c:symbol val="none"/>
        </c:marker>
        <c:dLbl>
          <c:idx val="0"/>
          <c:delete val="1"/>
          <c:extLst>
            <c:ext xmlns:c15="http://schemas.microsoft.com/office/drawing/2012/chart" uri="{CE6537A1-D6FC-4f65-9D91-7224C49458BB}"/>
          </c:extLst>
        </c:dLbl>
      </c:pivotFmt>
      <c:pivotFmt>
        <c:idx val="105"/>
        <c:dLbl>
          <c:idx val="0"/>
          <c:numFmt formatCode="#,##0" sourceLinked="0"/>
          <c:spPr>
            <a:noFill/>
            <a:ln>
              <a:noFill/>
            </a:ln>
            <a:effectLst/>
          </c:spPr>
          <c:txPr>
            <a:bodyPr wrap="square" lIns="38100" tIns="19050" rIns="38100" bIns="19050" anchor="ctr">
              <a:spAutoFit/>
            </a:bodyPr>
            <a:lstStyle/>
            <a:p>
              <a:pPr>
                <a:defRPr>
                  <a:solidFill>
                    <a:srgbClr val="00B050"/>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6"/>
        <c:spPr>
          <a:ln>
            <a:solidFill>
              <a:srgbClr val="FFC000"/>
            </a:solidFill>
            <a:prstDash val="lgDash"/>
          </a:ln>
        </c:spPr>
        <c:marker>
          <c:symbol val="none"/>
        </c:marker>
        <c:dLbl>
          <c:idx val="0"/>
          <c:delete val="1"/>
          <c:extLst>
            <c:ext xmlns:c15="http://schemas.microsoft.com/office/drawing/2012/chart" uri="{CE6537A1-D6FC-4f65-9D91-7224C49458BB}"/>
          </c:extLst>
        </c:dLbl>
      </c:pivotFmt>
      <c:pivotFmt>
        <c:idx val="107"/>
        <c:dLbl>
          <c:idx val="0"/>
          <c:spPr>
            <a:noFill/>
            <a:ln>
              <a:noFill/>
            </a:ln>
            <a:effectLst/>
          </c:spPr>
          <c:txPr>
            <a:bodyPr wrap="square" lIns="38100" tIns="19050" rIns="38100" bIns="19050" anchor="ctr">
              <a:spAutoFit/>
            </a:bodyPr>
            <a:lstStyle/>
            <a:p>
              <a:pPr>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108"/>
        <c:dLbl>
          <c:idx val="0"/>
          <c:numFmt formatCode="#,##0" sourceLinked="0"/>
          <c:spPr>
            <a:noFill/>
            <a:ln>
              <a:noFill/>
            </a:ln>
            <a:effectLst/>
          </c:spPr>
          <c:txPr>
            <a:bodyPr wrap="square" lIns="38100" tIns="19050" rIns="38100" bIns="19050" anchor="ctr">
              <a:spAutoFit/>
            </a:bodyPr>
            <a:lstStyle/>
            <a:p>
              <a:pPr>
                <a:defRPr b="1">
                  <a:solidFill>
                    <a:srgbClr val="FFC000"/>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9"/>
        <c:spPr>
          <a:ln w="28575" cap="rnd">
            <a:solidFill>
              <a:srgbClr val="0070C0"/>
            </a:solidFill>
            <a:prstDash val="sysDash"/>
            <a:round/>
          </a:ln>
          <a:effectLst/>
        </c:spPr>
        <c:marker>
          <c:symbol val="none"/>
        </c:marker>
        <c:dLbl>
          <c:idx val="0"/>
          <c:delete val="1"/>
          <c:extLst>
            <c:ext xmlns:c15="http://schemas.microsoft.com/office/drawing/2012/chart" uri="{CE6537A1-D6FC-4f65-9D91-7224C49458BB}"/>
          </c:extLst>
        </c:dLbl>
      </c:pivotFmt>
      <c:pivotFmt>
        <c:idx val="110"/>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1"/>
        <c:spPr>
          <a:ln w="28575" cap="rnd">
            <a:solidFill>
              <a:srgbClr val="92D050"/>
            </a:solidFill>
            <a:round/>
          </a:ln>
          <a:effectLst/>
        </c:spPr>
        <c:marker>
          <c:symbol val="none"/>
        </c:marker>
        <c:dLbl>
          <c:idx val="0"/>
          <c:delete val="1"/>
          <c:extLst>
            <c:ext xmlns:c15="http://schemas.microsoft.com/office/drawing/2012/chart" uri="{CE6537A1-D6FC-4f65-9D91-7224C49458BB}"/>
          </c:extLst>
        </c:dLbl>
      </c:pivotFmt>
      <c:pivotFmt>
        <c:idx val="112"/>
        <c:dLbl>
          <c:idx val="0"/>
          <c:numFmt formatCode="#,##0" sourceLinked="0"/>
          <c:spPr>
            <a:noFill/>
            <a:ln>
              <a:noFill/>
            </a:ln>
            <a:effectLst/>
          </c:spPr>
          <c:txPr>
            <a:bodyPr wrap="square" lIns="38100" tIns="19050" rIns="38100" bIns="19050" anchor="ctr">
              <a:spAutoFit/>
            </a:bodyPr>
            <a:lstStyle/>
            <a:p>
              <a:pPr>
                <a:defRPr b="1">
                  <a:solidFill>
                    <a:srgbClr val="92D050"/>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3"/>
        <c:spPr>
          <a:ln>
            <a:solidFill>
              <a:srgbClr val="00B050"/>
            </a:solidFill>
            <a:prstDash val="dashDot"/>
          </a:ln>
        </c:spPr>
        <c:marker>
          <c:symbol val="none"/>
        </c:marker>
        <c:dLbl>
          <c:idx val="0"/>
          <c:delete val="1"/>
          <c:extLst>
            <c:ext xmlns:c15="http://schemas.microsoft.com/office/drawing/2012/chart" uri="{CE6537A1-D6FC-4f65-9D91-7224C49458BB}"/>
          </c:extLst>
        </c:dLbl>
      </c:pivotFmt>
      <c:pivotFmt>
        <c:idx val="114"/>
        <c:dLbl>
          <c:idx val="0"/>
          <c:numFmt formatCode="#,##0" sourceLinked="0"/>
          <c:spPr>
            <a:noFill/>
            <a:ln>
              <a:noFill/>
            </a:ln>
            <a:effectLst/>
          </c:spPr>
          <c:txPr>
            <a:bodyPr wrap="square" lIns="38100" tIns="19050" rIns="38100" bIns="19050" anchor="ctr">
              <a:spAutoFit/>
            </a:bodyPr>
            <a:lstStyle/>
            <a:p>
              <a:pPr>
                <a:defRPr>
                  <a:solidFill>
                    <a:srgbClr val="00B050"/>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4.4618808613835555E-2"/>
          <c:y val="0.26123269074124356"/>
          <c:w val="0.91789154098684378"/>
          <c:h val="0.6390054221278767"/>
        </c:manualLayout>
      </c:layout>
      <c:lineChart>
        <c:grouping val="standard"/>
        <c:varyColors val="0"/>
        <c:ser>
          <c:idx val="0"/>
          <c:order val="0"/>
          <c:tx>
            <c:strRef>
              <c:f>Efficiency!$P$82</c:f>
              <c:strCache>
                <c:ptCount val="1"/>
                <c:pt idx="0">
                  <c:v>Growth in NWAU per Capita </c:v>
                </c:pt>
              </c:strCache>
            </c:strRef>
          </c:tx>
          <c:spPr>
            <a:ln>
              <a:solidFill>
                <a:srgbClr val="A26000"/>
              </a:solidFill>
              <a:prstDash val="lgDash"/>
            </a:ln>
          </c:spPr>
          <c:marker>
            <c:symbol val="none"/>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5C-4366-A7F4-0664A9F1B7DD}"/>
                </c:ext>
              </c:extLst>
            </c:dLbl>
            <c:dLbl>
              <c:idx val="8"/>
              <c:numFmt formatCode="#,##0" sourceLinked="0"/>
              <c:spPr>
                <a:noFill/>
                <a:ln>
                  <a:noFill/>
                </a:ln>
                <a:effectLs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5C-4366-A7F4-0664A9F1B7D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Efficiency!$O$83:$O$92</c:f>
              <c:strCache>
                <c:ptCount val="9"/>
                <c:pt idx="0">
                  <c:v>2012-13</c:v>
                </c:pt>
                <c:pt idx="1">
                  <c:v>2013-14</c:v>
                </c:pt>
                <c:pt idx="2">
                  <c:v>2014-15</c:v>
                </c:pt>
                <c:pt idx="3">
                  <c:v>2015-16</c:v>
                </c:pt>
                <c:pt idx="4">
                  <c:v>2016-17</c:v>
                </c:pt>
                <c:pt idx="5">
                  <c:v>2017-18</c:v>
                </c:pt>
                <c:pt idx="6">
                  <c:v>2018-19</c:v>
                </c:pt>
                <c:pt idx="7">
                  <c:v>2019-20</c:v>
                </c:pt>
                <c:pt idx="8">
                  <c:v>2020-21</c:v>
                </c:pt>
              </c:strCache>
            </c:strRef>
          </c:cat>
          <c:val>
            <c:numRef>
              <c:f>Efficiency!$P$83:$P$92</c:f>
              <c:numCache>
                <c:formatCode>General</c:formatCode>
                <c:ptCount val="9"/>
                <c:pt idx="0">
                  <c:v>100</c:v>
                </c:pt>
                <c:pt idx="1">
                  <c:v>115.14664822653285</c:v>
                </c:pt>
                <c:pt idx="2">
                  <c:v>122.59901531333276</c:v>
                </c:pt>
                <c:pt idx="3">
                  <c:v>128.60870245273978</c:v>
                </c:pt>
                <c:pt idx="4">
                  <c:v>131.12998816385047</c:v>
                </c:pt>
                <c:pt idx="5">
                  <c:v>135.25113022807921</c:v>
                </c:pt>
                <c:pt idx="6">
                  <c:v>140.31527770526048</c:v>
                </c:pt>
                <c:pt idx="7">
                  <c:v>138.8495710164874</c:v>
                </c:pt>
                <c:pt idx="8">
                  <c:v>139.02386187716246</c:v>
                </c:pt>
              </c:numCache>
            </c:numRef>
          </c:val>
          <c:smooth val="0"/>
          <c:extLst>
            <c:ext xmlns:c16="http://schemas.microsoft.com/office/drawing/2014/chart" uri="{C3380CC4-5D6E-409C-BE32-E72D297353CC}">
              <c16:uniqueId val="{00000002-515C-4366-A7F4-0664A9F1B7DD}"/>
            </c:ext>
          </c:extLst>
        </c:ser>
        <c:ser>
          <c:idx val="1"/>
          <c:order val="1"/>
          <c:tx>
            <c:strRef>
              <c:f>Efficiency!$Q$82</c:f>
              <c:strCache>
                <c:ptCount val="1"/>
                <c:pt idx="0">
                  <c:v>Growth in Separations per Capita  </c:v>
                </c:pt>
              </c:strCache>
            </c:strRef>
          </c:tx>
          <c:spPr>
            <a:ln w="28575" cap="rnd">
              <a:solidFill>
                <a:srgbClr val="0070C0"/>
              </a:solidFill>
              <a:prstDash val="sysDash"/>
              <a:round/>
            </a:ln>
            <a:effectLst/>
          </c:spPr>
          <c:marker>
            <c:symbol val="none"/>
          </c:marker>
          <c:dLbls>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5C-4366-A7F4-0664A9F1B7DD}"/>
                </c:ext>
              </c:extLst>
            </c:dLbl>
            <c:numFmt formatCode="#,##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Efficiency!$O$83:$O$92</c:f>
              <c:strCache>
                <c:ptCount val="9"/>
                <c:pt idx="0">
                  <c:v>2012-13</c:v>
                </c:pt>
                <c:pt idx="1">
                  <c:v>2013-14</c:v>
                </c:pt>
                <c:pt idx="2">
                  <c:v>2014-15</c:v>
                </c:pt>
                <c:pt idx="3">
                  <c:v>2015-16</c:v>
                </c:pt>
                <c:pt idx="4">
                  <c:v>2016-17</c:v>
                </c:pt>
                <c:pt idx="5">
                  <c:v>2017-18</c:v>
                </c:pt>
                <c:pt idx="6">
                  <c:v>2018-19</c:v>
                </c:pt>
                <c:pt idx="7">
                  <c:v>2019-20</c:v>
                </c:pt>
                <c:pt idx="8">
                  <c:v>2020-21</c:v>
                </c:pt>
              </c:strCache>
            </c:strRef>
          </c:cat>
          <c:val>
            <c:numRef>
              <c:f>Efficiency!$Q$83:$Q$92</c:f>
              <c:numCache>
                <c:formatCode>General</c:formatCode>
                <c:ptCount val="9"/>
                <c:pt idx="0">
                  <c:v>100</c:v>
                </c:pt>
                <c:pt idx="1">
                  <c:v>101.70239578614296</c:v>
                </c:pt>
                <c:pt idx="2">
                  <c:v>104.87788029916713</c:v>
                </c:pt>
                <c:pt idx="3">
                  <c:v>108.42335829440775</c:v>
                </c:pt>
                <c:pt idx="4">
                  <c:v>112.00257097552266</c:v>
                </c:pt>
                <c:pt idx="5">
                  <c:v>112.63614647976678</c:v>
                </c:pt>
                <c:pt idx="6">
                  <c:v>112.84308472557449</c:v>
                </c:pt>
                <c:pt idx="7">
                  <c:v>109.3130392695937</c:v>
                </c:pt>
                <c:pt idx="8">
                  <c:v>112.70717891692757</c:v>
                </c:pt>
              </c:numCache>
            </c:numRef>
          </c:val>
          <c:smooth val="0"/>
          <c:extLst>
            <c:ext xmlns:c16="http://schemas.microsoft.com/office/drawing/2014/chart" uri="{C3380CC4-5D6E-409C-BE32-E72D297353CC}">
              <c16:uniqueId val="{00000004-515C-4366-A7F4-0664A9F1B7DD}"/>
            </c:ext>
          </c:extLst>
        </c:ser>
        <c:ser>
          <c:idx val="2"/>
          <c:order val="2"/>
          <c:tx>
            <c:strRef>
              <c:f>Efficiency!$R$82</c:f>
              <c:strCache>
                <c:ptCount val="1"/>
                <c:pt idx="0">
                  <c:v>Growth in Beds per Capita </c:v>
                </c:pt>
              </c:strCache>
            </c:strRef>
          </c:tx>
          <c:spPr>
            <a:ln w="28575" cap="rnd">
              <a:solidFill>
                <a:schemeClr val="accent2">
                  <a:lumMod val="75000"/>
                </a:schemeClr>
              </a:solidFill>
              <a:round/>
            </a:ln>
            <a:effectLst/>
          </c:spPr>
          <c:marker>
            <c:symbol val="none"/>
          </c:marker>
          <c:dLbls>
            <c:dLbl>
              <c:idx val="8"/>
              <c:numFmt formatCode="#,##0" sourceLinked="0"/>
              <c:spPr>
                <a:noFill/>
                <a:ln>
                  <a:noFill/>
                </a:ln>
                <a:effectLs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15C-4366-A7F4-0664A9F1B7D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Efficiency!$O$83:$O$92</c:f>
              <c:strCache>
                <c:ptCount val="9"/>
                <c:pt idx="0">
                  <c:v>2012-13</c:v>
                </c:pt>
                <c:pt idx="1">
                  <c:v>2013-14</c:v>
                </c:pt>
                <c:pt idx="2">
                  <c:v>2014-15</c:v>
                </c:pt>
                <c:pt idx="3">
                  <c:v>2015-16</c:v>
                </c:pt>
                <c:pt idx="4">
                  <c:v>2016-17</c:v>
                </c:pt>
                <c:pt idx="5">
                  <c:v>2017-18</c:v>
                </c:pt>
                <c:pt idx="6">
                  <c:v>2018-19</c:v>
                </c:pt>
                <c:pt idx="7">
                  <c:v>2019-20</c:v>
                </c:pt>
                <c:pt idx="8">
                  <c:v>2020-21</c:v>
                </c:pt>
              </c:strCache>
            </c:strRef>
          </c:cat>
          <c:val>
            <c:numRef>
              <c:f>Efficiency!$R$83:$R$92</c:f>
              <c:numCache>
                <c:formatCode>General</c:formatCode>
                <c:ptCount val="9"/>
                <c:pt idx="0">
                  <c:v>100</c:v>
                </c:pt>
                <c:pt idx="1">
                  <c:v>96.153846153846146</c:v>
                </c:pt>
                <c:pt idx="2">
                  <c:v>100</c:v>
                </c:pt>
                <c:pt idx="3">
                  <c:v>100</c:v>
                </c:pt>
                <c:pt idx="4">
                  <c:v>100</c:v>
                </c:pt>
                <c:pt idx="5">
                  <c:v>100</c:v>
                </c:pt>
                <c:pt idx="6">
                  <c:v>100</c:v>
                </c:pt>
                <c:pt idx="7">
                  <c:v>96.153846153846146</c:v>
                </c:pt>
                <c:pt idx="8">
                  <c:v>96.153846153846146</c:v>
                </c:pt>
              </c:numCache>
            </c:numRef>
          </c:val>
          <c:smooth val="0"/>
          <c:extLst>
            <c:ext xmlns:c16="http://schemas.microsoft.com/office/drawing/2014/chart" uri="{C3380CC4-5D6E-409C-BE32-E72D297353CC}">
              <c16:uniqueId val="{00000006-515C-4366-A7F4-0664A9F1B7DD}"/>
            </c:ext>
          </c:extLst>
        </c:ser>
        <c:ser>
          <c:idx val="3"/>
          <c:order val="3"/>
          <c:tx>
            <c:strRef>
              <c:f>Efficiency!$S$82</c:f>
              <c:strCache>
                <c:ptCount val="1"/>
                <c:pt idx="0">
                  <c:v>Growth in Beds per Capita Aged 65+</c:v>
                </c:pt>
              </c:strCache>
            </c:strRef>
          </c:tx>
          <c:spPr>
            <a:ln>
              <a:solidFill>
                <a:srgbClr val="00B050"/>
              </a:solidFill>
              <a:prstDash val="dashDot"/>
            </a:ln>
          </c:spPr>
          <c:marker>
            <c:symbol val="none"/>
          </c:marker>
          <c:dLbls>
            <c:dLbl>
              <c:idx val="8"/>
              <c:numFmt formatCode="#,##0" sourceLinked="0"/>
              <c:spPr>
                <a:noFill/>
                <a:ln>
                  <a:noFill/>
                </a:ln>
                <a:effectLs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15C-4366-A7F4-0664A9F1B7D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Efficiency!$O$83:$O$92</c:f>
              <c:strCache>
                <c:ptCount val="9"/>
                <c:pt idx="0">
                  <c:v>2012-13</c:v>
                </c:pt>
                <c:pt idx="1">
                  <c:v>2013-14</c:v>
                </c:pt>
                <c:pt idx="2">
                  <c:v>2014-15</c:v>
                </c:pt>
                <c:pt idx="3">
                  <c:v>2015-16</c:v>
                </c:pt>
                <c:pt idx="4">
                  <c:v>2016-17</c:v>
                </c:pt>
                <c:pt idx="5">
                  <c:v>2017-18</c:v>
                </c:pt>
                <c:pt idx="6">
                  <c:v>2018-19</c:v>
                </c:pt>
                <c:pt idx="7">
                  <c:v>2019-20</c:v>
                </c:pt>
                <c:pt idx="8">
                  <c:v>2020-21</c:v>
                </c:pt>
              </c:strCache>
            </c:strRef>
          </c:cat>
          <c:val>
            <c:numRef>
              <c:f>Efficiency!$S$83:$S$92</c:f>
              <c:numCache>
                <c:formatCode>General</c:formatCode>
                <c:ptCount val="9"/>
                <c:pt idx="0">
                  <c:v>100</c:v>
                </c:pt>
                <c:pt idx="1">
                  <c:v>94.133873805815426</c:v>
                </c:pt>
                <c:pt idx="2">
                  <c:v>95.849936003985874</c:v>
                </c:pt>
                <c:pt idx="3">
                  <c:v>93.850860279801083</c:v>
                </c:pt>
                <c:pt idx="4">
                  <c:v>91.900771038962546</c:v>
                </c:pt>
                <c:pt idx="5">
                  <c:v>89.998467888948056</c:v>
                </c:pt>
                <c:pt idx="6">
                  <c:v>88.142779852333433</c:v>
                </c:pt>
                <c:pt idx="7">
                  <c:v>83.01208139037324</c:v>
                </c:pt>
                <c:pt idx="8">
                  <c:v>81.314142286475359</c:v>
                </c:pt>
              </c:numCache>
            </c:numRef>
          </c:val>
          <c:smooth val="0"/>
          <c:extLst>
            <c:ext xmlns:c16="http://schemas.microsoft.com/office/drawing/2014/chart" uri="{C3380CC4-5D6E-409C-BE32-E72D297353CC}">
              <c16:uniqueId val="{00000008-515C-4366-A7F4-0664A9F1B7DD}"/>
            </c:ext>
          </c:extLst>
        </c:ser>
        <c:dLbls>
          <c:showLegendKey val="0"/>
          <c:showVal val="0"/>
          <c:showCatName val="0"/>
          <c:showSerName val="0"/>
          <c:showPercent val="0"/>
          <c:showBubbleSize val="0"/>
        </c:dLbls>
        <c:smooth val="0"/>
        <c:axId val="443494751"/>
        <c:axId val="443488095"/>
      </c:lineChart>
      <c:catAx>
        <c:axId val="443494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43488095"/>
        <c:crosses val="autoZero"/>
        <c:auto val="1"/>
        <c:lblAlgn val="ctr"/>
        <c:lblOffset val="100"/>
        <c:tickLblSkip val="8"/>
        <c:noMultiLvlLbl val="0"/>
      </c:catAx>
      <c:valAx>
        <c:axId val="443488095"/>
        <c:scaling>
          <c:orientation val="minMax"/>
          <c:min val="70"/>
        </c:scaling>
        <c:delete val="1"/>
        <c:axPos val="l"/>
        <c:numFmt formatCode="General" sourceLinked="1"/>
        <c:majorTickMark val="out"/>
        <c:minorTickMark val="none"/>
        <c:tickLblPos val="nextTo"/>
        <c:crossAx val="443494751"/>
        <c:crosses val="autoZero"/>
        <c:crossBetween val="between"/>
      </c:valAx>
    </c:plotArea>
    <c:legend>
      <c:legendPos val="t"/>
      <c:layout>
        <c:manualLayout>
          <c:xMode val="edge"/>
          <c:yMode val="edge"/>
          <c:x val="1.7901592710267946E-2"/>
          <c:y val="0.12681722476998064"/>
          <c:w val="0.49606851775107058"/>
          <c:h val="0.27568361647101802"/>
        </c:manualLayout>
      </c:layout>
      <c:overlay val="0"/>
      <c:spPr>
        <a:noFill/>
        <a:ln>
          <a:noFill/>
        </a:ln>
        <a:effectLst/>
      </c:spPr>
      <c:txPr>
        <a:bodyPr rot="0" vert="horz"/>
        <a:lstStyle/>
        <a:p>
          <a:pPr>
            <a:defRPr/>
          </a:pPr>
          <a:endParaRPr lang="en-US"/>
        </a:p>
      </c:txPr>
    </c:legend>
    <c:plotVisOnly val="1"/>
    <c:dispBlanksAs val="gap"/>
    <c:showDLblsOverMax val="0"/>
    <c:extLst/>
  </c:chart>
  <c:spPr>
    <a:ln>
      <a:noFill/>
    </a:ln>
  </c:spPr>
  <c:txPr>
    <a:bodyPr/>
    <a:lstStyle/>
    <a:p>
      <a:pPr>
        <a:defRPr sz="1000">
          <a:latin typeface="Calibri Light" panose="020F0302020204030204" pitchFamily="34" charset="0"/>
          <a:cs typeface="Calibri Light" panose="020F0302020204030204" pitchFamily="34" charset="0"/>
        </a:defRPr>
      </a:pPr>
      <a:endParaRPr lang="en-US"/>
    </a:p>
  </c:txPr>
  <c:externalData r:id="rId1">
    <c:autoUpdate val="0"/>
  </c:externalData>
  <c:extLst>
    <c:ext xmlns:c14="http://schemas.microsoft.com/office/drawing/2007/8/2/chart" uri="{781A3756-C4B2-4CAC-9D66-4F8BD8637D16}">
      <c14:pivotOptions>
        <c14:dropZonesVisible val="1"/>
      </c14:pivotOptions>
    </c:ext>
    <c:ext xmlns:c16="http://schemas.microsoft.com/office/drawing/2014/chart" uri="{E28EC0CA-F0BB-4C9C-879D-F8772B89E7AC}">
      <c16:pivotOptions16>
        <c16:showExpandCollapseFieldButtons val="1"/>
      </c16:pivotOptions16>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cap="none" spc="20" baseline="0">
                <a:solidFill>
                  <a:schemeClr val="dk1">
                    <a:lumMod val="50000"/>
                    <a:lumOff val="50000"/>
                  </a:schemeClr>
                </a:solidFill>
                <a:latin typeface="Calibri Light" panose="020F0302020204030204" pitchFamily="34" charset="0"/>
                <a:ea typeface="+mn-ea"/>
                <a:cs typeface="Calibri Light" panose="020F0302020204030204" pitchFamily="34" charset="0"/>
              </a:defRPr>
            </a:pPr>
            <a:r>
              <a:rPr lang="en-AU" sz="1000" b="1">
                <a:solidFill>
                  <a:sysClr val="windowText" lastClr="000000"/>
                </a:solidFill>
                <a:latin typeface="Calibri" panose="020F0502020204030204" pitchFamily="34" charset="0"/>
                <a:cs typeface="Calibri" panose="020F0502020204030204" pitchFamily="34" charset="0"/>
              </a:rPr>
              <a:t>Change in Commonwealth Contribution Rate from 2013-14 to 2022-23</a:t>
            </a:r>
          </a:p>
        </c:rich>
      </c:tx>
      <c:layout>
        <c:manualLayout>
          <c:xMode val="edge"/>
          <c:yMode val="edge"/>
          <c:x val="0.20513571168525602"/>
          <c:y val="1.2167917258162644E-2"/>
        </c:manualLayout>
      </c:layout>
      <c:overlay val="0"/>
      <c:spPr>
        <a:noFill/>
        <a:ln>
          <a:noFill/>
        </a:ln>
        <a:effectLst/>
      </c:spPr>
      <c:txPr>
        <a:bodyPr rot="0" spcFirstLastPara="1" vertOverflow="ellipsis" vert="horz" wrap="square" anchor="ctr" anchorCtr="1"/>
        <a:lstStyle/>
        <a:p>
          <a:pPr>
            <a:defRPr sz="1000" b="0" i="0" u="none" strike="noStrike" kern="1200" cap="none" spc="20" baseline="0">
              <a:solidFill>
                <a:schemeClr val="dk1">
                  <a:lumMod val="50000"/>
                  <a:lumOff val="50000"/>
                </a:schemeClr>
              </a:solidFill>
              <a:latin typeface="Calibri Light" panose="020F0302020204030204" pitchFamily="34" charset="0"/>
              <a:ea typeface="+mn-ea"/>
              <a:cs typeface="Calibri Light" panose="020F0302020204030204" pitchFamily="34" charset="0"/>
            </a:defRPr>
          </a:pPr>
          <a:endParaRPr lang="en-US"/>
        </a:p>
      </c:txPr>
    </c:title>
    <c:autoTitleDeleted val="0"/>
    <c:plotArea>
      <c:layout>
        <c:manualLayout>
          <c:layoutTarget val="inner"/>
          <c:xMode val="edge"/>
          <c:yMode val="edge"/>
          <c:x val="6.9081324712133574E-2"/>
          <c:y val="0.10380862197538632"/>
          <c:w val="0.88189803796497157"/>
          <c:h val="0.72871229263042581"/>
        </c:manualLayout>
      </c:layout>
      <c:lineChart>
        <c:grouping val="standard"/>
        <c:varyColors val="0"/>
        <c:ser>
          <c:idx val="2"/>
          <c:order val="0"/>
          <c:tx>
            <c:strRef>
              <c:f>Sustainability!$AH$3</c:f>
              <c:strCache>
                <c:ptCount val="1"/>
                <c:pt idx="0">
                  <c:v>Total Cth Contribution %</c:v>
                </c:pt>
              </c:strCache>
            </c:strRef>
          </c:tx>
          <c:spPr>
            <a:ln w="22225" cap="rnd" cmpd="sng" algn="ctr">
              <a:solidFill>
                <a:srgbClr val="0097A9">
                  <a:lumMod val="75000"/>
                </a:srgbClr>
              </a:solidFill>
              <a:round/>
            </a:ln>
            <a:effectLst/>
          </c:spPr>
          <c:marker>
            <c:symbol val="none"/>
          </c:marker>
          <c:errBars>
            <c:errDir val="y"/>
            <c:errBarType val="both"/>
            <c:errValType val="cust"/>
            <c:noEndCap val="0"/>
            <c:plus>
              <c:numRef>
                <c:f>Sustainability!$AK$5:$AK$15</c:f>
                <c:numCache>
                  <c:formatCode>General</c:formatCode>
                  <c:ptCount val="11"/>
                  <c:pt idx="0">
                    <c:v>7.3640977208880964E-2</c:v>
                  </c:pt>
                  <c:pt idx="1">
                    <c:v>6.582291379395333E-2</c:v>
                  </c:pt>
                  <c:pt idx="2">
                    <c:v>6.5248087705898794E-2</c:v>
                  </c:pt>
                  <c:pt idx="3">
                    <c:v>5.6791636318668848E-2</c:v>
                  </c:pt>
                  <c:pt idx="4">
                    <c:v>3.493430872377068E-2</c:v>
                  </c:pt>
                  <c:pt idx="5">
                    <c:v>2.1165181799999988E-2</c:v>
                  </c:pt>
                  <c:pt idx="6">
                    <c:v>1.8992380600000025E-2</c:v>
                  </c:pt>
                  <c:pt idx="7">
                    <c:v>2.0979943700000003E-2</c:v>
                  </c:pt>
                  <c:pt idx="8">
                    <c:v>2.8014322300000005E-2</c:v>
                  </c:pt>
                  <c:pt idx="9">
                    <c:v>1.6014884600000001E-2</c:v>
                  </c:pt>
                  <c:pt idx="10">
                    <c:v>2.0368506800000019E-2</c:v>
                  </c:pt>
                </c:numCache>
              </c:numRef>
            </c:plus>
            <c:minus>
              <c:numRef>
                <c:f>Sustainability!$AJ$5:$AJ$15</c:f>
                <c:numCache>
                  <c:formatCode>General</c:formatCode>
                  <c:ptCount val="11"/>
                  <c:pt idx="0">
                    <c:v>0.12570844897942879</c:v>
                  </c:pt>
                  <c:pt idx="1">
                    <c:v>0.1107456791456054</c:v>
                  </c:pt>
                  <c:pt idx="2">
                    <c:v>0.1003572442225647</c:v>
                  </c:pt>
                  <c:pt idx="3">
                    <c:v>9.5931444403734745E-2</c:v>
                  </c:pt>
                  <c:pt idx="4">
                    <c:v>9.2858306074648733E-2</c:v>
                  </c:pt>
                  <c:pt idx="5">
                    <c:v>0.10435042210000001</c:v>
                  </c:pt>
                  <c:pt idx="6">
                    <c:v>0.1266889444</c:v>
                  </c:pt>
                  <c:pt idx="7">
                    <c:v>0.10265432279999998</c:v>
                  </c:pt>
                  <c:pt idx="8">
                    <c:v>8.2747579099999968E-2</c:v>
                  </c:pt>
                  <c:pt idx="9">
                    <c:v>7.3386315199999996E-2</c:v>
                  </c:pt>
                  <c:pt idx="10">
                    <c:v>7.1720268099999984E-2</c:v>
                  </c:pt>
                </c:numCache>
              </c:numRef>
            </c:minus>
            <c:spPr>
              <a:noFill/>
              <a:ln w="9525">
                <a:solidFill>
                  <a:schemeClr val="dk1">
                    <a:lumMod val="65000"/>
                    <a:lumOff val="35000"/>
                  </a:schemeClr>
                </a:solidFill>
              </a:ln>
              <a:effectLst/>
            </c:spPr>
          </c:errBars>
          <c:cat>
            <c:strRef>
              <c:f>Sustainability!$AE$5:$AE$14</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Sustainability!$AH$5:$AH$14</c:f>
              <c:numCache>
                <c:formatCode>0%</c:formatCode>
                <c:ptCount val="10"/>
                <c:pt idx="0">
                  <c:v>0.33731464993612648</c:v>
                </c:pt>
                <c:pt idx="1">
                  <c:v>0.35928279392243284</c:v>
                </c:pt>
                <c:pt idx="2">
                  <c:v>0.37938926014176755</c:v>
                </c:pt>
                <c:pt idx="3">
                  <c:v>0.40203109284994826</c:v>
                </c:pt>
                <c:pt idx="4">
                  <c:v>0.41370000000000001</c:v>
                </c:pt>
                <c:pt idx="5">
                  <c:v>0.41298299240000003</c:v>
                </c:pt>
                <c:pt idx="6">
                  <c:v>0.43420330359999998</c:v>
                </c:pt>
                <c:pt idx="7">
                  <c:v>0.41560041549999999</c:v>
                </c:pt>
                <c:pt idx="8">
                  <c:v>0.41399936409999999</c:v>
                </c:pt>
                <c:pt idx="9">
                  <c:v>0.4027812764</c:v>
                </c:pt>
              </c:numCache>
            </c:numRef>
          </c:val>
          <c:smooth val="0"/>
          <c:extLst>
            <c:ext xmlns:c16="http://schemas.microsoft.com/office/drawing/2014/chart" uri="{C3380CC4-5D6E-409C-BE32-E72D297353CC}">
              <c16:uniqueId val="{00000000-95D2-40B7-B7AB-10C0EC02E2D1}"/>
            </c:ext>
          </c:extLst>
        </c:ser>
        <c:ser>
          <c:idx val="3"/>
          <c:order val="1"/>
          <c:tx>
            <c:strRef>
              <c:f>Sustainability!$AI$3</c:f>
              <c:strCache>
                <c:ptCount val="1"/>
                <c:pt idx="0">
                  <c:v>45% Line</c:v>
                </c:pt>
              </c:strCache>
            </c:strRef>
          </c:tx>
          <c:spPr>
            <a:ln w="22225" cap="rnd" cmpd="sng" algn="ctr">
              <a:solidFill>
                <a:schemeClr val="accent4"/>
              </a:solidFill>
              <a:round/>
            </a:ln>
            <a:effectLst/>
          </c:spPr>
          <c:marker>
            <c:symbol val="none"/>
          </c:marker>
          <c:cat>
            <c:strRef>
              <c:f>Sustainability!$AE$5:$AE$14</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Sustainability!$AI$5:$AI$14</c:f>
              <c:numCache>
                <c:formatCode>0%</c:formatCode>
                <c:ptCount val="10"/>
                <c:pt idx="0">
                  <c:v>0.45</c:v>
                </c:pt>
                <c:pt idx="1">
                  <c:v>0.45</c:v>
                </c:pt>
                <c:pt idx="2">
                  <c:v>0.45</c:v>
                </c:pt>
                <c:pt idx="3">
                  <c:v>0.45</c:v>
                </c:pt>
                <c:pt idx="4">
                  <c:v>0.45</c:v>
                </c:pt>
                <c:pt idx="5">
                  <c:v>0.45</c:v>
                </c:pt>
                <c:pt idx="6">
                  <c:v>0.45</c:v>
                </c:pt>
                <c:pt idx="7">
                  <c:v>0.45</c:v>
                </c:pt>
                <c:pt idx="8">
                  <c:v>0.45</c:v>
                </c:pt>
                <c:pt idx="9">
                  <c:v>0.45</c:v>
                </c:pt>
              </c:numCache>
            </c:numRef>
          </c:val>
          <c:smooth val="0"/>
          <c:extLst>
            <c:ext xmlns:c16="http://schemas.microsoft.com/office/drawing/2014/chart" uri="{C3380CC4-5D6E-409C-BE32-E72D297353CC}">
              <c16:uniqueId val="{00000001-95D2-40B7-B7AB-10C0EC02E2D1}"/>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450497535"/>
        <c:axId val="1450503775"/>
      </c:lineChart>
      <c:catAx>
        <c:axId val="1450497535"/>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chemeClr val="dk1">
                    <a:lumMod val="65000"/>
                    <a:lumOff val="35000"/>
                  </a:schemeClr>
                </a:solidFill>
                <a:latin typeface="Calibri" panose="020F0502020204030204" pitchFamily="34" charset="0"/>
                <a:ea typeface="+mn-ea"/>
                <a:cs typeface="Calibri" panose="020F0502020204030204" pitchFamily="34" charset="0"/>
              </a:defRPr>
            </a:pPr>
            <a:endParaRPr lang="en-US"/>
          </a:p>
        </c:txPr>
        <c:crossAx val="1450503775"/>
        <c:crosses val="autoZero"/>
        <c:auto val="1"/>
        <c:lblAlgn val="ctr"/>
        <c:lblOffset val="100"/>
        <c:tickLblSkip val="9"/>
        <c:noMultiLvlLbl val="0"/>
      </c:catAx>
      <c:valAx>
        <c:axId val="1450503775"/>
        <c:scaling>
          <c:orientation val="minMax"/>
          <c:min val="0.2"/>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dk1">
                    <a:lumMod val="65000"/>
                    <a:lumOff val="35000"/>
                  </a:schemeClr>
                </a:solidFill>
                <a:latin typeface="Calibri" panose="020F0502020204030204" pitchFamily="34" charset="0"/>
                <a:ea typeface="+mn-ea"/>
                <a:cs typeface="Calibri" panose="020F0502020204030204" pitchFamily="34" charset="0"/>
              </a:defRPr>
            </a:pPr>
            <a:endParaRPr lang="en-US"/>
          </a:p>
        </c:txPr>
        <c:crossAx val="1450497535"/>
        <c:crosses val="autoZero"/>
        <c:crossBetween val="between"/>
        <c:majorUnit val="5.000000000000001E-2"/>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2.1853528464937978E-2"/>
          <c:y val="0.89495861999657766"/>
          <c:w val="0.69835687178686667"/>
          <c:h val="0.1050416113030890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1000">
          <a:latin typeface="Calibri" panose="020F0502020204030204" pitchFamily="34" charset="0"/>
          <a:cs typeface="Calibri" panose="020F0502020204030204" pitchFamily="34" charset="0"/>
        </a:defRPr>
      </a:pPr>
      <a:endParaRPr lang="en-US"/>
    </a:p>
  </c:txPr>
  <c:externalData r:id="rId4">
    <c:autoUpdate val="0"/>
  </c:externalData>
  <c:userShapes r:id="rId5"/>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[20230517_NHRA Review - Supporting Dashboard_Master_DRAFT.xlsx]Effectiveness!PivotTable16</c:name>
    <c:fmtId val="-1"/>
  </c:pivotSource>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r>
              <a:rPr lang="en-AU" sz="1000"/>
              <a:t>Proportion of patients waiting longer than the clinically recommended time for elective surgery</a:t>
            </a:r>
            <a:r>
              <a:rPr lang="en-AU" sz="1000" baseline="0"/>
              <a:t> by clinical category, 2012-22</a:t>
            </a:r>
            <a:endParaRPr lang="en-AU"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title>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1205301812752153"/>
          <c:y val="0.3584047965568285"/>
          <c:w val="0.53362509975837324"/>
          <c:h val="0.34885198591882177"/>
        </c:manualLayout>
      </c:layout>
      <c:lineChart>
        <c:grouping val="standard"/>
        <c:varyColors val="0"/>
        <c:ser>
          <c:idx val="0"/>
          <c:order val="0"/>
          <c:tx>
            <c:strRef>
              <c:f>Effectiveness!$S$218:$S$219</c:f>
              <c:strCache>
                <c:ptCount val="1"/>
                <c:pt idx="0">
                  <c:v>Category 1 (&lt;30 days)</c:v>
                </c:pt>
              </c:strCache>
            </c:strRef>
          </c:tx>
          <c:spPr>
            <a:ln w="28575" cap="rnd">
              <a:solidFill>
                <a:schemeClr val="accent1"/>
              </a:solidFill>
              <a:round/>
            </a:ln>
            <a:effectLst/>
          </c:spPr>
          <c:marker>
            <c:symbol val="none"/>
          </c:marker>
          <c:cat>
            <c:strRef>
              <c:f>Effectiveness!$R$220:$R$230</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Effectiveness!$S$220:$S$230</c:f>
              <c:numCache>
                <c:formatCode>General</c:formatCode>
                <c:ptCount val="10"/>
                <c:pt idx="0">
                  <c:v>5.2000000000000028</c:v>
                </c:pt>
                <c:pt idx="1">
                  <c:v>3</c:v>
                </c:pt>
                <c:pt idx="2">
                  <c:v>2.7000000000000028</c:v>
                </c:pt>
                <c:pt idx="3">
                  <c:v>3.0999999999999943</c:v>
                </c:pt>
                <c:pt idx="4">
                  <c:v>3.5999999999999943</c:v>
                </c:pt>
                <c:pt idx="5">
                  <c:v>4.5</c:v>
                </c:pt>
                <c:pt idx="6">
                  <c:v>4.2999999999999972</c:v>
                </c:pt>
                <c:pt idx="7">
                  <c:v>4.2999999999999972</c:v>
                </c:pt>
                <c:pt idx="8">
                  <c:v>5.5</c:v>
                </c:pt>
                <c:pt idx="9">
                  <c:v>6.2000000000000028</c:v>
                </c:pt>
              </c:numCache>
            </c:numRef>
          </c:val>
          <c:smooth val="0"/>
          <c:extLst>
            <c:ext xmlns:c16="http://schemas.microsoft.com/office/drawing/2014/chart" uri="{C3380CC4-5D6E-409C-BE32-E72D297353CC}">
              <c16:uniqueId val="{00000000-1DD6-4796-9031-0AC7C45B6807}"/>
            </c:ext>
          </c:extLst>
        </c:ser>
        <c:ser>
          <c:idx val="1"/>
          <c:order val="1"/>
          <c:tx>
            <c:strRef>
              <c:f>Effectiveness!$T$218:$T$219</c:f>
              <c:strCache>
                <c:ptCount val="1"/>
                <c:pt idx="0">
                  <c:v>Category 2 (&lt;90 days)</c:v>
                </c:pt>
              </c:strCache>
            </c:strRef>
          </c:tx>
          <c:spPr>
            <a:ln w="28575" cap="rnd">
              <a:solidFill>
                <a:schemeClr val="accent2"/>
              </a:solidFill>
              <a:round/>
            </a:ln>
            <a:effectLst/>
          </c:spPr>
          <c:marker>
            <c:symbol val="none"/>
          </c:marker>
          <c:cat>
            <c:strRef>
              <c:f>Effectiveness!$R$220:$R$230</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Effectiveness!$T$220:$T$230</c:f>
              <c:numCache>
                <c:formatCode>General</c:formatCode>
                <c:ptCount val="10"/>
                <c:pt idx="0">
                  <c:v>20.200000000000003</c:v>
                </c:pt>
                <c:pt idx="1">
                  <c:v>17.400000000000006</c:v>
                </c:pt>
                <c:pt idx="2">
                  <c:v>13.400000000000006</c:v>
                </c:pt>
                <c:pt idx="3">
                  <c:v>12.900000000000006</c:v>
                </c:pt>
                <c:pt idx="4">
                  <c:v>11.400000000000006</c:v>
                </c:pt>
                <c:pt idx="5">
                  <c:v>12</c:v>
                </c:pt>
                <c:pt idx="6">
                  <c:v>12.599999999999994</c:v>
                </c:pt>
                <c:pt idx="7">
                  <c:v>17.099999999999994</c:v>
                </c:pt>
                <c:pt idx="8">
                  <c:v>24.5</c:v>
                </c:pt>
                <c:pt idx="9">
                  <c:v>31.299999999999997</c:v>
                </c:pt>
              </c:numCache>
            </c:numRef>
          </c:val>
          <c:smooth val="0"/>
          <c:extLst>
            <c:ext xmlns:c16="http://schemas.microsoft.com/office/drawing/2014/chart" uri="{C3380CC4-5D6E-409C-BE32-E72D297353CC}">
              <c16:uniqueId val="{00000001-1DD6-4796-9031-0AC7C45B6807}"/>
            </c:ext>
          </c:extLst>
        </c:ser>
        <c:ser>
          <c:idx val="2"/>
          <c:order val="2"/>
          <c:tx>
            <c:strRef>
              <c:f>Effectiveness!$U$218:$U$219</c:f>
              <c:strCache>
                <c:ptCount val="1"/>
                <c:pt idx="0">
                  <c:v>Category 3 (&lt;365 days)</c:v>
                </c:pt>
              </c:strCache>
            </c:strRef>
          </c:tx>
          <c:spPr>
            <a:ln w="28575" cap="rnd">
              <a:solidFill>
                <a:schemeClr val="accent3"/>
              </a:solidFill>
              <a:round/>
            </a:ln>
            <a:effectLst/>
          </c:spPr>
          <c:marker>
            <c:symbol val="none"/>
          </c:marker>
          <c:cat>
            <c:strRef>
              <c:f>Effectiveness!$R$220:$R$230</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Effectiveness!$U$220:$U$230</c:f>
              <c:numCache>
                <c:formatCode>General</c:formatCode>
                <c:ptCount val="10"/>
                <c:pt idx="0">
                  <c:v>7.2000000000000028</c:v>
                </c:pt>
                <c:pt idx="1">
                  <c:v>5.7999999999999972</c:v>
                </c:pt>
                <c:pt idx="2">
                  <c:v>4.5</c:v>
                </c:pt>
                <c:pt idx="3">
                  <c:v>4.7999999999999972</c:v>
                </c:pt>
                <c:pt idx="4">
                  <c:v>4.2999999999999972</c:v>
                </c:pt>
                <c:pt idx="5">
                  <c:v>4.9000000000000057</c:v>
                </c:pt>
                <c:pt idx="6">
                  <c:v>5.7999999999999972</c:v>
                </c:pt>
                <c:pt idx="7">
                  <c:v>8.7000000000000028</c:v>
                </c:pt>
                <c:pt idx="8">
                  <c:v>22.200000000000003</c:v>
                </c:pt>
                <c:pt idx="9">
                  <c:v>21.5</c:v>
                </c:pt>
              </c:numCache>
            </c:numRef>
          </c:val>
          <c:smooth val="0"/>
          <c:extLst>
            <c:ext xmlns:c16="http://schemas.microsoft.com/office/drawing/2014/chart" uri="{C3380CC4-5D6E-409C-BE32-E72D297353CC}">
              <c16:uniqueId val="{00000002-1DD6-4796-9031-0AC7C45B6807}"/>
            </c:ext>
          </c:extLst>
        </c:ser>
        <c:ser>
          <c:idx val="3"/>
          <c:order val="3"/>
          <c:tx>
            <c:strRef>
              <c:f>Effectiveness!$V$218:$V$219</c:f>
              <c:strCache>
                <c:ptCount val="1"/>
                <c:pt idx="0">
                  <c:v>Average</c:v>
                </c:pt>
              </c:strCache>
            </c:strRef>
          </c:tx>
          <c:spPr>
            <a:ln w="28575" cap="rnd">
              <a:solidFill>
                <a:schemeClr val="accent4"/>
              </a:solidFill>
              <a:round/>
            </a:ln>
            <a:effectLst/>
          </c:spPr>
          <c:marker>
            <c:symbol val="none"/>
          </c:marker>
          <c:cat>
            <c:strRef>
              <c:f>Effectiveness!$R$220:$R$230</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Effectiveness!$V$220:$V$230</c:f>
              <c:numCache>
                <c:formatCode>General</c:formatCode>
                <c:ptCount val="10"/>
                <c:pt idx="0">
                  <c:v>11.700000000000003</c:v>
                </c:pt>
                <c:pt idx="1">
                  <c:v>9.5999999999999943</c:v>
                </c:pt>
                <c:pt idx="2">
                  <c:v>7.4000000000000057</c:v>
                </c:pt>
                <c:pt idx="3">
                  <c:v>7.4000000000000057</c:v>
                </c:pt>
                <c:pt idx="4">
                  <c:v>6.7999999999999972</c:v>
                </c:pt>
                <c:pt idx="5">
                  <c:v>7.5</c:v>
                </c:pt>
                <c:pt idx="6">
                  <c:v>8</c:v>
                </c:pt>
                <c:pt idx="7">
                  <c:v>10.5</c:v>
                </c:pt>
                <c:pt idx="8">
                  <c:v>17.900000000000006</c:v>
                </c:pt>
                <c:pt idx="9">
                  <c:v>19.5</c:v>
                </c:pt>
              </c:numCache>
            </c:numRef>
          </c:val>
          <c:smooth val="0"/>
          <c:extLst>
            <c:ext xmlns:c16="http://schemas.microsoft.com/office/drawing/2014/chart" uri="{C3380CC4-5D6E-409C-BE32-E72D297353CC}">
              <c16:uniqueId val="{00000003-1DD6-4796-9031-0AC7C45B6807}"/>
            </c:ext>
          </c:extLst>
        </c:ser>
        <c:dLbls>
          <c:showLegendKey val="0"/>
          <c:showVal val="0"/>
          <c:showCatName val="0"/>
          <c:showSerName val="0"/>
          <c:showPercent val="0"/>
          <c:showBubbleSize val="0"/>
        </c:dLbls>
        <c:smooth val="0"/>
        <c:axId val="1743985216"/>
        <c:axId val="1743987712"/>
      </c:lineChart>
      <c:catAx>
        <c:axId val="174398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1743987712"/>
        <c:crosses val="autoZero"/>
        <c:auto val="1"/>
        <c:lblAlgn val="ctr"/>
        <c:lblOffset val="100"/>
        <c:noMultiLvlLbl val="0"/>
      </c:catAx>
      <c:valAx>
        <c:axId val="1743987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r>
                  <a:rPr lang="en-AU"/>
                  <a:t>%</a:t>
                </a:r>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1743985216"/>
        <c:crosses val="autoZero"/>
        <c:crossBetween val="between"/>
      </c:valAx>
      <c:spPr>
        <a:noFill/>
        <a:ln>
          <a:noFill/>
        </a:ln>
        <a:effectLst/>
      </c:spPr>
    </c:plotArea>
    <c:legend>
      <c:legendPos val="r"/>
      <c:layout>
        <c:manualLayout>
          <c:xMode val="edge"/>
          <c:yMode val="edge"/>
          <c:x val="0.67124004408370019"/>
          <c:y val="0.26328071550297921"/>
          <c:w val="0.3129185101278501"/>
          <c:h val="0.5708161361346418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Calibri Light" panose="020F0302020204030204" pitchFamily="34" charset="0"/>
          <a:cs typeface="Calibri Light" panose="020F0302020204030204" pitchFamily="34" charset="0"/>
        </a:defRPr>
      </a:pPr>
      <a:endParaRPr lang="en-US"/>
    </a:p>
  </c:txPr>
  <c:externalData r:id="rId3">
    <c:autoUpdate val="0"/>
  </c:externalData>
  <c:extLst>
    <c:ext xmlns:c14="http://schemas.microsoft.com/office/drawing/2007/8/2/chart" uri="{781A3756-C4B2-4CAC-9D66-4F8BD8637D16}">
      <c14:pivotOptions>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r>
              <a:rPr lang="en-AU" sz="1000"/>
              <a:t>Proportion of total health spending in 2020-21 by funding source, current prices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title>
    <c:autoTitleDeleted val="0"/>
    <c:plotArea>
      <c:layout>
        <c:manualLayout>
          <c:layoutTarget val="inner"/>
          <c:xMode val="edge"/>
          <c:yMode val="edge"/>
          <c:x val="7.5324445830409814E-2"/>
          <c:y val="0.20703962703962703"/>
          <c:w val="0.89563264987916114"/>
          <c:h val="0.4744353284510765"/>
        </c:manualLayout>
      </c:layout>
      <c:barChart>
        <c:barDir val="col"/>
        <c:grouping val="stacked"/>
        <c:varyColors val="0"/>
        <c:ser>
          <c:idx val="0"/>
          <c:order val="0"/>
          <c:tx>
            <c:strRef>
              <c:f>'Ref 1 - NHR funding'!$P$40</c:f>
              <c:strCache>
                <c:ptCount val="1"/>
                <c:pt idx="0">
                  <c:v>Commonwealth Government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'Ref 1 - NHR funding'!$O$41:$O$43</c:f>
              <c:strCache>
                <c:ptCount val="3"/>
                <c:pt idx="0">
                  <c:v>2011-12</c:v>
                </c:pt>
                <c:pt idx="1">
                  <c:v>2015-16</c:v>
                </c:pt>
                <c:pt idx="2">
                  <c:v>2020-21</c:v>
                </c:pt>
              </c:strCache>
            </c:strRef>
          </c:cat>
          <c:val>
            <c:numRef>
              <c:f>'Ref 1 - NHR funding'!$P$41:$P$43</c:f>
              <c:numCache>
                <c:formatCode>General</c:formatCode>
                <c:ptCount val="3"/>
                <c:pt idx="0">
                  <c:v>43.15</c:v>
                </c:pt>
                <c:pt idx="1">
                  <c:v>41.17</c:v>
                </c:pt>
                <c:pt idx="2">
                  <c:v>42.72</c:v>
                </c:pt>
              </c:numCache>
            </c:numRef>
          </c:val>
          <c:extLst>
            <c:ext xmlns:c16="http://schemas.microsoft.com/office/drawing/2014/chart" uri="{C3380CC4-5D6E-409C-BE32-E72D297353CC}">
              <c16:uniqueId val="{00000000-D89A-4718-98FB-6EF9AE6A0A4C}"/>
            </c:ext>
          </c:extLst>
        </c:ser>
        <c:ser>
          <c:idx val="1"/>
          <c:order val="1"/>
          <c:tx>
            <c:strRef>
              <c:f>'Ref 1 - NHR funding'!$Q$40</c:f>
              <c:strCache>
                <c:ptCount val="1"/>
                <c:pt idx="0">
                  <c:v>Health insurance providers</c:v>
                </c:pt>
              </c:strCache>
            </c:strRef>
          </c:tx>
          <c:spPr>
            <a:solidFill>
              <a:srgbClr val="A26000"/>
            </a:solidFill>
            <a:ln>
              <a:noFill/>
            </a:ln>
            <a:effectLst/>
          </c:spPr>
          <c:invertIfNegative val="0"/>
          <c:dLbls>
            <c:dLbl>
              <c:idx val="0"/>
              <c:layout>
                <c:manualLayout>
                  <c:x val="9.9871593665287486E-2"/>
                  <c:y val="5.087763927753752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9A-4718-98FB-6EF9AE6A0A4C}"/>
                </c:ext>
              </c:extLst>
            </c:dLbl>
            <c:dLbl>
              <c:idx val="1"/>
              <c:layout>
                <c:manualLayout>
                  <c:x val="0.10272506777000999"/>
                  <c:y val="5.087763927753752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9A-4718-98FB-6EF9AE6A0A4C}"/>
                </c:ext>
              </c:extLst>
            </c:dLbl>
            <c:dLbl>
              <c:idx val="2"/>
              <c:layout>
                <c:manualLayout>
                  <c:x val="0.10272506777001009"/>
                  <c:y val="5.087763927753705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9A-4718-98FB-6EF9AE6A0A4C}"/>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'Ref 1 - NHR funding'!$O$41:$O$43</c:f>
              <c:strCache>
                <c:ptCount val="3"/>
                <c:pt idx="0">
                  <c:v>2011-12</c:v>
                </c:pt>
                <c:pt idx="1">
                  <c:v>2015-16</c:v>
                </c:pt>
                <c:pt idx="2">
                  <c:v>2020-21</c:v>
                </c:pt>
              </c:strCache>
            </c:strRef>
          </c:cat>
          <c:val>
            <c:numRef>
              <c:f>'Ref 1 - NHR funding'!$Q$41:$Q$43</c:f>
              <c:numCache>
                <c:formatCode>General</c:formatCode>
                <c:ptCount val="3"/>
                <c:pt idx="0">
                  <c:v>7.39</c:v>
                </c:pt>
                <c:pt idx="1">
                  <c:v>8.76</c:v>
                </c:pt>
                <c:pt idx="2">
                  <c:v>8.17</c:v>
                </c:pt>
              </c:numCache>
            </c:numRef>
          </c:val>
          <c:extLst>
            <c:ext xmlns:c16="http://schemas.microsoft.com/office/drawing/2014/chart" uri="{C3380CC4-5D6E-409C-BE32-E72D297353CC}">
              <c16:uniqueId val="{00000004-D89A-4718-98FB-6EF9AE6A0A4C}"/>
            </c:ext>
          </c:extLst>
        </c:ser>
        <c:ser>
          <c:idx val="2"/>
          <c:order val="2"/>
          <c:tx>
            <c:strRef>
              <c:f>'Ref 1 - NHR funding'!$R$40</c:f>
              <c:strCache>
                <c:ptCount val="1"/>
                <c:pt idx="0">
                  <c:v>Individuals</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'Ref 1 - NHR funding'!$O$41:$O$43</c:f>
              <c:strCache>
                <c:ptCount val="3"/>
                <c:pt idx="0">
                  <c:v>2011-12</c:v>
                </c:pt>
                <c:pt idx="1">
                  <c:v>2015-16</c:v>
                </c:pt>
                <c:pt idx="2">
                  <c:v>2020-21</c:v>
                </c:pt>
              </c:strCache>
            </c:strRef>
          </c:cat>
          <c:val>
            <c:numRef>
              <c:f>'Ref 1 - NHR funding'!$R$41:$R$43</c:f>
              <c:numCache>
                <c:formatCode>General</c:formatCode>
                <c:ptCount val="3"/>
                <c:pt idx="0">
                  <c:v>16.87</c:v>
                </c:pt>
                <c:pt idx="1">
                  <c:v>17.09</c:v>
                </c:pt>
                <c:pt idx="2">
                  <c:v>15.01</c:v>
                </c:pt>
              </c:numCache>
            </c:numRef>
          </c:val>
          <c:extLst>
            <c:ext xmlns:c16="http://schemas.microsoft.com/office/drawing/2014/chart" uri="{C3380CC4-5D6E-409C-BE32-E72D297353CC}">
              <c16:uniqueId val="{00000005-D89A-4718-98FB-6EF9AE6A0A4C}"/>
            </c:ext>
          </c:extLst>
        </c:ser>
        <c:ser>
          <c:idx val="3"/>
          <c:order val="3"/>
          <c:tx>
            <c:strRef>
              <c:f>'Ref 1 - NHR funding'!$S$40</c:f>
              <c:strCache>
                <c:ptCount val="1"/>
                <c:pt idx="0">
                  <c:v>Other non-government</c:v>
                </c:pt>
              </c:strCache>
            </c:strRef>
          </c:tx>
          <c:spPr>
            <a:solidFill>
              <a:schemeClr val="accent4"/>
            </a:solidFill>
            <a:ln>
              <a:noFill/>
            </a:ln>
            <a:effectLst/>
          </c:spPr>
          <c:invertIfNegative val="0"/>
          <c:dLbls>
            <c:dLbl>
              <c:idx val="0"/>
              <c:layout>
                <c:manualLayout>
                  <c:x val="-9.1311171351120005E-2"/>
                  <c:y val="-4.663729724637188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9A-4718-98FB-6EF9AE6A0A4C}"/>
                </c:ext>
              </c:extLst>
            </c:dLbl>
            <c:dLbl>
              <c:idx val="1"/>
              <c:layout>
                <c:manualLayout>
                  <c:x val="-8.560422314167498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89A-4718-98FB-6EF9AE6A0A4C}"/>
                </c:ext>
              </c:extLst>
            </c:dLbl>
            <c:dLbl>
              <c:idx val="2"/>
              <c:layout>
                <c:manualLayout>
                  <c:x val="-9.1311171351119991E-2"/>
                  <c:y val="-5.087763927753798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89A-4718-98FB-6EF9AE6A0A4C}"/>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'Ref 1 - NHR funding'!$O$41:$O$43</c:f>
              <c:strCache>
                <c:ptCount val="3"/>
                <c:pt idx="0">
                  <c:v>2011-12</c:v>
                </c:pt>
                <c:pt idx="1">
                  <c:v>2015-16</c:v>
                </c:pt>
                <c:pt idx="2">
                  <c:v>2020-21</c:v>
                </c:pt>
              </c:strCache>
            </c:strRef>
          </c:cat>
          <c:val>
            <c:numRef>
              <c:f>'Ref 1 - NHR funding'!$S$41:$S$43</c:f>
              <c:numCache>
                <c:formatCode>General</c:formatCode>
                <c:ptCount val="3"/>
                <c:pt idx="0">
                  <c:v>5.69</c:v>
                </c:pt>
                <c:pt idx="1">
                  <c:v>6.83</c:v>
                </c:pt>
                <c:pt idx="2">
                  <c:v>6.21</c:v>
                </c:pt>
              </c:numCache>
            </c:numRef>
          </c:val>
          <c:extLst>
            <c:ext xmlns:c16="http://schemas.microsoft.com/office/drawing/2014/chart" uri="{C3380CC4-5D6E-409C-BE32-E72D297353CC}">
              <c16:uniqueId val="{00000009-D89A-4718-98FB-6EF9AE6A0A4C}"/>
            </c:ext>
          </c:extLst>
        </c:ser>
        <c:ser>
          <c:idx val="4"/>
          <c:order val="4"/>
          <c:tx>
            <c:strRef>
              <c:f>'Ref 1 - NHR funding'!$T$40</c:f>
              <c:strCache>
                <c:ptCount val="1"/>
                <c:pt idx="0">
                  <c:v>State and territory governments</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'Ref 1 - NHR funding'!$O$41:$O$43</c:f>
              <c:strCache>
                <c:ptCount val="3"/>
                <c:pt idx="0">
                  <c:v>2011-12</c:v>
                </c:pt>
                <c:pt idx="1">
                  <c:v>2015-16</c:v>
                </c:pt>
                <c:pt idx="2">
                  <c:v>2020-21</c:v>
                </c:pt>
              </c:strCache>
            </c:strRef>
          </c:cat>
          <c:val>
            <c:numRef>
              <c:f>'Ref 1 - NHR funding'!$T$41:$T$43</c:f>
              <c:numCache>
                <c:formatCode>General</c:formatCode>
                <c:ptCount val="3"/>
                <c:pt idx="0">
                  <c:v>26.9</c:v>
                </c:pt>
                <c:pt idx="1">
                  <c:v>26.14</c:v>
                </c:pt>
                <c:pt idx="2">
                  <c:v>27.9</c:v>
                </c:pt>
              </c:numCache>
            </c:numRef>
          </c:val>
          <c:extLst>
            <c:ext xmlns:c16="http://schemas.microsoft.com/office/drawing/2014/chart" uri="{C3380CC4-5D6E-409C-BE32-E72D297353CC}">
              <c16:uniqueId val="{0000000A-D89A-4718-98FB-6EF9AE6A0A4C}"/>
            </c:ext>
          </c:extLst>
        </c:ser>
        <c:dLbls>
          <c:dLblPos val="ctr"/>
          <c:showLegendKey val="0"/>
          <c:showVal val="1"/>
          <c:showCatName val="0"/>
          <c:showSerName val="0"/>
          <c:showPercent val="0"/>
          <c:showBubbleSize val="0"/>
        </c:dLbls>
        <c:gapWidth val="150"/>
        <c:overlap val="100"/>
        <c:axId val="304831712"/>
        <c:axId val="438231216"/>
      </c:barChart>
      <c:catAx>
        <c:axId val="30483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438231216"/>
        <c:crosses val="autoZero"/>
        <c:auto val="1"/>
        <c:lblAlgn val="ctr"/>
        <c:lblOffset val="100"/>
        <c:noMultiLvlLbl val="0"/>
      </c:catAx>
      <c:valAx>
        <c:axId val="438231216"/>
        <c:scaling>
          <c:orientation val="minMax"/>
          <c:max val="1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304831712"/>
        <c:crosses val="autoZero"/>
        <c:crossBetween val="between"/>
      </c:valAx>
      <c:spPr>
        <a:noFill/>
        <a:ln>
          <a:noFill/>
        </a:ln>
        <a:effectLst/>
      </c:spPr>
    </c:plotArea>
    <c:legend>
      <c:legendPos val="b"/>
      <c:layout>
        <c:manualLayout>
          <c:xMode val="edge"/>
          <c:yMode val="edge"/>
          <c:x val="3.1716431485668245E-2"/>
          <c:y val="0.78496338307361935"/>
          <c:w val="0.93920719316026091"/>
          <c:h val="0.187064588954352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r>
              <a:rPr lang="en-US" sz="1000"/>
              <a:t>Ratio of Australia's total health expenditure to GDP, current prices, 2010-11 to 2020-21</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title>
    <c:autoTitleDeleted val="0"/>
    <c:plotArea>
      <c:layout/>
      <c:lineChart>
        <c:grouping val="standard"/>
        <c:varyColors val="0"/>
        <c:ser>
          <c:idx val="0"/>
          <c:order val="0"/>
          <c:tx>
            <c:strRef>
              <c:f>'Ratio of health expenditure to '!$B$1</c:f>
              <c:strCache>
                <c:ptCount val="1"/>
                <c:pt idx="0">
                  <c:v>Ratio of health spending to GDP</c:v>
                </c:pt>
              </c:strCache>
            </c:strRef>
          </c:tx>
          <c:spPr>
            <a:ln w="28575" cap="rnd">
              <a:solidFill>
                <a:schemeClr val="accent5">
                  <a:lumMod val="75000"/>
                </a:schemeClr>
              </a:solidFill>
              <a:round/>
            </a:ln>
            <a:effectLst/>
          </c:spPr>
          <c:marker>
            <c:symbol val="none"/>
          </c:marker>
          <c:dLbls>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A1-4372-A7EA-17EC50BE265F}"/>
                </c:ext>
              </c:extLst>
            </c:dLbl>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A1-4372-A7EA-17EC50BE265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'Ratio of health expenditure to '!$A$2:$A$12</c:f>
              <c:strCache>
                <c:ptCount val="11"/>
                <c:pt idx="0">
                  <c:v>2010-11</c:v>
                </c:pt>
                <c:pt idx="1">
                  <c:v>2011-12</c:v>
                </c:pt>
                <c:pt idx="2">
                  <c:v>2012-13</c:v>
                </c:pt>
                <c:pt idx="3">
                  <c:v>2013-14</c:v>
                </c:pt>
                <c:pt idx="4">
                  <c:v>2014-15</c:v>
                </c:pt>
                <c:pt idx="5">
                  <c:v>2015-16</c:v>
                </c:pt>
                <c:pt idx="6">
                  <c:v>2016-17</c:v>
                </c:pt>
                <c:pt idx="7">
                  <c:v>2017-18</c:v>
                </c:pt>
                <c:pt idx="8">
                  <c:v>2018-19</c:v>
                </c:pt>
                <c:pt idx="9">
                  <c:v>2019-20</c:v>
                </c:pt>
                <c:pt idx="10">
                  <c:v>2020-21</c:v>
                </c:pt>
              </c:strCache>
            </c:strRef>
          </c:cat>
          <c:val>
            <c:numRef>
              <c:f>'Ratio of health expenditure to '!$B$2:$B$12</c:f>
              <c:numCache>
                <c:formatCode>General</c:formatCode>
                <c:ptCount val="11"/>
                <c:pt idx="0">
                  <c:v>9.2443312679999998</c:v>
                </c:pt>
                <c:pt idx="1">
                  <c:v>9.4317284390000005</c:v>
                </c:pt>
                <c:pt idx="2">
                  <c:v>9.5268795169999994</c:v>
                </c:pt>
                <c:pt idx="3">
                  <c:v>9.6309803570000003</c:v>
                </c:pt>
                <c:pt idx="4">
                  <c:v>9.9042353240000001</c:v>
                </c:pt>
                <c:pt idx="5">
                  <c:v>10.233144995</c:v>
                </c:pt>
                <c:pt idx="6">
                  <c:v>10.232356100000001</c:v>
                </c:pt>
                <c:pt idx="7">
                  <c:v>10.059176132999999</c:v>
                </c:pt>
                <c:pt idx="8">
                  <c:v>10.015603091999999</c:v>
                </c:pt>
                <c:pt idx="9">
                  <c:v>10.203091827</c:v>
                </c:pt>
                <c:pt idx="10">
                  <c:v>10.681358040999999</c:v>
                </c:pt>
              </c:numCache>
            </c:numRef>
          </c:val>
          <c:smooth val="0"/>
          <c:extLst>
            <c:ext xmlns:c16="http://schemas.microsoft.com/office/drawing/2014/chart" uri="{C3380CC4-5D6E-409C-BE32-E72D297353CC}">
              <c16:uniqueId val="{00000002-25A1-4372-A7EA-17EC50BE265F}"/>
            </c:ext>
          </c:extLst>
        </c:ser>
        <c:dLbls>
          <c:showLegendKey val="0"/>
          <c:showVal val="0"/>
          <c:showCatName val="0"/>
          <c:showSerName val="0"/>
          <c:showPercent val="0"/>
          <c:showBubbleSize val="0"/>
        </c:dLbls>
        <c:smooth val="0"/>
        <c:axId val="1799857632"/>
        <c:axId val="1800068336"/>
      </c:lineChart>
      <c:catAx>
        <c:axId val="179985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1800068336"/>
        <c:crosses val="autoZero"/>
        <c:auto val="1"/>
        <c:lblAlgn val="ctr"/>
        <c:lblOffset val="100"/>
        <c:noMultiLvlLbl val="0"/>
      </c:catAx>
      <c:valAx>
        <c:axId val="18000683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r>
                  <a:rPr lang="en-AU"/>
                  <a:t>Ratio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1799857632"/>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r>
              <a:rPr lang="en-AU" sz="1000"/>
              <a:t>Government health expenditure as a proportion of GDP across OECD countries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title>
    <c:autoTitleDeleted val="0"/>
    <c:plotArea>
      <c:layout/>
      <c:barChart>
        <c:barDir val="col"/>
        <c:grouping val="clustered"/>
        <c:varyColors val="0"/>
        <c:ser>
          <c:idx val="0"/>
          <c:order val="0"/>
          <c:tx>
            <c:strRef>
              <c:f>'Ref 4 - Total health spending'!$C$67</c:f>
              <c:strCache>
                <c:ptCount val="1"/>
                <c:pt idx="0">
                  <c:v>Government health expenditure as a proportion of GDP</c:v>
                </c:pt>
              </c:strCache>
            </c:strRef>
          </c:tx>
          <c:spPr>
            <a:solidFill>
              <a:schemeClr val="accent4"/>
            </a:solidFill>
            <a:ln>
              <a:noFill/>
            </a:ln>
            <a:effectLst/>
          </c:spPr>
          <c:invertIfNegative val="0"/>
          <c:dPt>
            <c:idx val="12"/>
            <c:invertIfNegative val="0"/>
            <c:bubble3D val="0"/>
            <c:spPr>
              <a:solidFill>
                <a:srgbClr val="A26000"/>
              </a:solidFill>
              <a:ln>
                <a:noFill/>
              </a:ln>
              <a:effectLst/>
            </c:spPr>
            <c:extLst>
              <c:ext xmlns:c16="http://schemas.microsoft.com/office/drawing/2014/chart" uri="{C3380CC4-5D6E-409C-BE32-E72D297353CC}">
                <c16:uniqueId val="{00000001-93F3-4148-A645-7CDDFE01C0E9}"/>
              </c:ext>
            </c:extLst>
          </c:dPt>
          <c:dLbls>
            <c:dLbl>
              <c:idx val="1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F3-4148-A645-7CDDFE01C0E9}"/>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'Ref 4 - Total health spending'!$B$68:$B$100</c:f>
              <c:strCache>
                <c:ptCount val="33"/>
                <c:pt idx="0">
                  <c:v>USA</c:v>
                </c:pt>
                <c:pt idx="1">
                  <c:v>AUT</c:v>
                </c:pt>
                <c:pt idx="2">
                  <c:v>GBR</c:v>
                </c:pt>
                <c:pt idx="3">
                  <c:v>CZE</c:v>
                </c:pt>
                <c:pt idx="4">
                  <c:v>FRA</c:v>
                </c:pt>
                <c:pt idx="5">
                  <c:v>JPN</c:v>
                </c:pt>
                <c:pt idx="6">
                  <c:v>DNK</c:v>
                </c:pt>
                <c:pt idx="7">
                  <c:v>ISL</c:v>
                </c:pt>
                <c:pt idx="8">
                  <c:v>BEL</c:v>
                </c:pt>
                <c:pt idx="9">
                  <c:v>DEU</c:v>
                </c:pt>
                <c:pt idx="10">
                  <c:v>NOR</c:v>
                </c:pt>
                <c:pt idx="11">
                  <c:v>NLD</c:v>
                </c:pt>
                <c:pt idx="12">
                  <c:v>AUS</c:v>
                </c:pt>
                <c:pt idx="13">
                  <c:v>SVN</c:v>
                </c:pt>
                <c:pt idx="14">
                  <c:v>FIN</c:v>
                </c:pt>
                <c:pt idx="15">
                  <c:v>PRT</c:v>
                </c:pt>
                <c:pt idx="16">
                  <c:v>ITA</c:v>
                </c:pt>
                <c:pt idx="17">
                  <c:v>ESP</c:v>
                </c:pt>
                <c:pt idx="18">
                  <c:v>SWE</c:v>
                </c:pt>
                <c:pt idx="19">
                  <c:v>SVK</c:v>
                </c:pt>
                <c:pt idx="20">
                  <c:v>GRC</c:v>
                </c:pt>
                <c:pt idx="21">
                  <c:v>EST</c:v>
                </c:pt>
                <c:pt idx="22">
                  <c:v>LVA</c:v>
                </c:pt>
                <c:pt idx="23">
                  <c:v>COL</c:v>
                </c:pt>
                <c:pt idx="24">
                  <c:v>LTU</c:v>
                </c:pt>
                <c:pt idx="25">
                  <c:v>ISR</c:v>
                </c:pt>
                <c:pt idx="26">
                  <c:v>CHL</c:v>
                </c:pt>
                <c:pt idx="27">
                  <c:v>POL</c:v>
                </c:pt>
                <c:pt idx="28">
                  <c:v>KOR</c:v>
                </c:pt>
                <c:pt idx="29">
                  <c:v>HUN</c:v>
                </c:pt>
                <c:pt idx="30">
                  <c:v>LUX</c:v>
                </c:pt>
                <c:pt idx="31">
                  <c:v>IRL</c:v>
                </c:pt>
                <c:pt idx="32">
                  <c:v>CHE</c:v>
                </c:pt>
              </c:strCache>
            </c:strRef>
          </c:cat>
          <c:val>
            <c:numRef>
              <c:f>'Ref 4 - Total health spending'!$C$68:$C$100</c:f>
              <c:numCache>
                <c:formatCode>0.0</c:formatCode>
                <c:ptCount val="33"/>
                <c:pt idx="0">
                  <c:v>10.291751634918199</c:v>
                </c:pt>
                <c:pt idx="1">
                  <c:v>10.077393581025399</c:v>
                </c:pt>
                <c:pt idx="2">
                  <c:v>9.9252239625133107</c:v>
                </c:pt>
                <c:pt idx="3">
                  <c:v>9.8299200961511204</c:v>
                </c:pt>
                <c:pt idx="4">
                  <c:v>9.2160728066632807</c:v>
                </c:pt>
                <c:pt idx="5">
                  <c:v>9.1961054957840602</c:v>
                </c:pt>
                <c:pt idx="6">
                  <c:v>9.0722350106302692</c:v>
                </c:pt>
                <c:pt idx="7">
                  <c:v>8.9553753538340093</c:v>
                </c:pt>
                <c:pt idx="8">
                  <c:v>8.6157178275698296</c:v>
                </c:pt>
                <c:pt idx="9">
                  <c:v>8.60490124258801</c:v>
                </c:pt>
                <c:pt idx="10">
                  <c:v>8.5893076773308099</c:v>
                </c:pt>
                <c:pt idx="11">
                  <c:v>8.5475661823574196</c:v>
                </c:pt>
                <c:pt idx="12">
                  <c:v>8.2228586549192695</c:v>
                </c:pt>
                <c:pt idx="13">
                  <c:v>8.12932383255567</c:v>
                </c:pt>
                <c:pt idx="14">
                  <c:v>7.7223816355810602</c:v>
                </c:pt>
                <c:pt idx="15">
                  <c:v>7.6115270558312398</c:v>
                </c:pt>
                <c:pt idx="16">
                  <c:v>7.5787808010335702</c:v>
                </c:pt>
                <c:pt idx="17">
                  <c:v>7.34354621400316</c:v>
                </c:pt>
                <c:pt idx="18">
                  <c:v>7.3072042617611999</c:v>
                </c:pt>
                <c:pt idx="19">
                  <c:v>6.8934828230045104</c:v>
                </c:pt>
                <c:pt idx="20">
                  <c:v>6.6657637193775896</c:v>
                </c:pt>
                <c:pt idx="21">
                  <c:v>6.4919881507318902</c:v>
                </c:pt>
                <c:pt idx="22">
                  <c:v>6.2680016323891596</c:v>
                </c:pt>
                <c:pt idx="23">
                  <c:v>6.0720987836516596</c:v>
                </c:pt>
                <c:pt idx="24">
                  <c:v>5.8843004595811603</c:v>
                </c:pt>
                <c:pt idx="25">
                  <c:v>5.7675057762571802</c:v>
                </c:pt>
                <c:pt idx="26">
                  <c:v>5.7605548315823603</c:v>
                </c:pt>
                <c:pt idx="27">
                  <c:v>5.7545192456054099</c:v>
                </c:pt>
                <c:pt idx="28">
                  <c:v>5.7304723563640696</c:v>
                </c:pt>
                <c:pt idx="29">
                  <c:v>5.6217839501961198</c:v>
                </c:pt>
                <c:pt idx="30">
                  <c:v>5.4170583378915103</c:v>
                </c:pt>
                <c:pt idx="31">
                  <c:v>5.1686210605753597</c:v>
                </c:pt>
                <c:pt idx="32">
                  <c:v>2.8247974229496098</c:v>
                </c:pt>
              </c:numCache>
            </c:numRef>
          </c:val>
          <c:extLst>
            <c:ext xmlns:c16="http://schemas.microsoft.com/office/drawing/2014/chart" uri="{C3380CC4-5D6E-409C-BE32-E72D297353CC}">
              <c16:uniqueId val="{00000002-93F3-4148-A645-7CDDFE01C0E9}"/>
            </c:ext>
          </c:extLst>
        </c:ser>
        <c:dLbls>
          <c:showLegendKey val="0"/>
          <c:showVal val="0"/>
          <c:showCatName val="0"/>
          <c:showSerName val="0"/>
          <c:showPercent val="0"/>
          <c:showBubbleSize val="0"/>
        </c:dLbls>
        <c:gapWidth val="219"/>
        <c:overlap val="-27"/>
        <c:axId val="305557504"/>
        <c:axId val="305611792"/>
      </c:barChart>
      <c:catAx>
        <c:axId val="30555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305611792"/>
        <c:crosses val="autoZero"/>
        <c:auto val="1"/>
        <c:lblAlgn val="ctr"/>
        <c:lblOffset val="100"/>
        <c:noMultiLvlLbl val="0"/>
      </c:catAx>
      <c:valAx>
        <c:axId val="305611792"/>
        <c:scaling>
          <c:orientation val="minMax"/>
          <c:max val="11"/>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3055575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r>
              <a:rPr lang="en-US" sz="1000"/>
              <a:t>Commonwealth NHRA funding to States and Territories ($b)</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title>
    <c:autoTitleDeleted val="0"/>
    <c:plotArea>
      <c:layout/>
      <c:lineChart>
        <c:grouping val="standard"/>
        <c:varyColors val="0"/>
        <c:ser>
          <c:idx val="0"/>
          <c:order val="0"/>
          <c:tx>
            <c:strRef>
              <c:f>'NHRA Funding Amounts'!$C$20</c:f>
              <c:strCache>
                <c:ptCount val="1"/>
                <c:pt idx="0">
                  <c:v>Commonwealth NHR Funding (bn)</c:v>
                </c:pt>
              </c:strCache>
            </c:strRef>
          </c:tx>
          <c:spPr>
            <a:ln w="28575" cap="rnd">
              <a:solidFill>
                <a:schemeClr val="bg1">
                  <a:lumMod val="65000"/>
                </a:schemeClr>
              </a:solidFill>
              <a:prstDash val="sysDash"/>
              <a:round/>
            </a:ln>
            <a:effectLst/>
          </c:spPr>
          <c:marker>
            <c:symbol val="circle"/>
            <c:size val="10"/>
            <c:spPr>
              <a:noFill/>
              <a:ln w="25400">
                <a:solidFill>
                  <a:schemeClr val="accent1"/>
                </a:solidFill>
              </a:ln>
              <a:effectLst/>
            </c:spPr>
          </c:marker>
          <c:dLbls>
            <c:numFmt formatCode="#&quot;$&quot;##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'NHRA Funding Amounts'!$A$23:$A$34</c:f>
              <c:strCache>
                <c:ptCount val="12"/>
                <c:pt idx="0">
                  <c:v>2023-24</c:v>
                </c:pt>
                <c:pt idx="1">
                  <c:v>2022-23</c:v>
                </c:pt>
                <c:pt idx="2">
                  <c:v>2021-22</c:v>
                </c:pt>
                <c:pt idx="3">
                  <c:v>2020-21</c:v>
                </c:pt>
                <c:pt idx="4">
                  <c:v>2019-20</c:v>
                </c:pt>
                <c:pt idx="5">
                  <c:v>2018-19</c:v>
                </c:pt>
                <c:pt idx="6">
                  <c:v>2017-18</c:v>
                </c:pt>
                <c:pt idx="7">
                  <c:v>2016-17</c:v>
                </c:pt>
                <c:pt idx="8">
                  <c:v>2015-16</c:v>
                </c:pt>
                <c:pt idx="9">
                  <c:v>2014-15</c:v>
                </c:pt>
                <c:pt idx="10">
                  <c:v>2013-14</c:v>
                </c:pt>
                <c:pt idx="11">
                  <c:v>2012-13</c:v>
                </c:pt>
              </c:strCache>
              <c:extLst/>
            </c:strRef>
          </c:cat>
          <c:val>
            <c:numRef>
              <c:f>'NHRA Funding Amounts'!$C$23:$C$34</c:f>
              <c:numCache>
                <c:formatCode>General</c:formatCode>
                <c:ptCount val="12"/>
                <c:pt idx="0">
                  <c:v>28.7</c:v>
                </c:pt>
                <c:pt idx="1">
                  <c:v>25.811312746999999</c:v>
                </c:pt>
                <c:pt idx="2">
                  <c:v>24.055112861000001</c:v>
                </c:pt>
                <c:pt idx="3">
                  <c:v>22.438532445</c:v>
                </c:pt>
                <c:pt idx="4">
                  <c:v>22.560859155999999</c:v>
                </c:pt>
                <c:pt idx="5">
                  <c:v>21.737054762</c:v>
                </c:pt>
                <c:pt idx="6">
                  <c:v>19.937204805</c:v>
                </c:pt>
                <c:pt idx="7">
                  <c:v>18.636099604999998</c:v>
                </c:pt>
                <c:pt idx="8">
                  <c:v>17.186480286999998</c:v>
                </c:pt>
                <c:pt idx="9">
                  <c:v>15.463489589</c:v>
                </c:pt>
                <c:pt idx="10">
                  <c:v>13.869513826</c:v>
                </c:pt>
                <c:pt idx="11">
                  <c:v>13.130777119999999</c:v>
                </c:pt>
              </c:numCache>
              <c:extLst/>
            </c:numRef>
          </c:val>
          <c:smooth val="0"/>
          <c:extLst>
            <c:ext xmlns:c16="http://schemas.microsoft.com/office/drawing/2014/chart" uri="{C3380CC4-5D6E-409C-BE32-E72D297353CC}">
              <c16:uniqueId val="{00000000-73BF-4B31-801E-D3CD7DB47333}"/>
            </c:ext>
          </c:extLst>
        </c:ser>
        <c:dLbls>
          <c:showLegendKey val="0"/>
          <c:showVal val="0"/>
          <c:showCatName val="0"/>
          <c:showSerName val="0"/>
          <c:showPercent val="0"/>
          <c:showBubbleSize val="0"/>
        </c:dLbls>
        <c:marker val="1"/>
        <c:smooth val="0"/>
        <c:axId val="1059388399"/>
        <c:axId val="1138618528"/>
      </c:lineChart>
      <c:catAx>
        <c:axId val="1059388399"/>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1138618528"/>
        <c:crosses val="autoZero"/>
        <c:auto val="1"/>
        <c:lblAlgn val="ctr"/>
        <c:lblOffset val="100"/>
        <c:noMultiLvlLbl val="0"/>
      </c:catAx>
      <c:valAx>
        <c:axId val="1138618528"/>
        <c:scaling>
          <c:orientation val="minMax"/>
        </c:scaling>
        <c:delete val="1"/>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593883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AU" sz="900"/>
              <a:t>Commonwealth Contribution Rate from 2013-14 to 2022-23</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manualLayout>
          <c:layoutTarget val="inner"/>
          <c:xMode val="edge"/>
          <c:yMode val="edge"/>
          <c:x val="0.10579371867430346"/>
          <c:y val="0.16806257426776877"/>
          <c:w val="0.85385267491059702"/>
          <c:h val="0.59349316410075603"/>
        </c:manualLayout>
      </c:layout>
      <c:lineChart>
        <c:grouping val="standard"/>
        <c:varyColors val="0"/>
        <c:ser>
          <c:idx val="2"/>
          <c:order val="0"/>
          <c:tx>
            <c:strRef>
              <c:f>Sustainability!$AH$3</c:f>
              <c:strCache>
                <c:ptCount val="1"/>
                <c:pt idx="0">
                  <c:v>Total Cth Contribution %</c:v>
                </c:pt>
              </c:strCache>
            </c:strRef>
          </c:tx>
          <c:spPr>
            <a:ln w="28575" cap="rnd">
              <a:solidFill>
                <a:schemeClr val="accent1">
                  <a:lumMod val="75000"/>
                </a:schemeClr>
              </a:solidFill>
              <a:round/>
            </a:ln>
            <a:effectLst/>
          </c:spPr>
          <c:marker>
            <c:symbol val="none"/>
          </c:marker>
          <c:errBars>
            <c:errDir val="y"/>
            <c:errBarType val="both"/>
            <c:errValType val="cust"/>
            <c:noEndCap val="0"/>
            <c:plus>
              <c:numRef>
                <c:f>Sustainability!$AK$5:$AK$15</c:f>
                <c:numCache>
                  <c:formatCode>General</c:formatCode>
                  <c:ptCount val="11"/>
                  <c:pt idx="0">
                    <c:v>7.3640977208880964E-2</c:v>
                  </c:pt>
                  <c:pt idx="1">
                    <c:v>6.582291379395333E-2</c:v>
                  </c:pt>
                  <c:pt idx="2">
                    <c:v>6.5248087705898794E-2</c:v>
                  </c:pt>
                  <c:pt idx="3">
                    <c:v>5.6791636318668848E-2</c:v>
                  </c:pt>
                  <c:pt idx="4">
                    <c:v>3.493430872377068E-2</c:v>
                  </c:pt>
                  <c:pt idx="5">
                    <c:v>2.1165181799999988E-2</c:v>
                  </c:pt>
                  <c:pt idx="6">
                    <c:v>1.8992380600000025E-2</c:v>
                  </c:pt>
                  <c:pt idx="7">
                    <c:v>2.0979943700000003E-2</c:v>
                  </c:pt>
                  <c:pt idx="8">
                    <c:v>2.8014322300000005E-2</c:v>
                  </c:pt>
                  <c:pt idx="9">
                    <c:v>1.6014884600000001E-2</c:v>
                  </c:pt>
                  <c:pt idx="10">
                    <c:v>2.0368506800000019E-2</c:v>
                  </c:pt>
                </c:numCache>
              </c:numRef>
            </c:plus>
            <c:minus>
              <c:numRef>
                <c:f>Sustainability!$AJ$5:$AJ$15</c:f>
                <c:numCache>
                  <c:formatCode>General</c:formatCode>
                  <c:ptCount val="11"/>
                  <c:pt idx="0">
                    <c:v>0.12570844897942879</c:v>
                  </c:pt>
                  <c:pt idx="1">
                    <c:v>0.1107456791456054</c:v>
                  </c:pt>
                  <c:pt idx="2">
                    <c:v>0.1003572442225647</c:v>
                  </c:pt>
                  <c:pt idx="3">
                    <c:v>9.5931444403734745E-2</c:v>
                  </c:pt>
                  <c:pt idx="4">
                    <c:v>9.2858306074648733E-2</c:v>
                  </c:pt>
                  <c:pt idx="5">
                    <c:v>0.10435042210000001</c:v>
                  </c:pt>
                  <c:pt idx="6">
                    <c:v>0.1266889444</c:v>
                  </c:pt>
                  <c:pt idx="7">
                    <c:v>0.10265432279999998</c:v>
                  </c:pt>
                  <c:pt idx="8">
                    <c:v>8.2747579099999968E-2</c:v>
                  </c:pt>
                  <c:pt idx="9">
                    <c:v>7.3386315199999996E-2</c:v>
                  </c:pt>
                  <c:pt idx="10">
                    <c:v>7.1720268099999984E-2</c:v>
                  </c:pt>
                </c:numCache>
              </c:numRef>
            </c:minus>
            <c:spPr>
              <a:noFill/>
              <a:ln w="9525" cap="flat" cmpd="sng" algn="ctr">
                <a:solidFill>
                  <a:schemeClr val="tx1">
                    <a:lumMod val="65000"/>
                    <a:lumOff val="35000"/>
                  </a:schemeClr>
                </a:solidFill>
                <a:round/>
              </a:ln>
              <a:effectLst/>
            </c:spPr>
          </c:errBars>
          <c:cat>
            <c:strRef>
              <c:f>Sustainability!$AE$5:$AE$14</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Sustainability!$AH$5:$AH$14</c:f>
              <c:numCache>
                <c:formatCode>0%</c:formatCode>
                <c:ptCount val="10"/>
                <c:pt idx="0">
                  <c:v>0.33731464993612648</c:v>
                </c:pt>
                <c:pt idx="1">
                  <c:v>0.35928279392243284</c:v>
                </c:pt>
                <c:pt idx="2">
                  <c:v>0.37938926014176755</c:v>
                </c:pt>
                <c:pt idx="3">
                  <c:v>0.40203109284994826</c:v>
                </c:pt>
                <c:pt idx="4">
                  <c:v>0.41370000000000001</c:v>
                </c:pt>
                <c:pt idx="5">
                  <c:v>0.41298299240000003</c:v>
                </c:pt>
                <c:pt idx="6">
                  <c:v>0.43420330359999998</c:v>
                </c:pt>
                <c:pt idx="7">
                  <c:v>0.41560041549999999</c:v>
                </c:pt>
                <c:pt idx="8">
                  <c:v>0.41399936409999999</c:v>
                </c:pt>
                <c:pt idx="9">
                  <c:v>0.4027812764</c:v>
                </c:pt>
              </c:numCache>
            </c:numRef>
          </c:val>
          <c:smooth val="0"/>
          <c:extLst>
            <c:ext xmlns:c16="http://schemas.microsoft.com/office/drawing/2014/chart" uri="{C3380CC4-5D6E-409C-BE32-E72D297353CC}">
              <c16:uniqueId val="{00000000-7833-4A9C-BBB2-863833EE36E0}"/>
            </c:ext>
          </c:extLst>
        </c:ser>
        <c:ser>
          <c:idx val="3"/>
          <c:order val="1"/>
          <c:tx>
            <c:strRef>
              <c:f>Sustainability!$AI$3</c:f>
              <c:strCache>
                <c:ptCount val="1"/>
                <c:pt idx="0">
                  <c:v>45% Line</c:v>
                </c:pt>
              </c:strCache>
            </c:strRef>
          </c:tx>
          <c:spPr>
            <a:ln w="9525" cap="rnd">
              <a:solidFill>
                <a:srgbClr val="FF0000"/>
              </a:solidFill>
              <a:prstDash val="sysDash"/>
              <a:round/>
            </a:ln>
            <a:effectLst/>
          </c:spPr>
          <c:marker>
            <c:symbol val="none"/>
          </c:marker>
          <c:cat>
            <c:strRef>
              <c:f>Sustainability!$AE$5:$AE$14</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Sustainability!$AI$5:$AI$14</c:f>
              <c:numCache>
                <c:formatCode>0%</c:formatCode>
                <c:ptCount val="10"/>
                <c:pt idx="0">
                  <c:v>0.45</c:v>
                </c:pt>
                <c:pt idx="1">
                  <c:v>0.45</c:v>
                </c:pt>
                <c:pt idx="2">
                  <c:v>0.45</c:v>
                </c:pt>
                <c:pt idx="3">
                  <c:v>0.45</c:v>
                </c:pt>
                <c:pt idx="4">
                  <c:v>0.45</c:v>
                </c:pt>
                <c:pt idx="5">
                  <c:v>0.45</c:v>
                </c:pt>
                <c:pt idx="6">
                  <c:v>0.45</c:v>
                </c:pt>
                <c:pt idx="7">
                  <c:v>0.45</c:v>
                </c:pt>
                <c:pt idx="8">
                  <c:v>0.45</c:v>
                </c:pt>
                <c:pt idx="9">
                  <c:v>0.45</c:v>
                </c:pt>
              </c:numCache>
            </c:numRef>
          </c:val>
          <c:smooth val="0"/>
          <c:extLst>
            <c:ext xmlns:c16="http://schemas.microsoft.com/office/drawing/2014/chart" uri="{C3380CC4-5D6E-409C-BE32-E72D297353CC}">
              <c16:uniqueId val="{00000001-7833-4A9C-BBB2-863833EE36E0}"/>
            </c:ext>
          </c:extLst>
        </c:ser>
        <c:dLbls>
          <c:showLegendKey val="0"/>
          <c:showVal val="0"/>
          <c:showCatName val="0"/>
          <c:showSerName val="0"/>
          <c:showPercent val="0"/>
          <c:showBubbleSize val="0"/>
        </c:dLbls>
        <c:smooth val="0"/>
        <c:axId val="1450497535"/>
        <c:axId val="1450503775"/>
      </c:lineChart>
      <c:catAx>
        <c:axId val="1450497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450503775"/>
        <c:crosses val="autoZero"/>
        <c:auto val="1"/>
        <c:lblAlgn val="ctr"/>
        <c:lblOffset val="100"/>
        <c:tickLblSkip val="9"/>
        <c:noMultiLvlLbl val="0"/>
      </c:catAx>
      <c:valAx>
        <c:axId val="1450503775"/>
        <c:scaling>
          <c:orientation val="minMax"/>
          <c:min val="0.2"/>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450497535"/>
        <c:crosses val="autoZero"/>
        <c:crossBetween val="between"/>
      </c:valAx>
      <c:spPr>
        <a:noFill/>
        <a:ln>
          <a:noFill/>
        </a:ln>
        <a:effectLst/>
      </c:spPr>
    </c:plotArea>
    <c:legend>
      <c:legendPos val="b"/>
      <c:layout>
        <c:manualLayout>
          <c:xMode val="edge"/>
          <c:yMode val="edge"/>
          <c:x val="2.7339334261069707E-2"/>
          <c:y val="0.87224173074428246"/>
          <c:w val="0.59931065663771899"/>
          <c:h val="9.42480765721095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r>
              <a:rPr lang="en-AU" sz="900"/>
              <a:t>Proportion of people with selected chronic conditions by age, 2020-21</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title>
    <c:autoTitleDeleted val="0"/>
    <c:plotArea>
      <c:layout>
        <c:manualLayout>
          <c:layoutTarget val="inner"/>
          <c:xMode val="edge"/>
          <c:yMode val="edge"/>
          <c:x val="0.13296277466130627"/>
          <c:y val="0.2224873186188514"/>
          <c:w val="0.8209496669671581"/>
          <c:h val="0.42208260236900441"/>
        </c:manualLayout>
      </c:layout>
      <c:barChart>
        <c:barDir val="bar"/>
        <c:grouping val="stacked"/>
        <c:varyColors val="0"/>
        <c:ser>
          <c:idx val="0"/>
          <c:order val="0"/>
          <c:tx>
            <c:strRef>
              <c:f>'Proportion of people with selec'!$B$2</c:f>
              <c:strCache>
                <c:ptCount val="1"/>
                <c:pt idx="0">
                  <c:v>0 selected chronic conditions (%)</c:v>
                </c:pt>
              </c:strCache>
            </c:strRef>
          </c:tx>
          <c:spPr>
            <a:solidFill>
              <a:schemeClr val="accent4">
                <a:lumMod val="75000"/>
              </a:schemeClr>
            </a:solidFill>
            <a:ln>
              <a:noFill/>
            </a:ln>
            <a:effectLst/>
          </c:spPr>
          <c:invertIfNegative val="0"/>
          <c:cat>
            <c:strRef>
              <c:f>'Proportion of people with selec'!$A$3:$A$5</c:f>
              <c:strCache>
                <c:ptCount val="3"/>
                <c:pt idx="0">
                  <c:v>15-44</c:v>
                </c:pt>
                <c:pt idx="1">
                  <c:v>45-64</c:v>
                </c:pt>
                <c:pt idx="2">
                  <c:v>65+</c:v>
                </c:pt>
              </c:strCache>
            </c:strRef>
          </c:cat>
          <c:val>
            <c:numRef>
              <c:f>'Proportion of people with selec'!$B$3:$B$5</c:f>
              <c:numCache>
                <c:formatCode>General</c:formatCode>
                <c:ptCount val="3"/>
                <c:pt idx="0">
                  <c:v>58.7</c:v>
                </c:pt>
                <c:pt idx="1">
                  <c:v>43.5</c:v>
                </c:pt>
                <c:pt idx="2">
                  <c:v>24.8</c:v>
                </c:pt>
              </c:numCache>
            </c:numRef>
          </c:val>
          <c:extLst>
            <c:ext xmlns:c16="http://schemas.microsoft.com/office/drawing/2014/chart" uri="{C3380CC4-5D6E-409C-BE32-E72D297353CC}">
              <c16:uniqueId val="{00000000-1F59-4008-8DF1-136E75C1AF22}"/>
            </c:ext>
          </c:extLst>
        </c:ser>
        <c:ser>
          <c:idx val="1"/>
          <c:order val="1"/>
          <c:tx>
            <c:strRef>
              <c:f>'Proportion of people with selec'!$C$2</c:f>
              <c:strCache>
                <c:ptCount val="1"/>
                <c:pt idx="0">
                  <c:v>1 selected chronic condition (%)</c:v>
                </c:pt>
              </c:strCache>
            </c:strRef>
          </c:tx>
          <c:spPr>
            <a:solidFill>
              <a:srgbClr val="A26000"/>
            </a:solidFill>
            <a:ln>
              <a:noFill/>
            </a:ln>
            <a:effectLst/>
          </c:spPr>
          <c:invertIfNegative val="0"/>
          <c:cat>
            <c:strRef>
              <c:f>'Proportion of people with selec'!$A$3:$A$5</c:f>
              <c:strCache>
                <c:ptCount val="3"/>
                <c:pt idx="0">
                  <c:v>15-44</c:v>
                </c:pt>
                <c:pt idx="1">
                  <c:v>45-64</c:v>
                </c:pt>
                <c:pt idx="2">
                  <c:v>65+</c:v>
                </c:pt>
              </c:strCache>
            </c:strRef>
          </c:cat>
          <c:val>
            <c:numRef>
              <c:f>'Proportion of people with selec'!$C$3:$C$5</c:f>
              <c:numCache>
                <c:formatCode>General</c:formatCode>
                <c:ptCount val="3"/>
                <c:pt idx="0">
                  <c:v>30</c:v>
                </c:pt>
                <c:pt idx="1">
                  <c:v>31.3</c:v>
                </c:pt>
                <c:pt idx="2">
                  <c:v>28.9</c:v>
                </c:pt>
              </c:numCache>
            </c:numRef>
          </c:val>
          <c:extLst>
            <c:ext xmlns:c16="http://schemas.microsoft.com/office/drawing/2014/chart" uri="{C3380CC4-5D6E-409C-BE32-E72D297353CC}">
              <c16:uniqueId val="{00000001-1F59-4008-8DF1-136E75C1AF22}"/>
            </c:ext>
          </c:extLst>
        </c:ser>
        <c:ser>
          <c:idx val="2"/>
          <c:order val="2"/>
          <c:tx>
            <c:strRef>
              <c:f>'Proportion of people with selec'!$D$2</c:f>
              <c:strCache>
                <c:ptCount val="1"/>
                <c:pt idx="0">
                  <c:v>Had 2 or more selected chronic conditions (%)</c:v>
                </c:pt>
              </c:strCache>
            </c:strRef>
          </c:tx>
          <c:spPr>
            <a:solidFill>
              <a:schemeClr val="accent1">
                <a:lumMod val="75000"/>
              </a:schemeClr>
            </a:solidFill>
            <a:ln>
              <a:noFill/>
            </a:ln>
            <a:effectLst/>
          </c:spPr>
          <c:invertIfNegative val="0"/>
          <c:cat>
            <c:strRef>
              <c:f>'Proportion of people with selec'!$A$3:$A$5</c:f>
              <c:strCache>
                <c:ptCount val="3"/>
                <c:pt idx="0">
                  <c:v>15-44</c:v>
                </c:pt>
                <c:pt idx="1">
                  <c:v>45-64</c:v>
                </c:pt>
                <c:pt idx="2">
                  <c:v>65+</c:v>
                </c:pt>
              </c:strCache>
            </c:strRef>
          </c:cat>
          <c:val>
            <c:numRef>
              <c:f>'Proportion of people with selec'!$D$3:$D$5</c:f>
              <c:numCache>
                <c:formatCode>General</c:formatCode>
                <c:ptCount val="3"/>
                <c:pt idx="0">
                  <c:v>11.5</c:v>
                </c:pt>
                <c:pt idx="1">
                  <c:v>25.1</c:v>
                </c:pt>
                <c:pt idx="2">
                  <c:v>46.2</c:v>
                </c:pt>
              </c:numCache>
            </c:numRef>
          </c:val>
          <c:extLst>
            <c:ext xmlns:c16="http://schemas.microsoft.com/office/drawing/2014/chart" uri="{C3380CC4-5D6E-409C-BE32-E72D297353CC}">
              <c16:uniqueId val="{00000002-1F59-4008-8DF1-136E75C1AF22}"/>
            </c:ext>
          </c:extLst>
        </c:ser>
        <c:dLbls>
          <c:showLegendKey val="0"/>
          <c:showVal val="0"/>
          <c:showCatName val="0"/>
          <c:showSerName val="0"/>
          <c:showPercent val="0"/>
          <c:showBubbleSize val="0"/>
        </c:dLbls>
        <c:gapWidth val="150"/>
        <c:overlap val="100"/>
        <c:axId val="137418975"/>
        <c:axId val="1933684240"/>
      </c:barChart>
      <c:catAx>
        <c:axId val="13741897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r>
                  <a:rPr lang="en-AU"/>
                  <a: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1933684240"/>
        <c:crosses val="autoZero"/>
        <c:auto val="1"/>
        <c:lblAlgn val="ctr"/>
        <c:lblOffset val="100"/>
        <c:noMultiLvlLbl val="0"/>
      </c:catAx>
      <c:valAx>
        <c:axId val="193368424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137418975"/>
        <c:crosses val="autoZero"/>
        <c:crossBetween val="between"/>
      </c:valAx>
      <c:spPr>
        <a:noFill/>
        <a:ln>
          <a:noFill/>
        </a:ln>
        <a:effectLst/>
      </c:spPr>
    </c:plotArea>
    <c:legend>
      <c:legendPos val="b"/>
      <c:layout>
        <c:manualLayout>
          <c:xMode val="edge"/>
          <c:yMode val="edge"/>
          <c:x val="1.3869079020209327E-2"/>
          <c:y val="0.78410890348550977"/>
          <c:w val="0.97008916069114193"/>
          <c:h val="0.174440319312417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[Book1]Sheet2!PivotTable9</c:name>
    <c:fmtId val="-1"/>
  </c:pivotSource>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r>
              <a:rPr lang="en-AU" sz="1000"/>
              <a:t>Life expectancy by indigenous status and remoteness, 2015-2017</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6556838775265362"/>
          <c:y val="0.22870987280436095"/>
          <c:w val="0.80502770954753355"/>
          <c:h val="0.47643190250651202"/>
        </c:manualLayout>
      </c:layout>
      <c:barChart>
        <c:barDir val="col"/>
        <c:grouping val="clustered"/>
        <c:varyColors val="0"/>
        <c:ser>
          <c:idx val="0"/>
          <c:order val="0"/>
          <c:tx>
            <c:strRef>
              <c:f>Sheet2!$B$3:$B$4</c:f>
              <c:strCache>
                <c:ptCount val="1"/>
                <c:pt idx="0">
                  <c:v>Indigenous</c:v>
                </c:pt>
              </c:strCache>
            </c:strRef>
          </c:tx>
          <c:spPr>
            <a:solidFill>
              <a:srgbClr val="0076A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Sheet2!$A$5:$A$8</c:f>
              <c:strCache>
                <c:ptCount val="3"/>
                <c:pt idx="0">
                  <c:v>Inner and Outer regional</c:v>
                </c:pt>
                <c:pt idx="1">
                  <c:v>Major cities</c:v>
                </c:pt>
                <c:pt idx="2">
                  <c:v>Remote and very remote</c:v>
                </c:pt>
              </c:strCache>
            </c:strRef>
          </c:cat>
          <c:val>
            <c:numRef>
              <c:f>Sheet2!$B$5:$B$8</c:f>
              <c:numCache>
                <c:formatCode>General</c:formatCode>
                <c:ptCount val="3"/>
                <c:pt idx="0">
                  <c:v>72.400000000000006</c:v>
                </c:pt>
                <c:pt idx="1">
                  <c:v>74.3</c:v>
                </c:pt>
                <c:pt idx="2">
                  <c:v>67.75</c:v>
                </c:pt>
              </c:numCache>
            </c:numRef>
          </c:val>
          <c:extLst>
            <c:ext xmlns:c16="http://schemas.microsoft.com/office/drawing/2014/chart" uri="{C3380CC4-5D6E-409C-BE32-E72D297353CC}">
              <c16:uniqueId val="{00000000-DF65-41FA-AA95-607B25FF43EF}"/>
            </c:ext>
          </c:extLst>
        </c:ser>
        <c:ser>
          <c:idx val="1"/>
          <c:order val="1"/>
          <c:tx>
            <c:strRef>
              <c:f>Sheet2!$C$3:$C$4</c:f>
              <c:strCache>
                <c:ptCount val="1"/>
                <c:pt idx="0">
                  <c:v>Non-Indigenous</c:v>
                </c:pt>
              </c:strCache>
            </c:strRef>
          </c:tx>
          <c:spPr>
            <a:solidFill>
              <a:schemeClr val="accent2"/>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DF65-41FA-AA95-607B25FF43EF}"/>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DF65-41FA-AA95-607B25FF43EF}"/>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3-DF65-41FA-AA95-607B25FF43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Sheet2!$A$5:$A$8</c:f>
              <c:strCache>
                <c:ptCount val="3"/>
                <c:pt idx="0">
                  <c:v>Inner and Outer regional</c:v>
                </c:pt>
                <c:pt idx="1">
                  <c:v>Major cities</c:v>
                </c:pt>
                <c:pt idx="2">
                  <c:v>Remote and very remote</c:v>
                </c:pt>
              </c:strCache>
            </c:strRef>
          </c:cat>
          <c:val>
            <c:numRef>
              <c:f>Sheet2!$C$5:$C$8</c:f>
              <c:numCache>
                <c:formatCode>General</c:formatCode>
                <c:ptCount val="3"/>
                <c:pt idx="0">
                  <c:v>80.949999999999989</c:v>
                </c:pt>
                <c:pt idx="1">
                  <c:v>82.2</c:v>
                </c:pt>
                <c:pt idx="2">
                  <c:v>81.650000000000006</c:v>
                </c:pt>
              </c:numCache>
            </c:numRef>
          </c:val>
          <c:extLst>
            <c:ext xmlns:c16="http://schemas.microsoft.com/office/drawing/2014/chart" uri="{C3380CC4-5D6E-409C-BE32-E72D297353CC}">
              <c16:uniqueId val="{00000004-DF65-41FA-AA95-607B25FF43EF}"/>
            </c:ext>
          </c:extLst>
        </c:ser>
        <c:dLbls>
          <c:showLegendKey val="0"/>
          <c:showVal val="0"/>
          <c:showCatName val="0"/>
          <c:showSerName val="0"/>
          <c:showPercent val="0"/>
          <c:showBubbleSize val="0"/>
        </c:dLbls>
        <c:gapWidth val="219"/>
        <c:overlap val="-27"/>
        <c:axId val="1507656287"/>
        <c:axId val="806945887"/>
      </c:barChart>
      <c:catAx>
        <c:axId val="1507656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806945887"/>
        <c:crosses val="autoZero"/>
        <c:auto val="1"/>
        <c:lblAlgn val="ctr"/>
        <c:lblOffset val="100"/>
        <c:noMultiLvlLbl val="0"/>
      </c:catAx>
      <c:valAx>
        <c:axId val="80694588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r>
                  <a:rPr lang="en-AU"/>
                  <a:t>Life expectancy (years)</a:t>
                </a:r>
              </a:p>
            </c:rich>
          </c:tx>
          <c:layout>
            <c:manualLayout>
              <c:xMode val="edge"/>
              <c:yMode val="edge"/>
              <c:x val="2.3398518649483169E-2"/>
              <c:y val="0.1901500332634965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1507656287"/>
        <c:crosses val="autoZero"/>
        <c:crossBetween val="between"/>
      </c:valAx>
      <c:spPr>
        <a:noFill/>
        <a:ln>
          <a:noFill/>
        </a:ln>
        <a:effectLst/>
      </c:spPr>
    </c:plotArea>
    <c:legend>
      <c:legendPos val="b"/>
      <c:layout>
        <c:manualLayout>
          <c:xMode val="edge"/>
          <c:yMode val="edge"/>
          <c:x val="0.31221514311512988"/>
          <c:y val="0.85813267666888404"/>
          <c:w val="0.3755697137697403"/>
          <c:h val="0.141867323331115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Calibri Light" panose="020F0302020204030204" pitchFamily="34" charset="0"/>
          <a:cs typeface="Calibri Light" panose="020F030202020403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[20230517_NHRA Review - Supporting Dashboard_Master_DRAFT.xlsx]Efficiency!PivotTable4</c:name>
    <c:fmtId val="-1"/>
  </c:pivotSource>
  <c:chart>
    <c:title>
      <c:tx>
        <c:rich>
          <a:bodyPr rot="0" spcFirstLastPara="1" vertOverflow="ellipsis" vert="horz" wrap="square" anchor="ctr" anchorCtr="1"/>
          <a:lstStyle/>
          <a:p>
            <a:pPr>
              <a:defRPr sz="900" b="0" i="0" u="none" strike="noStrike" kern="1200" cap="none" spc="20" baseline="0">
                <a:solidFill>
                  <a:schemeClr val="dk1">
                    <a:lumMod val="50000"/>
                    <a:lumOff val="50000"/>
                  </a:schemeClr>
                </a:solidFill>
                <a:latin typeface="Calibri" panose="020F0502020204030204" pitchFamily="34" charset="0"/>
                <a:ea typeface="+mn-ea"/>
                <a:cs typeface="Calibri" panose="020F0502020204030204" pitchFamily="34" charset="0"/>
              </a:defRPr>
            </a:pPr>
            <a:r>
              <a:rPr lang="en-US" sz="900"/>
              <a:t>Number of available public hospital beds per 1000 population aged 65 or over</a:t>
            </a:r>
          </a:p>
        </c:rich>
      </c:tx>
      <c:layout>
        <c:manualLayout>
          <c:xMode val="edge"/>
          <c:yMode val="edge"/>
          <c:x val="0.1017581106739698"/>
          <c:y val="3.7495313085864269E-2"/>
        </c:manualLayout>
      </c:layout>
      <c:overlay val="0"/>
      <c:spPr>
        <a:noFill/>
        <a:ln>
          <a:noFill/>
        </a:ln>
        <a:effectLst/>
      </c:spPr>
      <c:txPr>
        <a:bodyPr rot="0" spcFirstLastPara="1" vertOverflow="ellipsis" vert="horz" wrap="square" anchor="ctr" anchorCtr="1"/>
        <a:lstStyle/>
        <a:p>
          <a:pPr>
            <a:defRPr sz="900" b="0" i="0" u="none" strike="noStrike" kern="1200" cap="none" spc="20" baseline="0">
              <a:solidFill>
                <a:schemeClr val="dk1">
                  <a:lumMod val="50000"/>
                  <a:lumOff val="50000"/>
                </a:schemeClr>
              </a:solidFill>
              <a:latin typeface="Calibri" panose="020F0502020204030204" pitchFamily="34" charset="0"/>
              <a:ea typeface="+mn-ea"/>
              <a:cs typeface="Calibri" panose="020F0502020204030204" pitchFamily="34" charset="0"/>
            </a:defRPr>
          </a:pPr>
          <a:endParaRPr lang="en-US"/>
        </a:p>
      </c:txPr>
    </c:title>
    <c:autoTitleDeleted val="0"/>
    <c:pivotFmts>
      <c:pivotFmt>
        <c:idx val="0"/>
        <c:spPr>
          <a:solidFill>
            <a:schemeClr val="accent1"/>
          </a:solidFill>
          <a:ln w="28575" cap="rnd" cmpd="sng" algn="ctr">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cmpd="sng" algn="ctr">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cmpd="sng" algn="ctr">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Efficiency!$S$119</c:f>
              <c:strCache>
                <c:ptCount val="1"/>
                <c:pt idx="0">
                  <c:v>Total</c:v>
                </c:pt>
              </c:strCache>
            </c:strRef>
          </c:tx>
          <c:spPr>
            <a:ln w="22225" cap="rnd" cmpd="sng" algn="ctr">
              <a:solidFill>
                <a:schemeClr val="accent5"/>
              </a:solidFill>
              <a:round/>
            </a:ln>
            <a:effectLst/>
          </c:spPr>
          <c:marker>
            <c:symbol val="none"/>
          </c:marker>
          <c:cat>
            <c:strRef>
              <c:f>Efficiency!$R$120:$R$130</c:f>
              <c:strCache>
                <c:ptCount val="10"/>
                <c:pt idx="0">
                  <c:v>2011-12</c:v>
                </c:pt>
                <c:pt idx="1">
                  <c:v>2012-13</c:v>
                </c:pt>
                <c:pt idx="2">
                  <c:v>2013-14</c:v>
                </c:pt>
                <c:pt idx="3">
                  <c:v>2014-15</c:v>
                </c:pt>
                <c:pt idx="4">
                  <c:v>2015-16</c:v>
                </c:pt>
                <c:pt idx="5">
                  <c:v>2016-17</c:v>
                </c:pt>
                <c:pt idx="6">
                  <c:v>2017-18</c:v>
                </c:pt>
                <c:pt idx="7">
                  <c:v>2018-19</c:v>
                </c:pt>
                <c:pt idx="8">
                  <c:v>2019-20</c:v>
                </c:pt>
                <c:pt idx="9">
                  <c:v>2020-21</c:v>
                </c:pt>
              </c:strCache>
            </c:strRef>
          </c:cat>
          <c:val>
            <c:numRef>
              <c:f>Efficiency!$S$120:$S$130</c:f>
              <c:numCache>
                <c:formatCode>General</c:formatCode>
                <c:ptCount val="10"/>
                <c:pt idx="0">
                  <c:v>18.612140882658188</c:v>
                </c:pt>
                <c:pt idx="1">
                  <c:v>18.219770317002748</c:v>
                </c:pt>
                <c:pt idx="2">
                  <c:v>17.150975597916783</c:v>
                </c:pt>
                <c:pt idx="3">
                  <c:v>17.463638188920349</c:v>
                </c:pt>
                <c:pt idx="4">
                  <c:v>17.09941118351092</c:v>
                </c:pt>
                <c:pt idx="5">
                  <c:v>16.744109402853557</c:v>
                </c:pt>
                <c:pt idx="6">
                  <c:v>16.397514138187809</c:v>
                </c:pt>
                <c:pt idx="7">
                  <c:v>16.059412040116527</c:v>
                </c:pt>
                <c:pt idx="8">
                  <c:v>15.124610564689387</c:v>
                </c:pt>
                <c:pt idx="9">
                  <c:v>14.815249959836619</c:v>
                </c:pt>
              </c:numCache>
            </c:numRef>
          </c:val>
          <c:smooth val="0"/>
          <c:extLst>
            <c:ext xmlns:c16="http://schemas.microsoft.com/office/drawing/2014/chart" uri="{C3380CC4-5D6E-409C-BE32-E72D297353CC}">
              <c16:uniqueId val="{00000000-1D98-4746-B603-B066E59A1297}"/>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239479456"/>
        <c:axId val="1239481120"/>
      </c:lineChart>
      <c:catAx>
        <c:axId val="123947945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2700000" spcFirstLastPara="1" vertOverflow="ellipsis" wrap="square" anchor="ctr" anchorCtr="1"/>
          <a:lstStyle/>
          <a:p>
            <a:pPr>
              <a:defRPr sz="900" b="0" i="0" u="none" strike="noStrike" kern="1200" spc="20" baseline="0">
                <a:solidFill>
                  <a:schemeClr val="dk1">
                    <a:lumMod val="65000"/>
                    <a:lumOff val="35000"/>
                  </a:schemeClr>
                </a:solidFill>
                <a:latin typeface="Calibri" panose="020F0502020204030204" pitchFamily="34" charset="0"/>
                <a:ea typeface="+mn-ea"/>
                <a:cs typeface="Calibri" panose="020F0502020204030204" pitchFamily="34" charset="0"/>
              </a:defRPr>
            </a:pPr>
            <a:endParaRPr lang="en-US"/>
          </a:p>
        </c:txPr>
        <c:crossAx val="1239481120"/>
        <c:crosses val="autoZero"/>
        <c:auto val="1"/>
        <c:lblAlgn val="ctr"/>
        <c:lblOffset val="100"/>
        <c:noMultiLvlLbl val="0"/>
      </c:catAx>
      <c:valAx>
        <c:axId val="1239481120"/>
        <c:scaling>
          <c:orientation val="minMax"/>
          <c:min val="13"/>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Calibri" panose="020F0502020204030204" pitchFamily="34" charset="0"/>
                    <a:ea typeface="+mn-ea"/>
                    <a:cs typeface="Calibri" panose="020F0502020204030204" pitchFamily="34" charset="0"/>
                  </a:defRPr>
                </a:pPr>
                <a:r>
                  <a:rPr lang="en-AU" cap="none" baseline="0"/>
                  <a:t>Beds</a:t>
                </a:r>
              </a:p>
            </c:rich>
          </c:tx>
          <c:layout>
            <c:manualLayout>
              <c:xMode val="edge"/>
              <c:yMode val="edge"/>
              <c:x val="1.3898540653231411E-2"/>
              <c:y val="0.41196011915833358"/>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Calibri" panose="020F0502020204030204" pitchFamily="34" charset="0"/>
                  <a:ea typeface="+mn-ea"/>
                  <a:cs typeface="Calibri" panose="020F050202020403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Calibri" panose="020F0502020204030204" pitchFamily="34" charset="0"/>
                <a:ea typeface="+mn-ea"/>
                <a:cs typeface="Calibri" panose="020F0502020204030204" pitchFamily="34" charset="0"/>
              </a:defRPr>
            </a:pPr>
            <a:endParaRPr lang="en-US"/>
          </a:p>
        </c:txPr>
        <c:crossAx val="123947945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Calibri" panose="020F0502020204030204" pitchFamily="34" charset="0"/>
          <a:cs typeface="Calibri" panose="020F0502020204030204" pitchFamily="34" charset="0"/>
        </a:defRPr>
      </a:pPr>
      <a:endParaRPr lang="en-US"/>
    </a:p>
  </c:txPr>
  <c:externalData r:id="rId3">
    <c:autoUpdate val="0"/>
  </c:externalData>
  <c:extLst>
    <c:ext xmlns:c14="http://schemas.microsoft.com/office/drawing/2007/8/2/chart" uri="{781A3756-C4B2-4CAC-9D66-4F8BD8637D16}">
      <c14:pivotOptions>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DC0912-B3EC-4F29-89B7-710EACA89F14}" type="doc">
      <dgm:prSet loTypeId="urn:microsoft.com/office/officeart/2008/layout/AlternatingHexagons" loCatId="list" qsTypeId="urn:microsoft.com/office/officeart/2005/8/quickstyle/simple1" qsCatId="simple" csTypeId="urn:microsoft.com/office/officeart/2005/8/colors/colorful1" csCatId="colorful" phldr="1"/>
      <dgm:spPr/>
      <dgm:t>
        <a:bodyPr/>
        <a:lstStyle/>
        <a:p>
          <a:endParaRPr lang="en-AU"/>
        </a:p>
      </dgm:t>
    </dgm:pt>
    <dgm:pt modelId="{02F3ACD2-D416-47BD-AEFD-215D7B457846}">
      <dgm:prSet phldrT="[Text]" custT="1"/>
      <dgm:spPr/>
      <dgm:t>
        <a:bodyPr/>
        <a:lstStyle/>
        <a:p>
          <a:r>
            <a:rPr lang="en-AU" sz="850">
              <a:latin typeface="Calibri" panose="020F0502020204030204" pitchFamily="34" charset="0"/>
              <a:cs typeface="Calibri" panose="020F0502020204030204" pitchFamily="34" charset="0"/>
            </a:rPr>
            <a:t>Improve efficiency and ensure financial sustainability</a:t>
          </a:r>
        </a:p>
      </dgm:t>
    </dgm:pt>
    <dgm:pt modelId="{DD3472E4-6384-429C-A88F-6F013DDBD306}" type="parTrans" cxnId="{EBEF0569-BA3F-4011-BFDF-172AD3B1C8E4}">
      <dgm:prSet/>
      <dgm:spPr/>
      <dgm:t>
        <a:bodyPr/>
        <a:lstStyle/>
        <a:p>
          <a:endParaRPr lang="en-AU" sz="850">
            <a:latin typeface="Calibri" panose="020F0502020204030204" pitchFamily="34" charset="0"/>
            <a:cs typeface="Calibri" panose="020F0502020204030204" pitchFamily="34" charset="0"/>
          </a:endParaRPr>
        </a:p>
      </dgm:t>
    </dgm:pt>
    <dgm:pt modelId="{1FFA25FF-91C7-4DFD-81C8-8AA0A9203A25}" type="sibTrans" cxnId="{EBEF0569-BA3F-4011-BFDF-172AD3B1C8E4}">
      <dgm:prSet custT="1"/>
      <dgm:spPr>
        <a:solidFill>
          <a:schemeClr val="accent3">
            <a:lumMod val="50000"/>
          </a:schemeClr>
        </a:solidFill>
      </dgm:spPr>
      <dgm:t>
        <a:bodyPr/>
        <a:lstStyle/>
        <a:p>
          <a:r>
            <a:rPr lang="en-AU" sz="850">
              <a:latin typeface="Calibri" panose="020F0502020204030204" pitchFamily="34" charset="0"/>
              <a:cs typeface="Calibri" panose="020F0502020204030204" pitchFamily="34" charset="0"/>
            </a:rPr>
            <a:t>Improve health outcomes and equity of access</a:t>
          </a:r>
        </a:p>
      </dgm:t>
    </dgm:pt>
    <dgm:pt modelId="{1EC5B4E5-DDE9-4EBB-9D33-0A0BC145BD90}">
      <dgm:prSet phldrT="[Text]" custT="1"/>
      <dgm:spPr/>
      <dgm:t>
        <a:bodyPr/>
        <a:lstStyle/>
        <a:p>
          <a:r>
            <a:rPr lang="en-AU" sz="850">
              <a:latin typeface="Calibri" panose="020F0502020204030204" pitchFamily="34" charset="0"/>
              <a:cs typeface="Calibri" panose="020F0502020204030204" pitchFamily="34" charset="0"/>
            </a:rPr>
            <a:t>Focus on transparency and accountability</a:t>
          </a:r>
        </a:p>
      </dgm:t>
    </dgm:pt>
    <dgm:pt modelId="{030416E0-9505-4CC8-82AD-EE9962ED8E9E}" type="parTrans" cxnId="{26564370-8E69-4612-A9C1-4EAD8543EC2A}">
      <dgm:prSet/>
      <dgm:spPr/>
      <dgm:t>
        <a:bodyPr/>
        <a:lstStyle/>
        <a:p>
          <a:endParaRPr lang="en-AU" sz="850">
            <a:latin typeface="Calibri" panose="020F0502020204030204" pitchFamily="34" charset="0"/>
            <a:cs typeface="Calibri" panose="020F0502020204030204" pitchFamily="34" charset="0"/>
          </a:endParaRPr>
        </a:p>
      </dgm:t>
    </dgm:pt>
    <dgm:pt modelId="{48C773A7-01D0-40D4-A482-B2ECE9F9E84D}" type="sibTrans" cxnId="{26564370-8E69-4612-A9C1-4EAD8543EC2A}">
      <dgm:prSet custT="1"/>
      <dgm:spPr>
        <a:solidFill>
          <a:schemeClr val="accent5">
            <a:lumMod val="75000"/>
          </a:schemeClr>
        </a:solidFill>
      </dgm:spPr>
      <dgm:t>
        <a:bodyPr/>
        <a:lstStyle/>
        <a:p>
          <a:r>
            <a:rPr lang="en-AU" sz="850">
              <a:latin typeface="Calibri" panose="020F0502020204030204" pitchFamily="34" charset="0"/>
              <a:cs typeface="Calibri" panose="020F0502020204030204" pitchFamily="34" charset="0"/>
            </a:rPr>
            <a:t>National agreement of individual and shared responsibilities</a:t>
          </a:r>
        </a:p>
      </dgm:t>
    </dgm:pt>
    <dgm:pt modelId="{6D1AE70D-EAB6-4F4A-8113-E51A421983AA}">
      <dgm:prSet phldrT="[Text]" custT="1"/>
      <dgm:spPr>
        <a:solidFill>
          <a:schemeClr val="accent6">
            <a:lumMod val="50000"/>
          </a:schemeClr>
        </a:solidFill>
      </dgm:spPr>
      <dgm:t>
        <a:bodyPr/>
        <a:lstStyle/>
        <a:p>
          <a:r>
            <a:rPr lang="en-AU" sz="850">
              <a:latin typeface="Calibri" panose="020F0502020204030204" pitchFamily="34" charset="0"/>
              <a:cs typeface="Calibri" panose="020F0502020204030204" pitchFamily="34" charset="0"/>
            </a:rPr>
            <a:t>Committed to six long-term health reforms </a:t>
          </a:r>
        </a:p>
      </dgm:t>
    </dgm:pt>
    <dgm:pt modelId="{EB08AB98-6FFF-457D-A0A6-E5FE4943680E}" type="parTrans" cxnId="{C3F07890-CA7F-4790-A044-AE07512A94A6}">
      <dgm:prSet/>
      <dgm:spPr/>
      <dgm:t>
        <a:bodyPr/>
        <a:lstStyle/>
        <a:p>
          <a:endParaRPr lang="en-AU" sz="850">
            <a:latin typeface="Calibri" panose="020F0502020204030204" pitchFamily="34" charset="0"/>
            <a:cs typeface="Calibri" panose="020F0502020204030204" pitchFamily="34" charset="0"/>
          </a:endParaRPr>
        </a:p>
      </dgm:t>
    </dgm:pt>
    <dgm:pt modelId="{7F627CAE-53A6-45C0-BE67-48C6C5F12A1E}" type="sibTrans" cxnId="{C3F07890-CA7F-4790-A044-AE07512A94A6}">
      <dgm:prSet custT="1"/>
      <dgm:spPr/>
      <dgm:t>
        <a:bodyPr/>
        <a:lstStyle/>
        <a:p>
          <a:r>
            <a:rPr lang="en-AU" sz="850">
              <a:latin typeface="Calibri" panose="020F0502020204030204" pitchFamily="34" charset="0"/>
              <a:cs typeface="Calibri" panose="020F0502020204030204" pitchFamily="34" charset="0"/>
            </a:rPr>
            <a:t>Local accountability and responsiveness</a:t>
          </a:r>
        </a:p>
      </dgm:t>
    </dgm:pt>
    <dgm:pt modelId="{359036F3-5850-44F4-B75F-3B5AB43A840D}" type="pres">
      <dgm:prSet presAssocID="{D1DC0912-B3EC-4F29-89B7-710EACA89F14}" presName="Name0" presStyleCnt="0">
        <dgm:presLayoutVars>
          <dgm:chMax/>
          <dgm:chPref/>
          <dgm:dir/>
          <dgm:animLvl val="lvl"/>
        </dgm:presLayoutVars>
      </dgm:prSet>
      <dgm:spPr/>
    </dgm:pt>
    <dgm:pt modelId="{30A0A5F4-146B-40F0-81EA-7E8EF0FD1E19}" type="pres">
      <dgm:prSet presAssocID="{02F3ACD2-D416-47BD-AEFD-215D7B457846}" presName="composite" presStyleCnt="0"/>
      <dgm:spPr/>
    </dgm:pt>
    <dgm:pt modelId="{AB1FD262-CE80-46CF-A43E-82B6817F21BF}" type="pres">
      <dgm:prSet presAssocID="{02F3ACD2-D416-47BD-AEFD-215D7B457846}" presName="Parent1" presStyleLbl="node1" presStyleIdx="0" presStyleCnt="6">
        <dgm:presLayoutVars>
          <dgm:chMax val="1"/>
          <dgm:chPref val="1"/>
          <dgm:bulletEnabled val="1"/>
        </dgm:presLayoutVars>
      </dgm:prSet>
      <dgm:spPr/>
    </dgm:pt>
    <dgm:pt modelId="{2EED47FD-8673-4100-9B08-198361B79EBE}" type="pres">
      <dgm:prSet presAssocID="{02F3ACD2-D416-47BD-AEFD-215D7B457846}" presName="Childtext1" presStyleLbl="revTx" presStyleIdx="0" presStyleCnt="3">
        <dgm:presLayoutVars>
          <dgm:chMax val="0"/>
          <dgm:chPref val="0"/>
          <dgm:bulletEnabled val="1"/>
        </dgm:presLayoutVars>
      </dgm:prSet>
      <dgm:spPr/>
    </dgm:pt>
    <dgm:pt modelId="{D2CA4FC7-2847-485C-802D-042F2A71D348}" type="pres">
      <dgm:prSet presAssocID="{02F3ACD2-D416-47BD-AEFD-215D7B457846}" presName="BalanceSpacing" presStyleCnt="0"/>
      <dgm:spPr/>
    </dgm:pt>
    <dgm:pt modelId="{2DC27DF7-345A-458A-9C51-F1F052189DD6}" type="pres">
      <dgm:prSet presAssocID="{02F3ACD2-D416-47BD-AEFD-215D7B457846}" presName="BalanceSpacing1" presStyleCnt="0"/>
      <dgm:spPr/>
    </dgm:pt>
    <dgm:pt modelId="{D12C705B-9BD9-44A6-979B-98B6200E8C11}" type="pres">
      <dgm:prSet presAssocID="{1FFA25FF-91C7-4DFD-81C8-8AA0A9203A25}" presName="Accent1Text" presStyleLbl="node1" presStyleIdx="1" presStyleCnt="6"/>
      <dgm:spPr/>
    </dgm:pt>
    <dgm:pt modelId="{6231DBB4-28E0-4E2C-A70A-5804DF8C83AB}" type="pres">
      <dgm:prSet presAssocID="{1FFA25FF-91C7-4DFD-81C8-8AA0A9203A25}" presName="spaceBetweenRectangles" presStyleCnt="0"/>
      <dgm:spPr/>
    </dgm:pt>
    <dgm:pt modelId="{54A6F947-A20B-4C5D-90FE-24EE20C37547}" type="pres">
      <dgm:prSet presAssocID="{1EC5B4E5-DDE9-4EBB-9D33-0A0BC145BD90}" presName="composite" presStyleCnt="0"/>
      <dgm:spPr/>
    </dgm:pt>
    <dgm:pt modelId="{B6D631C2-8676-4A7B-BDF8-D29FDC9798DD}" type="pres">
      <dgm:prSet presAssocID="{1EC5B4E5-DDE9-4EBB-9D33-0A0BC145BD90}" presName="Parent1" presStyleLbl="node1" presStyleIdx="2" presStyleCnt="6">
        <dgm:presLayoutVars>
          <dgm:chMax val="1"/>
          <dgm:chPref val="1"/>
          <dgm:bulletEnabled val="1"/>
        </dgm:presLayoutVars>
      </dgm:prSet>
      <dgm:spPr/>
    </dgm:pt>
    <dgm:pt modelId="{72ABDABB-EA41-41C9-8ADF-E71F28DB3C8A}" type="pres">
      <dgm:prSet presAssocID="{1EC5B4E5-DDE9-4EBB-9D33-0A0BC145BD90}" presName="Childtext1" presStyleLbl="revTx" presStyleIdx="1" presStyleCnt="3">
        <dgm:presLayoutVars>
          <dgm:chMax val="0"/>
          <dgm:chPref val="0"/>
          <dgm:bulletEnabled val="1"/>
        </dgm:presLayoutVars>
      </dgm:prSet>
      <dgm:spPr/>
    </dgm:pt>
    <dgm:pt modelId="{4C3F01AC-8181-498D-8F4B-875396F08227}" type="pres">
      <dgm:prSet presAssocID="{1EC5B4E5-DDE9-4EBB-9D33-0A0BC145BD90}" presName="BalanceSpacing" presStyleCnt="0"/>
      <dgm:spPr/>
    </dgm:pt>
    <dgm:pt modelId="{90D699E2-056E-49C7-9195-4C931F0AED71}" type="pres">
      <dgm:prSet presAssocID="{1EC5B4E5-DDE9-4EBB-9D33-0A0BC145BD90}" presName="BalanceSpacing1" presStyleCnt="0"/>
      <dgm:spPr/>
    </dgm:pt>
    <dgm:pt modelId="{5B437347-078C-411E-9F53-CF4AE37106A9}" type="pres">
      <dgm:prSet presAssocID="{48C773A7-01D0-40D4-A482-B2ECE9F9E84D}" presName="Accent1Text" presStyleLbl="node1" presStyleIdx="3" presStyleCnt="6"/>
      <dgm:spPr/>
    </dgm:pt>
    <dgm:pt modelId="{41E30C98-40CF-4036-82DF-1965FDC34246}" type="pres">
      <dgm:prSet presAssocID="{48C773A7-01D0-40D4-A482-B2ECE9F9E84D}" presName="spaceBetweenRectangles" presStyleCnt="0"/>
      <dgm:spPr/>
    </dgm:pt>
    <dgm:pt modelId="{5C7ACEE0-60A5-4A18-9E72-0EDE6F4F70A9}" type="pres">
      <dgm:prSet presAssocID="{6D1AE70D-EAB6-4F4A-8113-E51A421983AA}" presName="composite" presStyleCnt="0"/>
      <dgm:spPr/>
    </dgm:pt>
    <dgm:pt modelId="{A5E82EE2-3EB9-4AB0-B9E0-1FCC57E7B76C}" type="pres">
      <dgm:prSet presAssocID="{6D1AE70D-EAB6-4F4A-8113-E51A421983AA}" presName="Parent1" presStyleLbl="node1" presStyleIdx="4" presStyleCnt="6">
        <dgm:presLayoutVars>
          <dgm:chMax val="1"/>
          <dgm:chPref val="1"/>
          <dgm:bulletEnabled val="1"/>
        </dgm:presLayoutVars>
      </dgm:prSet>
      <dgm:spPr/>
    </dgm:pt>
    <dgm:pt modelId="{AF9C65E4-01FA-4362-8C44-518A74A38DFF}" type="pres">
      <dgm:prSet presAssocID="{6D1AE70D-EAB6-4F4A-8113-E51A421983AA}" presName="Childtext1" presStyleLbl="revTx" presStyleIdx="2" presStyleCnt="3">
        <dgm:presLayoutVars>
          <dgm:chMax val="0"/>
          <dgm:chPref val="0"/>
          <dgm:bulletEnabled val="1"/>
        </dgm:presLayoutVars>
      </dgm:prSet>
      <dgm:spPr/>
    </dgm:pt>
    <dgm:pt modelId="{09B8B674-8402-44D9-96A9-A66FBE5C6373}" type="pres">
      <dgm:prSet presAssocID="{6D1AE70D-EAB6-4F4A-8113-E51A421983AA}" presName="BalanceSpacing" presStyleCnt="0"/>
      <dgm:spPr/>
    </dgm:pt>
    <dgm:pt modelId="{BF54C7DE-08F7-4F02-A58F-4BE2F9D84C65}" type="pres">
      <dgm:prSet presAssocID="{6D1AE70D-EAB6-4F4A-8113-E51A421983AA}" presName="BalanceSpacing1" presStyleCnt="0"/>
      <dgm:spPr/>
    </dgm:pt>
    <dgm:pt modelId="{4A0F1C74-7113-4C81-861C-E0DEBCA982F4}" type="pres">
      <dgm:prSet presAssocID="{7F627CAE-53A6-45C0-BE67-48C6C5F12A1E}" presName="Accent1Text" presStyleLbl="node1" presStyleIdx="5" presStyleCnt="6"/>
      <dgm:spPr/>
    </dgm:pt>
  </dgm:ptLst>
  <dgm:cxnLst>
    <dgm:cxn modelId="{4E930210-91C6-4036-99CC-23CD5AFBEB72}" type="presOf" srcId="{02F3ACD2-D416-47BD-AEFD-215D7B457846}" destId="{AB1FD262-CE80-46CF-A43E-82B6817F21BF}" srcOrd="0" destOrd="0" presId="urn:microsoft.com/office/officeart/2008/layout/AlternatingHexagons"/>
    <dgm:cxn modelId="{3959F21E-40F7-4EFD-92CB-F2469A96BF5E}" type="presOf" srcId="{48C773A7-01D0-40D4-A482-B2ECE9F9E84D}" destId="{5B437347-078C-411E-9F53-CF4AE37106A9}" srcOrd="0" destOrd="0" presId="urn:microsoft.com/office/officeart/2008/layout/AlternatingHexagons"/>
    <dgm:cxn modelId="{5898FE5C-E3A1-463D-82F2-0C2FD70DF818}" type="presOf" srcId="{1FFA25FF-91C7-4DFD-81C8-8AA0A9203A25}" destId="{D12C705B-9BD9-44A6-979B-98B6200E8C11}" srcOrd="0" destOrd="0" presId="urn:microsoft.com/office/officeart/2008/layout/AlternatingHexagons"/>
    <dgm:cxn modelId="{83E02F5F-49EB-4A22-AA42-3C8A8D4026E4}" type="presOf" srcId="{1EC5B4E5-DDE9-4EBB-9D33-0A0BC145BD90}" destId="{B6D631C2-8676-4A7B-BDF8-D29FDC9798DD}" srcOrd="0" destOrd="0" presId="urn:microsoft.com/office/officeart/2008/layout/AlternatingHexagons"/>
    <dgm:cxn modelId="{EBEF0569-BA3F-4011-BFDF-172AD3B1C8E4}" srcId="{D1DC0912-B3EC-4F29-89B7-710EACA89F14}" destId="{02F3ACD2-D416-47BD-AEFD-215D7B457846}" srcOrd="0" destOrd="0" parTransId="{DD3472E4-6384-429C-A88F-6F013DDBD306}" sibTransId="{1FFA25FF-91C7-4DFD-81C8-8AA0A9203A25}"/>
    <dgm:cxn modelId="{26564370-8E69-4612-A9C1-4EAD8543EC2A}" srcId="{D1DC0912-B3EC-4F29-89B7-710EACA89F14}" destId="{1EC5B4E5-DDE9-4EBB-9D33-0A0BC145BD90}" srcOrd="1" destOrd="0" parTransId="{030416E0-9505-4CC8-82AD-EE9962ED8E9E}" sibTransId="{48C773A7-01D0-40D4-A482-B2ECE9F9E84D}"/>
    <dgm:cxn modelId="{C3F07890-CA7F-4790-A044-AE07512A94A6}" srcId="{D1DC0912-B3EC-4F29-89B7-710EACA89F14}" destId="{6D1AE70D-EAB6-4F4A-8113-E51A421983AA}" srcOrd="2" destOrd="0" parTransId="{EB08AB98-6FFF-457D-A0A6-E5FE4943680E}" sibTransId="{7F627CAE-53A6-45C0-BE67-48C6C5F12A1E}"/>
    <dgm:cxn modelId="{E003BC90-5923-4529-A337-BF7780B68093}" type="presOf" srcId="{6D1AE70D-EAB6-4F4A-8113-E51A421983AA}" destId="{A5E82EE2-3EB9-4AB0-B9E0-1FCC57E7B76C}" srcOrd="0" destOrd="0" presId="urn:microsoft.com/office/officeart/2008/layout/AlternatingHexagons"/>
    <dgm:cxn modelId="{5C956F95-E6A7-41B0-A058-23E7362F376C}" type="presOf" srcId="{D1DC0912-B3EC-4F29-89B7-710EACA89F14}" destId="{359036F3-5850-44F4-B75F-3B5AB43A840D}" srcOrd="0" destOrd="0" presId="urn:microsoft.com/office/officeart/2008/layout/AlternatingHexagons"/>
    <dgm:cxn modelId="{B20E6AF1-55A6-422A-B723-3BB4523EC5C1}" type="presOf" srcId="{7F627CAE-53A6-45C0-BE67-48C6C5F12A1E}" destId="{4A0F1C74-7113-4C81-861C-E0DEBCA982F4}" srcOrd="0" destOrd="0" presId="urn:microsoft.com/office/officeart/2008/layout/AlternatingHexagons"/>
    <dgm:cxn modelId="{717C8707-0230-4F93-BEEB-B6D89DFBA1E6}" type="presParOf" srcId="{359036F3-5850-44F4-B75F-3B5AB43A840D}" destId="{30A0A5F4-146B-40F0-81EA-7E8EF0FD1E19}" srcOrd="0" destOrd="0" presId="urn:microsoft.com/office/officeart/2008/layout/AlternatingHexagons"/>
    <dgm:cxn modelId="{90CA2CC4-9578-4C55-B237-03E9FC2333FD}" type="presParOf" srcId="{30A0A5F4-146B-40F0-81EA-7E8EF0FD1E19}" destId="{AB1FD262-CE80-46CF-A43E-82B6817F21BF}" srcOrd="0" destOrd="0" presId="urn:microsoft.com/office/officeart/2008/layout/AlternatingHexagons"/>
    <dgm:cxn modelId="{81D80901-0BB1-4845-A721-5EEEB89F79A0}" type="presParOf" srcId="{30A0A5F4-146B-40F0-81EA-7E8EF0FD1E19}" destId="{2EED47FD-8673-4100-9B08-198361B79EBE}" srcOrd="1" destOrd="0" presId="urn:microsoft.com/office/officeart/2008/layout/AlternatingHexagons"/>
    <dgm:cxn modelId="{AE7B7CD7-3B3E-417C-AC4A-C1CA7AA0F0F9}" type="presParOf" srcId="{30A0A5F4-146B-40F0-81EA-7E8EF0FD1E19}" destId="{D2CA4FC7-2847-485C-802D-042F2A71D348}" srcOrd="2" destOrd="0" presId="urn:microsoft.com/office/officeart/2008/layout/AlternatingHexagons"/>
    <dgm:cxn modelId="{7008980D-7CEB-47F8-BE39-80661A6B3071}" type="presParOf" srcId="{30A0A5F4-146B-40F0-81EA-7E8EF0FD1E19}" destId="{2DC27DF7-345A-458A-9C51-F1F052189DD6}" srcOrd="3" destOrd="0" presId="urn:microsoft.com/office/officeart/2008/layout/AlternatingHexagons"/>
    <dgm:cxn modelId="{D23179A3-0CFA-4391-9B16-FAD0E13249D6}" type="presParOf" srcId="{30A0A5F4-146B-40F0-81EA-7E8EF0FD1E19}" destId="{D12C705B-9BD9-44A6-979B-98B6200E8C11}" srcOrd="4" destOrd="0" presId="urn:microsoft.com/office/officeart/2008/layout/AlternatingHexagons"/>
    <dgm:cxn modelId="{24686C75-0F95-461C-ADBD-59B525C9C69F}" type="presParOf" srcId="{359036F3-5850-44F4-B75F-3B5AB43A840D}" destId="{6231DBB4-28E0-4E2C-A70A-5804DF8C83AB}" srcOrd="1" destOrd="0" presId="urn:microsoft.com/office/officeart/2008/layout/AlternatingHexagons"/>
    <dgm:cxn modelId="{BCFE13D7-4162-4F0F-B7B2-B2E9701952C7}" type="presParOf" srcId="{359036F3-5850-44F4-B75F-3B5AB43A840D}" destId="{54A6F947-A20B-4C5D-90FE-24EE20C37547}" srcOrd="2" destOrd="0" presId="urn:microsoft.com/office/officeart/2008/layout/AlternatingHexagons"/>
    <dgm:cxn modelId="{06EC204E-FD5E-4A0F-B6DB-46EBD23C4A08}" type="presParOf" srcId="{54A6F947-A20B-4C5D-90FE-24EE20C37547}" destId="{B6D631C2-8676-4A7B-BDF8-D29FDC9798DD}" srcOrd="0" destOrd="0" presId="urn:microsoft.com/office/officeart/2008/layout/AlternatingHexagons"/>
    <dgm:cxn modelId="{FD03DCCC-488C-4C6C-AA4D-A0F446347CA5}" type="presParOf" srcId="{54A6F947-A20B-4C5D-90FE-24EE20C37547}" destId="{72ABDABB-EA41-41C9-8ADF-E71F28DB3C8A}" srcOrd="1" destOrd="0" presId="urn:microsoft.com/office/officeart/2008/layout/AlternatingHexagons"/>
    <dgm:cxn modelId="{AF672376-A537-43F3-879A-6B60B3693D89}" type="presParOf" srcId="{54A6F947-A20B-4C5D-90FE-24EE20C37547}" destId="{4C3F01AC-8181-498D-8F4B-875396F08227}" srcOrd="2" destOrd="0" presId="urn:microsoft.com/office/officeart/2008/layout/AlternatingHexagons"/>
    <dgm:cxn modelId="{DC360F50-CE80-46EA-99E7-B2AEA9472000}" type="presParOf" srcId="{54A6F947-A20B-4C5D-90FE-24EE20C37547}" destId="{90D699E2-056E-49C7-9195-4C931F0AED71}" srcOrd="3" destOrd="0" presId="urn:microsoft.com/office/officeart/2008/layout/AlternatingHexagons"/>
    <dgm:cxn modelId="{CDB64F13-7BF2-4EE3-9B32-1DBBE7DD8D7F}" type="presParOf" srcId="{54A6F947-A20B-4C5D-90FE-24EE20C37547}" destId="{5B437347-078C-411E-9F53-CF4AE37106A9}" srcOrd="4" destOrd="0" presId="urn:microsoft.com/office/officeart/2008/layout/AlternatingHexagons"/>
    <dgm:cxn modelId="{5E2F003C-B8FB-4526-8978-177EC88A9772}" type="presParOf" srcId="{359036F3-5850-44F4-B75F-3B5AB43A840D}" destId="{41E30C98-40CF-4036-82DF-1965FDC34246}" srcOrd="3" destOrd="0" presId="urn:microsoft.com/office/officeart/2008/layout/AlternatingHexagons"/>
    <dgm:cxn modelId="{02C7823E-8DA6-48D7-AF56-B870A1DDBD46}" type="presParOf" srcId="{359036F3-5850-44F4-B75F-3B5AB43A840D}" destId="{5C7ACEE0-60A5-4A18-9E72-0EDE6F4F70A9}" srcOrd="4" destOrd="0" presId="urn:microsoft.com/office/officeart/2008/layout/AlternatingHexagons"/>
    <dgm:cxn modelId="{FBF44AB3-A647-4F9E-AD68-BC479C841C12}" type="presParOf" srcId="{5C7ACEE0-60A5-4A18-9E72-0EDE6F4F70A9}" destId="{A5E82EE2-3EB9-4AB0-B9E0-1FCC57E7B76C}" srcOrd="0" destOrd="0" presId="urn:microsoft.com/office/officeart/2008/layout/AlternatingHexagons"/>
    <dgm:cxn modelId="{9FBED35F-3B8C-4D66-989A-593CFE5ECA4C}" type="presParOf" srcId="{5C7ACEE0-60A5-4A18-9E72-0EDE6F4F70A9}" destId="{AF9C65E4-01FA-4362-8C44-518A74A38DFF}" srcOrd="1" destOrd="0" presId="urn:microsoft.com/office/officeart/2008/layout/AlternatingHexagons"/>
    <dgm:cxn modelId="{88148B3E-AA65-46E5-A9C6-94877C73A67C}" type="presParOf" srcId="{5C7ACEE0-60A5-4A18-9E72-0EDE6F4F70A9}" destId="{09B8B674-8402-44D9-96A9-A66FBE5C6373}" srcOrd="2" destOrd="0" presId="urn:microsoft.com/office/officeart/2008/layout/AlternatingHexagons"/>
    <dgm:cxn modelId="{35F26191-F4C1-42D6-AE3D-85DCF614F1DB}" type="presParOf" srcId="{5C7ACEE0-60A5-4A18-9E72-0EDE6F4F70A9}" destId="{BF54C7DE-08F7-4F02-A58F-4BE2F9D84C65}" srcOrd="3" destOrd="0" presId="urn:microsoft.com/office/officeart/2008/layout/AlternatingHexagons"/>
    <dgm:cxn modelId="{B1D1F42A-F95B-4D3D-B66D-44342FD2CB8E}" type="presParOf" srcId="{5C7ACEE0-60A5-4A18-9E72-0EDE6F4F70A9}" destId="{4A0F1C74-7113-4C81-861C-E0DEBCA982F4}" srcOrd="4" destOrd="0" presId="urn:microsoft.com/office/officeart/2008/layout/AlternatingHexagons"/>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1FD262-CE80-46CF-A43E-82B6817F21BF}">
      <dsp:nvSpPr>
        <dsp:cNvPr id="0" name=""/>
        <dsp:cNvSpPr/>
      </dsp:nvSpPr>
      <dsp:spPr>
        <a:xfrm rot="5400000">
          <a:off x="1772860" y="295572"/>
          <a:ext cx="1164363" cy="1012996"/>
        </a:xfrm>
        <a:prstGeom prst="hexagon">
          <a:avLst>
            <a:gd name="adj" fmla="val 25000"/>
            <a:gd name="vf" fmla="val 11547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en-AU" sz="850" kern="1200">
              <a:latin typeface="Calibri" panose="020F0502020204030204" pitchFamily="34" charset="0"/>
              <a:cs typeface="Calibri" panose="020F0502020204030204" pitchFamily="34" charset="0"/>
            </a:rPr>
            <a:t>Improve efficiency and ensure financial sustainability</a:t>
          </a:r>
        </a:p>
      </dsp:txBody>
      <dsp:txXfrm rot="-5400000">
        <a:off x="2006402" y="401336"/>
        <a:ext cx="697278" cy="801469"/>
      </dsp:txXfrm>
    </dsp:sp>
    <dsp:sp modelId="{2EED47FD-8673-4100-9B08-198361B79EBE}">
      <dsp:nvSpPr>
        <dsp:cNvPr id="0" name=""/>
        <dsp:cNvSpPr/>
      </dsp:nvSpPr>
      <dsp:spPr>
        <a:xfrm>
          <a:off x="2892279" y="452761"/>
          <a:ext cx="1299429" cy="698618"/>
        </a:xfrm>
        <a:prstGeom prst="rect">
          <a:avLst/>
        </a:prstGeom>
        <a:noFill/>
        <a:ln>
          <a:noFill/>
        </a:ln>
        <a:effectLst/>
      </dsp:spPr>
      <dsp:style>
        <a:lnRef idx="0">
          <a:scrgbClr r="0" g="0" b="0"/>
        </a:lnRef>
        <a:fillRef idx="0">
          <a:scrgbClr r="0" g="0" b="0"/>
        </a:fillRef>
        <a:effectRef idx="0">
          <a:scrgbClr r="0" g="0" b="0"/>
        </a:effectRef>
        <a:fontRef idx="minor"/>
      </dsp:style>
    </dsp:sp>
    <dsp:sp modelId="{D12C705B-9BD9-44A6-979B-98B6200E8C11}">
      <dsp:nvSpPr>
        <dsp:cNvPr id="0" name=""/>
        <dsp:cNvSpPr/>
      </dsp:nvSpPr>
      <dsp:spPr>
        <a:xfrm rot="5400000">
          <a:off x="678823" y="295572"/>
          <a:ext cx="1164363" cy="1012996"/>
        </a:xfrm>
        <a:prstGeom prst="hexagon">
          <a:avLst>
            <a:gd name="adj" fmla="val 25000"/>
            <a:gd name="vf" fmla="val 115470"/>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77825">
            <a:lnSpc>
              <a:spcPct val="90000"/>
            </a:lnSpc>
            <a:spcBef>
              <a:spcPct val="0"/>
            </a:spcBef>
            <a:spcAft>
              <a:spcPct val="35000"/>
            </a:spcAft>
            <a:buNone/>
          </a:pPr>
          <a:r>
            <a:rPr lang="en-AU" sz="850" kern="1200">
              <a:latin typeface="Calibri" panose="020F0502020204030204" pitchFamily="34" charset="0"/>
              <a:cs typeface="Calibri" panose="020F0502020204030204" pitchFamily="34" charset="0"/>
            </a:rPr>
            <a:t>Improve health outcomes and equity of access</a:t>
          </a:r>
        </a:p>
      </dsp:txBody>
      <dsp:txXfrm rot="-5400000">
        <a:off x="912365" y="401336"/>
        <a:ext cx="697278" cy="801469"/>
      </dsp:txXfrm>
    </dsp:sp>
    <dsp:sp modelId="{B6D631C2-8676-4A7B-BDF8-D29FDC9798DD}">
      <dsp:nvSpPr>
        <dsp:cNvPr id="0" name=""/>
        <dsp:cNvSpPr/>
      </dsp:nvSpPr>
      <dsp:spPr>
        <a:xfrm rot="5400000">
          <a:off x="1223746" y="1283884"/>
          <a:ext cx="1164363" cy="1012996"/>
        </a:xfrm>
        <a:prstGeom prst="hexagon">
          <a:avLst>
            <a:gd name="adj" fmla="val 25000"/>
            <a:gd name="vf" fmla="val 11547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en-AU" sz="850" kern="1200">
              <a:latin typeface="Calibri" panose="020F0502020204030204" pitchFamily="34" charset="0"/>
              <a:cs typeface="Calibri" panose="020F0502020204030204" pitchFamily="34" charset="0"/>
            </a:rPr>
            <a:t>Focus on transparency and accountability</a:t>
          </a:r>
        </a:p>
      </dsp:txBody>
      <dsp:txXfrm rot="-5400000">
        <a:off x="1457288" y="1389648"/>
        <a:ext cx="697278" cy="801469"/>
      </dsp:txXfrm>
    </dsp:sp>
    <dsp:sp modelId="{72ABDABB-EA41-41C9-8ADF-E71F28DB3C8A}">
      <dsp:nvSpPr>
        <dsp:cNvPr id="0" name=""/>
        <dsp:cNvSpPr/>
      </dsp:nvSpPr>
      <dsp:spPr>
        <a:xfrm>
          <a:off x="0" y="1441073"/>
          <a:ext cx="1257512" cy="698618"/>
        </a:xfrm>
        <a:prstGeom prst="rect">
          <a:avLst/>
        </a:prstGeom>
        <a:noFill/>
        <a:ln>
          <a:noFill/>
        </a:ln>
        <a:effectLst/>
      </dsp:spPr>
      <dsp:style>
        <a:lnRef idx="0">
          <a:scrgbClr r="0" g="0" b="0"/>
        </a:lnRef>
        <a:fillRef idx="0">
          <a:scrgbClr r="0" g="0" b="0"/>
        </a:fillRef>
        <a:effectRef idx="0">
          <a:scrgbClr r="0" g="0" b="0"/>
        </a:effectRef>
        <a:fontRef idx="minor"/>
      </dsp:style>
    </dsp:sp>
    <dsp:sp modelId="{5B437347-078C-411E-9F53-CF4AE37106A9}">
      <dsp:nvSpPr>
        <dsp:cNvPr id="0" name=""/>
        <dsp:cNvSpPr/>
      </dsp:nvSpPr>
      <dsp:spPr>
        <a:xfrm rot="5400000">
          <a:off x="2317782" y="1283884"/>
          <a:ext cx="1164363" cy="1012996"/>
        </a:xfrm>
        <a:prstGeom prst="hexagon">
          <a:avLst>
            <a:gd name="adj" fmla="val 25000"/>
            <a:gd name="vf" fmla="val 11547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77825">
            <a:lnSpc>
              <a:spcPct val="90000"/>
            </a:lnSpc>
            <a:spcBef>
              <a:spcPct val="0"/>
            </a:spcBef>
            <a:spcAft>
              <a:spcPct val="35000"/>
            </a:spcAft>
            <a:buNone/>
          </a:pPr>
          <a:r>
            <a:rPr lang="en-AU" sz="850" kern="1200">
              <a:latin typeface="Calibri" panose="020F0502020204030204" pitchFamily="34" charset="0"/>
              <a:cs typeface="Calibri" panose="020F0502020204030204" pitchFamily="34" charset="0"/>
            </a:rPr>
            <a:t>National agreement of individual and shared responsibilities</a:t>
          </a:r>
        </a:p>
      </dsp:txBody>
      <dsp:txXfrm rot="-5400000">
        <a:off x="2551324" y="1389648"/>
        <a:ext cx="697278" cy="801469"/>
      </dsp:txXfrm>
    </dsp:sp>
    <dsp:sp modelId="{A5E82EE2-3EB9-4AB0-B9E0-1FCC57E7B76C}">
      <dsp:nvSpPr>
        <dsp:cNvPr id="0" name=""/>
        <dsp:cNvSpPr/>
      </dsp:nvSpPr>
      <dsp:spPr>
        <a:xfrm rot="5400000">
          <a:off x="1772860" y="2272196"/>
          <a:ext cx="1164363" cy="1012996"/>
        </a:xfrm>
        <a:prstGeom prst="hexagon">
          <a:avLst>
            <a:gd name="adj" fmla="val 25000"/>
            <a:gd name="vf" fmla="val 115470"/>
          </a:avLst>
        </a:prstGeom>
        <a:solidFill>
          <a:schemeClr val="accent6">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en-AU" sz="850" kern="1200">
              <a:latin typeface="Calibri" panose="020F0502020204030204" pitchFamily="34" charset="0"/>
              <a:cs typeface="Calibri" panose="020F0502020204030204" pitchFamily="34" charset="0"/>
            </a:rPr>
            <a:t>Committed to six long-term health reforms </a:t>
          </a:r>
        </a:p>
      </dsp:txBody>
      <dsp:txXfrm rot="-5400000">
        <a:off x="2006402" y="2377960"/>
        <a:ext cx="697278" cy="801469"/>
      </dsp:txXfrm>
    </dsp:sp>
    <dsp:sp modelId="{AF9C65E4-01FA-4362-8C44-518A74A38DFF}">
      <dsp:nvSpPr>
        <dsp:cNvPr id="0" name=""/>
        <dsp:cNvSpPr/>
      </dsp:nvSpPr>
      <dsp:spPr>
        <a:xfrm>
          <a:off x="2892279" y="2429385"/>
          <a:ext cx="1299429" cy="698618"/>
        </a:xfrm>
        <a:prstGeom prst="rect">
          <a:avLst/>
        </a:prstGeom>
        <a:noFill/>
        <a:ln>
          <a:noFill/>
        </a:ln>
        <a:effectLst/>
      </dsp:spPr>
      <dsp:style>
        <a:lnRef idx="0">
          <a:scrgbClr r="0" g="0" b="0"/>
        </a:lnRef>
        <a:fillRef idx="0">
          <a:scrgbClr r="0" g="0" b="0"/>
        </a:fillRef>
        <a:effectRef idx="0">
          <a:scrgbClr r="0" g="0" b="0"/>
        </a:effectRef>
        <a:fontRef idx="minor"/>
      </dsp:style>
    </dsp:sp>
    <dsp:sp modelId="{4A0F1C74-7113-4C81-861C-E0DEBCA982F4}">
      <dsp:nvSpPr>
        <dsp:cNvPr id="0" name=""/>
        <dsp:cNvSpPr/>
      </dsp:nvSpPr>
      <dsp:spPr>
        <a:xfrm rot="5400000">
          <a:off x="678823" y="2272196"/>
          <a:ext cx="1164363" cy="1012996"/>
        </a:xfrm>
        <a:prstGeom prst="hexagon">
          <a:avLst>
            <a:gd name="adj" fmla="val 25000"/>
            <a:gd name="vf" fmla="val 11547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77825">
            <a:lnSpc>
              <a:spcPct val="90000"/>
            </a:lnSpc>
            <a:spcBef>
              <a:spcPct val="0"/>
            </a:spcBef>
            <a:spcAft>
              <a:spcPct val="35000"/>
            </a:spcAft>
            <a:buNone/>
          </a:pPr>
          <a:r>
            <a:rPr lang="en-AU" sz="850" kern="1200">
              <a:latin typeface="Calibri" panose="020F0502020204030204" pitchFamily="34" charset="0"/>
              <a:cs typeface="Calibri" panose="020F0502020204030204" pitchFamily="34" charset="0"/>
            </a:rPr>
            <a:t>Local accountability and responsiveness</a:t>
          </a:r>
        </a:p>
      </dsp:txBody>
      <dsp:txXfrm rot="-5400000">
        <a:off x="912365" y="2377960"/>
        <a:ext cx="697278" cy="801469"/>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35.png"/></Relationships>
</file>

<file path=word/drawings/drawing1.xml><?xml version="1.0" encoding="utf-8"?>
<c:userShapes xmlns:c="http://schemas.openxmlformats.org/drawingml/2006/chart">
  <cdr:relSizeAnchor xmlns:cdr="http://schemas.openxmlformats.org/drawingml/2006/chartDrawing">
    <cdr:from>
      <cdr:x>0.67885</cdr:x>
      <cdr:y>0.91837</cdr:y>
    </cdr:from>
    <cdr:to>
      <cdr:x>0.87442</cdr:x>
      <cdr:y>0.96953</cdr:y>
    </cdr:to>
    <cdr:pic>
      <cdr:nvPicPr>
        <cdr:cNvPr id="2" name="Picture 1">
          <a:extLst xmlns:a="http://schemas.openxmlformats.org/drawingml/2006/main">
            <a:ext uri="{FF2B5EF4-FFF2-40B4-BE49-F238E27FC236}">
              <a16:creationId xmlns:a16="http://schemas.microsoft.com/office/drawing/2014/main" id="{2AB89449-8843-1E43-3110-BD58772CFB3A}"/>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512457" y="2875579"/>
          <a:ext cx="1299947" cy="160191"/>
        </a:xfrm>
        <a:prstGeom xmlns:a="http://schemas.openxmlformats.org/drawingml/2006/main" prst="rect">
          <a:avLst/>
        </a:prstGeom>
      </cdr:spPr>
    </cdr:pic>
  </cdr:relSizeAnchor>
</c:userShapes>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word/theme/themeOverride1.xml><?xml version="1.0" encoding="utf-8"?>
<a:themeOverride xmlns:a="http://schemas.openxmlformats.org/drawingml/2006/main">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ab1ca41-7331-4bd9-8653-f5a3af4c8827">
      <UserInfo>
        <DisplayName>Chung, Sean</DisplayName>
        <AccountId>15</AccountId>
        <AccountType/>
      </UserInfo>
      <UserInfo>
        <DisplayName>Adams, Matthew</DisplayName>
        <AccountId>13</AccountId>
        <AccountType/>
      </UserInfo>
      <UserInfo>
        <DisplayName>Sanderson, Tracey</DisplayName>
        <AccountId>12</AccountId>
        <AccountType/>
      </UserInfo>
      <UserInfo>
        <DisplayName>Maiolo, Julian</DisplayName>
        <AccountId>14</AccountId>
        <AccountType/>
      </UserInfo>
      <UserInfo>
        <DisplayName>Ranchhod, Karishma</DisplayName>
        <AccountId>16</AccountId>
        <AccountType/>
      </UserInfo>
      <UserInfo>
        <DisplayName>SharingLinks.868c1883-e5cc-4382-8123-8359fbd21646.Flexible.1bcb74c5-563e-4dcc-ab19-3c4ba41bb47d</DisplayName>
        <AccountId>18</AccountId>
        <AccountType/>
      </UserInfo>
      <UserInfo>
        <DisplayName>NT Service\spsearch</DisplayName>
        <AccountId>10</AccountId>
        <AccountType/>
      </UserInfo>
      <UserInfo>
        <DisplayName>Moses, Nilusha</DisplayName>
        <AccountId>9</AccountId>
        <AccountType/>
      </UserInfo>
      <UserInfo>
        <DisplayName>Ho, Isaac</DisplayName>
        <AccountId>17</AccountId>
        <AccountType/>
      </UserInfo>
      <UserInfo>
        <DisplayName>Gilbertson, Daniel</DisplayName>
        <AccountId>30</AccountId>
        <AccountType/>
      </UserInfo>
      <UserInfo>
        <DisplayName>Baxby, Luke</DisplayName>
        <AccountId>41</AccountId>
        <AccountType/>
      </UserInfo>
      <UserInfo>
        <DisplayName>Doreswamy, Nandini</DisplayName>
        <AccountId>22</AccountId>
        <AccountType/>
      </UserInfo>
    </SharedWithUsers>
    <TaxCatchAll xmlns="5ab1ca41-7331-4bd9-8653-f5a3af4c8827" xsi:nil="true"/>
    <lcf76f155ced4ddcb4097134ff3c332f xmlns="3ae77c2f-813b-43db-958e-049697b6113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4B53D848EB5F6408CBEDF15B4498386" ma:contentTypeVersion="12" ma:contentTypeDescription="Create a new document." ma:contentTypeScope="" ma:versionID="024b3b9eb627ead57002ca777b9a1766">
  <xsd:schema xmlns:xsd="http://www.w3.org/2001/XMLSchema" xmlns:xs="http://www.w3.org/2001/XMLSchema" xmlns:p="http://schemas.microsoft.com/office/2006/metadata/properties" xmlns:ns2="3ae77c2f-813b-43db-958e-049697b61131" xmlns:ns3="5ab1ca41-7331-4bd9-8653-f5a3af4c8827" targetNamespace="http://schemas.microsoft.com/office/2006/metadata/properties" ma:root="true" ma:fieldsID="1aa3a5080ae1800ac7088d8ae657e0d1" ns2:_="" ns3:_="">
    <xsd:import namespace="3ae77c2f-813b-43db-958e-049697b61131"/>
    <xsd:import namespace="5ab1ca41-7331-4bd9-8653-f5a3af4c882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e77c2f-813b-43db-958e-049697b611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98d900d-0589-4081-96eb-513de833a50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1ca41-7331-4bd9-8653-f5a3af4c882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31cd65b-7058-4426-a716-73e4ff295439}" ma:internalName="TaxCatchAll" ma:showField="CatchAllData" ma:web="5ab1ca41-7331-4bd9-8653-f5a3af4c88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C8B01D-643C-4F82-B265-EAD822842CC2}">
  <ds:schemaRefs>
    <ds:schemaRef ds:uri="http://schemas.microsoft.com/office/2006/metadata/properties"/>
    <ds:schemaRef ds:uri="http://schemas.microsoft.com/office/infopath/2007/PartnerControls"/>
    <ds:schemaRef ds:uri="5ab1ca41-7331-4bd9-8653-f5a3af4c8827"/>
    <ds:schemaRef ds:uri="3ae77c2f-813b-43db-958e-049697b61131"/>
  </ds:schemaRefs>
</ds:datastoreItem>
</file>

<file path=customXml/itemProps2.xml><?xml version="1.0" encoding="utf-8"?>
<ds:datastoreItem xmlns:ds="http://schemas.openxmlformats.org/officeDocument/2006/customXml" ds:itemID="{0A2E5E50-14AC-4566-9546-1523B7E55F2D}">
  <ds:schemaRefs>
    <ds:schemaRef ds:uri="http://schemas.microsoft.com/sharepoint/v3/contenttype/forms"/>
  </ds:schemaRefs>
</ds:datastoreItem>
</file>

<file path=customXml/itemProps3.xml><?xml version="1.0" encoding="utf-8"?>
<ds:datastoreItem xmlns:ds="http://schemas.openxmlformats.org/officeDocument/2006/customXml" ds:itemID="{821A25DB-2451-47BB-BC38-4DB013C8072D}">
  <ds:schemaRefs>
    <ds:schemaRef ds:uri="http://schemas.openxmlformats.org/officeDocument/2006/bibliography"/>
  </ds:schemaRefs>
</ds:datastoreItem>
</file>

<file path=customXml/itemProps4.xml><?xml version="1.0" encoding="utf-8"?>
<ds:datastoreItem xmlns:ds="http://schemas.openxmlformats.org/officeDocument/2006/customXml" ds:itemID="{9B7CFC33-A0A4-4643-AD35-306B2C532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e77c2f-813b-43db-958e-049697b61131"/>
    <ds:schemaRef ds:uri="5ab1ca41-7331-4bd9-8653-f5a3af4c88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154</Pages>
  <Words>82808</Words>
  <Characters>484432</Characters>
  <Application>Microsoft Office Word</Application>
  <DocSecurity>0</DocSecurity>
  <Lines>7941</Lines>
  <Paragraphs>3806</Paragraphs>
  <ScaleCrop>false</ScaleCrop>
  <HeadingPairs>
    <vt:vector size="6" baseType="variant">
      <vt:variant>
        <vt:lpstr>Title</vt:lpstr>
      </vt:variant>
      <vt:variant>
        <vt:i4>1</vt:i4>
      </vt:variant>
      <vt:variant>
        <vt:lpstr>Titel</vt:lpstr>
      </vt:variant>
      <vt:variant>
        <vt:i4>1</vt:i4>
      </vt:variant>
      <vt:variant>
        <vt:lpstr>Overskrifter</vt:lpstr>
      </vt:variant>
      <vt:variant>
        <vt:i4>2</vt:i4>
      </vt:variant>
    </vt:vector>
  </HeadingPairs>
  <TitlesOfParts>
    <vt:vector size="4" baseType="lpstr">
      <vt:lpstr>Mid-term Review of the National Health Reform Agreement Addendum 2020-25 Final Report</vt:lpstr>
      <vt:lpstr>Document title</vt:lpstr>
      <vt:lpstr/>
      <vt:lpstr>    </vt:lpstr>
    </vt:vector>
  </TitlesOfParts>
  <Company/>
  <LinksUpToDate>false</LinksUpToDate>
  <CharactersWithSpaces>563434</CharactersWithSpaces>
  <SharedDoc>false</SharedDoc>
  <HLinks>
    <vt:vector size="1530" baseType="variant">
      <vt:variant>
        <vt:i4>1966167</vt:i4>
      </vt:variant>
      <vt:variant>
        <vt:i4>1284</vt:i4>
      </vt:variant>
      <vt:variant>
        <vt:i4>0</vt:i4>
      </vt:variant>
      <vt:variant>
        <vt:i4>5</vt:i4>
      </vt:variant>
      <vt:variant>
        <vt:lpwstr>https://www.commonwealthfund.org/publications/fund-reports/2021/aug/mirror-mirror-2021-reflecting-poorly</vt:lpwstr>
      </vt:variant>
      <vt:variant>
        <vt:lpwstr/>
      </vt:variant>
      <vt:variant>
        <vt:i4>1048701</vt:i4>
      </vt:variant>
      <vt:variant>
        <vt:i4>1281</vt:i4>
      </vt:variant>
      <vt:variant>
        <vt:i4>0</vt:i4>
      </vt:variant>
      <vt:variant>
        <vt:i4>5</vt:i4>
      </vt:variant>
      <vt:variant>
        <vt:lpwstr>https://www.anao.gov.au/sites/default/files/Auditor-General_Report_2018-2019_26.PDF</vt:lpwstr>
      </vt:variant>
      <vt:variant>
        <vt:lpwstr/>
      </vt:variant>
      <vt:variant>
        <vt:i4>5963785</vt:i4>
      </vt:variant>
      <vt:variant>
        <vt:i4>1278</vt:i4>
      </vt:variant>
      <vt:variant>
        <vt:i4>0</vt:i4>
      </vt:variant>
      <vt:variant>
        <vt:i4>5</vt:i4>
      </vt:variant>
      <vt:variant>
        <vt:lpwstr>https://www.pc.gov.au/inquiries/completed/productivity-review/report</vt:lpwstr>
      </vt:variant>
      <vt:variant>
        <vt:lpwstr/>
      </vt:variant>
      <vt:variant>
        <vt:i4>6553707</vt:i4>
      </vt:variant>
      <vt:variant>
        <vt:i4>1275</vt:i4>
      </vt:variant>
      <vt:variant>
        <vt:i4>0</vt:i4>
      </vt:variant>
      <vt:variant>
        <vt:i4>5</vt:i4>
      </vt:variant>
      <vt:variant>
        <vt:lpwstr>https://www.ihacpa.gov.au/resources/ihpa-annual-report-2021-22</vt:lpwstr>
      </vt:variant>
      <vt:variant>
        <vt:lpwstr/>
      </vt:variant>
      <vt:variant>
        <vt:i4>851997</vt:i4>
      </vt:variant>
      <vt:variant>
        <vt:i4>1272</vt:i4>
      </vt:variant>
      <vt:variant>
        <vt:i4>0</vt:i4>
      </vt:variant>
      <vt:variant>
        <vt:i4>5</vt:i4>
      </vt:variant>
      <vt:variant>
        <vt:lpwstr>https://www.ihacpa.gov.au/resources/pricing-framework-australian-public-hospital-services-2023-24</vt:lpwstr>
      </vt:variant>
      <vt:variant>
        <vt:lpwstr/>
      </vt:variant>
      <vt:variant>
        <vt:i4>8192064</vt:i4>
      </vt:variant>
      <vt:variant>
        <vt:i4>1269</vt:i4>
      </vt:variant>
      <vt:variant>
        <vt:i4>0</vt:i4>
      </vt:variant>
      <vt:variant>
        <vt:i4>5</vt:i4>
      </vt:variant>
      <vt:variant>
        <vt:lpwstr>https://www.ihacpa.gov.au/sites/default/files/2023-03/national_pricing_model_technical_specifications_2032-24.pdf</vt:lpwstr>
      </vt:variant>
      <vt:variant>
        <vt:lpwstr/>
      </vt:variant>
      <vt:variant>
        <vt:i4>2883685</vt:i4>
      </vt:variant>
      <vt:variant>
        <vt:i4>1266</vt:i4>
      </vt:variant>
      <vt:variant>
        <vt:i4>0</vt:i4>
      </vt:variant>
      <vt:variant>
        <vt:i4>5</vt:i4>
      </vt:variant>
      <vt:variant>
        <vt:lpwstr>https://www.ihacpa.gov.au/health-care/pricing/national-efficient-cost-determination</vt:lpwstr>
      </vt:variant>
      <vt:variant>
        <vt:lpwstr/>
      </vt:variant>
      <vt:variant>
        <vt:i4>1572953</vt:i4>
      </vt:variant>
      <vt:variant>
        <vt:i4>1263</vt:i4>
      </vt:variant>
      <vt:variant>
        <vt:i4>0</vt:i4>
      </vt:variant>
      <vt:variant>
        <vt:i4>5</vt:i4>
      </vt:variant>
      <vt:variant>
        <vt:lpwstr>https://www.ihacpa.gov.au/health-care/pricing/national-efficient-price-determination</vt:lpwstr>
      </vt:variant>
      <vt:variant>
        <vt:lpwstr/>
      </vt:variant>
      <vt:variant>
        <vt:i4>4456448</vt:i4>
      </vt:variant>
      <vt:variant>
        <vt:i4>1260</vt:i4>
      </vt:variant>
      <vt:variant>
        <vt:i4>0</vt:i4>
      </vt:variant>
      <vt:variant>
        <vt:i4>5</vt:i4>
      </vt:variant>
      <vt:variant>
        <vt:lpwstr>https://hwd.health.gov.au/resources/data/gp-primarycare.html</vt:lpwstr>
      </vt:variant>
      <vt:variant>
        <vt:lpwstr/>
      </vt:variant>
      <vt:variant>
        <vt:i4>6619181</vt:i4>
      </vt:variant>
      <vt:variant>
        <vt:i4>1257</vt:i4>
      </vt:variant>
      <vt:variant>
        <vt:i4>0</vt:i4>
      </vt:variant>
      <vt:variant>
        <vt:i4>5</vt:i4>
      </vt:variant>
      <vt:variant>
        <vt:lpwstr>https://www.health.gov.au/sites/default/files/2022-12/national-medicines-policy.pdf</vt:lpwstr>
      </vt:variant>
      <vt:variant>
        <vt:lpwstr/>
      </vt:variant>
      <vt:variant>
        <vt:i4>327755</vt:i4>
      </vt:variant>
      <vt:variant>
        <vt:i4>1254</vt:i4>
      </vt:variant>
      <vt:variant>
        <vt:i4>0</vt:i4>
      </vt:variant>
      <vt:variant>
        <vt:i4>5</vt:i4>
      </vt:variant>
      <vt:variant>
        <vt:lpwstr>https://www.health.gov.au/sites/default/files/documents/2022/03/national-medical-workforce-strategy-2021-2031.pdf</vt:lpwstr>
      </vt:variant>
      <vt:variant>
        <vt:lpwstr/>
      </vt:variant>
      <vt:variant>
        <vt:i4>1507397</vt:i4>
      </vt:variant>
      <vt:variant>
        <vt:i4>1251</vt:i4>
      </vt:variant>
      <vt:variant>
        <vt:i4>0</vt:i4>
      </vt:variant>
      <vt:variant>
        <vt:i4>5</vt:i4>
      </vt:variant>
      <vt:variant>
        <vt:lpwstr>https://budget.gov.au/content/bp1/download/bp1_2023-24_230727.pdf</vt:lpwstr>
      </vt:variant>
      <vt:variant>
        <vt:lpwstr/>
      </vt:variant>
      <vt:variant>
        <vt:i4>589911</vt:i4>
      </vt:variant>
      <vt:variant>
        <vt:i4>1248</vt:i4>
      </vt:variant>
      <vt:variant>
        <vt:i4>0</vt:i4>
      </vt:variant>
      <vt:variant>
        <vt:i4>5</vt:i4>
      </vt:variant>
      <vt:variant>
        <vt:lpwstr>https://treasury.gov.au/publication/2023-intergenerational-report</vt:lpwstr>
      </vt:variant>
      <vt:variant>
        <vt:lpwstr/>
      </vt:variant>
      <vt:variant>
        <vt:i4>7340066</vt:i4>
      </vt:variant>
      <vt:variant>
        <vt:i4>1245</vt:i4>
      </vt:variant>
      <vt:variant>
        <vt:i4>0</vt:i4>
      </vt:variant>
      <vt:variant>
        <vt:i4>5</vt:i4>
      </vt:variant>
      <vt:variant>
        <vt:lpwstr>https://www.pc.gov.au/ongoing/report-on-government-services</vt:lpwstr>
      </vt:variant>
      <vt:variant>
        <vt:lpwstr/>
      </vt:variant>
      <vt:variant>
        <vt:i4>5046299</vt:i4>
      </vt:variant>
      <vt:variant>
        <vt:i4>1242</vt:i4>
      </vt:variant>
      <vt:variant>
        <vt:i4>0</vt:i4>
      </vt:variant>
      <vt:variant>
        <vt:i4>5</vt:i4>
      </vt:variant>
      <vt:variant>
        <vt:lpwstr>https://federalfinancialrelations.gov.au/agreements/covid-19-response</vt:lpwstr>
      </vt:variant>
      <vt:variant>
        <vt:lpwstr/>
      </vt:variant>
      <vt:variant>
        <vt:i4>1703939</vt:i4>
      </vt:variant>
      <vt:variant>
        <vt:i4>1239</vt:i4>
      </vt:variant>
      <vt:variant>
        <vt:i4>0</vt:i4>
      </vt:variant>
      <vt:variant>
        <vt:i4>5</vt:i4>
      </vt:variant>
      <vt:variant>
        <vt:lpwstr>https://www.closingthegap.gov.au/sites/default/files/2022-09/ctg-national-agreement_apr-21-comm-infra-targets-updated-24-august-2022_0.pdf</vt:lpwstr>
      </vt:variant>
      <vt:variant>
        <vt:lpwstr/>
      </vt:variant>
      <vt:variant>
        <vt:i4>7012360</vt:i4>
      </vt:variant>
      <vt:variant>
        <vt:i4>1236</vt:i4>
      </vt:variant>
      <vt:variant>
        <vt:i4>0</vt:i4>
      </vt:variant>
      <vt:variant>
        <vt:i4>5</vt:i4>
      </vt:variant>
      <vt:variant>
        <vt:lpwstr>https://federalfinancialrelations.gov.au/sites/federalfinancialrelations.gov.au/files/2021-05/healthcare_national-agreement.pdf</vt:lpwstr>
      </vt:variant>
      <vt:variant>
        <vt:lpwstr/>
      </vt:variant>
      <vt:variant>
        <vt:i4>3604601</vt:i4>
      </vt:variant>
      <vt:variant>
        <vt:i4>1233</vt:i4>
      </vt:variant>
      <vt:variant>
        <vt:i4>0</vt:i4>
      </vt:variant>
      <vt:variant>
        <vt:i4>5</vt:i4>
      </vt:variant>
      <vt:variant>
        <vt:lpwstr>https://federalfinancialrelations.gov.au/sites/federalfinancialrelations.gov.au/files/2021-10/NHRA-longterm-reforms-roadmap.PDF</vt:lpwstr>
      </vt:variant>
      <vt:variant>
        <vt:lpwstr/>
      </vt:variant>
      <vt:variant>
        <vt:i4>4063303</vt:i4>
      </vt:variant>
      <vt:variant>
        <vt:i4>1230</vt:i4>
      </vt:variant>
      <vt:variant>
        <vt:i4>0</vt:i4>
      </vt:variant>
      <vt:variant>
        <vt:i4>5</vt:i4>
      </vt:variant>
      <vt:variant>
        <vt:lpwstr>https://federalfinancialrelations.gov.au/sites/federalfinancialrelations.gov.au/files/2021-07/NHRA_2020-25_Addendum_consolidated.pdf</vt:lpwstr>
      </vt:variant>
      <vt:variant>
        <vt:lpwstr/>
      </vt:variant>
      <vt:variant>
        <vt:i4>458841</vt:i4>
      </vt:variant>
      <vt:variant>
        <vt:i4>1227</vt:i4>
      </vt:variant>
      <vt:variant>
        <vt:i4>0</vt:i4>
      </vt:variant>
      <vt:variant>
        <vt:i4>5</vt:i4>
      </vt:variant>
      <vt:variant>
        <vt:lpwstr>https://federalfinancialrelations.gov.au/sites/federalfinancialrelations.gov.au/files/2021-08/national-agreement.pdf</vt:lpwstr>
      </vt:variant>
      <vt:variant>
        <vt:lpwstr/>
      </vt:variant>
      <vt:variant>
        <vt:i4>7536674</vt:i4>
      </vt:variant>
      <vt:variant>
        <vt:i4>1224</vt:i4>
      </vt:variant>
      <vt:variant>
        <vt:i4>0</vt:i4>
      </vt:variant>
      <vt:variant>
        <vt:i4>5</vt:i4>
      </vt:variant>
      <vt:variant>
        <vt:lpwstr>https://www.legislation.gov.au/Details/C2012C00746</vt:lpwstr>
      </vt:variant>
      <vt:variant>
        <vt:lpwstr/>
      </vt:variant>
      <vt:variant>
        <vt:i4>1572895</vt:i4>
      </vt:variant>
      <vt:variant>
        <vt:i4>1221</vt:i4>
      </vt:variant>
      <vt:variant>
        <vt:i4>0</vt:i4>
      </vt:variant>
      <vt:variant>
        <vt:i4>5</vt:i4>
      </vt:variant>
      <vt:variant>
        <vt:lpwstr>https://federalfinancialrelations.gov.au/agreements/national-health-reform-agreement</vt:lpwstr>
      </vt:variant>
      <vt:variant>
        <vt:lpwstr/>
      </vt:variant>
      <vt:variant>
        <vt:i4>3080203</vt:i4>
      </vt:variant>
      <vt:variant>
        <vt:i4>1218</vt:i4>
      </vt:variant>
      <vt:variant>
        <vt:i4>0</vt:i4>
      </vt:variant>
      <vt:variant>
        <vt:i4>5</vt:i4>
      </vt:variant>
      <vt:variant>
        <vt:lpwstr>https://federalfinancialrelations.gov.au/sites/federalfinancialrelations.gov.au/files/2021-07/NT_bilateral_extension_signed.pdf</vt:lpwstr>
      </vt:variant>
      <vt:variant>
        <vt:lpwstr/>
      </vt:variant>
      <vt:variant>
        <vt:i4>7995402</vt:i4>
      </vt:variant>
      <vt:variant>
        <vt:i4>1215</vt:i4>
      </vt:variant>
      <vt:variant>
        <vt:i4>0</vt:i4>
      </vt:variant>
      <vt:variant>
        <vt:i4>5</vt:i4>
      </vt:variant>
      <vt:variant>
        <vt:lpwstr>https://federalfinancialrelations.gov.au/sites/federalfinancialrelations.gov.au/files/2021-07/NT_bilateral_-_signed.pdf</vt:lpwstr>
      </vt:variant>
      <vt:variant>
        <vt:lpwstr/>
      </vt:variant>
      <vt:variant>
        <vt:i4>3670038</vt:i4>
      </vt:variant>
      <vt:variant>
        <vt:i4>1212</vt:i4>
      </vt:variant>
      <vt:variant>
        <vt:i4>0</vt:i4>
      </vt:variant>
      <vt:variant>
        <vt:i4>5</vt:i4>
      </vt:variant>
      <vt:variant>
        <vt:lpwstr>https://federalfinancialrelations.gov.au/sites/federalfinancialrelations.gov.au/files/2021-07/ACT_bilateral_extension_signed.pdf</vt:lpwstr>
      </vt:variant>
      <vt:variant>
        <vt:lpwstr/>
      </vt:variant>
      <vt:variant>
        <vt:i4>3735619</vt:i4>
      </vt:variant>
      <vt:variant>
        <vt:i4>1209</vt:i4>
      </vt:variant>
      <vt:variant>
        <vt:i4>0</vt:i4>
      </vt:variant>
      <vt:variant>
        <vt:i4>5</vt:i4>
      </vt:variant>
      <vt:variant>
        <vt:lpwstr>https://federalfinancialrelations.gov.au/sites/federalfinancialrelations.gov.au/files/2021-07/ACT_bilateral_-_signed.pdf</vt:lpwstr>
      </vt:variant>
      <vt:variant>
        <vt:lpwstr/>
      </vt:variant>
      <vt:variant>
        <vt:i4>3801098</vt:i4>
      </vt:variant>
      <vt:variant>
        <vt:i4>1206</vt:i4>
      </vt:variant>
      <vt:variant>
        <vt:i4>0</vt:i4>
      </vt:variant>
      <vt:variant>
        <vt:i4>5</vt:i4>
      </vt:variant>
      <vt:variant>
        <vt:lpwstr>https://federalfinancialrelations.gov.au/sites/federalfinancialrelations.gov.au/files/2021-09/Tas_bilateral_extension_signed.PDF</vt:lpwstr>
      </vt:variant>
      <vt:variant>
        <vt:lpwstr/>
      </vt:variant>
      <vt:variant>
        <vt:i4>3866718</vt:i4>
      </vt:variant>
      <vt:variant>
        <vt:i4>1203</vt:i4>
      </vt:variant>
      <vt:variant>
        <vt:i4>0</vt:i4>
      </vt:variant>
      <vt:variant>
        <vt:i4>5</vt:i4>
      </vt:variant>
      <vt:variant>
        <vt:lpwstr>https://federalfinancialrelations.gov.au/sites/federalfinancialrelations.gov.au/files/2021-08/Tas_bilateral_-_signed.pdf</vt:lpwstr>
      </vt:variant>
      <vt:variant>
        <vt:lpwstr/>
      </vt:variant>
      <vt:variant>
        <vt:i4>6750262</vt:i4>
      </vt:variant>
      <vt:variant>
        <vt:i4>1200</vt:i4>
      </vt:variant>
      <vt:variant>
        <vt:i4>0</vt:i4>
      </vt:variant>
      <vt:variant>
        <vt:i4>5</vt:i4>
      </vt:variant>
      <vt:variant>
        <vt:lpwstr>https://www.aihw.gov.au/reports-data/myhospitals/sectors/emergency-department-care</vt:lpwstr>
      </vt:variant>
      <vt:variant>
        <vt:lpwstr/>
      </vt:variant>
      <vt:variant>
        <vt:i4>1310741</vt:i4>
      </vt:variant>
      <vt:variant>
        <vt:i4>1197</vt:i4>
      </vt:variant>
      <vt:variant>
        <vt:i4>0</vt:i4>
      </vt:variant>
      <vt:variant>
        <vt:i4>5</vt:i4>
      </vt:variant>
      <vt:variant>
        <vt:lpwstr>https://www.aihw.gov.au/reports-data/myhospitals/sectors/elective-surgery</vt:lpwstr>
      </vt:variant>
      <vt:variant>
        <vt:lpwstr/>
      </vt:variant>
      <vt:variant>
        <vt:i4>5963843</vt:i4>
      </vt:variant>
      <vt:variant>
        <vt:i4>1194</vt:i4>
      </vt:variant>
      <vt:variant>
        <vt:i4>0</vt:i4>
      </vt:variant>
      <vt:variant>
        <vt:i4>5</vt:i4>
      </vt:variant>
      <vt:variant>
        <vt:lpwstr>https://www.aihw.gov.au/reports-data/myhospitals/intersection/quality/apc</vt:lpwstr>
      </vt:variant>
      <vt:variant>
        <vt:lpwstr/>
      </vt:variant>
      <vt:variant>
        <vt:i4>6488122</vt:i4>
      </vt:variant>
      <vt:variant>
        <vt:i4>1191</vt:i4>
      </vt:variant>
      <vt:variant>
        <vt:i4>0</vt:i4>
      </vt:variant>
      <vt:variant>
        <vt:i4>5</vt:i4>
      </vt:variant>
      <vt:variant>
        <vt:lpwstr>https://www.aihw.gov.au/reports/health-welfare-expenditure/health-expenditure-australia-2020-21/contents/about</vt:lpwstr>
      </vt:variant>
      <vt:variant>
        <vt:lpwstr/>
      </vt:variant>
      <vt:variant>
        <vt:i4>5177438</vt:i4>
      </vt:variant>
      <vt:variant>
        <vt:i4>1188</vt:i4>
      </vt:variant>
      <vt:variant>
        <vt:i4>0</vt:i4>
      </vt:variant>
      <vt:variant>
        <vt:i4>5</vt:i4>
      </vt:variant>
      <vt:variant>
        <vt:lpwstr>https://www.aihw.gov.au/reports/hospitals/australias-hospitals-at-a-glance/contents/hospital-activity</vt:lpwstr>
      </vt:variant>
      <vt:variant>
        <vt:lpwstr/>
      </vt:variant>
      <vt:variant>
        <vt:i4>6946940</vt:i4>
      </vt:variant>
      <vt:variant>
        <vt:i4>1185</vt:i4>
      </vt:variant>
      <vt:variant>
        <vt:i4>0</vt:i4>
      </vt:variant>
      <vt:variant>
        <vt:i4>5</vt:i4>
      </vt:variant>
      <vt:variant>
        <vt:lpwstr>https://www.aihw.gov.au/reports/workforce/health-workforce</vt:lpwstr>
      </vt:variant>
      <vt:variant>
        <vt:lpwstr/>
      </vt:variant>
      <vt:variant>
        <vt:i4>7536690</vt:i4>
      </vt:variant>
      <vt:variant>
        <vt:i4>1182</vt:i4>
      </vt:variant>
      <vt:variant>
        <vt:i4>0</vt:i4>
      </vt:variant>
      <vt:variant>
        <vt:i4>5</vt:i4>
      </vt:variant>
      <vt:variant>
        <vt:lpwstr>https://www.aihw.gov.au/reports-data/indicators/australias-health-performance-framework</vt:lpwstr>
      </vt:variant>
      <vt:variant>
        <vt:lpwstr/>
      </vt:variant>
      <vt:variant>
        <vt:i4>327767</vt:i4>
      </vt:variant>
      <vt:variant>
        <vt:i4>1179</vt:i4>
      </vt:variant>
      <vt:variant>
        <vt:i4>0</vt:i4>
      </vt:variant>
      <vt:variant>
        <vt:i4>5</vt:i4>
      </vt:variant>
      <vt:variant>
        <vt:lpwstr>https://www.aihw.gov.au/reports/corporate-publications/annual-report-2021-22/contents/summary</vt:lpwstr>
      </vt:variant>
      <vt:variant>
        <vt:lpwstr/>
      </vt:variant>
      <vt:variant>
        <vt:i4>65640</vt:i4>
      </vt:variant>
      <vt:variant>
        <vt:i4>1176</vt:i4>
      </vt:variant>
      <vt:variant>
        <vt:i4>0</vt:i4>
      </vt:variant>
      <vt:variant>
        <vt:i4>5</vt:i4>
      </vt:variant>
      <vt:variant>
        <vt:lpwstr>https://www.safetyandquality.gov.au/sites/default/files/2021-04/The Fourth Australian Atlas of Healthcare Variation 2021_Full publication.pdf</vt:lpwstr>
      </vt:variant>
      <vt:variant>
        <vt:lpwstr/>
      </vt:variant>
      <vt:variant>
        <vt:i4>5767255</vt:i4>
      </vt:variant>
      <vt:variant>
        <vt:i4>1173</vt:i4>
      </vt:variant>
      <vt:variant>
        <vt:i4>0</vt:i4>
      </vt:variant>
      <vt:variant>
        <vt:i4>5</vt:i4>
      </vt:variant>
      <vt:variant>
        <vt:lpwstr>https://www.safetyandquality.gov.au/publications-and-resources/resource-library/acsqhc-annual-report-2021-22</vt:lpwstr>
      </vt:variant>
      <vt:variant>
        <vt:lpwstr/>
      </vt:variant>
      <vt:variant>
        <vt:i4>5308493</vt:i4>
      </vt:variant>
      <vt:variant>
        <vt:i4>1170</vt:i4>
      </vt:variant>
      <vt:variant>
        <vt:i4>0</vt:i4>
      </vt:variant>
      <vt:variant>
        <vt:i4>5</vt:i4>
      </vt:variant>
      <vt:variant>
        <vt:lpwstr>https://www.abs.gov.au/statistics/economy/price-indexes-and-inflation/consumer-price-index-australia</vt:lpwstr>
      </vt:variant>
      <vt:variant>
        <vt:lpwstr/>
      </vt:variant>
      <vt:variant>
        <vt:i4>262169</vt:i4>
      </vt:variant>
      <vt:variant>
        <vt:i4>1167</vt:i4>
      </vt:variant>
      <vt:variant>
        <vt:i4>0</vt:i4>
      </vt:variant>
      <vt:variant>
        <vt:i4>5</vt:i4>
      </vt:variant>
      <vt:variant>
        <vt:lpwstr>https://www.publichospitalfunding.gov.au/public-hospital-funding-reports</vt:lpwstr>
      </vt:variant>
      <vt:variant>
        <vt:lpwstr/>
      </vt:variant>
      <vt:variant>
        <vt:i4>4915222</vt:i4>
      </vt:variant>
      <vt:variant>
        <vt:i4>1164</vt:i4>
      </vt:variant>
      <vt:variant>
        <vt:i4>0</vt:i4>
      </vt:variant>
      <vt:variant>
        <vt:i4>5</vt:i4>
      </vt:variant>
      <vt:variant>
        <vt:lpwstr>https://www.publichospitalfunding.gov.au/publications/national-health-funding-pool-annual-report-2021-22</vt:lpwstr>
      </vt:variant>
      <vt:variant>
        <vt:lpwstr/>
      </vt:variant>
      <vt:variant>
        <vt:i4>1704008</vt:i4>
      </vt:variant>
      <vt:variant>
        <vt:i4>795</vt:i4>
      </vt:variant>
      <vt:variant>
        <vt:i4>0</vt:i4>
      </vt:variant>
      <vt:variant>
        <vt:i4>5</vt:i4>
      </vt:variant>
      <vt:variant>
        <vt:lpwstr>http://www.publichospitalfunding.gov.au/</vt:lpwstr>
      </vt:variant>
      <vt:variant>
        <vt:lpwstr/>
      </vt:variant>
      <vt:variant>
        <vt:i4>1441849</vt:i4>
      </vt:variant>
      <vt:variant>
        <vt:i4>443</vt:i4>
      </vt:variant>
      <vt:variant>
        <vt:i4>0</vt:i4>
      </vt:variant>
      <vt:variant>
        <vt:i4>5</vt:i4>
      </vt:variant>
      <vt:variant>
        <vt:lpwstr/>
      </vt:variant>
      <vt:variant>
        <vt:lpwstr>_Toc148606058</vt:lpwstr>
      </vt:variant>
      <vt:variant>
        <vt:i4>1441849</vt:i4>
      </vt:variant>
      <vt:variant>
        <vt:i4>437</vt:i4>
      </vt:variant>
      <vt:variant>
        <vt:i4>0</vt:i4>
      </vt:variant>
      <vt:variant>
        <vt:i4>5</vt:i4>
      </vt:variant>
      <vt:variant>
        <vt:lpwstr/>
      </vt:variant>
      <vt:variant>
        <vt:lpwstr>_Toc148606057</vt:lpwstr>
      </vt:variant>
      <vt:variant>
        <vt:i4>1441849</vt:i4>
      </vt:variant>
      <vt:variant>
        <vt:i4>431</vt:i4>
      </vt:variant>
      <vt:variant>
        <vt:i4>0</vt:i4>
      </vt:variant>
      <vt:variant>
        <vt:i4>5</vt:i4>
      </vt:variant>
      <vt:variant>
        <vt:lpwstr/>
      </vt:variant>
      <vt:variant>
        <vt:lpwstr>_Toc148606056</vt:lpwstr>
      </vt:variant>
      <vt:variant>
        <vt:i4>1441849</vt:i4>
      </vt:variant>
      <vt:variant>
        <vt:i4>425</vt:i4>
      </vt:variant>
      <vt:variant>
        <vt:i4>0</vt:i4>
      </vt:variant>
      <vt:variant>
        <vt:i4>5</vt:i4>
      </vt:variant>
      <vt:variant>
        <vt:lpwstr/>
      </vt:variant>
      <vt:variant>
        <vt:lpwstr>_Toc148606055</vt:lpwstr>
      </vt:variant>
      <vt:variant>
        <vt:i4>1441849</vt:i4>
      </vt:variant>
      <vt:variant>
        <vt:i4>419</vt:i4>
      </vt:variant>
      <vt:variant>
        <vt:i4>0</vt:i4>
      </vt:variant>
      <vt:variant>
        <vt:i4>5</vt:i4>
      </vt:variant>
      <vt:variant>
        <vt:lpwstr/>
      </vt:variant>
      <vt:variant>
        <vt:lpwstr>_Toc148606054</vt:lpwstr>
      </vt:variant>
      <vt:variant>
        <vt:i4>1441849</vt:i4>
      </vt:variant>
      <vt:variant>
        <vt:i4>413</vt:i4>
      </vt:variant>
      <vt:variant>
        <vt:i4>0</vt:i4>
      </vt:variant>
      <vt:variant>
        <vt:i4>5</vt:i4>
      </vt:variant>
      <vt:variant>
        <vt:lpwstr/>
      </vt:variant>
      <vt:variant>
        <vt:lpwstr>_Toc148606053</vt:lpwstr>
      </vt:variant>
      <vt:variant>
        <vt:i4>1441849</vt:i4>
      </vt:variant>
      <vt:variant>
        <vt:i4>407</vt:i4>
      </vt:variant>
      <vt:variant>
        <vt:i4>0</vt:i4>
      </vt:variant>
      <vt:variant>
        <vt:i4>5</vt:i4>
      </vt:variant>
      <vt:variant>
        <vt:lpwstr/>
      </vt:variant>
      <vt:variant>
        <vt:lpwstr>_Toc148606052</vt:lpwstr>
      </vt:variant>
      <vt:variant>
        <vt:i4>1441849</vt:i4>
      </vt:variant>
      <vt:variant>
        <vt:i4>401</vt:i4>
      </vt:variant>
      <vt:variant>
        <vt:i4>0</vt:i4>
      </vt:variant>
      <vt:variant>
        <vt:i4>5</vt:i4>
      </vt:variant>
      <vt:variant>
        <vt:lpwstr/>
      </vt:variant>
      <vt:variant>
        <vt:lpwstr>_Toc148606051</vt:lpwstr>
      </vt:variant>
      <vt:variant>
        <vt:i4>1441849</vt:i4>
      </vt:variant>
      <vt:variant>
        <vt:i4>395</vt:i4>
      </vt:variant>
      <vt:variant>
        <vt:i4>0</vt:i4>
      </vt:variant>
      <vt:variant>
        <vt:i4>5</vt:i4>
      </vt:variant>
      <vt:variant>
        <vt:lpwstr/>
      </vt:variant>
      <vt:variant>
        <vt:lpwstr>_Toc148606050</vt:lpwstr>
      </vt:variant>
      <vt:variant>
        <vt:i4>1507385</vt:i4>
      </vt:variant>
      <vt:variant>
        <vt:i4>389</vt:i4>
      </vt:variant>
      <vt:variant>
        <vt:i4>0</vt:i4>
      </vt:variant>
      <vt:variant>
        <vt:i4>5</vt:i4>
      </vt:variant>
      <vt:variant>
        <vt:lpwstr/>
      </vt:variant>
      <vt:variant>
        <vt:lpwstr>_Toc148606049</vt:lpwstr>
      </vt:variant>
      <vt:variant>
        <vt:i4>1507385</vt:i4>
      </vt:variant>
      <vt:variant>
        <vt:i4>383</vt:i4>
      </vt:variant>
      <vt:variant>
        <vt:i4>0</vt:i4>
      </vt:variant>
      <vt:variant>
        <vt:i4>5</vt:i4>
      </vt:variant>
      <vt:variant>
        <vt:lpwstr/>
      </vt:variant>
      <vt:variant>
        <vt:lpwstr>_Toc148606048</vt:lpwstr>
      </vt:variant>
      <vt:variant>
        <vt:i4>1507385</vt:i4>
      </vt:variant>
      <vt:variant>
        <vt:i4>377</vt:i4>
      </vt:variant>
      <vt:variant>
        <vt:i4>0</vt:i4>
      </vt:variant>
      <vt:variant>
        <vt:i4>5</vt:i4>
      </vt:variant>
      <vt:variant>
        <vt:lpwstr/>
      </vt:variant>
      <vt:variant>
        <vt:lpwstr>_Toc148606047</vt:lpwstr>
      </vt:variant>
      <vt:variant>
        <vt:i4>1507385</vt:i4>
      </vt:variant>
      <vt:variant>
        <vt:i4>371</vt:i4>
      </vt:variant>
      <vt:variant>
        <vt:i4>0</vt:i4>
      </vt:variant>
      <vt:variant>
        <vt:i4>5</vt:i4>
      </vt:variant>
      <vt:variant>
        <vt:lpwstr/>
      </vt:variant>
      <vt:variant>
        <vt:lpwstr>_Toc148606046</vt:lpwstr>
      </vt:variant>
      <vt:variant>
        <vt:i4>1507385</vt:i4>
      </vt:variant>
      <vt:variant>
        <vt:i4>365</vt:i4>
      </vt:variant>
      <vt:variant>
        <vt:i4>0</vt:i4>
      </vt:variant>
      <vt:variant>
        <vt:i4>5</vt:i4>
      </vt:variant>
      <vt:variant>
        <vt:lpwstr/>
      </vt:variant>
      <vt:variant>
        <vt:lpwstr>_Toc148606045</vt:lpwstr>
      </vt:variant>
      <vt:variant>
        <vt:i4>1507385</vt:i4>
      </vt:variant>
      <vt:variant>
        <vt:i4>359</vt:i4>
      </vt:variant>
      <vt:variant>
        <vt:i4>0</vt:i4>
      </vt:variant>
      <vt:variant>
        <vt:i4>5</vt:i4>
      </vt:variant>
      <vt:variant>
        <vt:lpwstr/>
      </vt:variant>
      <vt:variant>
        <vt:lpwstr>_Toc148606044</vt:lpwstr>
      </vt:variant>
      <vt:variant>
        <vt:i4>1507385</vt:i4>
      </vt:variant>
      <vt:variant>
        <vt:i4>353</vt:i4>
      </vt:variant>
      <vt:variant>
        <vt:i4>0</vt:i4>
      </vt:variant>
      <vt:variant>
        <vt:i4>5</vt:i4>
      </vt:variant>
      <vt:variant>
        <vt:lpwstr/>
      </vt:variant>
      <vt:variant>
        <vt:lpwstr>_Toc148606043</vt:lpwstr>
      </vt:variant>
      <vt:variant>
        <vt:i4>1507385</vt:i4>
      </vt:variant>
      <vt:variant>
        <vt:i4>347</vt:i4>
      </vt:variant>
      <vt:variant>
        <vt:i4>0</vt:i4>
      </vt:variant>
      <vt:variant>
        <vt:i4>5</vt:i4>
      </vt:variant>
      <vt:variant>
        <vt:lpwstr/>
      </vt:variant>
      <vt:variant>
        <vt:lpwstr>_Toc148606042</vt:lpwstr>
      </vt:variant>
      <vt:variant>
        <vt:i4>1507385</vt:i4>
      </vt:variant>
      <vt:variant>
        <vt:i4>341</vt:i4>
      </vt:variant>
      <vt:variant>
        <vt:i4>0</vt:i4>
      </vt:variant>
      <vt:variant>
        <vt:i4>5</vt:i4>
      </vt:variant>
      <vt:variant>
        <vt:lpwstr/>
      </vt:variant>
      <vt:variant>
        <vt:lpwstr>_Toc148606041</vt:lpwstr>
      </vt:variant>
      <vt:variant>
        <vt:i4>1507385</vt:i4>
      </vt:variant>
      <vt:variant>
        <vt:i4>335</vt:i4>
      </vt:variant>
      <vt:variant>
        <vt:i4>0</vt:i4>
      </vt:variant>
      <vt:variant>
        <vt:i4>5</vt:i4>
      </vt:variant>
      <vt:variant>
        <vt:lpwstr/>
      </vt:variant>
      <vt:variant>
        <vt:lpwstr>_Toc148606040</vt:lpwstr>
      </vt:variant>
      <vt:variant>
        <vt:i4>1048633</vt:i4>
      </vt:variant>
      <vt:variant>
        <vt:i4>329</vt:i4>
      </vt:variant>
      <vt:variant>
        <vt:i4>0</vt:i4>
      </vt:variant>
      <vt:variant>
        <vt:i4>5</vt:i4>
      </vt:variant>
      <vt:variant>
        <vt:lpwstr/>
      </vt:variant>
      <vt:variant>
        <vt:lpwstr>_Toc148606039</vt:lpwstr>
      </vt:variant>
      <vt:variant>
        <vt:i4>1048633</vt:i4>
      </vt:variant>
      <vt:variant>
        <vt:i4>323</vt:i4>
      </vt:variant>
      <vt:variant>
        <vt:i4>0</vt:i4>
      </vt:variant>
      <vt:variant>
        <vt:i4>5</vt:i4>
      </vt:variant>
      <vt:variant>
        <vt:lpwstr/>
      </vt:variant>
      <vt:variant>
        <vt:lpwstr>_Toc148606038</vt:lpwstr>
      </vt:variant>
      <vt:variant>
        <vt:i4>1048633</vt:i4>
      </vt:variant>
      <vt:variant>
        <vt:i4>317</vt:i4>
      </vt:variant>
      <vt:variant>
        <vt:i4>0</vt:i4>
      </vt:variant>
      <vt:variant>
        <vt:i4>5</vt:i4>
      </vt:variant>
      <vt:variant>
        <vt:lpwstr/>
      </vt:variant>
      <vt:variant>
        <vt:lpwstr>_Toc148606037</vt:lpwstr>
      </vt:variant>
      <vt:variant>
        <vt:i4>1048633</vt:i4>
      </vt:variant>
      <vt:variant>
        <vt:i4>311</vt:i4>
      </vt:variant>
      <vt:variant>
        <vt:i4>0</vt:i4>
      </vt:variant>
      <vt:variant>
        <vt:i4>5</vt:i4>
      </vt:variant>
      <vt:variant>
        <vt:lpwstr/>
      </vt:variant>
      <vt:variant>
        <vt:lpwstr>_Toc148606036</vt:lpwstr>
      </vt:variant>
      <vt:variant>
        <vt:i4>1048633</vt:i4>
      </vt:variant>
      <vt:variant>
        <vt:i4>305</vt:i4>
      </vt:variant>
      <vt:variant>
        <vt:i4>0</vt:i4>
      </vt:variant>
      <vt:variant>
        <vt:i4>5</vt:i4>
      </vt:variant>
      <vt:variant>
        <vt:lpwstr/>
      </vt:variant>
      <vt:variant>
        <vt:lpwstr>_Toc148606035</vt:lpwstr>
      </vt:variant>
      <vt:variant>
        <vt:i4>1048633</vt:i4>
      </vt:variant>
      <vt:variant>
        <vt:i4>299</vt:i4>
      </vt:variant>
      <vt:variant>
        <vt:i4>0</vt:i4>
      </vt:variant>
      <vt:variant>
        <vt:i4>5</vt:i4>
      </vt:variant>
      <vt:variant>
        <vt:lpwstr/>
      </vt:variant>
      <vt:variant>
        <vt:lpwstr>_Toc148606034</vt:lpwstr>
      </vt:variant>
      <vt:variant>
        <vt:i4>1048633</vt:i4>
      </vt:variant>
      <vt:variant>
        <vt:i4>293</vt:i4>
      </vt:variant>
      <vt:variant>
        <vt:i4>0</vt:i4>
      </vt:variant>
      <vt:variant>
        <vt:i4>5</vt:i4>
      </vt:variant>
      <vt:variant>
        <vt:lpwstr/>
      </vt:variant>
      <vt:variant>
        <vt:lpwstr>_Toc148606033</vt:lpwstr>
      </vt:variant>
      <vt:variant>
        <vt:i4>1048633</vt:i4>
      </vt:variant>
      <vt:variant>
        <vt:i4>287</vt:i4>
      </vt:variant>
      <vt:variant>
        <vt:i4>0</vt:i4>
      </vt:variant>
      <vt:variant>
        <vt:i4>5</vt:i4>
      </vt:variant>
      <vt:variant>
        <vt:lpwstr/>
      </vt:variant>
      <vt:variant>
        <vt:lpwstr>_Toc148606032</vt:lpwstr>
      </vt:variant>
      <vt:variant>
        <vt:i4>1048633</vt:i4>
      </vt:variant>
      <vt:variant>
        <vt:i4>281</vt:i4>
      </vt:variant>
      <vt:variant>
        <vt:i4>0</vt:i4>
      </vt:variant>
      <vt:variant>
        <vt:i4>5</vt:i4>
      </vt:variant>
      <vt:variant>
        <vt:lpwstr/>
      </vt:variant>
      <vt:variant>
        <vt:lpwstr>_Toc148606031</vt:lpwstr>
      </vt:variant>
      <vt:variant>
        <vt:i4>1048633</vt:i4>
      </vt:variant>
      <vt:variant>
        <vt:i4>275</vt:i4>
      </vt:variant>
      <vt:variant>
        <vt:i4>0</vt:i4>
      </vt:variant>
      <vt:variant>
        <vt:i4>5</vt:i4>
      </vt:variant>
      <vt:variant>
        <vt:lpwstr/>
      </vt:variant>
      <vt:variant>
        <vt:lpwstr>_Toc148606030</vt:lpwstr>
      </vt:variant>
      <vt:variant>
        <vt:i4>1114169</vt:i4>
      </vt:variant>
      <vt:variant>
        <vt:i4>269</vt:i4>
      </vt:variant>
      <vt:variant>
        <vt:i4>0</vt:i4>
      </vt:variant>
      <vt:variant>
        <vt:i4>5</vt:i4>
      </vt:variant>
      <vt:variant>
        <vt:lpwstr/>
      </vt:variant>
      <vt:variant>
        <vt:lpwstr>_Toc148606029</vt:lpwstr>
      </vt:variant>
      <vt:variant>
        <vt:i4>1114169</vt:i4>
      </vt:variant>
      <vt:variant>
        <vt:i4>263</vt:i4>
      </vt:variant>
      <vt:variant>
        <vt:i4>0</vt:i4>
      </vt:variant>
      <vt:variant>
        <vt:i4>5</vt:i4>
      </vt:variant>
      <vt:variant>
        <vt:lpwstr/>
      </vt:variant>
      <vt:variant>
        <vt:lpwstr>_Toc148606028</vt:lpwstr>
      </vt:variant>
      <vt:variant>
        <vt:i4>1114169</vt:i4>
      </vt:variant>
      <vt:variant>
        <vt:i4>257</vt:i4>
      </vt:variant>
      <vt:variant>
        <vt:i4>0</vt:i4>
      </vt:variant>
      <vt:variant>
        <vt:i4>5</vt:i4>
      </vt:variant>
      <vt:variant>
        <vt:lpwstr/>
      </vt:variant>
      <vt:variant>
        <vt:lpwstr>_Toc148606027</vt:lpwstr>
      </vt:variant>
      <vt:variant>
        <vt:i4>1114169</vt:i4>
      </vt:variant>
      <vt:variant>
        <vt:i4>251</vt:i4>
      </vt:variant>
      <vt:variant>
        <vt:i4>0</vt:i4>
      </vt:variant>
      <vt:variant>
        <vt:i4>5</vt:i4>
      </vt:variant>
      <vt:variant>
        <vt:lpwstr/>
      </vt:variant>
      <vt:variant>
        <vt:lpwstr>_Toc148606026</vt:lpwstr>
      </vt:variant>
      <vt:variant>
        <vt:i4>1114169</vt:i4>
      </vt:variant>
      <vt:variant>
        <vt:i4>245</vt:i4>
      </vt:variant>
      <vt:variant>
        <vt:i4>0</vt:i4>
      </vt:variant>
      <vt:variant>
        <vt:i4>5</vt:i4>
      </vt:variant>
      <vt:variant>
        <vt:lpwstr/>
      </vt:variant>
      <vt:variant>
        <vt:lpwstr>_Toc148606025</vt:lpwstr>
      </vt:variant>
      <vt:variant>
        <vt:i4>1114169</vt:i4>
      </vt:variant>
      <vt:variant>
        <vt:i4>239</vt:i4>
      </vt:variant>
      <vt:variant>
        <vt:i4>0</vt:i4>
      </vt:variant>
      <vt:variant>
        <vt:i4>5</vt:i4>
      </vt:variant>
      <vt:variant>
        <vt:lpwstr/>
      </vt:variant>
      <vt:variant>
        <vt:lpwstr>_Toc148606024</vt:lpwstr>
      </vt:variant>
      <vt:variant>
        <vt:i4>1114169</vt:i4>
      </vt:variant>
      <vt:variant>
        <vt:i4>233</vt:i4>
      </vt:variant>
      <vt:variant>
        <vt:i4>0</vt:i4>
      </vt:variant>
      <vt:variant>
        <vt:i4>5</vt:i4>
      </vt:variant>
      <vt:variant>
        <vt:lpwstr/>
      </vt:variant>
      <vt:variant>
        <vt:lpwstr>_Toc148606023</vt:lpwstr>
      </vt:variant>
      <vt:variant>
        <vt:i4>1114169</vt:i4>
      </vt:variant>
      <vt:variant>
        <vt:i4>227</vt:i4>
      </vt:variant>
      <vt:variant>
        <vt:i4>0</vt:i4>
      </vt:variant>
      <vt:variant>
        <vt:i4>5</vt:i4>
      </vt:variant>
      <vt:variant>
        <vt:lpwstr/>
      </vt:variant>
      <vt:variant>
        <vt:lpwstr>_Toc148606022</vt:lpwstr>
      </vt:variant>
      <vt:variant>
        <vt:i4>1114169</vt:i4>
      </vt:variant>
      <vt:variant>
        <vt:i4>221</vt:i4>
      </vt:variant>
      <vt:variant>
        <vt:i4>0</vt:i4>
      </vt:variant>
      <vt:variant>
        <vt:i4>5</vt:i4>
      </vt:variant>
      <vt:variant>
        <vt:lpwstr/>
      </vt:variant>
      <vt:variant>
        <vt:lpwstr>_Toc148606021</vt:lpwstr>
      </vt:variant>
      <vt:variant>
        <vt:i4>1114169</vt:i4>
      </vt:variant>
      <vt:variant>
        <vt:i4>215</vt:i4>
      </vt:variant>
      <vt:variant>
        <vt:i4>0</vt:i4>
      </vt:variant>
      <vt:variant>
        <vt:i4>5</vt:i4>
      </vt:variant>
      <vt:variant>
        <vt:lpwstr/>
      </vt:variant>
      <vt:variant>
        <vt:lpwstr>_Toc148606020</vt:lpwstr>
      </vt:variant>
      <vt:variant>
        <vt:i4>1179705</vt:i4>
      </vt:variant>
      <vt:variant>
        <vt:i4>209</vt:i4>
      </vt:variant>
      <vt:variant>
        <vt:i4>0</vt:i4>
      </vt:variant>
      <vt:variant>
        <vt:i4>5</vt:i4>
      </vt:variant>
      <vt:variant>
        <vt:lpwstr/>
      </vt:variant>
      <vt:variant>
        <vt:lpwstr>_Toc148606019</vt:lpwstr>
      </vt:variant>
      <vt:variant>
        <vt:i4>1179705</vt:i4>
      </vt:variant>
      <vt:variant>
        <vt:i4>203</vt:i4>
      </vt:variant>
      <vt:variant>
        <vt:i4>0</vt:i4>
      </vt:variant>
      <vt:variant>
        <vt:i4>5</vt:i4>
      </vt:variant>
      <vt:variant>
        <vt:lpwstr/>
      </vt:variant>
      <vt:variant>
        <vt:lpwstr>_Toc148606018</vt:lpwstr>
      </vt:variant>
      <vt:variant>
        <vt:i4>1179705</vt:i4>
      </vt:variant>
      <vt:variant>
        <vt:i4>197</vt:i4>
      </vt:variant>
      <vt:variant>
        <vt:i4>0</vt:i4>
      </vt:variant>
      <vt:variant>
        <vt:i4>5</vt:i4>
      </vt:variant>
      <vt:variant>
        <vt:lpwstr/>
      </vt:variant>
      <vt:variant>
        <vt:lpwstr>_Toc148606017</vt:lpwstr>
      </vt:variant>
      <vt:variant>
        <vt:i4>1310777</vt:i4>
      </vt:variant>
      <vt:variant>
        <vt:i4>188</vt:i4>
      </vt:variant>
      <vt:variant>
        <vt:i4>0</vt:i4>
      </vt:variant>
      <vt:variant>
        <vt:i4>5</vt:i4>
      </vt:variant>
      <vt:variant>
        <vt:lpwstr/>
      </vt:variant>
      <vt:variant>
        <vt:lpwstr>_Toc148606072</vt:lpwstr>
      </vt:variant>
      <vt:variant>
        <vt:i4>1310777</vt:i4>
      </vt:variant>
      <vt:variant>
        <vt:i4>182</vt:i4>
      </vt:variant>
      <vt:variant>
        <vt:i4>0</vt:i4>
      </vt:variant>
      <vt:variant>
        <vt:i4>5</vt:i4>
      </vt:variant>
      <vt:variant>
        <vt:lpwstr/>
      </vt:variant>
      <vt:variant>
        <vt:lpwstr>_Toc148606071</vt:lpwstr>
      </vt:variant>
      <vt:variant>
        <vt:i4>1310777</vt:i4>
      </vt:variant>
      <vt:variant>
        <vt:i4>176</vt:i4>
      </vt:variant>
      <vt:variant>
        <vt:i4>0</vt:i4>
      </vt:variant>
      <vt:variant>
        <vt:i4>5</vt:i4>
      </vt:variant>
      <vt:variant>
        <vt:lpwstr/>
      </vt:variant>
      <vt:variant>
        <vt:lpwstr>_Toc148606070</vt:lpwstr>
      </vt:variant>
      <vt:variant>
        <vt:i4>1376313</vt:i4>
      </vt:variant>
      <vt:variant>
        <vt:i4>170</vt:i4>
      </vt:variant>
      <vt:variant>
        <vt:i4>0</vt:i4>
      </vt:variant>
      <vt:variant>
        <vt:i4>5</vt:i4>
      </vt:variant>
      <vt:variant>
        <vt:lpwstr/>
      </vt:variant>
      <vt:variant>
        <vt:lpwstr>_Toc148606069</vt:lpwstr>
      </vt:variant>
      <vt:variant>
        <vt:i4>1376313</vt:i4>
      </vt:variant>
      <vt:variant>
        <vt:i4>164</vt:i4>
      </vt:variant>
      <vt:variant>
        <vt:i4>0</vt:i4>
      </vt:variant>
      <vt:variant>
        <vt:i4>5</vt:i4>
      </vt:variant>
      <vt:variant>
        <vt:lpwstr/>
      </vt:variant>
      <vt:variant>
        <vt:lpwstr>_Toc148606068</vt:lpwstr>
      </vt:variant>
      <vt:variant>
        <vt:i4>1376313</vt:i4>
      </vt:variant>
      <vt:variant>
        <vt:i4>158</vt:i4>
      </vt:variant>
      <vt:variant>
        <vt:i4>0</vt:i4>
      </vt:variant>
      <vt:variant>
        <vt:i4>5</vt:i4>
      </vt:variant>
      <vt:variant>
        <vt:lpwstr/>
      </vt:variant>
      <vt:variant>
        <vt:lpwstr>_Toc148606067</vt:lpwstr>
      </vt:variant>
      <vt:variant>
        <vt:i4>1376313</vt:i4>
      </vt:variant>
      <vt:variant>
        <vt:i4>152</vt:i4>
      </vt:variant>
      <vt:variant>
        <vt:i4>0</vt:i4>
      </vt:variant>
      <vt:variant>
        <vt:i4>5</vt:i4>
      </vt:variant>
      <vt:variant>
        <vt:lpwstr/>
      </vt:variant>
      <vt:variant>
        <vt:lpwstr>_Toc148606066</vt:lpwstr>
      </vt:variant>
      <vt:variant>
        <vt:i4>1376313</vt:i4>
      </vt:variant>
      <vt:variant>
        <vt:i4>146</vt:i4>
      </vt:variant>
      <vt:variant>
        <vt:i4>0</vt:i4>
      </vt:variant>
      <vt:variant>
        <vt:i4>5</vt:i4>
      </vt:variant>
      <vt:variant>
        <vt:lpwstr/>
      </vt:variant>
      <vt:variant>
        <vt:lpwstr>_Toc148606065</vt:lpwstr>
      </vt:variant>
      <vt:variant>
        <vt:i4>1376313</vt:i4>
      </vt:variant>
      <vt:variant>
        <vt:i4>140</vt:i4>
      </vt:variant>
      <vt:variant>
        <vt:i4>0</vt:i4>
      </vt:variant>
      <vt:variant>
        <vt:i4>5</vt:i4>
      </vt:variant>
      <vt:variant>
        <vt:lpwstr/>
      </vt:variant>
      <vt:variant>
        <vt:lpwstr>_Toc148606064</vt:lpwstr>
      </vt:variant>
      <vt:variant>
        <vt:i4>1376313</vt:i4>
      </vt:variant>
      <vt:variant>
        <vt:i4>134</vt:i4>
      </vt:variant>
      <vt:variant>
        <vt:i4>0</vt:i4>
      </vt:variant>
      <vt:variant>
        <vt:i4>5</vt:i4>
      </vt:variant>
      <vt:variant>
        <vt:lpwstr/>
      </vt:variant>
      <vt:variant>
        <vt:lpwstr>_Toc148606063</vt:lpwstr>
      </vt:variant>
      <vt:variant>
        <vt:i4>1376313</vt:i4>
      </vt:variant>
      <vt:variant>
        <vt:i4>128</vt:i4>
      </vt:variant>
      <vt:variant>
        <vt:i4>0</vt:i4>
      </vt:variant>
      <vt:variant>
        <vt:i4>5</vt:i4>
      </vt:variant>
      <vt:variant>
        <vt:lpwstr/>
      </vt:variant>
      <vt:variant>
        <vt:lpwstr>_Toc148606062</vt:lpwstr>
      </vt:variant>
      <vt:variant>
        <vt:i4>1376313</vt:i4>
      </vt:variant>
      <vt:variant>
        <vt:i4>122</vt:i4>
      </vt:variant>
      <vt:variant>
        <vt:i4>0</vt:i4>
      </vt:variant>
      <vt:variant>
        <vt:i4>5</vt:i4>
      </vt:variant>
      <vt:variant>
        <vt:lpwstr/>
      </vt:variant>
      <vt:variant>
        <vt:lpwstr>_Toc148606061</vt:lpwstr>
      </vt:variant>
      <vt:variant>
        <vt:i4>1376313</vt:i4>
      </vt:variant>
      <vt:variant>
        <vt:i4>116</vt:i4>
      </vt:variant>
      <vt:variant>
        <vt:i4>0</vt:i4>
      </vt:variant>
      <vt:variant>
        <vt:i4>5</vt:i4>
      </vt:variant>
      <vt:variant>
        <vt:lpwstr/>
      </vt:variant>
      <vt:variant>
        <vt:lpwstr>_Toc148606060</vt:lpwstr>
      </vt:variant>
      <vt:variant>
        <vt:i4>1441849</vt:i4>
      </vt:variant>
      <vt:variant>
        <vt:i4>110</vt:i4>
      </vt:variant>
      <vt:variant>
        <vt:i4>0</vt:i4>
      </vt:variant>
      <vt:variant>
        <vt:i4>5</vt:i4>
      </vt:variant>
      <vt:variant>
        <vt:lpwstr/>
      </vt:variant>
      <vt:variant>
        <vt:lpwstr>_Toc148606059</vt:lpwstr>
      </vt:variant>
      <vt:variant>
        <vt:i4>1769529</vt:i4>
      </vt:variant>
      <vt:variant>
        <vt:i4>101</vt:i4>
      </vt:variant>
      <vt:variant>
        <vt:i4>0</vt:i4>
      </vt:variant>
      <vt:variant>
        <vt:i4>5</vt:i4>
      </vt:variant>
      <vt:variant>
        <vt:lpwstr/>
      </vt:variant>
      <vt:variant>
        <vt:lpwstr>_Toc148606089</vt:lpwstr>
      </vt:variant>
      <vt:variant>
        <vt:i4>1769529</vt:i4>
      </vt:variant>
      <vt:variant>
        <vt:i4>95</vt:i4>
      </vt:variant>
      <vt:variant>
        <vt:i4>0</vt:i4>
      </vt:variant>
      <vt:variant>
        <vt:i4>5</vt:i4>
      </vt:variant>
      <vt:variant>
        <vt:lpwstr/>
      </vt:variant>
      <vt:variant>
        <vt:lpwstr>_Toc148606088</vt:lpwstr>
      </vt:variant>
      <vt:variant>
        <vt:i4>1769529</vt:i4>
      </vt:variant>
      <vt:variant>
        <vt:i4>89</vt:i4>
      </vt:variant>
      <vt:variant>
        <vt:i4>0</vt:i4>
      </vt:variant>
      <vt:variant>
        <vt:i4>5</vt:i4>
      </vt:variant>
      <vt:variant>
        <vt:lpwstr/>
      </vt:variant>
      <vt:variant>
        <vt:lpwstr>_Toc148606087</vt:lpwstr>
      </vt:variant>
      <vt:variant>
        <vt:i4>1769529</vt:i4>
      </vt:variant>
      <vt:variant>
        <vt:i4>83</vt:i4>
      </vt:variant>
      <vt:variant>
        <vt:i4>0</vt:i4>
      </vt:variant>
      <vt:variant>
        <vt:i4>5</vt:i4>
      </vt:variant>
      <vt:variant>
        <vt:lpwstr/>
      </vt:variant>
      <vt:variant>
        <vt:lpwstr>_Toc148606086</vt:lpwstr>
      </vt:variant>
      <vt:variant>
        <vt:i4>1769529</vt:i4>
      </vt:variant>
      <vt:variant>
        <vt:i4>77</vt:i4>
      </vt:variant>
      <vt:variant>
        <vt:i4>0</vt:i4>
      </vt:variant>
      <vt:variant>
        <vt:i4>5</vt:i4>
      </vt:variant>
      <vt:variant>
        <vt:lpwstr/>
      </vt:variant>
      <vt:variant>
        <vt:lpwstr>_Toc148606085</vt:lpwstr>
      </vt:variant>
      <vt:variant>
        <vt:i4>1769529</vt:i4>
      </vt:variant>
      <vt:variant>
        <vt:i4>71</vt:i4>
      </vt:variant>
      <vt:variant>
        <vt:i4>0</vt:i4>
      </vt:variant>
      <vt:variant>
        <vt:i4>5</vt:i4>
      </vt:variant>
      <vt:variant>
        <vt:lpwstr/>
      </vt:variant>
      <vt:variant>
        <vt:lpwstr>_Toc148606084</vt:lpwstr>
      </vt:variant>
      <vt:variant>
        <vt:i4>1769529</vt:i4>
      </vt:variant>
      <vt:variant>
        <vt:i4>65</vt:i4>
      </vt:variant>
      <vt:variant>
        <vt:i4>0</vt:i4>
      </vt:variant>
      <vt:variant>
        <vt:i4>5</vt:i4>
      </vt:variant>
      <vt:variant>
        <vt:lpwstr/>
      </vt:variant>
      <vt:variant>
        <vt:lpwstr>_Toc148606083</vt:lpwstr>
      </vt:variant>
      <vt:variant>
        <vt:i4>1769529</vt:i4>
      </vt:variant>
      <vt:variant>
        <vt:i4>59</vt:i4>
      </vt:variant>
      <vt:variant>
        <vt:i4>0</vt:i4>
      </vt:variant>
      <vt:variant>
        <vt:i4>5</vt:i4>
      </vt:variant>
      <vt:variant>
        <vt:lpwstr/>
      </vt:variant>
      <vt:variant>
        <vt:lpwstr>_Toc148606082</vt:lpwstr>
      </vt:variant>
      <vt:variant>
        <vt:i4>1769529</vt:i4>
      </vt:variant>
      <vt:variant>
        <vt:i4>53</vt:i4>
      </vt:variant>
      <vt:variant>
        <vt:i4>0</vt:i4>
      </vt:variant>
      <vt:variant>
        <vt:i4>5</vt:i4>
      </vt:variant>
      <vt:variant>
        <vt:lpwstr/>
      </vt:variant>
      <vt:variant>
        <vt:lpwstr>_Toc148606081</vt:lpwstr>
      </vt:variant>
      <vt:variant>
        <vt:i4>1769529</vt:i4>
      </vt:variant>
      <vt:variant>
        <vt:i4>47</vt:i4>
      </vt:variant>
      <vt:variant>
        <vt:i4>0</vt:i4>
      </vt:variant>
      <vt:variant>
        <vt:i4>5</vt:i4>
      </vt:variant>
      <vt:variant>
        <vt:lpwstr/>
      </vt:variant>
      <vt:variant>
        <vt:lpwstr>_Toc148606080</vt:lpwstr>
      </vt:variant>
      <vt:variant>
        <vt:i4>1310777</vt:i4>
      </vt:variant>
      <vt:variant>
        <vt:i4>41</vt:i4>
      </vt:variant>
      <vt:variant>
        <vt:i4>0</vt:i4>
      </vt:variant>
      <vt:variant>
        <vt:i4>5</vt:i4>
      </vt:variant>
      <vt:variant>
        <vt:lpwstr/>
      </vt:variant>
      <vt:variant>
        <vt:lpwstr>_Toc148606079</vt:lpwstr>
      </vt:variant>
      <vt:variant>
        <vt:i4>1310777</vt:i4>
      </vt:variant>
      <vt:variant>
        <vt:i4>35</vt:i4>
      </vt:variant>
      <vt:variant>
        <vt:i4>0</vt:i4>
      </vt:variant>
      <vt:variant>
        <vt:i4>5</vt:i4>
      </vt:variant>
      <vt:variant>
        <vt:lpwstr/>
      </vt:variant>
      <vt:variant>
        <vt:lpwstr>_Toc148606078</vt:lpwstr>
      </vt:variant>
      <vt:variant>
        <vt:i4>1310777</vt:i4>
      </vt:variant>
      <vt:variant>
        <vt:i4>29</vt:i4>
      </vt:variant>
      <vt:variant>
        <vt:i4>0</vt:i4>
      </vt:variant>
      <vt:variant>
        <vt:i4>5</vt:i4>
      </vt:variant>
      <vt:variant>
        <vt:lpwstr/>
      </vt:variant>
      <vt:variant>
        <vt:lpwstr>_Toc148606077</vt:lpwstr>
      </vt:variant>
      <vt:variant>
        <vt:i4>1310777</vt:i4>
      </vt:variant>
      <vt:variant>
        <vt:i4>23</vt:i4>
      </vt:variant>
      <vt:variant>
        <vt:i4>0</vt:i4>
      </vt:variant>
      <vt:variant>
        <vt:i4>5</vt:i4>
      </vt:variant>
      <vt:variant>
        <vt:lpwstr/>
      </vt:variant>
      <vt:variant>
        <vt:lpwstr>_Toc148606076</vt:lpwstr>
      </vt:variant>
      <vt:variant>
        <vt:i4>1310777</vt:i4>
      </vt:variant>
      <vt:variant>
        <vt:i4>17</vt:i4>
      </vt:variant>
      <vt:variant>
        <vt:i4>0</vt:i4>
      </vt:variant>
      <vt:variant>
        <vt:i4>5</vt:i4>
      </vt:variant>
      <vt:variant>
        <vt:lpwstr/>
      </vt:variant>
      <vt:variant>
        <vt:lpwstr>_Toc148606075</vt:lpwstr>
      </vt:variant>
      <vt:variant>
        <vt:i4>1310777</vt:i4>
      </vt:variant>
      <vt:variant>
        <vt:i4>11</vt:i4>
      </vt:variant>
      <vt:variant>
        <vt:i4>0</vt:i4>
      </vt:variant>
      <vt:variant>
        <vt:i4>5</vt:i4>
      </vt:variant>
      <vt:variant>
        <vt:lpwstr/>
      </vt:variant>
      <vt:variant>
        <vt:lpwstr>_Toc148606074</vt:lpwstr>
      </vt:variant>
      <vt:variant>
        <vt:i4>1310777</vt:i4>
      </vt:variant>
      <vt:variant>
        <vt:i4>5</vt:i4>
      </vt:variant>
      <vt:variant>
        <vt:i4>0</vt:i4>
      </vt:variant>
      <vt:variant>
        <vt:i4>5</vt:i4>
      </vt:variant>
      <vt:variant>
        <vt:lpwstr/>
      </vt:variant>
      <vt:variant>
        <vt:lpwstr>_Toc148606073</vt:lpwstr>
      </vt:variant>
      <vt:variant>
        <vt:i4>3670041</vt:i4>
      </vt:variant>
      <vt:variant>
        <vt:i4>0</vt:i4>
      </vt:variant>
      <vt:variant>
        <vt:i4>0</vt:i4>
      </vt:variant>
      <vt:variant>
        <vt:i4>5</vt:i4>
      </vt:variant>
      <vt:variant>
        <vt:lpwstr>mailto:NationalHealthSecretariat@health.nsw.gov.au</vt:lpwstr>
      </vt:variant>
      <vt:variant>
        <vt:lpwstr/>
      </vt:variant>
      <vt:variant>
        <vt:i4>2424873</vt:i4>
      </vt:variant>
      <vt:variant>
        <vt:i4>414</vt:i4>
      </vt:variant>
      <vt:variant>
        <vt:i4>0</vt:i4>
      </vt:variant>
      <vt:variant>
        <vt:i4>5</vt:i4>
      </vt:variant>
      <vt:variant>
        <vt:lpwstr>https://catalyst.nejm.org/doi/full/10.1056/CAT.20.0530</vt:lpwstr>
      </vt:variant>
      <vt:variant>
        <vt:lpwstr/>
      </vt:variant>
      <vt:variant>
        <vt:i4>2424873</vt:i4>
      </vt:variant>
      <vt:variant>
        <vt:i4>411</vt:i4>
      </vt:variant>
      <vt:variant>
        <vt:i4>0</vt:i4>
      </vt:variant>
      <vt:variant>
        <vt:i4>5</vt:i4>
      </vt:variant>
      <vt:variant>
        <vt:lpwstr>https://catalyst.nejm.org/doi/full/10.1056/CAT.20.0530</vt:lpwstr>
      </vt:variant>
      <vt:variant>
        <vt:lpwstr/>
      </vt:variant>
      <vt:variant>
        <vt:i4>2424873</vt:i4>
      </vt:variant>
      <vt:variant>
        <vt:i4>408</vt:i4>
      </vt:variant>
      <vt:variant>
        <vt:i4>0</vt:i4>
      </vt:variant>
      <vt:variant>
        <vt:i4>5</vt:i4>
      </vt:variant>
      <vt:variant>
        <vt:lpwstr>https://catalyst.nejm.org/doi/full/10.1056/CAT.20.0530</vt:lpwstr>
      </vt:variant>
      <vt:variant>
        <vt:lpwstr/>
      </vt:variant>
      <vt:variant>
        <vt:i4>7209005</vt:i4>
      </vt:variant>
      <vt:variant>
        <vt:i4>405</vt:i4>
      </vt:variant>
      <vt:variant>
        <vt:i4>0</vt:i4>
      </vt:variant>
      <vt:variant>
        <vt:i4>5</vt:i4>
      </vt:variant>
      <vt:variant>
        <vt:lpwstr>https://myhospitalsapi.aihw.gov.au/api/v1/measure-downloads/myh-es</vt:lpwstr>
      </vt:variant>
      <vt:variant>
        <vt:lpwstr/>
      </vt:variant>
      <vt:variant>
        <vt:i4>720973</vt:i4>
      </vt:variant>
      <vt:variant>
        <vt:i4>402</vt:i4>
      </vt:variant>
      <vt:variant>
        <vt:i4>0</vt:i4>
      </vt:variant>
      <vt:variant>
        <vt:i4>5</vt:i4>
      </vt:variant>
      <vt:variant>
        <vt:lpwstr>https://www.pm.gov.au/media/improving-future-preparedness-inquiry-response-covid-19-pandemic</vt:lpwstr>
      </vt:variant>
      <vt:variant>
        <vt:lpwstr/>
      </vt:variant>
      <vt:variant>
        <vt:i4>1441818</vt:i4>
      </vt:variant>
      <vt:variant>
        <vt:i4>399</vt:i4>
      </vt:variant>
      <vt:variant>
        <vt:i4>0</vt:i4>
      </vt:variant>
      <vt:variant>
        <vt:i4>5</vt:i4>
      </vt:variant>
      <vt:variant>
        <vt:lpwstr>https://www.aihw.gov.au/reports-data/myhospitals/intersection/activity/ed</vt:lpwstr>
      </vt:variant>
      <vt:variant>
        <vt:lpwstr/>
      </vt:variant>
      <vt:variant>
        <vt:i4>1441818</vt:i4>
      </vt:variant>
      <vt:variant>
        <vt:i4>396</vt:i4>
      </vt:variant>
      <vt:variant>
        <vt:i4>0</vt:i4>
      </vt:variant>
      <vt:variant>
        <vt:i4>5</vt:i4>
      </vt:variant>
      <vt:variant>
        <vt:lpwstr>https://www.aihw.gov.au/reports-data/myhospitals/intersection/activity/ed</vt:lpwstr>
      </vt:variant>
      <vt:variant>
        <vt:lpwstr/>
      </vt:variant>
      <vt:variant>
        <vt:i4>6357097</vt:i4>
      </vt:variant>
      <vt:variant>
        <vt:i4>393</vt:i4>
      </vt:variant>
      <vt:variant>
        <vt:i4>0</vt:i4>
      </vt:variant>
      <vt:variant>
        <vt:i4>5</vt:i4>
      </vt:variant>
      <vt:variant>
        <vt:lpwstr>https://www.aihw.gov.au/reports-data/myhospitals/intersection/activity/eswt</vt:lpwstr>
      </vt:variant>
      <vt:variant>
        <vt:lpwstr/>
      </vt:variant>
      <vt:variant>
        <vt:i4>1441818</vt:i4>
      </vt:variant>
      <vt:variant>
        <vt:i4>390</vt:i4>
      </vt:variant>
      <vt:variant>
        <vt:i4>0</vt:i4>
      </vt:variant>
      <vt:variant>
        <vt:i4>5</vt:i4>
      </vt:variant>
      <vt:variant>
        <vt:lpwstr>https://www.aihw.gov.au/reports-data/myhospitals/intersection/activity/ed</vt:lpwstr>
      </vt:variant>
      <vt:variant>
        <vt:lpwstr/>
      </vt:variant>
      <vt:variant>
        <vt:i4>458841</vt:i4>
      </vt:variant>
      <vt:variant>
        <vt:i4>387</vt:i4>
      </vt:variant>
      <vt:variant>
        <vt:i4>0</vt:i4>
      </vt:variant>
      <vt:variant>
        <vt:i4>5</vt:i4>
      </vt:variant>
      <vt:variant>
        <vt:lpwstr>https://federalfinancialrelations.gov.au/sites/federalfinancialrelations.gov.au/files/2021-08/national-agreement.pdf</vt:lpwstr>
      </vt:variant>
      <vt:variant>
        <vt:lpwstr/>
      </vt:variant>
      <vt:variant>
        <vt:i4>4128822</vt:i4>
      </vt:variant>
      <vt:variant>
        <vt:i4>384</vt:i4>
      </vt:variant>
      <vt:variant>
        <vt:i4>0</vt:i4>
      </vt:variant>
      <vt:variant>
        <vt:i4>5</vt:i4>
      </vt:variant>
      <vt:variant>
        <vt:lpwstr>https://digitalhealth.org.au/blog/northern-health-using-the-clinicians-digital-health-platform/</vt:lpwstr>
      </vt:variant>
      <vt:variant>
        <vt:lpwstr/>
      </vt:variant>
      <vt:variant>
        <vt:i4>2228320</vt:i4>
      </vt:variant>
      <vt:variant>
        <vt:i4>381</vt:i4>
      </vt:variant>
      <vt:variant>
        <vt:i4>0</vt:i4>
      </vt:variant>
      <vt:variant>
        <vt:i4>5</vt:i4>
      </vt:variant>
      <vt:variant>
        <vt:lpwstr>https://www.health.gov.au/resources/publications/national-aboriginal-and-torres-strait-islander-health-workforce-strategic-framework-and-implementation-plan-2021-2031?language=en</vt:lpwstr>
      </vt:variant>
      <vt:variant>
        <vt:lpwstr/>
      </vt:variant>
      <vt:variant>
        <vt:i4>7995502</vt:i4>
      </vt:variant>
      <vt:variant>
        <vt:i4>378</vt:i4>
      </vt:variant>
      <vt:variant>
        <vt:i4>0</vt:i4>
      </vt:variant>
      <vt:variant>
        <vt:i4>5</vt:i4>
      </vt:variant>
      <vt:variant>
        <vt:lpwstr>https://www.health.gov.au/our-work/national-nursing-workforce-strategy</vt:lpwstr>
      </vt:variant>
      <vt:variant>
        <vt:lpwstr/>
      </vt:variant>
      <vt:variant>
        <vt:i4>7077998</vt:i4>
      </vt:variant>
      <vt:variant>
        <vt:i4>375</vt:i4>
      </vt:variant>
      <vt:variant>
        <vt:i4>0</vt:i4>
      </vt:variant>
      <vt:variant>
        <vt:i4>5</vt:i4>
      </vt:variant>
      <vt:variant>
        <vt:lpwstr>https://www.health.gov.au/resources/publications/national-medical-workforce-strategy-2021-2031?language=en</vt:lpwstr>
      </vt:variant>
      <vt:variant>
        <vt:lpwstr/>
      </vt:variant>
      <vt:variant>
        <vt:i4>983117</vt:i4>
      </vt:variant>
      <vt:variant>
        <vt:i4>372</vt:i4>
      </vt:variant>
      <vt:variant>
        <vt:i4>0</vt:i4>
      </vt:variant>
      <vt:variant>
        <vt:i4>5</vt:i4>
      </vt:variant>
      <vt:variant>
        <vt:lpwstr>https://www.health.gov.au/topics/rural-health-workforce/about</vt:lpwstr>
      </vt:variant>
      <vt:variant>
        <vt:lpwstr/>
      </vt:variant>
      <vt:variant>
        <vt:i4>7667762</vt:i4>
      </vt:variant>
      <vt:variant>
        <vt:i4>369</vt:i4>
      </vt:variant>
      <vt:variant>
        <vt:i4>0</vt:i4>
      </vt:variant>
      <vt:variant>
        <vt:i4>5</vt:i4>
      </vt:variant>
      <vt:variant>
        <vt:lpwstr>https://www.aihw.gov.au/reports/life-expectancy-deaths/deaths-in-australia/contents/summary</vt:lpwstr>
      </vt:variant>
      <vt:variant>
        <vt:lpwstr/>
      </vt:variant>
      <vt:variant>
        <vt:i4>4587550</vt:i4>
      </vt:variant>
      <vt:variant>
        <vt:i4>366</vt:i4>
      </vt:variant>
      <vt:variant>
        <vt:i4>0</vt:i4>
      </vt:variant>
      <vt:variant>
        <vt:i4>5</vt:i4>
      </vt:variant>
      <vt:variant>
        <vt:lpwstr>https://www.naccho.org.au/app/uploads/2022/11/NACCHO_KeyFacts_infographics_A4_221115.pdf</vt:lpwstr>
      </vt:variant>
      <vt:variant>
        <vt:lpwstr/>
      </vt:variant>
      <vt:variant>
        <vt:i4>8192064</vt:i4>
      </vt:variant>
      <vt:variant>
        <vt:i4>363</vt:i4>
      </vt:variant>
      <vt:variant>
        <vt:i4>0</vt:i4>
      </vt:variant>
      <vt:variant>
        <vt:i4>5</vt:i4>
      </vt:variant>
      <vt:variant>
        <vt:lpwstr>https://www.ihacpa.gov.au/sites/default/files/2023-03/national_pricing_model_technical_specifications_2032-24.pdf</vt:lpwstr>
      </vt:variant>
      <vt:variant>
        <vt:lpwstr/>
      </vt:variant>
      <vt:variant>
        <vt:i4>4587550</vt:i4>
      </vt:variant>
      <vt:variant>
        <vt:i4>360</vt:i4>
      </vt:variant>
      <vt:variant>
        <vt:i4>0</vt:i4>
      </vt:variant>
      <vt:variant>
        <vt:i4>5</vt:i4>
      </vt:variant>
      <vt:variant>
        <vt:lpwstr>https://www.naccho.org.au/app/uploads/2022/11/NACCHO_KeyFacts_infographics_A4_221115.pdf</vt:lpwstr>
      </vt:variant>
      <vt:variant>
        <vt:lpwstr/>
      </vt:variant>
      <vt:variant>
        <vt:i4>7012475</vt:i4>
      </vt:variant>
      <vt:variant>
        <vt:i4>357</vt:i4>
      </vt:variant>
      <vt:variant>
        <vt:i4>0</vt:i4>
      </vt:variant>
      <vt:variant>
        <vt:i4>5</vt:i4>
      </vt:variant>
      <vt:variant>
        <vt:lpwstr>https://www.closingthegap.gov.au/national-agreement</vt:lpwstr>
      </vt:variant>
      <vt:variant>
        <vt:lpwstr/>
      </vt:variant>
      <vt:variant>
        <vt:i4>7864373</vt:i4>
      </vt:variant>
      <vt:variant>
        <vt:i4>354</vt:i4>
      </vt:variant>
      <vt:variant>
        <vt:i4>0</vt:i4>
      </vt:variant>
      <vt:variant>
        <vt:i4>5</vt:i4>
      </vt:variant>
      <vt:variant>
        <vt:lpwstr>https://www.nationalskillscommission.gov.au/sites/default/files/2022-10/Care Workforce Labour Market Study.pdf</vt:lpwstr>
      </vt:variant>
      <vt:variant>
        <vt:lpwstr/>
      </vt:variant>
      <vt:variant>
        <vt:i4>4063294</vt:i4>
      </vt:variant>
      <vt:variant>
        <vt:i4>351</vt:i4>
      </vt:variant>
      <vt:variant>
        <vt:i4>0</vt:i4>
      </vt:variant>
      <vt:variant>
        <vt:i4>5</vt:i4>
      </vt:variant>
      <vt:variant>
        <vt:lpwstr>https://labourmarketinsights.gov.au/industries/industry-details?industryCode=Q</vt:lpwstr>
      </vt:variant>
      <vt:variant>
        <vt:lpwstr/>
      </vt:variant>
      <vt:variant>
        <vt:i4>6160474</vt:i4>
      </vt:variant>
      <vt:variant>
        <vt:i4>348</vt:i4>
      </vt:variant>
      <vt:variant>
        <vt:i4>0</vt:i4>
      </vt:variant>
      <vt:variant>
        <vt:i4>5</vt:i4>
      </vt:variant>
      <vt:variant>
        <vt:lpwstr>https://www.aihw.gov.au/reports/rural-remote-australians/rural-and-remote-health</vt:lpwstr>
      </vt:variant>
      <vt:variant>
        <vt:lpwstr/>
      </vt:variant>
      <vt:variant>
        <vt:i4>327755</vt:i4>
      </vt:variant>
      <vt:variant>
        <vt:i4>345</vt:i4>
      </vt:variant>
      <vt:variant>
        <vt:i4>0</vt:i4>
      </vt:variant>
      <vt:variant>
        <vt:i4>5</vt:i4>
      </vt:variant>
      <vt:variant>
        <vt:lpwstr>https://www.health.gov.au/sites/default/files/documents/2022/03/national-medical-workforce-strategy-2021-2031.pdf</vt:lpwstr>
      </vt:variant>
      <vt:variant>
        <vt:lpwstr/>
      </vt:variant>
      <vt:variant>
        <vt:i4>2293806</vt:i4>
      </vt:variant>
      <vt:variant>
        <vt:i4>342</vt:i4>
      </vt:variant>
      <vt:variant>
        <vt:i4>0</vt:i4>
      </vt:variant>
      <vt:variant>
        <vt:i4>5</vt:i4>
      </vt:variant>
      <vt:variant>
        <vt:lpwstr>https://www.health.gov.au/topics/rural-health-workforce/stronger-rural-health-strategy</vt:lpwstr>
      </vt:variant>
      <vt:variant>
        <vt:lpwstr/>
      </vt:variant>
      <vt:variant>
        <vt:i4>1638411</vt:i4>
      </vt:variant>
      <vt:variant>
        <vt:i4>339</vt:i4>
      </vt:variant>
      <vt:variant>
        <vt:i4>0</vt:i4>
      </vt:variant>
      <vt:variant>
        <vt:i4>5</vt:i4>
      </vt:variant>
      <vt:variant>
        <vt:lpwstr>https://www1.health.gov.au/internet/main/publishing.nsf/Content/national-strategic-framework-rural-remote-health</vt:lpwstr>
      </vt:variant>
      <vt:variant>
        <vt:lpwstr/>
      </vt:variant>
      <vt:variant>
        <vt:i4>4587531</vt:i4>
      </vt:variant>
      <vt:variant>
        <vt:i4>336</vt:i4>
      </vt:variant>
      <vt:variant>
        <vt:i4>0</vt:i4>
      </vt:variant>
      <vt:variant>
        <vt:i4>5</vt:i4>
      </vt:variant>
      <vt:variant>
        <vt:lpwstr>https://www.aihw.gov.au/reports/life-expectancy-deaths/mort-books/contents/mort-books</vt:lpwstr>
      </vt:variant>
      <vt:variant>
        <vt:lpwstr/>
      </vt:variant>
      <vt:variant>
        <vt:i4>7667835</vt:i4>
      </vt:variant>
      <vt:variant>
        <vt:i4>330</vt:i4>
      </vt:variant>
      <vt:variant>
        <vt:i4>0</vt:i4>
      </vt:variant>
      <vt:variant>
        <vt:i4>5</vt:i4>
      </vt:variant>
      <vt:variant>
        <vt:lpwstr>https://www.health.nsw.gov.au/lumos</vt:lpwstr>
      </vt:variant>
      <vt:variant>
        <vt:lpwstr/>
      </vt:variant>
      <vt:variant>
        <vt:i4>3604531</vt:i4>
      </vt:variant>
      <vt:variant>
        <vt:i4>327</vt:i4>
      </vt:variant>
      <vt:variant>
        <vt:i4>0</vt:i4>
      </vt:variant>
      <vt:variant>
        <vt:i4>5</vt:i4>
      </vt:variant>
      <vt:variant>
        <vt:lpwstr>https://www.health.gov.au/resources/publications/national-health-reform-agreement-nhra-long-term-health-reforms-roadmap</vt:lpwstr>
      </vt:variant>
      <vt:variant>
        <vt:lpwstr/>
      </vt:variant>
      <vt:variant>
        <vt:i4>7471155</vt:i4>
      </vt:variant>
      <vt:variant>
        <vt:i4>324</vt:i4>
      </vt:variant>
      <vt:variant>
        <vt:i4>0</vt:i4>
      </vt:variant>
      <vt:variant>
        <vt:i4>5</vt:i4>
      </vt:variant>
      <vt:variant>
        <vt:lpwstr>https://www.servicesaustralia.gov.au/highly-specialised-drugs</vt:lpwstr>
      </vt:variant>
      <vt:variant>
        <vt:lpwstr>:~:text=Highly%20specialised%20drugs%20(HSDs)%20are,is%20part%20of%20the%20PBS</vt:lpwstr>
      </vt:variant>
      <vt:variant>
        <vt:i4>6619181</vt:i4>
      </vt:variant>
      <vt:variant>
        <vt:i4>321</vt:i4>
      </vt:variant>
      <vt:variant>
        <vt:i4>0</vt:i4>
      </vt:variant>
      <vt:variant>
        <vt:i4>5</vt:i4>
      </vt:variant>
      <vt:variant>
        <vt:lpwstr>https://www.health.gov.au/sites/default/files/2022-12/national-medicines-policy.pdf</vt:lpwstr>
      </vt:variant>
      <vt:variant>
        <vt:lpwstr/>
      </vt:variant>
      <vt:variant>
        <vt:i4>8192064</vt:i4>
      </vt:variant>
      <vt:variant>
        <vt:i4>318</vt:i4>
      </vt:variant>
      <vt:variant>
        <vt:i4>0</vt:i4>
      </vt:variant>
      <vt:variant>
        <vt:i4>5</vt:i4>
      </vt:variant>
      <vt:variant>
        <vt:lpwstr>https://www.ihacpa.gov.au/sites/default/files/2023-03/national_pricing_model_technical_specifications_2032-24.pdf</vt:lpwstr>
      </vt:variant>
      <vt:variant>
        <vt:lpwstr/>
      </vt:variant>
      <vt:variant>
        <vt:i4>7667769</vt:i4>
      </vt:variant>
      <vt:variant>
        <vt:i4>315</vt:i4>
      </vt:variant>
      <vt:variant>
        <vt:i4>0</vt:i4>
      </vt:variant>
      <vt:variant>
        <vt:i4>5</vt:i4>
      </vt:variant>
      <vt:variant>
        <vt:lpwstr>https://www.ihacpa.gov.au/resources/hospital-teaching-training-and-research-activities-national-best-endeavours-data-set-technical-specifications-reporting</vt:lpwstr>
      </vt:variant>
      <vt:variant>
        <vt:lpwstr/>
      </vt:variant>
      <vt:variant>
        <vt:i4>4915222</vt:i4>
      </vt:variant>
      <vt:variant>
        <vt:i4>312</vt:i4>
      </vt:variant>
      <vt:variant>
        <vt:i4>0</vt:i4>
      </vt:variant>
      <vt:variant>
        <vt:i4>5</vt:i4>
      </vt:variant>
      <vt:variant>
        <vt:lpwstr>https://www.publichospitalfunding.gov.au/publications/national-health-funding-pool-annual-report-2021-22</vt:lpwstr>
      </vt:variant>
      <vt:variant>
        <vt:lpwstr/>
      </vt:variant>
      <vt:variant>
        <vt:i4>7733291</vt:i4>
      </vt:variant>
      <vt:variant>
        <vt:i4>309</vt:i4>
      </vt:variant>
      <vt:variant>
        <vt:i4>0</vt:i4>
      </vt:variant>
      <vt:variant>
        <vt:i4>5</vt:i4>
      </vt:variant>
      <vt:variant>
        <vt:lpwstr>https://www.publichospitalfunding.gov.au/public-hospital-funding/funding-types</vt:lpwstr>
      </vt:variant>
      <vt:variant>
        <vt:lpwstr/>
      </vt:variant>
      <vt:variant>
        <vt:i4>8192064</vt:i4>
      </vt:variant>
      <vt:variant>
        <vt:i4>306</vt:i4>
      </vt:variant>
      <vt:variant>
        <vt:i4>0</vt:i4>
      </vt:variant>
      <vt:variant>
        <vt:i4>5</vt:i4>
      </vt:variant>
      <vt:variant>
        <vt:lpwstr>https://www.ihacpa.gov.au/sites/default/files/2023-03/national_pricing_model_technical_specifications_2032-24.pdf</vt:lpwstr>
      </vt:variant>
      <vt:variant>
        <vt:lpwstr/>
      </vt:variant>
      <vt:variant>
        <vt:i4>65625</vt:i4>
      </vt:variant>
      <vt:variant>
        <vt:i4>303</vt:i4>
      </vt:variant>
      <vt:variant>
        <vt:i4>0</vt:i4>
      </vt:variant>
      <vt:variant>
        <vt:i4>5</vt:i4>
      </vt:variant>
      <vt:variant>
        <vt:lpwstr>https://www.publichospitalfunding.gov.au/public-hospital-funding/funding-formula</vt:lpwstr>
      </vt:variant>
      <vt:variant>
        <vt:lpwstr/>
      </vt:variant>
      <vt:variant>
        <vt:i4>3866686</vt:i4>
      </vt:variant>
      <vt:variant>
        <vt:i4>300</vt:i4>
      </vt:variant>
      <vt:variant>
        <vt:i4>0</vt:i4>
      </vt:variant>
      <vt:variant>
        <vt:i4>5</vt:i4>
      </vt:variant>
      <vt:variant>
        <vt:lpwstr>https://www.aihw.gov.au/getmedia/931a083a-e2a1-4f0d-9a09-140d55682711/Health-expenditure-Australia-2020-21.pdf?inline=true</vt:lpwstr>
      </vt:variant>
      <vt:variant>
        <vt:lpwstr/>
      </vt:variant>
      <vt:variant>
        <vt:i4>4653080</vt:i4>
      </vt:variant>
      <vt:variant>
        <vt:i4>297</vt:i4>
      </vt:variant>
      <vt:variant>
        <vt:i4>0</vt:i4>
      </vt:variant>
      <vt:variant>
        <vt:i4>5</vt:i4>
      </vt:variant>
      <vt:variant>
        <vt:lpwstr>https://www.swslhd.health.nsw.gov.au/pdfs/ScheduleC-2022-2023.pdf</vt:lpwstr>
      </vt:variant>
      <vt:variant>
        <vt:lpwstr/>
      </vt:variant>
      <vt:variant>
        <vt:i4>6684750</vt:i4>
      </vt:variant>
      <vt:variant>
        <vt:i4>294</vt:i4>
      </vt:variant>
      <vt:variant>
        <vt:i4>0</vt:i4>
      </vt:variant>
      <vt:variant>
        <vt:i4>5</vt:i4>
      </vt:variant>
      <vt:variant>
        <vt:lpwstr>https://www.publichospitalfunding.gov.au/sites/default/files/images/documents/nhfp_annual_report_2021-22.pdf</vt:lpwstr>
      </vt:variant>
      <vt:variant>
        <vt:lpwstr/>
      </vt:variant>
      <vt:variant>
        <vt:i4>262169</vt:i4>
      </vt:variant>
      <vt:variant>
        <vt:i4>291</vt:i4>
      </vt:variant>
      <vt:variant>
        <vt:i4>0</vt:i4>
      </vt:variant>
      <vt:variant>
        <vt:i4>5</vt:i4>
      </vt:variant>
      <vt:variant>
        <vt:lpwstr>https://www.publichospitalfunding.gov.au/public-hospital-funding-reports</vt:lpwstr>
      </vt:variant>
      <vt:variant>
        <vt:lpwstr/>
      </vt:variant>
      <vt:variant>
        <vt:i4>7471166</vt:i4>
      </vt:variant>
      <vt:variant>
        <vt:i4>288</vt:i4>
      </vt:variant>
      <vt:variant>
        <vt:i4>0</vt:i4>
      </vt:variant>
      <vt:variant>
        <vt:i4>5</vt:i4>
      </vt:variant>
      <vt:variant>
        <vt:lpwstr>https://www.choosingwisely.org.au/</vt:lpwstr>
      </vt:variant>
      <vt:variant>
        <vt:lpwstr/>
      </vt:variant>
      <vt:variant>
        <vt:i4>5308427</vt:i4>
      </vt:variant>
      <vt:variant>
        <vt:i4>285</vt:i4>
      </vt:variant>
      <vt:variant>
        <vt:i4>0</vt:i4>
      </vt:variant>
      <vt:variant>
        <vt:i4>5</vt:i4>
      </vt:variant>
      <vt:variant>
        <vt:lpwstr>https://www.mja.com.au/journal/2012/197/2/caretrack-assessing-appropriateness-health-care-delivery-australia</vt:lpwstr>
      </vt:variant>
      <vt:variant>
        <vt:lpwstr/>
      </vt:variant>
      <vt:variant>
        <vt:i4>6029334</vt:i4>
      </vt:variant>
      <vt:variant>
        <vt:i4>282</vt:i4>
      </vt:variant>
      <vt:variant>
        <vt:i4>0</vt:i4>
      </vt:variant>
      <vt:variant>
        <vt:i4>5</vt:i4>
      </vt:variant>
      <vt:variant>
        <vt:lpwstr>https://bmcmedicine.biomedcentral.com/articles/10.1186/s12916-020-01563-4</vt:lpwstr>
      </vt:variant>
      <vt:variant>
        <vt:lpwstr/>
      </vt:variant>
      <vt:variant>
        <vt:i4>458753</vt:i4>
      </vt:variant>
      <vt:variant>
        <vt:i4>279</vt:i4>
      </vt:variant>
      <vt:variant>
        <vt:i4>0</vt:i4>
      </vt:variant>
      <vt:variant>
        <vt:i4>5</vt:i4>
      </vt:variant>
      <vt:variant>
        <vt:lpwstr>https://www.pc.gov.au/inquiries/completed/productivity-review/report/productivity-review.pdf</vt:lpwstr>
      </vt:variant>
      <vt:variant>
        <vt:lpwstr/>
      </vt:variant>
      <vt:variant>
        <vt:i4>65640</vt:i4>
      </vt:variant>
      <vt:variant>
        <vt:i4>276</vt:i4>
      </vt:variant>
      <vt:variant>
        <vt:i4>0</vt:i4>
      </vt:variant>
      <vt:variant>
        <vt:i4>5</vt:i4>
      </vt:variant>
      <vt:variant>
        <vt:lpwstr>https://www.safetyandquality.gov.au/sites/default/files/2021-04/The Fourth Australian Atlas of Healthcare Variation 2021_Full publication.pdf</vt:lpwstr>
      </vt:variant>
      <vt:variant>
        <vt:lpwstr/>
      </vt:variant>
      <vt:variant>
        <vt:i4>589911</vt:i4>
      </vt:variant>
      <vt:variant>
        <vt:i4>273</vt:i4>
      </vt:variant>
      <vt:variant>
        <vt:i4>0</vt:i4>
      </vt:variant>
      <vt:variant>
        <vt:i4>5</vt:i4>
      </vt:variant>
      <vt:variant>
        <vt:lpwstr>https://treasury.gov.au/publication/2023-intergenerational-report</vt:lpwstr>
      </vt:variant>
      <vt:variant>
        <vt:lpwstr/>
      </vt:variant>
      <vt:variant>
        <vt:i4>1310731</vt:i4>
      </vt:variant>
      <vt:variant>
        <vt:i4>270</vt:i4>
      </vt:variant>
      <vt:variant>
        <vt:i4>0</vt:i4>
      </vt:variant>
      <vt:variant>
        <vt:i4>5</vt:i4>
      </vt:variant>
      <vt:variant>
        <vt:lpwstr>https://www.pc.gov.au/ongoing/report-on-government-services/2023/communityservices/aged-care-services</vt:lpwstr>
      </vt:variant>
      <vt:variant>
        <vt:lpwstr/>
      </vt:variant>
      <vt:variant>
        <vt:i4>6422582</vt:i4>
      </vt:variant>
      <vt:variant>
        <vt:i4>267</vt:i4>
      </vt:variant>
      <vt:variant>
        <vt:i4>0</vt:i4>
      </vt:variant>
      <vt:variant>
        <vt:i4>5</vt:i4>
      </vt:variant>
      <vt:variant>
        <vt:lpwstr>https://www.phncooperative.org.au/</vt:lpwstr>
      </vt:variant>
      <vt:variant>
        <vt:lpwstr/>
      </vt:variant>
      <vt:variant>
        <vt:i4>1048701</vt:i4>
      </vt:variant>
      <vt:variant>
        <vt:i4>264</vt:i4>
      </vt:variant>
      <vt:variant>
        <vt:i4>0</vt:i4>
      </vt:variant>
      <vt:variant>
        <vt:i4>5</vt:i4>
      </vt:variant>
      <vt:variant>
        <vt:lpwstr>https://www.anao.gov.au/sites/default/files/Auditor-General_Report_2018-2019_26.PDF</vt:lpwstr>
      </vt:variant>
      <vt:variant>
        <vt:lpwstr/>
      </vt:variant>
      <vt:variant>
        <vt:i4>1179657</vt:i4>
      </vt:variant>
      <vt:variant>
        <vt:i4>261</vt:i4>
      </vt:variant>
      <vt:variant>
        <vt:i4>0</vt:i4>
      </vt:variant>
      <vt:variant>
        <vt:i4>5</vt:i4>
      </vt:variant>
      <vt:variant>
        <vt:lpwstr>https://www.ihacpa.gov.au/sites/default/files/2022-02/Private Patient Public Hospital Service Utilisation.pdf</vt:lpwstr>
      </vt:variant>
      <vt:variant>
        <vt:lpwstr/>
      </vt:variant>
      <vt:variant>
        <vt:i4>1376329</vt:i4>
      </vt:variant>
      <vt:variant>
        <vt:i4>258</vt:i4>
      </vt:variant>
      <vt:variant>
        <vt:i4>0</vt:i4>
      </vt:variant>
      <vt:variant>
        <vt:i4>5</vt:i4>
      </vt:variant>
      <vt:variant>
        <vt:lpwstr>https://www.qao.qld.gov.au/sites/default/files/reports/rtp_right_of_private_practice_senior_medical_officer_conduct.pdf</vt:lpwstr>
      </vt:variant>
      <vt:variant>
        <vt:lpwstr/>
      </vt:variant>
      <vt:variant>
        <vt:i4>262152</vt:i4>
      </vt:variant>
      <vt:variant>
        <vt:i4>255</vt:i4>
      </vt:variant>
      <vt:variant>
        <vt:i4>0</vt:i4>
      </vt:variant>
      <vt:variant>
        <vt:i4>5</vt:i4>
      </vt:variant>
      <vt:variant>
        <vt:lpwstr>https://www.audit.vic.gov.au/sites/default/files/2019-06/200619-Managing-Private.pdf</vt:lpwstr>
      </vt:variant>
      <vt:variant>
        <vt:lpwstr/>
      </vt:variant>
      <vt:variant>
        <vt:i4>2687029</vt:i4>
      </vt:variant>
      <vt:variant>
        <vt:i4>252</vt:i4>
      </vt:variant>
      <vt:variant>
        <vt:i4>0</vt:i4>
      </vt:variant>
      <vt:variant>
        <vt:i4>5</vt:i4>
      </vt:variant>
      <vt:variant>
        <vt:lpwstr>https://www.smh.com.au/business/consumer-affairs/vulnerable-and-shocked-patients-targeted-by-hospital-revenue-push-20190311-p513ad.html</vt:lpwstr>
      </vt:variant>
      <vt:variant>
        <vt:lpwstr/>
      </vt:variant>
      <vt:variant>
        <vt:i4>3407905</vt:i4>
      </vt:variant>
      <vt:variant>
        <vt:i4>249</vt:i4>
      </vt:variant>
      <vt:variant>
        <vt:i4>0</vt:i4>
      </vt:variant>
      <vt:variant>
        <vt:i4>5</vt:i4>
      </vt:variant>
      <vt:variant>
        <vt:lpwstr>https://www1.racgp.org.au/newsgp/professional/rejected-referrals-compromising-patient-care</vt:lpwstr>
      </vt:variant>
      <vt:variant>
        <vt:lpwstr/>
      </vt:variant>
      <vt:variant>
        <vt:i4>7274609</vt:i4>
      </vt:variant>
      <vt:variant>
        <vt:i4>246</vt:i4>
      </vt:variant>
      <vt:variant>
        <vt:i4>0</vt:i4>
      </vt:variant>
      <vt:variant>
        <vt:i4>5</vt:i4>
      </vt:variant>
      <vt:variant>
        <vt:lpwstr>https://journalists.medianet.com.au/Release/883946/3818719</vt:lpwstr>
      </vt:variant>
      <vt:variant>
        <vt:lpwstr/>
      </vt:variant>
      <vt:variant>
        <vt:i4>655382</vt:i4>
      </vt:variant>
      <vt:variant>
        <vt:i4>243</vt:i4>
      </vt:variant>
      <vt:variant>
        <vt:i4>0</vt:i4>
      </vt:variant>
      <vt:variant>
        <vt:i4>5</vt:i4>
      </vt:variant>
      <vt:variant>
        <vt:lpwstr>https://www.abs.gov.au/statistics/health/health-conditions-and-risks/health-conditions-prevalence/2020-21</vt:lpwstr>
      </vt:variant>
      <vt:variant>
        <vt:lpwstr/>
      </vt:variant>
      <vt:variant>
        <vt:i4>6684750</vt:i4>
      </vt:variant>
      <vt:variant>
        <vt:i4>240</vt:i4>
      </vt:variant>
      <vt:variant>
        <vt:i4>0</vt:i4>
      </vt:variant>
      <vt:variant>
        <vt:i4>5</vt:i4>
      </vt:variant>
      <vt:variant>
        <vt:lpwstr>https://www.publichospitalfunding.gov.au/sites/default/files/images/documents/nhfp_annual_report_2021-22.pdf</vt:lpwstr>
      </vt:variant>
      <vt:variant>
        <vt:lpwstr/>
      </vt:variant>
      <vt:variant>
        <vt:i4>6357097</vt:i4>
      </vt:variant>
      <vt:variant>
        <vt:i4>237</vt:i4>
      </vt:variant>
      <vt:variant>
        <vt:i4>0</vt:i4>
      </vt:variant>
      <vt:variant>
        <vt:i4>5</vt:i4>
      </vt:variant>
      <vt:variant>
        <vt:lpwstr>https://www.aihw.gov.au/reports-data/myhospitals/intersection/activity/eswt</vt:lpwstr>
      </vt:variant>
      <vt:variant>
        <vt:lpwstr/>
      </vt:variant>
      <vt:variant>
        <vt:i4>6357097</vt:i4>
      </vt:variant>
      <vt:variant>
        <vt:i4>234</vt:i4>
      </vt:variant>
      <vt:variant>
        <vt:i4>0</vt:i4>
      </vt:variant>
      <vt:variant>
        <vt:i4>5</vt:i4>
      </vt:variant>
      <vt:variant>
        <vt:lpwstr>https://www.aihw.gov.au/reports-data/myhospitals/intersection/activity/eswt</vt:lpwstr>
      </vt:variant>
      <vt:variant>
        <vt:lpwstr/>
      </vt:variant>
      <vt:variant>
        <vt:i4>1441818</vt:i4>
      </vt:variant>
      <vt:variant>
        <vt:i4>231</vt:i4>
      </vt:variant>
      <vt:variant>
        <vt:i4>0</vt:i4>
      </vt:variant>
      <vt:variant>
        <vt:i4>5</vt:i4>
      </vt:variant>
      <vt:variant>
        <vt:lpwstr>https://www.aihw.gov.au/reports-data/myhospitals/intersection/activity/ed</vt:lpwstr>
      </vt:variant>
      <vt:variant>
        <vt:lpwstr/>
      </vt:variant>
      <vt:variant>
        <vt:i4>7405674</vt:i4>
      </vt:variant>
      <vt:variant>
        <vt:i4>228</vt:i4>
      </vt:variant>
      <vt:variant>
        <vt:i4>0</vt:i4>
      </vt:variant>
      <vt:variant>
        <vt:i4>5</vt:i4>
      </vt:variant>
      <vt:variant>
        <vt:lpwstr>https://www.aihw.gov.au/reports-data/myhospitals/intersection/activity/apc</vt:lpwstr>
      </vt:variant>
      <vt:variant>
        <vt:lpwstr/>
      </vt:variant>
      <vt:variant>
        <vt:i4>4194327</vt:i4>
      </vt:variant>
      <vt:variant>
        <vt:i4>225</vt:i4>
      </vt:variant>
      <vt:variant>
        <vt:i4>0</vt:i4>
      </vt:variant>
      <vt:variant>
        <vt:i4>5</vt:i4>
      </vt:variant>
      <vt:variant>
        <vt:lpwstr>https://federalfinancialrelations.gov.au/sites/federalfinancialrelations.gov.au/files/2021-04/covid-19_response_vaccine_amendment_schedule.pdf</vt:lpwstr>
      </vt:variant>
      <vt:variant>
        <vt:lpwstr/>
      </vt:variant>
      <vt:variant>
        <vt:i4>7995502</vt:i4>
      </vt:variant>
      <vt:variant>
        <vt:i4>222</vt:i4>
      </vt:variant>
      <vt:variant>
        <vt:i4>0</vt:i4>
      </vt:variant>
      <vt:variant>
        <vt:i4>5</vt:i4>
      </vt:variant>
      <vt:variant>
        <vt:lpwstr>https://www.health.gov.au/our-work/national-nursing-workforce-strategy</vt:lpwstr>
      </vt:variant>
      <vt:variant>
        <vt:lpwstr/>
      </vt:variant>
      <vt:variant>
        <vt:i4>4259908</vt:i4>
      </vt:variant>
      <vt:variant>
        <vt:i4>219</vt:i4>
      </vt:variant>
      <vt:variant>
        <vt:i4>0</vt:i4>
      </vt:variant>
      <vt:variant>
        <vt:i4>5</vt:i4>
      </vt:variant>
      <vt:variant>
        <vt:lpwstr>https://www.health.gov.au/topics/rural-health-workforce/about</vt:lpwstr>
      </vt:variant>
      <vt:variant>
        <vt:lpwstr>australias-rural-health-workforce</vt:lpwstr>
      </vt:variant>
      <vt:variant>
        <vt:i4>6160474</vt:i4>
      </vt:variant>
      <vt:variant>
        <vt:i4>216</vt:i4>
      </vt:variant>
      <vt:variant>
        <vt:i4>0</vt:i4>
      </vt:variant>
      <vt:variant>
        <vt:i4>5</vt:i4>
      </vt:variant>
      <vt:variant>
        <vt:lpwstr>https://www.aihw.gov.au/reports/rural-remote-australians/rural-and-remote-health</vt:lpwstr>
      </vt:variant>
      <vt:variant>
        <vt:lpwstr/>
      </vt:variant>
      <vt:variant>
        <vt:i4>7864373</vt:i4>
      </vt:variant>
      <vt:variant>
        <vt:i4>213</vt:i4>
      </vt:variant>
      <vt:variant>
        <vt:i4>0</vt:i4>
      </vt:variant>
      <vt:variant>
        <vt:i4>5</vt:i4>
      </vt:variant>
      <vt:variant>
        <vt:lpwstr>https://www.nationalskillscommission.gov.au/sites/default/files/2022-10/Care Workforce Labour Market Study.pdf</vt:lpwstr>
      </vt:variant>
      <vt:variant>
        <vt:lpwstr/>
      </vt:variant>
      <vt:variant>
        <vt:i4>4063294</vt:i4>
      </vt:variant>
      <vt:variant>
        <vt:i4>210</vt:i4>
      </vt:variant>
      <vt:variant>
        <vt:i4>0</vt:i4>
      </vt:variant>
      <vt:variant>
        <vt:i4>5</vt:i4>
      </vt:variant>
      <vt:variant>
        <vt:lpwstr>https://labourmarketinsights.gov.au/industries/industry-details?industryCode=Q</vt:lpwstr>
      </vt:variant>
      <vt:variant>
        <vt:lpwstr/>
      </vt:variant>
      <vt:variant>
        <vt:i4>327755</vt:i4>
      </vt:variant>
      <vt:variant>
        <vt:i4>207</vt:i4>
      </vt:variant>
      <vt:variant>
        <vt:i4>0</vt:i4>
      </vt:variant>
      <vt:variant>
        <vt:i4>5</vt:i4>
      </vt:variant>
      <vt:variant>
        <vt:lpwstr>https://www.health.gov.au/sites/default/files/documents/2022/03/national-medical-workforce-strategy-2021-2031.pdf</vt:lpwstr>
      </vt:variant>
      <vt:variant>
        <vt:lpwstr/>
      </vt:variant>
      <vt:variant>
        <vt:i4>327755</vt:i4>
      </vt:variant>
      <vt:variant>
        <vt:i4>204</vt:i4>
      </vt:variant>
      <vt:variant>
        <vt:i4>0</vt:i4>
      </vt:variant>
      <vt:variant>
        <vt:i4>5</vt:i4>
      </vt:variant>
      <vt:variant>
        <vt:lpwstr>https://www.health.gov.au/sites/default/files/documents/2022/03/national-medical-workforce-strategy-2021-2031.pdf</vt:lpwstr>
      </vt:variant>
      <vt:variant>
        <vt:lpwstr/>
      </vt:variant>
      <vt:variant>
        <vt:i4>3604592</vt:i4>
      </vt:variant>
      <vt:variant>
        <vt:i4>201</vt:i4>
      </vt:variant>
      <vt:variant>
        <vt:i4>0</vt:i4>
      </vt:variant>
      <vt:variant>
        <vt:i4>5</vt:i4>
      </vt:variant>
      <vt:variant>
        <vt:lpwstr>https://www.abs.gov.au/statistics/health/health-services/patient-experiences/latest-release</vt:lpwstr>
      </vt:variant>
      <vt:variant>
        <vt:lpwstr>experience-with-health-professionals</vt:lpwstr>
      </vt:variant>
      <vt:variant>
        <vt:i4>4194394</vt:i4>
      </vt:variant>
      <vt:variant>
        <vt:i4>198</vt:i4>
      </vt:variant>
      <vt:variant>
        <vt:i4>0</vt:i4>
      </vt:variant>
      <vt:variant>
        <vt:i4>5</vt:i4>
      </vt:variant>
      <vt:variant>
        <vt:lpwstr>https://www.ahpra.gov.au/News/2023-08-17--New-workforce-data.aspx</vt:lpwstr>
      </vt:variant>
      <vt:variant>
        <vt:lpwstr>:~:text=The%20number%20of%20registered%20medical,registration%20as%20of%20June%202023</vt:lpwstr>
      </vt:variant>
      <vt:variant>
        <vt:i4>7536737</vt:i4>
      </vt:variant>
      <vt:variant>
        <vt:i4>195</vt:i4>
      </vt:variant>
      <vt:variant>
        <vt:i4>0</vt:i4>
      </vt:variant>
      <vt:variant>
        <vt:i4>5</vt:i4>
      </vt:variant>
      <vt:variant>
        <vt:lpwstr>https://www.abs.gov.au/statistics/health/health-services/patient-experiences/latest-release</vt:lpwstr>
      </vt:variant>
      <vt:variant>
        <vt:lpwstr/>
      </vt:variant>
      <vt:variant>
        <vt:i4>5963843</vt:i4>
      </vt:variant>
      <vt:variant>
        <vt:i4>192</vt:i4>
      </vt:variant>
      <vt:variant>
        <vt:i4>0</vt:i4>
      </vt:variant>
      <vt:variant>
        <vt:i4>5</vt:i4>
      </vt:variant>
      <vt:variant>
        <vt:lpwstr>https://www.aihw.gov.au/reports-data/myhospitals/intersection/quality/apc</vt:lpwstr>
      </vt:variant>
      <vt:variant>
        <vt:lpwstr/>
      </vt:variant>
      <vt:variant>
        <vt:i4>7340088</vt:i4>
      </vt:variant>
      <vt:variant>
        <vt:i4>189</vt:i4>
      </vt:variant>
      <vt:variant>
        <vt:i4>0</vt:i4>
      </vt:variant>
      <vt:variant>
        <vt:i4>5</vt:i4>
      </vt:variant>
      <vt:variant>
        <vt:lpwstr>https://www.aihw.gov.au/reports/international-comparisons/oecd-health-care-quality-and-outcomes-indicators-2021/contents/about</vt:lpwstr>
      </vt:variant>
      <vt:variant>
        <vt:lpwstr/>
      </vt:variant>
      <vt:variant>
        <vt:i4>3145762</vt:i4>
      </vt:variant>
      <vt:variant>
        <vt:i4>186</vt:i4>
      </vt:variant>
      <vt:variant>
        <vt:i4>0</vt:i4>
      </vt:variant>
      <vt:variant>
        <vt:i4>5</vt:i4>
      </vt:variant>
      <vt:variant>
        <vt:lpwstr>https://www.pc.gov.au/ongoing/report-on-government-services/2023/community-services/aged-care-services/rogs-2023-partf-section14-aged-care-data-tables.xlsx</vt:lpwstr>
      </vt:variant>
      <vt:variant>
        <vt:lpwstr/>
      </vt:variant>
      <vt:variant>
        <vt:i4>3145762</vt:i4>
      </vt:variant>
      <vt:variant>
        <vt:i4>183</vt:i4>
      </vt:variant>
      <vt:variant>
        <vt:i4>0</vt:i4>
      </vt:variant>
      <vt:variant>
        <vt:i4>5</vt:i4>
      </vt:variant>
      <vt:variant>
        <vt:lpwstr>https://www.pc.gov.au/ongoing/report-on-government-services/2023/community-services/aged-care-services/rogs-2023-partf-section14-aged-care-data-tables.xlsx</vt:lpwstr>
      </vt:variant>
      <vt:variant>
        <vt:lpwstr/>
      </vt:variant>
      <vt:variant>
        <vt:i4>8257653</vt:i4>
      </vt:variant>
      <vt:variant>
        <vt:i4>180</vt:i4>
      </vt:variant>
      <vt:variant>
        <vt:i4>0</vt:i4>
      </vt:variant>
      <vt:variant>
        <vt:i4>5</vt:i4>
      </vt:variant>
      <vt:variant>
        <vt:lpwstr>https://acem.org.au/Content-Sources/Advancing-Emergency-Medicine/Better-Outcomes-for-Patients/Access-Block-(1)/Access-Block</vt:lpwstr>
      </vt:variant>
      <vt:variant>
        <vt:lpwstr/>
      </vt:variant>
      <vt:variant>
        <vt:i4>7929901</vt:i4>
      </vt:variant>
      <vt:variant>
        <vt:i4>177</vt:i4>
      </vt:variant>
      <vt:variant>
        <vt:i4>0</vt:i4>
      </vt:variant>
      <vt:variant>
        <vt:i4>5</vt:i4>
      </vt:variant>
      <vt:variant>
        <vt:lpwstr>https://myhospitalsapi.aihw.gov.au/api/v1/measure-downloads/myh-ed</vt:lpwstr>
      </vt:variant>
      <vt:variant>
        <vt:lpwstr/>
      </vt:variant>
      <vt:variant>
        <vt:i4>7209005</vt:i4>
      </vt:variant>
      <vt:variant>
        <vt:i4>174</vt:i4>
      </vt:variant>
      <vt:variant>
        <vt:i4>0</vt:i4>
      </vt:variant>
      <vt:variant>
        <vt:i4>5</vt:i4>
      </vt:variant>
      <vt:variant>
        <vt:lpwstr>https://myhospitalsapi.aihw.gov.au/api/v1/measure-downloads/myh-es</vt:lpwstr>
      </vt:variant>
      <vt:variant>
        <vt:lpwstr/>
      </vt:variant>
      <vt:variant>
        <vt:i4>6750262</vt:i4>
      </vt:variant>
      <vt:variant>
        <vt:i4>171</vt:i4>
      </vt:variant>
      <vt:variant>
        <vt:i4>0</vt:i4>
      </vt:variant>
      <vt:variant>
        <vt:i4>5</vt:i4>
      </vt:variant>
      <vt:variant>
        <vt:lpwstr>https://www.aihw.gov.au/reports-data/myhospitals/sectors/emergency-department-care</vt:lpwstr>
      </vt:variant>
      <vt:variant>
        <vt:lpwstr/>
      </vt:variant>
      <vt:variant>
        <vt:i4>7929901</vt:i4>
      </vt:variant>
      <vt:variant>
        <vt:i4>168</vt:i4>
      </vt:variant>
      <vt:variant>
        <vt:i4>0</vt:i4>
      </vt:variant>
      <vt:variant>
        <vt:i4>5</vt:i4>
      </vt:variant>
      <vt:variant>
        <vt:lpwstr>https://myhospitalsapi.aihw.gov.au/api/v1/measure-downloads/myh-ed</vt:lpwstr>
      </vt:variant>
      <vt:variant>
        <vt:lpwstr/>
      </vt:variant>
      <vt:variant>
        <vt:i4>7929901</vt:i4>
      </vt:variant>
      <vt:variant>
        <vt:i4>165</vt:i4>
      </vt:variant>
      <vt:variant>
        <vt:i4>0</vt:i4>
      </vt:variant>
      <vt:variant>
        <vt:i4>5</vt:i4>
      </vt:variant>
      <vt:variant>
        <vt:lpwstr>https://myhospitalsapi.aihw.gov.au/api/v1/measure-downloads/myh-ed</vt:lpwstr>
      </vt:variant>
      <vt:variant>
        <vt:lpwstr/>
      </vt:variant>
      <vt:variant>
        <vt:i4>5177438</vt:i4>
      </vt:variant>
      <vt:variant>
        <vt:i4>162</vt:i4>
      </vt:variant>
      <vt:variant>
        <vt:i4>0</vt:i4>
      </vt:variant>
      <vt:variant>
        <vt:i4>5</vt:i4>
      </vt:variant>
      <vt:variant>
        <vt:lpwstr>https://www.aihw.gov.au/reports/hospitals/australias-hospitals-at-a-glance/contents/hospital-activity</vt:lpwstr>
      </vt:variant>
      <vt:variant>
        <vt:lpwstr/>
      </vt:variant>
      <vt:variant>
        <vt:i4>983133</vt:i4>
      </vt:variant>
      <vt:variant>
        <vt:i4>159</vt:i4>
      </vt:variant>
      <vt:variant>
        <vt:i4>0</vt:i4>
      </vt:variant>
      <vt:variant>
        <vt:i4>5</vt:i4>
      </vt:variant>
      <vt:variant>
        <vt:lpwstr>https://www.aihw.gov.au/getmedia/1b305ffc-b7a4-4f80-aa66-d90614c5f8f4/12271.pdf.aspx?inline=true</vt:lpwstr>
      </vt:variant>
      <vt:variant>
        <vt:lpwstr/>
      </vt:variant>
      <vt:variant>
        <vt:i4>4784205</vt:i4>
      </vt:variant>
      <vt:variant>
        <vt:i4>156</vt:i4>
      </vt:variant>
      <vt:variant>
        <vt:i4>0</vt:i4>
      </vt:variant>
      <vt:variant>
        <vt:i4>5</vt:i4>
      </vt:variant>
      <vt:variant>
        <vt:lpwstr>https://www.ama.com.au/articles/ama-ambulance-ramping-report-card</vt:lpwstr>
      </vt:variant>
      <vt:variant>
        <vt:lpwstr/>
      </vt:variant>
      <vt:variant>
        <vt:i4>6750262</vt:i4>
      </vt:variant>
      <vt:variant>
        <vt:i4>153</vt:i4>
      </vt:variant>
      <vt:variant>
        <vt:i4>0</vt:i4>
      </vt:variant>
      <vt:variant>
        <vt:i4>5</vt:i4>
      </vt:variant>
      <vt:variant>
        <vt:lpwstr>https://www.aihw.gov.au/reports-data/myhospitals/sectors/emergency-department-care</vt:lpwstr>
      </vt:variant>
      <vt:variant>
        <vt:lpwstr/>
      </vt:variant>
      <vt:variant>
        <vt:i4>6553653</vt:i4>
      </vt:variant>
      <vt:variant>
        <vt:i4>150</vt:i4>
      </vt:variant>
      <vt:variant>
        <vt:i4>0</vt:i4>
      </vt:variant>
      <vt:variant>
        <vt:i4>5</vt:i4>
      </vt:variant>
      <vt:variant>
        <vt:lpwstr>https://www.aihw.gov.au/getmedia/df0abd15-5dd8-4a56-94fa-c9ab68690e18/aihw-hse-225.pdf?inline=true</vt:lpwstr>
      </vt:variant>
      <vt:variant>
        <vt:lpwstr/>
      </vt:variant>
      <vt:variant>
        <vt:i4>8257658</vt:i4>
      </vt:variant>
      <vt:variant>
        <vt:i4>147</vt:i4>
      </vt:variant>
      <vt:variant>
        <vt:i4>0</vt:i4>
      </vt:variant>
      <vt:variant>
        <vt:i4>5</vt:i4>
      </vt:variant>
      <vt:variant>
        <vt:lpwstr>https://www.aihw.gov.au/reports-data/myhospitals/sectors/admitted-patients</vt:lpwstr>
      </vt:variant>
      <vt:variant>
        <vt:lpwstr/>
      </vt:variant>
      <vt:variant>
        <vt:i4>6094906</vt:i4>
      </vt:variant>
      <vt:variant>
        <vt:i4>144</vt:i4>
      </vt:variant>
      <vt:variant>
        <vt:i4>0</vt:i4>
      </vt:variant>
      <vt:variant>
        <vt:i4>5</vt:i4>
      </vt:variant>
      <vt:variant>
        <vt:lpwstr>https://www.health.gov.au/sites/default/files/2023-05/overview-budget-2023-24_0.pdf</vt:lpwstr>
      </vt:variant>
      <vt:variant>
        <vt:lpwstr/>
      </vt:variant>
      <vt:variant>
        <vt:i4>5832797</vt:i4>
      </vt:variant>
      <vt:variant>
        <vt:i4>141</vt:i4>
      </vt:variant>
      <vt:variant>
        <vt:i4>0</vt:i4>
      </vt:variant>
      <vt:variant>
        <vt:i4>5</vt:i4>
      </vt:variant>
      <vt:variant>
        <vt:lpwstr>https://www.abs.gov.au/statistics/health/health-services/patient-experiences/2021-22</vt:lpwstr>
      </vt:variant>
      <vt:variant>
        <vt:lpwstr/>
      </vt:variant>
      <vt:variant>
        <vt:i4>65617</vt:i4>
      </vt:variant>
      <vt:variant>
        <vt:i4>138</vt:i4>
      </vt:variant>
      <vt:variant>
        <vt:i4>0</vt:i4>
      </vt:variant>
      <vt:variant>
        <vt:i4>5</vt:i4>
      </vt:variant>
      <vt:variant>
        <vt:lpwstr>https://www.health.gov.au/sites/default/files/2023-08/medicare-statistics-per-patient-bulk-billing-dashboard-2022-23.pdf</vt:lpwstr>
      </vt:variant>
      <vt:variant>
        <vt:lpwstr/>
      </vt:variant>
      <vt:variant>
        <vt:i4>4718673</vt:i4>
      </vt:variant>
      <vt:variant>
        <vt:i4>135</vt:i4>
      </vt:variant>
      <vt:variant>
        <vt:i4>0</vt:i4>
      </vt:variant>
      <vt:variant>
        <vt:i4>5</vt:i4>
      </vt:variant>
      <vt:variant>
        <vt:lpwstr>https://www.aihw.gov.au/getmedia/01d88043-31ba-424a-a682-98673783072e/ah16-6-6-indigenous-australians-access-health-services.pdf.aspx</vt:lpwstr>
      </vt:variant>
      <vt:variant>
        <vt:lpwstr/>
      </vt:variant>
      <vt:variant>
        <vt:i4>2818091</vt:i4>
      </vt:variant>
      <vt:variant>
        <vt:i4>132</vt:i4>
      </vt:variant>
      <vt:variant>
        <vt:i4>0</vt:i4>
      </vt:variant>
      <vt:variant>
        <vt:i4>5</vt:i4>
      </vt:variant>
      <vt:variant>
        <vt:lpwstr>https://www.aihw.gov.au/reports/rural-remote-australians/rural-and-remote-health</vt:lpwstr>
      </vt:variant>
      <vt:variant>
        <vt:lpwstr>Access</vt:lpwstr>
      </vt:variant>
      <vt:variant>
        <vt:i4>6946940</vt:i4>
      </vt:variant>
      <vt:variant>
        <vt:i4>129</vt:i4>
      </vt:variant>
      <vt:variant>
        <vt:i4>0</vt:i4>
      </vt:variant>
      <vt:variant>
        <vt:i4>5</vt:i4>
      </vt:variant>
      <vt:variant>
        <vt:lpwstr>https://www.aihw.gov.au/reports/workforce/health-workforce</vt:lpwstr>
      </vt:variant>
      <vt:variant>
        <vt:lpwstr/>
      </vt:variant>
      <vt:variant>
        <vt:i4>1638488</vt:i4>
      </vt:variant>
      <vt:variant>
        <vt:i4>126</vt:i4>
      </vt:variant>
      <vt:variant>
        <vt:i4>0</vt:i4>
      </vt:variant>
      <vt:variant>
        <vt:i4>5</vt:i4>
      </vt:variant>
      <vt:variant>
        <vt:lpwstr>https://www.aihw.gov.au/getmedia/0cbc6c45-b97a-44f7-ad1f-2517a1f0378c/hiamhbrfhsu.pdf?inline=true</vt:lpwstr>
      </vt:variant>
      <vt:variant>
        <vt:lpwstr/>
      </vt:variant>
      <vt:variant>
        <vt:i4>7405611</vt:i4>
      </vt:variant>
      <vt:variant>
        <vt:i4>123</vt:i4>
      </vt:variant>
      <vt:variant>
        <vt:i4>0</vt:i4>
      </vt:variant>
      <vt:variant>
        <vt:i4>5</vt:i4>
      </vt:variant>
      <vt:variant>
        <vt:lpwstr>https://www.abs.gov.au/articles/covid-19-mortality-wave</vt:lpwstr>
      </vt:variant>
      <vt:variant>
        <vt:lpwstr/>
      </vt:variant>
      <vt:variant>
        <vt:i4>1572874</vt:i4>
      </vt:variant>
      <vt:variant>
        <vt:i4>120</vt:i4>
      </vt:variant>
      <vt:variant>
        <vt:i4>0</vt:i4>
      </vt:variant>
      <vt:variant>
        <vt:i4>5</vt:i4>
      </vt:variant>
      <vt:variant>
        <vt:lpwstr>https://www.aihw.gov.au/getmedia/c076f42f-61ea-4348-9c0a-d996353e838f/aihw-bod-22.pdf?inline=true</vt:lpwstr>
      </vt:variant>
      <vt:variant>
        <vt:lpwstr/>
      </vt:variant>
      <vt:variant>
        <vt:i4>7667762</vt:i4>
      </vt:variant>
      <vt:variant>
        <vt:i4>117</vt:i4>
      </vt:variant>
      <vt:variant>
        <vt:i4>0</vt:i4>
      </vt:variant>
      <vt:variant>
        <vt:i4>5</vt:i4>
      </vt:variant>
      <vt:variant>
        <vt:lpwstr>https://www.aihw.gov.au/reports/life-expectancy-deaths/deaths-in-australia/contents/summary</vt:lpwstr>
      </vt:variant>
      <vt:variant>
        <vt:lpwstr/>
      </vt:variant>
      <vt:variant>
        <vt:i4>196700</vt:i4>
      </vt:variant>
      <vt:variant>
        <vt:i4>114</vt:i4>
      </vt:variant>
      <vt:variant>
        <vt:i4>0</vt:i4>
      </vt:variant>
      <vt:variant>
        <vt:i4>5</vt:i4>
      </vt:variant>
      <vt:variant>
        <vt:lpwstr>https://treasury.gov.au/sites/default/files/2023-08/p2023-435150.pdf</vt:lpwstr>
      </vt:variant>
      <vt:variant>
        <vt:lpwstr/>
      </vt:variant>
      <vt:variant>
        <vt:i4>2818096</vt:i4>
      </vt:variant>
      <vt:variant>
        <vt:i4>111</vt:i4>
      </vt:variant>
      <vt:variant>
        <vt:i4>0</vt:i4>
      </vt:variant>
      <vt:variant>
        <vt:i4>5</vt:i4>
      </vt:variant>
      <vt:variant>
        <vt:lpwstr>https://www.aihw.gov.au/getmedia/be95235d-fd4d-4824-9ade-34b7491dd66f/aihw-aus-231.pdf?inline=true</vt:lpwstr>
      </vt:variant>
      <vt:variant>
        <vt:lpwstr/>
      </vt:variant>
      <vt:variant>
        <vt:i4>655382</vt:i4>
      </vt:variant>
      <vt:variant>
        <vt:i4>108</vt:i4>
      </vt:variant>
      <vt:variant>
        <vt:i4>0</vt:i4>
      </vt:variant>
      <vt:variant>
        <vt:i4>5</vt:i4>
      </vt:variant>
      <vt:variant>
        <vt:lpwstr>https://www.abs.gov.au/statistics/health/health-conditions-and-risks/health-conditions-prevalence/2020-21</vt:lpwstr>
      </vt:variant>
      <vt:variant>
        <vt:lpwstr/>
      </vt:variant>
      <vt:variant>
        <vt:i4>7667823</vt:i4>
      </vt:variant>
      <vt:variant>
        <vt:i4>105</vt:i4>
      </vt:variant>
      <vt:variant>
        <vt:i4>0</vt:i4>
      </vt:variant>
      <vt:variant>
        <vt:i4>5</vt:i4>
      </vt:variant>
      <vt:variant>
        <vt:lpwstr>https://www.aihw.gov.au/getmedia/d9ae4bfa-df27-4e3c-9846-ba452bef6ac5/aihw-bod-37.pdf.aspx?inline=true</vt:lpwstr>
      </vt:variant>
      <vt:variant>
        <vt:lpwstr/>
      </vt:variant>
      <vt:variant>
        <vt:i4>4653141</vt:i4>
      </vt:variant>
      <vt:variant>
        <vt:i4>102</vt:i4>
      </vt:variant>
      <vt:variant>
        <vt:i4>0</vt:i4>
      </vt:variant>
      <vt:variant>
        <vt:i4>5</vt:i4>
      </vt:variant>
      <vt:variant>
        <vt:lpwstr>https://www.pc.gov.au/inquiries/completed/productivity-review/report/productivity-review-supporting6.pdf</vt:lpwstr>
      </vt:variant>
      <vt:variant>
        <vt:lpwstr/>
      </vt:variant>
      <vt:variant>
        <vt:i4>1572874</vt:i4>
      </vt:variant>
      <vt:variant>
        <vt:i4>99</vt:i4>
      </vt:variant>
      <vt:variant>
        <vt:i4>0</vt:i4>
      </vt:variant>
      <vt:variant>
        <vt:i4>5</vt:i4>
      </vt:variant>
      <vt:variant>
        <vt:lpwstr>https://www.aihw.gov.au/getmedia/c076f42f-61ea-4348-9c0a-d996353e838f/aihw-bod-22.pdf?inline=true</vt:lpwstr>
      </vt:variant>
      <vt:variant>
        <vt:lpwstr/>
      </vt:variant>
      <vt:variant>
        <vt:i4>2228345</vt:i4>
      </vt:variant>
      <vt:variant>
        <vt:i4>96</vt:i4>
      </vt:variant>
      <vt:variant>
        <vt:i4>0</vt:i4>
      </vt:variant>
      <vt:variant>
        <vt:i4>5</vt:i4>
      </vt:variant>
      <vt:variant>
        <vt:lpwstr>https://www.pc.gov.au/inquiries/completed/productivity-review/report/productivity-reviewsupporting4.pdf</vt:lpwstr>
      </vt:variant>
      <vt:variant>
        <vt:lpwstr/>
      </vt:variant>
      <vt:variant>
        <vt:i4>7929953</vt:i4>
      </vt:variant>
      <vt:variant>
        <vt:i4>93</vt:i4>
      </vt:variant>
      <vt:variant>
        <vt:i4>0</vt:i4>
      </vt:variant>
      <vt:variant>
        <vt:i4>5</vt:i4>
      </vt:variant>
      <vt:variant>
        <vt:lpwstr>https://www.oecdbetterlifeindex.org/topics/health/</vt:lpwstr>
      </vt:variant>
      <vt:variant>
        <vt:lpwstr/>
      </vt:variant>
      <vt:variant>
        <vt:i4>1966167</vt:i4>
      </vt:variant>
      <vt:variant>
        <vt:i4>90</vt:i4>
      </vt:variant>
      <vt:variant>
        <vt:i4>0</vt:i4>
      </vt:variant>
      <vt:variant>
        <vt:i4>5</vt:i4>
      </vt:variant>
      <vt:variant>
        <vt:lpwstr>https://www.commonwealthfund.org/publications/fund-reports/2021/aug/mirror-mirror-2021-reflecting-poorly</vt:lpwstr>
      </vt:variant>
      <vt:variant>
        <vt:lpwstr/>
      </vt:variant>
      <vt:variant>
        <vt:i4>262169</vt:i4>
      </vt:variant>
      <vt:variant>
        <vt:i4>87</vt:i4>
      </vt:variant>
      <vt:variant>
        <vt:i4>0</vt:i4>
      </vt:variant>
      <vt:variant>
        <vt:i4>5</vt:i4>
      </vt:variant>
      <vt:variant>
        <vt:lpwstr>https://www.publichospitalfunding.gov.au/public-hospital-funding-reports</vt:lpwstr>
      </vt:variant>
      <vt:variant>
        <vt:lpwstr/>
      </vt:variant>
      <vt:variant>
        <vt:i4>196700</vt:i4>
      </vt:variant>
      <vt:variant>
        <vt:i4>84</vt:i4>
      </vt:variant>
      <vt:variant>
        <vt:i4>0</vt:i4>
      </vt:variant>
      <vt:variant>
        <vt:i4>5</vt:i4>
      </vt:variant>
      <vt:variant>
        <vt:lpwstr>https://treasury.gov.au/sites/default/files/2023-08/p2023-435150.pdf</vt:lpwstr>
      </vt:variant>
      <vt:variant>
        <vt:lpwstr/>
      </vt:variant>
      <vt:variant>
        <vt:i4>196700</vt:i4>
      </vt:variant>
      <vt:variant>
        <vt:i4>81</vt:i4>
      </vt:variant>
      <vt:variant>
        <vt:i4>0</vt:i4>
      </vt:variant>
      <vt:variant>
        <vt:i4>5</vt:i4>
      </vt:variant>
      <vt:variant>
        <vt:lpwstr>https://treasury.gov.au/sites/default/files/2023-08/p2023-435150.pdf</vt:lpwstr>
      </vt:variant>
      <vt:variant>
        <vt:lpwstr/>
      </vt:variant>
      <vt:variant>
        <vt:i4>5701697</vt:i4>
      </vt:variant>
      <vt:variant>
        <vt:i4>78</vt:i4>
      </vt:variant>
      <vt:variant>
        <vt:i4>0</vt:i4>
      </vt:variant>
      <vt:variant>
        <vt:i4>5</vt:i4>
      </vt:variant>
      <vt:variant>
        <vt:lpwstr>https://www.aihw.gov.au/reports/health-welfare-expenditure/health-expenditure-australia-2020-21/contents/spending-trends-by-sources/government-sources-state-and-territory-government</vt:lpwstr>
      </vt:variant>
      <vt:variant>
        <vt:lpwstr/>
      </vt:variant>
      <vt:variant>
        <vt:i4>3932223</vt:i4>
      </vt:variant>
      <vt:variant>
        <vt:i4>75</vt:i4>
      </vt:variant>
      <vt:variant>
        <vt:i4>0</vt:i4>
      </vt:variant>
      <vt:variant>
        <vt:i4>5</vt:i4>
      </vt:variant>
      <vt:variant>
        <vt:lpwstr>https://www.aihw.gov.au/reports/health-welfare-expenditure/health-expenditure-australia-2020-21/contents/spending-trends-by-sources/government-sources</vt:lpwstr>
      </vt:variant>
      <vt:variant>
        <vt:lpwstr/>
      </vt:variant>
      <vt:variant>
        <vt:i4>5832787</vt:i4>
      </vt:variant>
      <vt:variant>
        <vt:i4>72</vt:i4>
      </vt:variant>
      <vt:variant>
        <vt:i4>0</vt:i4>
      </vt:variant>
      <vt:variant>
        <vt:i4>5</vt:i4>
      </vt:variant>
      <vt:variant>
        <vt:lpwstr>https://data.oecd.org/gga/general-government-spending.htm</vt:lpwstr>
      </vt:variant>
      <vt:variant>
        <vt:lpwstr/>
      </vt:variant>
      <vt:variant>
        <vt:i4>2949183</vt:i4>
      </vt:variant>
      <vt:variant>
        <vt:i4>69</vt:i4>
      </vt:variant>
      <vt:variant>
        <vt:i4>0</vt:i4>
      </vt:variant>
      <vt:variant>
        <vt:i4>5</vt:i4>
      </vt:variant>
      <vt:variant>
        <vt:lpwstr>https://www.aihw.gov.au/reports/health-welfare-expenditure/health-expenditure-australia-2020-21/contents/overview/the-health-sector-relative-to-the-economy</vt:lpwstr>
      </vt:variant>
      <vt:variant>
        <vt:lpwstr/>
      </vt:variant>
      <vt:variant>
        <vt:i4>6488122</vt:i4>
      </vt:variant>
      <vt:variant>
        <vt:i4>66</vt:i4>
      </vt:variant>
      <vt:variant>
        <vt:i4>0</vt:i4>
      </vt:variant>
      <vt:variant>
        <vt:i4>5</vt:i4>
      </vt:variant>
      <vt:variant>
        <vt:lpwstr>https://www.aihw.gov.au/reports/health-welfare-expenditure/health-expenditure-australia-2020-21/contents/about</vt:lpwstr>
      </vt:variant>
      <vt:variant>
        <vt:lpwstr/>
      </vt:variant>
      <vt:variant>
        <vt:i4>4980830</vt:i4>
      </vt:variant>
      <vt:variant>
        <vt:i4>63</vt:i4>
      </vt:variant>
      <vt:variant>
        <vt:i4>0</vt:i4>
      </vt:variant>
      <vt:variant>
        <vt:i4>5</vt:i4>
      </vt:variant>
      <vt:variant>
        <vt:lpwstr>https://www.aihw.gov.au/reports/health-welfare-expenditure/health-expenditure-australia-2020-21/contents/spending-trends-by-areas-of-spending</vt:lpwstr>
      </vt:variant>
      <vt:variant>
        <vt:lpwstr/>
      </vt:variant>
      <vt:variant>
        <vt:i4>1966157</vt:i4>
      </vt:variant>
      <vt:variant>
        <vt:i4>60</vt:i4>
      </vt:variant>
      <vt:variant>
        <vt:i4>0</vt:i4>
      </vt:variant>
      <vt:variant>
        <vt:i4>5</vt:i4>
      </vt:variant>
      <vt:variant>
        <vt:lpwstr>https://www.pc.gov.au/ongoing/report-on-government-services/2019/health/public-hospitals</vt:lpwstr>
      </vt:variant>
      <vt:variant>
        <vt:lpwstr/>
      </vt:variant>
      <vt:variant>
        <vt:i4>7274602</vt:i4>
      </vt:variant>
      <vt:variant>
        <vt:i4>57</vt:i4>
      </vt:variant>
      <vt:variant>
        <vt:i4>0</vt:i4>
      </vt:variant>
      <vt:variant>
        <vt:i4>5</vt:i4>
      </vt:variant>
      <vt:variant>
        <vt:lpwstr>http://www9.health.gov.au/mbs/fullDisplay.cfm?type=item&amp;qt=ItemID&amp;q=23</vt:lpwstr>
      </vt:variant>
      <vt:variant>
        <vt:lpwstr/>
      </vt:variant>
      <vt:variant>
        <vt:i4>7209000</vt:i4>
      </vt:variant>
      <vt:variant>
        <vt:i4>54</vt:i4>
      </vt:variant>
      <vt:variant>
        <vt:i4>0</vt:i4>
      </vt:variant>
      <vt:variant>
        <vt:i4>5</vt:i4>
      </vt:variant>
      <vt:variant>
        <vt:lpwstr>https://www.aihw.gov.au/reports/diagnostic-services/pathology-imaging-and-other-diagnostic-services</vt:lpwstr>
      </vt:variant>
      <vt:variant>
        <vt:lpwstr/>
      </vt:variant>
      <vt:variant>
        <vt:i4>196673</vt:i4>
      </vt:variant>
      <vt:variant>
        <vt:i4>51</vt:i4>
      </vt:variant>
      <vt:variant>
        <vt:i4>0</vt:i4>
      </vt:variant>
      <vt:variant>
        <vt:i4>5</vt:i4>
      </vt:variant>
      <vt:variant>
        <vt:lpwstr>https://www.aihw.gov.au/reports/primary-health-care/medicare-subsidised-gp-allied-health-and-specialis/contents/about</vt:lpwstr>
      </vt:variant>
      <vt:variant>
        <vt:lpwstr/>
      </vt:variant>
      <vt:variant>
        <vt:i4>196673</vt:i4>
      </vt:variant>
      <vt:variant>
        <vt:i4>48</vt:i4>
      </vt:variant>
      <vt:variant>
        <vt:i4>0</vt:i4>
      </vt:variant>
      <vt:variant>
        <vt:i4>5</vt:i4>
      </vt:variant>
      <vt:variant>
        <vt:lpwstr>https://www.aihw.gov.au/reports/primary-health-care/medicare-subsidised-gp-allied-health-and-specialis/contents/about</vt:lpwstr>
      </vt:variant>
      <vt:variant>
        <vt:lpwstr/>
      </vt:variant>
      <vt:variant>
        <vt:i4>6553642</vt:i4>
      </vt:variant>
      <vt:variant>
        <vt:i4>45</vt:i4>
      </vt:variant>
      <vt:variant>
        <vt:i4>0</vt:i4>
      </vt:variant>
      <vt:variant>
        <vt:i4>5</vt:i4>
      </vt:variant>
      <vt:variant>
        <vt:lpwstr>https://www.aihw.gov.au/reports/health-welfare-expenditure/health-expenditure-australia-2020-21/contents/spending-trends-by-areas-of-spending/hospitals</vt:lpwstr>
      </vt:variant>
      <vt:variant>
        <vt:lpwstr/>
      </vt:variant>
      <vt:variant>
        <vt:i4>6553642</vt:i4>
      </vt:variant>
      <vt:variant>
        <vt:i4>42</vt:i4>
      </vt:variant>
      <vt:variant>
        <vt:i4>0</vt:i4>
      </vt:variant>
      <vt:variant>
        <vt:i4>5</vt:i4>
      </vt:variant>
      <vt:variant>
        <vt:lpwstr>https://www.aihw.gov.au/reports/health-welfare-expenditure/health-expenditure-australia-2020-21/contents/spending-trends-by-areas-of-spending/hospitals</vt:lpwstr>
      </vt:variant>
      <vt:variant>
        <vt:lpwstr/>
      </vt:variant>
      <vt:variant>
        <vt:i4>5177438</vt:i4>
      </vt:variant>
      <vt:variant>
        <vt:i4>39</vt:i4>
      </vt:variant>
      <vt:variant>
        <vt:i4>0</vt:i4>
      </vt:variant>
      <vt:variant>
        <vt:i4>5</vt:i4>
      </vt:variant>
      <vt:variant>
        <vt:lpwstr>https://www.aihw.gov.au/reports/hospitals/australias-hospitals-at-a-glance/contents/hospital-activity</vt:lpwstr>
      </vt:variant>
      <vt:variant>
        <vt:lpwstr/>
      </vt:variant>
      <vt:variant>
        <vt:i4>6553643</vt:i4>
      </vt:variant>
      <vt:variant>
        <vt:i4>36</vt:i4>
      </vt:variant>
      <vt:variant>
        <vt:i4>0</vt:i4>
      </vt:variant>
      <vt:variant>
        <vt:i4>5</vt:i4>
      </vt:variant>
      <vt:variant>
        <vt:lpwstr>https://www.abs.gov.au/statistics/health/health-services/private-hospitals-australia/latest-release</vt:lpwstr>
      </vt:variant>
      <vt:variant>
        <vt:lpwstr/>
      </vt:variant>
      <vt:variant>
        <vt:i4>4980830</vt:i4>
      </vt:variant>
      <vt:variant>
        <vt:i4>33</vt:i4>
      </vt:variant>
      <vt:variant>
        <vt:i4>0</vt:i4>
      </vt:variant>
      <vt:variant>
        <vt:i4>5</vt:i4>
      </vt:variant>
      <vt:variant>
        <vt:lpwstr>https://www.aihw.gov.au/reports/health-welfare-expenditure/health-expenditure-australia-2020-21/contents/spending-trends-by-areas-of-spending</vt:lpwstr>
      </vt:variant>
      <vt:variant>
        <vt:lpwstr/>
      </vt:variant>
      <vt:variant>
        <vt:i4>7340153</vt:i4>
      </vt:variant>
      <vt:variant>
        <vt:i4>30</vt:i4>
      </vt:variant>
      <vt:variant>
        <vt:i4>0</vt:i4>
      </vt:variant>
      <vt:variant>
        <vt:i4>5</vt:i4>
      </vt:variant>
      <vt:variant>
        <vt:lpwstr>https://www.aihw.gov.au/reports/health-welfare-expenditure/health-expenditure-australia-2020-21/contents/spending-trends-by-sources</vt:lpwstr>
      </vt:variant>
      <vt:variant>
        <vt:lpwstr/>
      </vt:variant>
      <vt:variant>
        <vt:i4>6815794</vt:i4>
      </vt:variant>
      <vt:variant>
        <vt:i4>27</vt:i4>
      </vt:variant>
      <vt:variant>
        <vt:i4>0</vt:i4>
      </vt:variant>
      <vt:variant>
        <vt:i4>5</vt:i4>
      </vt:variant>
      <vt:variant>
        <vt:lpwstr>https://www.apra.gov.au/register-of-private-health-insurers</vt:lpwstr>
      </vt:variant>
      <vt:variant>
        <vt:lpwstr/>
      </vt:variant>
      <vt:variant>
        <vt:i4>5046290</vt:i4>
      </vt:variant>
      <vt:variant>
        <vt:i4>24</vt:i4>
      </vt:variant>
      <vt:variant>
        <vt:i4>0</vt:i4>
      </vt:variant>
      <vt:variant>
        <vt:i4>5</vt:i4>
      </vt:variant>
      <vt:variant>
        <vt:lpwstr>https://www.tsra.gov.au/__data/assets/pdf_file/0003/34590/TSRA-HCF-Guest-speaker-_-Matt-Cooke-QAIHC.pdf</vt:lpwstr>
      </vt:variant>
      <vt:variant>
        <vt:lpwstr/>
      </vt:variant>
      <vt:variant>
        <vt:i4>7208997</vt:i4>
      </vt:variant>
      <vt:variant>
        <vt:i4>21</vt:i4>
      </vt:variant>
      <vt:variant>
        <vt:i4>0</vt:i4>
      </vt:variant>
      <vt:variant>
        <vt:i4>5</vt:i4>
      </vt:variant>
      <vt:variant>
        <vt:lpwstr>https://www.publichospitalfunding.gov.au/publications/annual-report-2021-22-maintenance-effort</vt:lpwstr>
      </vt:variant>
      <vt:variant>
        <vt:lpwstr/>
      </vt:variant>
      <vt:variant>
        <vt:i4>6684750</vt:i4>
      </vt:variant>
      <vt:variant>
        <vt:i4>18</vt:i4>
      </vt:variant>
      <vt:variant>
        <vt:i4>0</vt:i4>
      </vt:variant>
      <vt:variant>
        <vt:i4>5</vt:i4>
      </vt:variant>
      <vt:variant>
        <vt:lpwstr>https://www.publichospitalfunding.gov.au/sites/default/files/images/documents/nhfp_annual_report_2021-22.pdf</vt:lpwstr>
      </vt:variant>
      <vt:variant>
        <vt:lpwstr/>
      </vt:variant>
      <vt:variant>
        <vt:i4>65625</vt:i4>
      </vt:variant>
      <vt:variant>
        <vt:i4>15</vt:i4>
      </vt:variant>
      <vt:variant>
        <vt:i4>0</vt:i4>
      </vt:variant>
      <vt:variant>
        <vt:i4>5</vt:i4>
      </vt:variant>
      <vt:variant>
        <vt:lpwstr>https://www.publichospitalfunding.gov.au/public-hospital-funding/funding-formula</vt:lpwstr>
      </vt:variant>
      <vt:variant>
        <vt:lpwstr/>
      </vt:variant>
      <vt:variant>
        <vt:i4>7733291</vt:i4>
      </vt:variant>
      <vt:variant>
        <vt:i4>12</vt:i4>
      </vt:variant>
      <vt:variant>
        <vt:i4>0</vt:i4>
      </vt:variant>
      <vt:variant>
        <vt:i4>5</vt:i4>
      </vt:variant>
      <vt:variant>
        <vt:lpwstr>https://www.publichospitalfunding.gov.au/public-hospital-funding/funding-types</vt:lpwstr>
      </vt:variant>
      <vt:variant>
        <vt:lpwstr/>
      </vt:variant>
      <vt:variant>
        <vt:i4>1507397</vt:i4>
      </vt:variant>
      <vt:variant>
        <vt:i4>9</vt:i4>
      </vt:variant>
      <vt:variant>
        <vt:i4>0</vt:i4>
      </vt:variant>
      <vt:variant>
        <vt:i4>5</vt:i4>
      </vt:variant>
      <vt:variant>
        <vt:lpwstr>https://budget.gov.au/content/bp1/download/bp1_2023-24_230727.pdf</vt:lpwstr>
      </vt:variant>
      <vt:variant>
        <vt:lpwstr/>
      </vt:variant>
      <vt:variant>
        <vt:i4>6684750</vt:i4>
      </vt:variant>
      <vt:variant>
        <vt:i4>6</vt:i4>
      </vt:variant>
      <vt:variant>
        <vt:i4>0</vt:i4>
      </vt:variant>
      <vt:variant>
        <vt:i4>5</vt:i4>
      </vt:variant>
      <vt:variant>
        <vt:lpwstr>https://www.publichospitalfunding.gov.au/sites/default/files/images/documents/nhfp_annual_report_2021-22.pdf</vt:lpwstr>
      </vt:variant>
      <vt:variant>
        <vt:lpwstr/>
      </vt:variant>
      <vt:variant>
        <vt:i4>7208997</vt:i4>
      </vt:variant>
      <vt:variant>
        <vt:i4>3</vt:i4>
      </vt:variant>
      <vt:variant>
        <vt:i4>0</vt:i4>
      </vt:variant>
      <vt:variant>
        <vt:i4>5</vt:i4>
      </vt:variant>
      <vt:variant>
        <vt:lpwstr>https://www.publichospitalfunding.gov.au/publications/annual-report-2021-22-maintenance-effort</vt:lpwstr>
      </vt:variant>
      <vt:variant>
        <vt:lpwstr/>
      </vt:variant>
      <vt:variant>
        <vt:i4>6684750</vt:i4>
      </vt:variant>
      <vt:variant>
        <vt:i4>0</vt:i4>
      </vt:variant>
      <vt:variant>
        <vt:i4>0</vt:i4>
      </vt:variant>
      <vt:variant>
        <vt:i4>5</vt:i4>
      </vt:variant>
      <vt:variant>
        <vt:lpwstr>https://www.publichospitalfunding.gov.au/sites/default/files/images/documents/nhfp_annual_report_2021-22.pdf</vt:lpwstr>
      </vt:variant>
      <vt:variant>
        <vt:lpwstr/>
      </vt:variant>
      <vt:variant>
        <vt:i4>6750262</vt:i4>
      </vt:variant>
      <vt:variant>
        <vt:i4>0</vt:i4>
      </vt:variant>
      <vt:variant>
        <vt:i4>0</vt:i4>
      </vt:variant>
      <vt:variant>
        <vt:i4>5</vt:i4>
      </vt:variant>
      <vt:variant>
        <vt:lpwstr>https://www.aihw.gov.au/reports-data/myhospitals/sectors/emergency-department-care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Mid-term Review of the National Health Reform Agreement Addendum 2020-25 Final Report</dc:title>
  <dc:subject>National health reform agreement</dc:subject>
  <dc:creator>Australian Government Department of Health and Aged Care</dc:creator>
  <cp:keywords>National Health Reform Agreement; public hospitals; hospital funding</cp:keywords>
  <cp:revision>3</cp:revision>
  <cp:lastPrinted>2023-12-06T23:47:00Z</cp:lastPrinted>
  <dcterms:created xsi:type="dcterms:W3CDTF">2023-12-06T23:29:00Z</dcterms:created>
  <dcterms:modified xsi:type="dcterms:W3CDTF">2023-12-06T23:59:00Z</dcterms:modified>
</cp:coreProperties>
</file>