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88FEA" w14:textId="77777777" w:rsidR="00B254A9" w:rsidRPr="0088321F" w:rsidRDefault="00B254A9" w:rsidP="00BA6B7A">
      <w:pPr>
        <w:spacing w:line="360" w:lineRule="auto"/>
        <w:jc w:val="center"/>
        <w:rPr>
          <w:rFonts w:asciiTheme="minorHAnsi" w:hAnsiTheme="minorHAnsi" w:cstheme="minorHAnsi"/>
          <w:b/>
          <w:bCs/>
          <w:noProof/>
          <w:u w:val="single"/>
        </w:rPr>
      </w:pPr>
      <w:bookmarkStart w:id="0" w:name="OLE_LINK1"/>
      <w:bookmarkStart w:id="1" w:name="OLE_LINK2"/>
      <w:bookmarkStart w:id="2" w:name="OLE_LINK3"/>
      <w:bookmarkStart w:id="3" w:name="OLE_LINK4"/>
      <w:bookmarkStart w:id="4" w:name="OLE_LINK6"/>
      <w:bookmarkStart w:id="5" w:name="OLE_LINK9"/>
      <w:bookmarkStart w:id="6" w:name="OLE_LINK8"/>
      <w:r w:rsidRPr="0088321F">
        <w:rPr>
          <w:rFonts w:asciiTheme="minorHAnsi" w:hAnsiTheme="minorHAnsi" w:cstheme="minorHAnsi"/>
          <w:b/>
          <w:bCs/>
          <w:noProof/>
          <w:u w:val="single"/>
        </w:rPr>
        <w:t>National Communicable Diseases Surveillance Report</w:t>
      </w:r>
    </w:p>
    <w:p w14:paraId="6F25C8A4" w14:textId="192AC54F" w:rsidR="00807835" w:rsidRPr="0088321F" w:rsidRDefault="00807835" w:rsidP="002A39F5">
      <w:pPr>
        <w:spacing w:line="360" w:lineRule="auto"/>
        <w:jc w:val="center"/>
        <w:rPr>
          <w:rFonts w:asciiTheme="minorHAnsi" w:hAnsiTheme="minorHAnsi" w:cstheme="minorHAnsi"/>
          <w:b/>
          <w:bCs/>
          <w:noProof/>
          <w:u w:val="single"/>
        </w:rPr>
      </w:pPr>
      <w:r w:rsidRPr="0088321F">
        <w:rPr>
          <w:rFonts w:asciiTheme="minorHAnsi" w:hAnsiTheme="minorHAnsi" w:cstheme="minorHAnsi"/>
          <w:b/>
          <w:bCs/>
          <w:noProof/>
          <w:u w:val="single"/>
        </w:rPr>
        <w:t xml:space="preserve">Fortnight </w:t>
      </w:r>
      <w:r w:rsidR="005E187B">
        <w:rPr>
          <w:rFonts w:asciiTheme="minorHAnsi" w:hAnsiTheme="minorHAnsi" w:cstheme="minorHAnsi"/>
          <w:b/>
          <w:bCs/>
          <w:noProof/>
          <w:u w:val="single"/>
        </w:rPr>
        <w:t>2</w:t>
      </w:r>
      <w:r w:rsidR="00776FD4">
        <w:rPr>
          <w:rFonts w:asciiTheme="minorHAnsi" w:hAnsiTheme="minorHAnsi" w:cstheme="minorHAnsi"/>
          <w:b/>
          <w:bCs/>
          <w:noProof/>
          <w:u w:val="single"/>
        </w:rPr>
        <w:t>4</w:t>
      </w:r>
      <w:r w:rsidR="00F816D5">
        <w:rPr>
          <w:rFonts w:asciiTheme="minorHAnsi" w:hAnsiTheme="minorHAnsi" w:cstheme="minorHAnsi"/>
          <w:b/>
          <w:bCs/>
          <w:noProof/>
          <w:u w:val="single"/>
        </w:rPr>
        <w:t>,</w:t>
      </w:r>
      <w:r w:rsidR="003D48B5" w:rsidRPr="0088321F">
        <w:rPr>
          <w:rFonts w:asciiTheme="minorHAnsi" w:hAnsiTheme="minorHAnsi" w:cstheme="minorHAnsi"/>
          <w:b/>
          <w:bCs/>
          <w:noProof/>
          <w:u w:val="single"/>
        </w:rPr>
        <w:t xml:space="preserve"> </w:t>
      </w:r>
      <w:r w:rsidR="00924FC7">
        <w:rPr>
          <w:rFonts w:asciiTheme="minorHAnsi" w:hAnsiTheme="minorHAnsi" w:cstheme="minorHAnsi"/>
          <w:b/>
          <w:bCs/>
          <w:noProof/>
          <w:u w:val="single"/>
        </w:rPr>
        <w:t>202</w:t>
      </w:r>
      <w:r w:rsidR="002D330C">
        <w:rPr>
          <w:rFonts w:asciiTheme="minorHAnsi" w:hAnsiTheme="minorHAnsi" w:cstheme="minorHAnsi"/>
          <w:b/>
          <w:bCs/>
          <w:noProof/>
          <w:u w:val="single"/>
        </w:rPr>
        <w:t>3</w:t>
      </w:r>
      <w:r w:rsidR="00031B33" w:rsidRPr="0088321F">
        <w:rPr>
          <w:rFonts w:asciiTheme="minorHAnsi" w:hAnsiTheme="minorHAnsi" w:cstheme="minorHAnsi"/>
          <w:b/>
          <w:bCs/>
          <w:noProof/>
          <w:u w:val="single"/>
        </w:rPr>
        <w:t xml:space="preserve"> </w:t>
      </w:r>
      <w:r w:rsidRPr="0088321F">
        <w:rPr>
          <w:rFonts w:asciiTheme="minorHAnsi" w:hAnsiTheme="minorHAnsi" w:cstheme="minorHAnsi"/>
          <w:b/>
          <w:bCs/>
          <w:noProof/>
          <w:u w:val="single"/>
        </w:rPr>
        <w:t>Summary Notes</w:t>
      </w:r>
      <w:r w:rsidR="00EB26EC" w:rsidRPr="0088321F">
        <w:rPr>
          <w:rFonts w:asciiTheme="minorHAnsi" w:hAnsiTheme="minorHAnsi" w:cstheme="minorHAnsi"/>
          <w:b/>
          <w:bCs/>
          <w:noProof/>
          <w:u w:val="single"/>
        </w:rPr>
        <w:t xml:space="preserve"> for Selected Diseases</w:t>
      </w:r>
    </w:p>
    <w:p w14:paraId="178F241B" w14:textId="0D931E46" w:rsidR="00807835" w:rsidRPr="0088321F" w:rsidRDefault="00776FD4" w:rsidP="005254A9">
      <w:pPr>
        <w:pStyle w:val="Heading1"/>
        <w:jc w:val="center"/>
        <w:rPr>
          <w:rFonts w:asciiTheme="minorHAnsi" w:hAnsiTheme="minorHAnsi" w:cstheme="minorHAnsi"/>
          <w:sz w:val="24"/>
          <w:szCs w:val="24"/>
          <w:u w:val="single"/>
        </w:rPr>
      </w:pPr>
      <w:r>
        <w:rPr>
          <w:rFonts w:asciiTheme="minorHAnsi" w:hAnsiTheme="minorHAnsi" w:cstheme="minorHAnsi"/>
          <w:sz w:val="24"/>
          <w:szCs w:val="24"/>
          <w:u w:val="single"/>
        </w:rPr>
        <w:t>13</w:t>
      </w:r>
      <w:r w:rsidR="002F1D15">
        <w:rPr>
          <w:rFonts w:asciiTheme="minorHAnsi" w:hAnsiTheme="minorHAnsi" w:cstheme="minorHAnsi"/>
          <w:sz w:val="24"/>
          <w:szCs w:val="24"/>
          <w:u w:val="single"/>
        </w:rPr>
        <w:t xml:space="preserve"> </w:t>
      </w:r>
      <w:r>
        <w:rPr>
          <w:rFonts w:asciiTheme="minorHAnsi" w:hAnsiTheme="minorHAnsi" w:cstheme="minorHAnsi"/>
          <w:sz w:val="24"/>
          <w:szCs w:val="24"/>
          <w:u w:val="single"/>
        </w:rPr>
        <w:t>November</w:t>
      </w:r>
      <w:r w:rsidR="00433EB5">
        <w:rPr>
          <w:rFonts w:asciiTheme="minorHAnsi" w:hAnsiTheme="minorHAnsi" w:cstheme="minorHAnsi"/>
          <w:sz w:val="24"/>
          <w:szCs w:val="24"/>
          <w:u w:val="single"/>
        </w:rPr>
        <w:t xml:space="preserve"> </w:t>
      </w:r>
      <w:r w:rsidR="00082C5E">
        <w:rPr>
          <w:rFonts w:asciiTheme="minorHAnsi" w:hAnsiTheme="minorHAnsi" w:cstheme="minorHAnsi"/>
          <w:sz w:val="24"/>
          <w:szCs w:val="24"/>
          <w:u w:val="single"/>
        </w:rPr>
        <w:t>202</w:t>
      </w:r>
      <w:r w:rsidR="00352861">
        <w:rPr>
          <w:rFonts w:asciiTheme="minorHAnsi" w:hAnsiTheme="minorHAnsi" w:cstheme="minorHAnsi"/>
          <w:sz w:val="24"/>
          <w:szCs w:val="24"/>
          <w:u w:val="single"/>
        </w:rPr>
        <w:t>3</w:t>
      </w:r>
      <w:r w:rsidR="0082527C">
        <w:rPr>
          <w:rFonts w:asciiTheme="minorHAnsi" w:hAnsiTheme="minorHAnsi" w:cstheme="minorHAnsi"/>
          <w:sz w:val="24"/>
          <w:szCs w:val="24"/>
          <w:u w:val="single"/>
        </w:rPr>
        <w:t xml:space="preserve"> </w:t>
      </w:r>
      <w:r w:rsidR="00CA37B4">
        <w:rPr>
          <w:rFonts w:asciiTheme="minorHAnsi" w:hAnsiTheme="minorHAnsi" w:cstheme="minorHAnsi"/>
          <w:sz w:val="24"/>
          <w:szCs w:val="24"/>
          <w:u w:val="single"/>
        </w:rPr>
        <w:t xml:space="preserve">to </w:t>
      </w:r>
      <w:r>
        <w:rPr>
          <w:rFonts w:asciiTheme="minorHAnsi" w:hAnsiTheme="minorHAnsi" w:cstheme="minorHAnsi"/>
          <w:sz w:val="24"/>
          <w:szCs w:val="24"/>
          <w:u w:val="single"/>
        </w:rPr>
        <w:t>26</w:t>
      </w:r>
      <w:r w:rsidR="00A97013">
        <w:rPr>
          <w:rFonts w:asciiTheme="minorHAnsi" w:hAnsiTheme="minorHAnsi" w:cstheme="minorHAnsi"/>
          <w:sz w:val="24"/>
          <w:szCs w:val="24"/>
          <w:u w:val="single"/>
        </w:rPr>
        <w:t xml:space="preserve"> </w:t>
      </w:r>
      <w:r w:rsidR="00F62B26">
        <w:rPr>
          <w:rFonts w:asciiTheme="minorHAnsi" w:hAnsiTheme="minorHAnsi" w:cstheme="minorHAnsi"/>
          <w:sz w:val="24"/>
          <w:szCs w:val="24"/>
          <w:u w:val="single"/>
        </w:rPr>
        <w:t>November</w:t>
      </w:r>
      <w:r w:rsidR="00924FC7">
        <w:rPr>
          <w:rFonts w:asciiTheme="minorHAnsi" w:hAnsiTheme="minorHAnsi" w:cstheme="minorHAnsi"/>
          <w:sz w:val="24"/>
          <w:szCs w:val="24"/>
          <w:u w:val="single"/>
        </w:rPr>
        <w:t xml:space="preserve"> 202</w:t>
      </w:r>
      <w:r w:rsidR="002D330C">
        <w:rPr>
          <w:rFonts w:asciiTheme="minorHAnsi" w:hAnsiTheme="minorHAnsi" w:cstheme="minorHAnsi"/>
          <w:sz w:val="24"/>
          <w:szCs w:val="24"/>
          <w:u w:val="single"/>
        </w:rPr>
        <w:t>3</w:t>
      </w:r>
    </w:p>
    <w:bookmarkEnd w:id="0"/>
    <w:bookmarkEnd w:id="1"/>
    <w:bookmarkEnd w:id="2"/>
    <w:p w14:paraId="21A994E5" w14:textId="59CD3FD1" w:rsidR="007E5662" w:rsidRDefault="007E5662" w:rsidP="00064B2A">
      <w:pPr>
        <w:autoSpaceDE w:val="0"/>
        <w:autoSpaceDN w:val="0"/>
        <w:rPr>
          <w:rFonts w:asciiTheme="minorHAnsi" w:hAnsiTheme="minorHAnsi" w:cstheme="minorHAnsi"/>
          <w:b/>
          <w:bCs/>
          <w:color w:val="000000"/>
          <w:u w:val="single"/>
        </w:rPr>
      </w:pPr>
    </w:p>
    <w:p w14:paraId="3F0FD3F4" w14:textId="77777777" w:rsidR="00776FD4" w:rsidRPr="002C667F" w:rsidRDefault="00776FD4" w:rsidP="00776FD4">
      <w:pPr>
        <w:autoSpaceDE w:val="0"/>
        <w:autoSpaceDN w:val="0"/>
        <w:rPr>
          <w:rFonts w:asciiTheme="minorHAnsi" w:hAnsiTheme="minorHAnsi" w:cstheme="minorHAnsi"/>
          <w:b/>
          <w:bCs/>
          <w:color w:val="000000"/>
          <w:sz w:val="22"/>
          <w:szCs w:val="22"/>
          <w:u w:val="single"/>
        </w:rPr>
      </w:pPr>
      <w:r w:rsidRPr="002C667F">
        <w:rPr>
          <w:rFonts w:asciiTheme="minorHAnsi" w:hAnsiTheme="minorHAnsi" w:cstheme="minorHAnsi"/>
          <w:b/>
          <w:bCs/>
          <w:sz w:val="22"/>
          <w:szCs w:val="22"/>
          <w:u w:val="single"/>
        </w:rPr>
        <w:t>Crypto</w:t>
      </w:r>
      <w:r w:rsidRPr="002C667F">
        <w:rPr>
          <w:rFonts w:asciiTheme="minorHAnsi" w:hAnsiTheme="minorHAnsi" w:cstheme="minorHAnsi"/>
          <w:b/>
          <w:bCs/>
          <w:color w:val="000000"/>
          <w:sz w:val="22"/>
          <w:szCs w:val="22"/>
          <w:u w:val="single"/>
        </w:rPr>
        <w:t>sporidiosis</w:t>
      </w:r>
    </w:p>
    <w:p w14:paraId="5D430B69" w14:textId="77777777" w:rsidR="00776FD4" w:rsidRPr="002C667F" w:rsidRDefault="00776FD4" w:rsidP="00776FD4">
      <w:pPr>
        <w:pStyle w:val="xmsonormal"/>
        <w:shd w:val="clear" w:color="auto" w:fill="FFFFFF"/>
        <w:rPr>
          <w:rFonts w:asciiTheme="minorHAnsi" w:eastAsia="Times New Roman" w:hAnsiTheme="minorHAnsi" w:cstheme="minorHAnsi"/>
          <w:color w:val="000000"/>
        </w:rPr>
      </w:pPr>
      <w:r w:rsidRPr="002C667F">
        <w:rPr>
          <w:rFonts w:asciiTheme="minorHAnsi" w:eastAsia="Times New Roman" w:hAnsiTheme="minorHAnsi" w:cstheme="minorHAnsi"/>
          <w:color w:val="000000"/>
        </w:rPr>
        <w:t xml:space="preserve">Cryptosporidiosis is a parasitic infection that commonly presents as gastroenteritis. In the past 12 months (27 November 2022 – 26 November 2023), there have been 3,083 cases of cryptosporidiosis reported to the National Notifiable Diseases Surveillance System (NNDSS), which is 1.26 times higher than the historical five-year mean (n=2,435). In the past 3 months (29 August 2023 – 26 November 2023), there have been 1,042 cases of cryptosporidiosis reported to the NNDSS, which is 2.4 times higher than the historical five-year mean for this period (n=434). The increase in notifications in the past 3 months is largely driven by higher notifications in NSW, </w:t>
      </w:r>
      <w:proofErr w:type="gramStart"/>
      <w:r w:rsidRPr="002C667F">
        <w:rPr>
          <w:rFonts w:asciiTheme="minorHAnsi" w:eastAsia="Times New Roman" w:hAnsiTheme="minorHAnsi" w:cstheme="minorHAnsi"/>
          <w:color w:val="000000"/>
        </w:rPr>
        <w:t>QLD</w:t>
      </w:r>
      <w:proofErr w:type="gramEnd"/>
      <w:r w:rsidRPr="002C667F">
        <w:rPr>
          <w:rFonts w:asciiTheme="minorHAnsi" w:eastAsia="Times New Roman" w:hAnsiTheme="minorHAnsi" w:cstheme="minorHAnsi"/>
          <w:color w:val="000000"/>
        </w:rPr>
        <w:t xml:space="preserve"> and VIC. In this reporting period (13 November – 26 November 2023) 226 cases of cryptosporidiosis have been notified (80 in QLD, 70 in NSW, 39 in VIC, 13 in SA, 13 in WA, 5 in NT, 4 in ACT, 2 in ACT), bringing the total number of cases reported year to date (YTD) to 2,931.</w:t>
      </w:r>
    </w:p>
    <w:p w14:paraId="32161BA7" w14:textId="152FB0A2" w:rsidR="00776FD4" w:rsidRDefault="00776FD4" w:rsidP="00064B2A">
      <w:pPr>
        <w:autoSpaceDE w:val="0"/>
        <w:autoSpaceDN w:val="0"/>
        <w:rPr>
          <w:rFonts w:asciiTheme="minorHAnsi" w:hAnsiTheme="minorHAnsi" w:cstheme="minorHAnsi"/>
          <w:b/>
          <w:bCs/>
          <w:color w:val="000000"/>
          <w:u w:val="single"/>
        </w:rPr>
      </w:pPr>
    </w:p>
    <w:p w14:paraId="6968E245" w14:textId="34C5C1D3" w:rsidR="00064B2A" w:rsidRPr="00064B2A" w:rsidRDefault="00064B2A" w:rsidP="00064B2A">
      <w:pPr>
        <w:autoSpaceDE w:val="0"/>
        <w:autoSpaceDN w:val="0"/>
        <w:rPr>
          <w:rFonts w:asciiTheme="minorHAnsi" w:hAnsiTheme="minorHAnsi" w:cstheme="minorHAnsi"/>
          <w:b/>
          <w:bCs/>
          <w:color w:val="000000"/>
          <w:u w:val="single"/>
        </w:rPr>
      </w:pPr>
      <w:r w:rsidRPr="00064B2A">
        <w:rPr>
          <w:rFonts w:asciiTheme="minorHAnsi" w:hAnsiTheme="minorHAnsi" w:cstheme="minorHAnsi"/>
          <w:b/>
          <w:bCs/>
          <w:color w:val="000000"/>
          <w:u w:val="single"/>
        </w:rPr>
        <w:t>Infectious and congenital syphilis</w:t>
      </w:r>
    </w:p>
    <w:p w14:paraId="3F2C4C76"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Increases in infectious syphilis notifications are attributed to an on-going outbreak occurring in Aboriginal and Torres Strait Islander people residing in northern and central Australia, continued increases among men who have sex with men (MSM) in urban areas, and increases in women (Aboriginal and Torres Strait Islander and non-Indigenous) predominately residing in urban areas of Australia. </w:t>
      </w:r>
    </w:p>
    <w:p w14:paraId="217E2921" w14:textId="77777777" w:rsidR="00251640" w:rsidRPr="00251640" w:rsidRDefault="00251640" w:rsidP="00251640">
      <w:pPr>
        <w:autoSpaceDE w:val="0"/>
        <w:autoSpaceDN w:val="0"/>
        <w:rPr>
          <w:rFonts w:asciiTheme="minorHAnsi" w:hAnsiTheme="minorHAnsi" w:cstheme="minorHAnsi"/>
          <w:color w:val="000000"/>
        </w:rPr>
      </w:pPr>
    </w:p>
    <w:p w14:paraId="0D85AB71"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i/>
          <w:iCs/>
          <w:color w:val="000000"/>
        </w:rPr>
        <w:t xml:space="preserve">Syphilis response </w:t>
      </w:r>
    </w:p>
    <w:p w14:paraId="5C0EBE3A" w14:textId="5AB5B36A"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On 23 March 2021, the Australian Health Protection Principal Committee (AHPPC) endorsed the </w:t>
      </w:r>
      <w:hyperlink r:id="rId8" w:history="1">
        <w:r w:rsidR="00576615" w:rsidRPr="00576615">
          <w:rPr>
            <w:rStyle w:val="Hyperlink"/>
            <w:rFonts w:asciiTheme="minorHAnsi" w:hAnsiTheme="minorHAnsi" w:cstheme="minorHAnsi"/>
            <w:i/>
            <w:iCs/>
          </w:rPr>
          <w:t>National strategic approach for responding to rising rates of syphilis in Australia</w:t>
        </w:r>
      </w:hyperlink>
      <w:r w:rsidR="00576615" w:rsidRPr="00576615">
        <w:rPr>
          <w:rFonts w:asciiTheme="minorHAnsi" w:hAnsiTheme="minorHAnsi" w:cstheme="minorHAnsi"/>
          <w:i/>
          <w:iCs/>
          <w:color w:val="000000"/>
        </w:rPr>
        <w:t xml:space="preserve"> </w:t>
      </w:r>
      <w:r w:rsidRPr="00251640">
        <w:rPr>
          <w:rFonts w:asciiTheme="minorHAnsi" w:hAnsiTheme="minorHAnsi" w:cstheme="minorHAnsi"/>
          <w:i/>
          <w:iCs/>
          <w:color w:val="000000"/>
        </w:rPr>
        <w:t xml:space="preserve">2021 </w:t>
      </w:r>
      <w:r w:rsidRPr="00251640">
        <w:rPr>
          <w:rFonts w:asciiTheme="minorHAnsi" w:hAnsiTheme="minorHAnsi" w:cstheme="minorHAnsi"/>
          <w:color w:val="000000"/>
        </w:rPr>
        <w:t xml:space="preserve">(Strategic Approach) prepared through the Communicable Diseases Network Australia (CDNA) and BBV STI Standing Committee (BBVSS). The Strategic Approach builds on and intersects with existing national activities related to syphilis and provides specific focus for efforts towards rising rates of syphilis and adverse outcomes in Australia. </w:t>
      </w:r>
    </w:p>
    <w:p w14:paraId="3CA4AF68" w14:textId="77777777" w:rsidR="00251640" w:rsidRPr="00251640" w:rsidRDefault="00251640" w:rsidP="00251640">
      <w:pPr>
        <w:autoSpaceDE w:val="0"/>
        <w:autoSpaceDN w:val="0"/>
        <w:rPr>
          <w:rFonts w:asciiTheme="minorHAnsi" w:hAnsiTheme="minorHAnsi" w:cstheme="minorHAnsi"/>
          <w:color w:val="000000"/>
        </w:rPr>
      </w:pPr>
    </w:p>
    <w:p w14:paraId="14E9F7AF"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The CDNA and BBVSS are, in collaboration, developing priority public health actions, including those related to workforce and community engagement, to ensure progress is made towards reducing the incidence of syphilis and elimination of congenital syphilis in Australia. </w:t>
      </w:r>
    </w:p>
    <w:p w14:paraId="6ECFB250" w14:textId="77777777" w:rsidR="00251640" w:rsidRPr="00251640" w:rsidRDefault="00251640" w:rsidP="00251640">
      <w:pPr>
        <w:autoSpaceDE w:val="0"/>
        <w:autoSpaceDN w:val="0"/>
        <w:rPr>
          <w:rFonts w:asciiTheme="minorHAnsi" w:hAnsiTheme="minorHAnsi" w:cstheme="minorHAnsi"/>
          <w:color w:val="000000"/>
        </w:rPr>
      </w:pPr>
    </w:p>
    <w:p w14:paraId="30F89AAE" w14:textId="77777777" w:rsidR="00251640" w:rsidRPr="00251640" w:rsidRDefault="00251640" w:rsidP="00251640">
      <w:pPr>
        <w:autoSpaceDE w:val="0"/>
        <w:autoSpaceDN w:val="0"/>
        <w:rPr>
          <w:rFonts w:asciiTheme="minorHAnsi" w:hAnsiTheme="minorHAnsi" w:cstheme="minorHAnsi"/>
          <w:color w:val="000000"/>
        </w:rPr>
      </w:pPr>
      <w:r w:rsidRPr="00251640">
        <w:rPr>
          <w:rFonts w:asciiTheme="minorHAnsi" w:hAnsiTheme="minorHAnsi" w:cstheme="minorHAnsi"/>
          <w:color w:val="000000"/>
        </w:rPr>
        <w:t xml:space="preserve">For further information on national activities related to syphilis refer to the Department’s website </w:t>
      </w:r>
      <w:hyperlink r:id="rId9" w:history="1">
        <w:r w:rsidRPr="00251640">
          <w:rPr>
            <w:rStyle w:val="Hyperlink"/>
            <w:rFonts w:asciiTheme="minorHAnsi" w:hAnsiTheme="minorHAnsi" w:cstheme="minorHAnsi"/>
          </w:rPr>
          <w:t>https://www1.health.gov.au/internet/main/publishing.nsf/Content/ohp-syphilis.htm</w:t>
        </w:r>
      </w:hyperlink>
      <w:r w:rsidRPr="00251640">
        <w:rPr>
          <w:rFonts w:asciiTheme="minorHAnsi" w:hAnsiTheme="minorHAnsi" w:cstheme="minorHAnsi"/>
          <w:color w:val="000000"/>
        </w:rPr>
        <w:t xml:space="preserve"> </w:t>
      </w:r>
    </w:p>
    <w:p w14:paraId="2E341299" w14:textId="5C19B185" w:rsidR="00064B2A" w:rsidRDefault="00064B2A" w:rsidP="00064B2A">
      <w:pPr>
        <w:autoSpaceDE w:val="0"/>
        <w:autoSpaceDN w:val="0"/>
        <w:rPr>
          <w:rFonts w:asciiTheme="minorHAnsi" w:hAnsiTheme="minorHAnsi" w:cstheme="minorHAnsi"/>
          <w:color w:val="0563C2"/>
          <w:sz w:val="23"/>
          <w:szCs w:val="23"/>
        </w:rPr>
      </w:pPr>
    </w:p>
    <w:p w14:paraId="15978A89" w14:textId="77777777" w:rsidR="00C37A92" w:rsidRPr="0088321F" w:rsidRDefault="00C37A92" w:rsidP="00C37A92">
      <w:pPr>
        <w:keepNext/>
        <w:outlineLvl w:val="0"/>
        <w:rPr>
          <w:rFonts w:asciiTheme="minorHAnsi" w:hAnsiTheme="minorHAnsi" w:cstheme="minorHAnsi"/>
          <w:b/>
          <w:i/>
          <w:sz w:val="16"/>
          <w:szCs w:val="16"/>
          <w:u w:val="single"/>
        </w:rPr>
      </w:pPr>
      <w:r w:rsidRPr="0088321F">
        <w:rPr>
          <w:rFonts w:asciiTheme="minorHAnsi" w:hAnsiTheme="minorHAnsi" w:cstheme="minorHAnsi"/>
          <w:b/>
          <w:i/>
          <w:sz w:val="16"/>
          <w:szCs w:val="16"/>
          <w:u w:val="single"/>
        </w:rPr>
        <w:t xml:space="preserve">Interpretative Notes </w:t>
      </w:r>
    </w:p>
    <w:bookmarkEnd w:id="3"/>
    <w:bookmarkEnd w:id="4"/>
    <w:bookmarkEnd w:id="5"/>
    <w:bookmarkEnd w:id="6"/>
    <w:p w14:paraId="71AA7033" w14:textId="77777777" w:rsidR="00017515" w:rsidRPr="0088321F" w:rsidRDefault="00017515" w:rsidP="00017515">
      <w:pPr>
        <w:spacing w:after="120"/>
        <w:rPr>
          <w:rFonts w:asciiTheme="minorHAnsi" w:hAnsiTheme="minorHAnsi" w:cstheme="minorHAnsi"/>
          <w:i/>
          <w:sz w:val="16"/>
          <w:szCs w:val="16"/>
        </w:rPr>
      </w:pPr>
      <w:r w:rsidRPr="0088321F">
        <w:rPr>
          <w:rFonts w:asciiTheme="minorHAnsi" w:hAnsiTheme="minorHAnsi" w:cstheme="minorHAnsi"/>
          <w:i/>
          <w:color w:val="000000"/>
          <w:sz w:val="16"/>
          <w:szCs w:val="16"/>
        </w:rPr>
        <w:t xml:space="preserve">Selected diseases are chosen each fortnight based on either exceeding two standard deviations from the 90 day and/or </w:t>
      </w:r>
      <w:proofErr w:type="gramStart"/>
      <w:r w:rsidRPr="0088321F">
        <w:rPr>
          <w:rFonts w:asciiTheme="minorHAnsi" w:hAnsiTheme="minorHAnsi" w:cstheme="minorHAnsi"/>
          <w:i/>
          <w:color w:val="000000"/>
          <w:sz w:val="16"/>
          <w:szCs w:val="16"/>
        </w:rPr>
        <w:t>365 day</w:t>
      </w:r>
      <w:proofErr w:type="gramEnd"/>
      <w:r w:rsidRPr="0088321F">
        <w:rPr>
          <w:rFonts w:asciiTheme="minorHAnsi" w:hAnsiTheme="minorHAnsi" w:cstheme="minorHAnsi"/>
          <w:i/>
          <w:color w:val="000000"/>
          <w:sz w:val="16"/>
          <w:szCs w:val="16"/>
        </w:rPr>
        <w:t xml:space="preserve"> five year rolling mean or other disease issues of significance identified during the reporting period.  </w:t>
      </w:r>
      <w:r w:rsidRPr="0088321F">
        <w:rPr>
          <w:rFonts w:asciiTheme="minorHAnsi" w:hAnsiTheme="minorHAnsi" w:cstheme="minorHAnsi"/>
          <w:i/>
          <w:sz w:val="16"/>
          <w:szCs w:val="16"/>
        </w:rPr>
        <w:t>All diseases reported are analysed by notification receive date.  Data are extracted each Monday of a CDNA week.</w:t>
      </w:r>
    </w:p>
    <w:p w14:paraId="329F4AD7" w14:textId="77777777" w:rsidR="00017515" w:rsidRPr="0088321F" w:rsidRDefault="00017515" w:rsidP="00017515">
      <w:pPr>
        <w:autoSpaceDE w:val="0"/>
        <w:autoSpaceDN w:val="0"/>
        <w:adjustRightInd w:val="0"/>
        <w:spacing w:after="120"/>
        <w:rPr>
          <w:rFonts w:asciiTheme="minorHAnsi" w:hAnsiTheme="minorHAnsi" w:cstheme="minorHAnsi"/>
          <w:i/>
          <w:iCs/>
          <w:color w:val="000000"/>
          <w:sz w:val="16"/>
          <w:szCs w:val="16"/>
        </w:rPr>
      </w:pPr>
      <w:r w:rsidRPr="0088321F">
        <w:rPr>
          <w:rFonts w:asciiTheme="minorHAnsi" w:hAnsiTheme="minorHAnsi" w:cstheme="minorHAnsi"/>
          <w:i/>
          <w:iCs/>
          <w:color w:val="000000"/>
          <w:sz w:val="16"/>
          <w:szCs w:val="16"/>
        </w:rPr>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42459014"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1</w:t>
      </w:r>
      <w:r w:rsidRPr="0088321F">
        <w:rPr>
          <w:rFonts w:asciiTheme="minorHAnsi" w:hAnsiTheme="minorHAnsi" w:cstheme="minorHAnsi"/>
          <w:i/>
          <w:sz w:val="16"/>
          <w:szCs w:val="16"/>
        </w:rPr>
        <w:t>The past quarter (90 day) surveillance period includes the date range (</w:t>
      </w:r>
      <w:r w:rsidR="00876E12">
        <w:rPr>
          <w:rFonts w:asciiTheme="minorHAnsi" w:hAnsiTheme="minorHAnsi" w:cstheme="minorHAnsi"/>
          <w:i/>
          <w:sz w:val="16"/>
          <w:szCs w:val="16"/>
        </w:rPr>
        <w:t>29</w:t>
      </w:r>
      <w:r w:rsidR="0081611F" w:rsidRPr="0088321F">
        <w:rPr>
          <w:rFonts w:asciiTheme="minorHAnsi" w:hAnsiTheme="minorHAnsi" w:cstheme="minorHAnsi"/>
          <w:i/>
          <w:sz w:val="16"/>
          <w:szCs w:val="16"/>
        </w:rPr>
        <w:t>/</w:t>
      </w:r>
      <w:r w:rsidR="00E8363C">
        <w:rPr>
          <w:rFonts w:asciiTheme="minorHAnsi" w:hAnsiTheme="minorHAnsi" w:cstheme="minorHAnsi"/>
          <w:i/>
          <w:sz w:val="16"/>
          <w:szCs w:val="16"/>
        </w:rPr>
        <w:t>0</w:t>
      </w:r>
      <w:r w:rsidR="005B4CD0">
        <w:rPr>
          <w:rFonts w:asciiTheme="minorHAnsi" w:hAnsiTheme="minorHAnsi" w:cstheme="minorHAnsi"/>
          <w:i/>
          <w:sz w:val="16"/>
          <w:szCs w:val="16"/>
        </w:rPr>
        <w:t>8</w:t>
      </w:r>
      <w:r w:rsidR="0081611F" w:rsidRPr="0088321F">
        <w:rPr>
          <w:rFonts w:asciiTheme="minorHAnsi" w:hAnsiTheme="minorHAnsi" w:cstheme="minorHAnsi"/>
          <w:i/>
          <w:sz w:val="16"/>
          <w:szCs w:val="16"/>
        </w:rPr>
        <w:t>/20</w:t>
      </w:r>
      <w:r w:rsidR="007F67BA">
        <w:rPr>
          <w:rFonts w:asciiTheme="minorHAnsi" w:hAnsiTheme="minorHAnsi" w:cstheme="minorHAnsi"/>
          <w:i/>
          <w:sz w:val="16"/>
          <w:szCs w:val="16"/>
        </w:rPr>
        <w:t>2</w:t>
      </w:r>
      <w:r w:rsidR="00E8363C">
        <w:rPr>
          <w:rFonts w:asciiTheme="minorHAnsi" w:hAnsiTheme="minorHAnsi" w:cstheme="minorHAnsi"/>
          <w:i/>
          <w:sz w:val="16"/>
          <w:szCs w:val="16"/>
        </w:rPr>
        <w:t>3</w:t>
      </w:r>
      <w:r w:rsidR="0081611F" w:rsidRPr="0088321F">
        <w:rPr>
          <w:rFonts w:asciiTheme="minorHAnsi" w:hAnsiTheme="minorHAnsi" w:cstheme="minorHAnsi"/>
          <w:i/>
          <w:sz w:val="16"/>
          <w:szCs w:val="16"/>
        </w:rPr>
        <w:t xml:space="preserve"> to</w:t>
      </w:r>
      <w:r w:rsidR="005F4765" w:rsidRPr="0088321F">
        <w:rPr>
          <w:rFonts w:asciiTheme="minorHAnsi" w:hAnsiTheme="minorHAnsi" w:cstheme="minorHAnsi"/>
          <w:i/>
          <w:sz w:val="16"/>
          <w:szCs w:val="16"/>
        </w:rPr>
        <w:t xml:space="preserve"> </w:t>
      </w:r>
      <w:r w:rsidR="00876E12">
        <w:rPr>
          <w:rFonts w:asciiTheme="minorHAnsi" w:hAnsiTheme="minorHAnsi" w:cstheme="minorHAnsi"/>
          <w:i/>
          <w:sz w:val="16"/>
          <w:szCs w:val="16"/>
        </w:rPr>
        <w:t>26</w:t>
      </w:r>
      <w:r w:rsidR="00270632" w:rsidRPr="0088321F">
        <w:rPr>
          <w:rFonts w:asciiTheme="minorHAnsi" w:hAnsiTheme="minorHAnsi" w:cstheme="minorHAnsi"/>
          <w:i/>
          <w:sz w:val="16"/>
          <w:szCs w:val="16"/>
        </w:rPr>
        <w:t>/</w:t>
      </w:r>
      <w:r w:rsidR="00AF52D0">
        <w:rPr>
          <w:rFonts w:asciiTheme="minorHAnsi" w:hAnsiTheme="minorHAnsi" w:cstheme="minorHAnsi"/>
          <w:i/>
          <w:sz w:val="16"/>
          <w:szCs w:val="16"/>
        </w:rPr>
        <w:t>1</w:t>
      </w:r>
      <w:r w:rsidR="00F62B26">
        <w:rPr>
          <w:rFonts w:asciiTheme="minorHAnsi" w:hAnsiTheme="minorHAnsi" w:cstheme="minorHAnsi"/>
          <w:i/>
          <w:sz w:val="16"/>
          <w:szCs w:val="16"/>
        </w:rPr>
        <w:t>1</w:t>
      </w:r>
      <w:r w:rsidR="009C1059">
        <w:rPr>
          <w:rFonts w:asciiTheme="minorHAnsi" w:hAnsiTheme="minorHAnsi" w:cstheme="minorHAnsi"/>
          <w:i/>
          <w:sz w:val="16"/>
          <w:szCs w:val="16"/>
        </w:rPr>
        <w:t>/202</w:t>
      </w:r>
      <w:r w:rsidR="002D330C">
        <w:rPr>
          <w:rFonts w:asciiTheme="minorHAnsi" w:hAnsiTheme="minorHAnsi" w:cstheme="minorHAnsi"/>
          <w:i/>
          <w:sz w:val="16"/>
          <w:szCs w:val="16"/>
        </w:rPr>
        <w:t>3</w:t>
      </w:r>
      <w:r w:rsidR="00777AAA" w:rsidRPr="0088321F">
        <w:rPr>
          <w:rFonts w:asciiTheme="minorHAnsi" w:hAnsiTheme="minorHAnsi" w:cstheme="minorHAnsi"/>
          <w:i/>
          <w:sz w:val="16"/>
          <w:szCs w:val="16"/>
        </w:rPr>
        <w:t>).</w:t>
      </w:r>
    </w:p>
    <w:p w14:paraId="38B56901" w14:textId="2923D20D"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2</w:t>
      </w:r>
      <w:r w:rsidRPr="0088321F">
        <w:rPr>
          <w:rFonts w:asciiTheme="minorHAnsi" w:hAnsiTheme="minorHAnsi" w:cstheme="minorHAnsi"/>
          <w:i/>
          <w:sz w:val="16"/>
          <w:szCs w:val="16"/>
        </w:rPr>
        <w:t xml:space="preserve">The quarterly (90 day) five year rolling mean is the average </w:t>
      </w:r>
      <w:r w:rsidR="00D26EE8">
        <w:rPr>
          <w:rFonts w:asciiTheme="minorHAnsi" w:hAnsiTheme="minorHAnsi" w:cstheme="minorHAnsi"/>
          <w:i/>
          <w:sz w:val="16"/>
          <w:szCs w:val="16"/>
        </w:rPr>
        <w:t>of</w:t>
      </w:r>
      <w:r w:rsidR="00CA37B4">
        <w:rPr>
          <w:rFonts w:asciiTheme="minorHAnsi" w:hAnsiTheme="minorHAnsi" w:cstheme="minorHAnsi"/>
          <w:i/>
          <w:sz w:val="16"/>
          <w:szCs w:val="16"/>
        </w:rPr>
        <w:t xml:space="preserve"> 5 intervals of 90 days up to</w:t>
      </w:r>
      <w:r w:rsidR="003603F7">
        <w:rPr>
          <w:rFonts w:asciiTheme="minorHAnsi" w:hAnsiTheme="minorHAnsi" w:cstheme="minorHAnsi"/>
          <w:i/>
          <w:sz w:val="16"/>
          <w:szCs w:val="16"/>
        </w:rPr>
        <w:t xml:space="preserve"> </w:t>
      </w:r>
      <w:r w:rsidR="00876E12">
        <w:rPr>
          <w:rFonts w:asciiTheme="minorHAnsi" w:hAnsiTheme="minorHAnsi" w:cstheme="minorHAnsi"/>
          <w:i/>
          <w:sz w:val="16"/>
          <w:szCs w:val="16"/>
        </w:rPr>
        <w:t>26</w:t>
      </w:r>
      <w:r w:rsidR="00270632" w:rsidRPr="0088321F">
        <w:rPr>
          <w:rFonts w:asciiTheme="minorHAnsi" w:hAnsiTheme="minorHAnsi" w:cstheme="minorHAnsi"/>
          <w:i/>
          <w:sz w:val="16"/>
          <w:szCs w:val="16"/>
        </w:rPr>
        <w:t>/</w:t>
      </w:r>
      <w:r w:rsidR="00AF52D0">
        <w:rPr>
          <w:rFonts w:asciiTheme="minorHAnsi" w:hAnsiTheme="minorHAnsi" w:cstheme="minorHAnsi"/>
          <w:i/>
          <w:sz w:val="16"/>
          <w:szCs w:val="16"/>
        </w:rPr>
        <w:t>1</w:t>
      </w:r>
      <w:r w:rsidR="00F62B26">
        <w:rPr>
          <w:rFonts w:asciiTheme="minorHAnsi" w:hAnsiTheme="minorHAnsi" w:cstheme="minorHAnsi"/>
          <w:i/>
          <w:sz w:val="16"/>
          <w:szCs w:val="16"/>
        </w:rPr>
        <w:t>1</w:t>
      </w:r>
      <w:r w:rsidR="00735187">
        <w:rPr>
          <w:rFonts w:asciiTheme="minorHAnsi" w:hAnsiTheme="minorHAnsi" w:cstheme="minorHAnsi"/>
          <w:i/>
          <w:sz w:val="16"/>
          <w:szCs w:val="16"/>
        </w:rPr>
        <w:t>/202</w:t>
      </w:r>
      <w:r w:rsidR="002D330C">
        <w:rPr>
          <w:rFonts w:asciiTheme="minorHAnsi" w:hAnsiTheme="minorHAnsi" w:cstheme="minorHAnsi"/>
          <w:i/>
          <w:sz w:val="16"/>
          <w:szCs w:val="16"/>
        </w:rPr>
        <w:t>3</w:t>
      </w:r>
      <w:r w:rsidRPr="0088321F">
        <w:rPr>
          <w:rFonts w:asciiTheme="minorHAnsi" w:hAnsiTheme="minorHAnsi" w:cstheme="minorHAnsi"/>
          <w:i/>
          <w:sz w:val="16"/>
          <w:szCs w:val="16"/>
        </w:rPr>
        <w:t xml:space="preserve">.  The ratio is the notification activity in the past quarter (90 days) compared with the </w:t>
      </w:r>
      <w:proofErr w:type="gramStart"/>
      <w:r w:rsidRPr="0088321F">
        <w:rPr>
          <w:rFonts w:asciiTheme="minorHAnsi" w:hAnsiTheme="minorHAnsi" w:cstheme="minorHAnsi"/>
          <w:i/>
          <w:sz w:val="16"/>
          <w:szCs w:val="16"/>
        </w:rPr>
        <w:t>five year</w:t>
      </w:r>
      <w:proofErr w:type="gramEnd"/>
      <w:r w:rsidRPr="0088321F">
        <w:rPr>
          <w:rFonts w:asciiTheme="minorHAnsi" w:hAnsiTheme="minorHAnsi" w:cstheme="minorHAnsi"/>
          <w:i/>
          <w:sz w:val="16"/>
          <w:szCs w:val="16"/>
        </w:rPr>
        <w:t xml:space="preserve"> rolling mean for the same period.</w:t>
      </w:r>
    </w:p>
    <w:p w14:paraId="228A0A61" w14:textId="7BEE5BC2"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3</w:t>
      </w:r>
      <w:r w:rsidRPr="0088321F">
        <w:rPr>
          <w:rFonts w:asciiTheme="minorHAnsi" w:hAnsiTheme="minorHAnsi" w:cstheme="minorHAnsi"/>
          <w:i/>
          <w:sz w:val="16"/>
          <w:szCs w:val="16"/>
        </w:rPr>
        <w:t xml:space="preserve">The past year (365 day) surveillance period includes the date range </w:t>
      </w:r>
      <w:r w:rsidR="002C38A0" w:rsidRPr="0088321F">
        <w:rPr>
          <w:rFonts w:asciiTheme="minorHAnsi" w:hAnsiTheme="minorHAnsi" w:cstheme="minorHAnsi"/>
          <w:i/>
          <w:sz w:val="16"/>
          <w:szCs w:val="16"/>
        </w:rPr>
        <w:t>(</w:t>
      </w:r>
      <w:r w:rsidR="00876E12">
        <w:rPr>
          <w:rFonts w:asciiTheme="minorHAnsi" w:hAnsiTheme="minorHAnsi" w:cstheme="minorHAnsi"/>
          <w:i/>
          <w:sz w:val="16"/>
          <w:szCs w:val="16"/>
        </w:rPr>
        <w:t>27</w:t>
      </w:r>
      <w:r w:rsidR="00421F52" w:rsidRPr="0088321F">
        <w:rPr>
          <w:rFonts w:asciiTheme="minorHAnsi" w:hAnsiTheme="minorHAnsi" w:cstheme="minorHAnsi"/>
          <w:i/>
          <w:sz w:val="16"/>
          <w:szCs w:val="16"/>
        </w:rPr>
        <w:t>/</w:t>
      </w:r>
      <w:r w:rsidR="00AF52D0">
        <w:rPr>
          <w:rFonts w:asciiTheme="minorHAnsi" w:hAnsiTheme="minorHAnsi" w:cstheme="minorHAnsi"/>
          <w:i/>
          <w:sz w:val="16"/>
          <w:szCs w:val="16"/>
        </w:rPr>
        <w:t>1</w:t>
      </w:r>
      <w:r w:rsidR="00F62B26">
        <w:rPr>
          <w:rFonts w:asciiTheme="minorHAnsi" w:hAnsiTheme="minorHAnsi" w:cstheme="minorHAnsi"/>
          <w:i/>
          <w:sz w:val="16"/>
          <w:szCs w:val="16"/>
        </w:rPr>
        <w:t>1</w:t>
      </w:r>
      <w:r w:rsidR="00421F52" w:rsidRPr="0088321F">
        <w:rPr>
          <w:rFonts w:asciiTheme="minorHAnsi" w:hAnsiTheme="minorHAnsi" w:cstheme="minorHAnsi"/>
          <w:i/>
          <w:sz w:val="16"/>
          <w:szCs w:val="16"/>
        </w:rPr>
        <w:t>/</w:t>
      </w:r>
      <w:r w:rsidR="009C1059">
        <w:rPr>
          <w:rFonts w:asciiTheme="minorHAnsi" w:hAnsiTheme="minorHAnsi" w:cstheme="minorHAnsi"/>
          <w:i/>
          <w:sz w:val="16"/>
          <w:szCs w:val="16"/>
        </w:rPr>
        <w:t>202</w:t>
      </w:r>
      <w:r w:rsidR="002D330C">
        <w:rPr>
          <w:rFonts w:asciiTheme="minorHAnsi" w:hAnsiTheme="minorHAnsi" w:cstheme="minorHAnsi"/>
          <w:i/>
          <w:sz w:val="16"/>
          <w:szCs w:val="16"/>
        </w:rPr>
        <w:t>2</w:t>
      </w:r>
      <w:r w:rsidR="00493076" w:rsidRPr="0088321F">
        <w:rPr>
          <w:rFonts w:asciiTheme="minorHAnsi" w:hAnsiTheme="minorHAnsi" w:cstheme="minorHAnsi"/>
          <w:i/>
          <w:sz w:val="16"/>
          <w:szCs w:val="16"/>
        </w:rPr>
        <w:t xml:space="preserve"> to</w:t>
      </w:r>
      <w:r w:rsidR="00EA74EE">
        <w:rPr>
          <w:rFonts w:asciiTheme="minorHAnsi" w:hAnsiTheme="minorHAnsi" w:cstheme="minorHAnsi"/>
          <w:i/>
          <w:sz w:val="16"/>
          <w:szCs w:val="16"/>
        </w:rPr>
        <w:t xml:space="preserve"> </w:t>
      </w:r>
      <w:r w:rsidR="00876E12">
        <w:rPr>
          <w:rFonts w:asciiTheme="minorHAnsi" w:hAnsiTheme="minorHAnsi" w:cstheme="minorHAnsi"/>
          <w:i/>
          <w:sz w:val="16"/>
          <w:szCs w:val="16"/>
        </w:rPr>
        <w:t>26</w:t>
      </w:r>
      <w:r w:rsidR="00270632" w:rsidRPr="0088321F">
        <w:rPr>
          <w:rFonts w:asciiTheme="minorHAnsi" w:hAnsiTheme="minorHAnsi" w:cstheme="minorHAnsi"/>
          <w:i/>
          <w:sz w:val="16"/>
          <w:szCs w:val="16"/>
        </w:rPr>
        <w:t>/</w:t>
      </w:r>
      <w:r w:rsidR="00AF52D0">
        <w:rPr>
          <w:rFonts w:asciiTheme="minorHAnsi" w:hAnsiTheme="minorHAnsi" w:cstheme="minorHAnsi"/>
          <w:i/>
          <w:sz w:val="16"/>
          <w:szCs w:val="16"/>
        </w:rPr>
        <w:t>1</w:t>
      </w:r>
      <w:r w:rsidR="00F62B26">
        <w:rPr>
          <w:rFonts w:asciiTheme="minorHAnsi" w:hAnsiTheme="minorHAnsi" w:cstheme="minorHAnsi"/>
          <w:i/>
          <w:sz w:val="16"/>
          <w:szCs w:val="16"/>
        </w:rPr>
        <w:t>1</w:t>
      </w:r>
      <w:r w:rsidR="009C1059">
        <w:rPr>
          <w:rFonts w:asciiTheme="minorHAnsi" w:hAnsiTheme="minorHAnsi" w:cstheme="minorHAnsi"/>
          <w:i/>
          <w:sz w:val="16"/>
          <w:szCs w:val="16"/>
        </w:rPr>
        <w:t>/202</w:t>
      </w:r>
      <w:r w:rsidR="002D330C">
        <w:rPr>
          <w:rFonts w:asciiTheme="minorHAnsi" w:hAnsiTheme="minorHAnsi" w:cstheme="minorHAnsi"/>
          <w:i/>
          <w:sz w:val="16"/>
          <w:szCs w:val="16"/>
        </w:rPr>
        <w:t>3</w:t>
      </w:r>
      <w:r w:rsidR="002C38A0" w:rsidRPr="0088321F">
        <w:rPr>
          <w:rFonts w:asciiTheme="minorHAnsi" w:hAnsiTheme="minorHAnsi" w:cstheme="minorHAnsi"/>
          <w:i/>
          <w:sz w:val="16"/>
          <w:szCs w:val="16"/>
        </w:rPr>
        <w:t>).</w:t>
      </w:r>
    </w:p>
    <w:p w14:paraId="24BCFBDD" w14:textId="3F0B3104" w:rsidR="00017515" w:rsidRPr="0088321F" w:rsidRDefault="00017515" w:rsidP="00017515">
      <w:pPr>
        <w:autoSpaceDE w:val="0"/>
        <w:autoSpaceDN w:val="0"/>
        <w:adjustRightInd w:val="0"/>
        <w:spacing w:after="120"/>
        <w:rPr>
          <w:rFonts w:asciiTheme="minorHAnsi" w:hAnsiTheme="minorHAnsi" w:cstheme="minorHAnsi"/>
          <w:i/>
          <w:sz w:val="16"/>
          <w:szCs w:val="16"/>
        </w:rPr>
      </w:pPr>
      <w:r w:rsidRPr="0088321F">
        <w:rPr>
          <w:rFonts w:asciiTheme="minorHAnsi" w:hAnsiTheme="minorHAnsi" w:cstheme="minorHAnsi"/>
          <w:i/>
          <w:sz w:val="16"/>
          <w:szCs w:val="16"/>
          <w:vertAlign w:val="superscript"/>
        </w:rPr>
        <w:t>4</w:t>
      </w:r>
      <w:r w:rsidRPr="0088321F">
        <w:rPr>
          <w:rFonts w:asciiTheme="minorHAnsi" w:hAnsiTheme="minorHAnsi" w:cstheme="minorHAnsi"/>
          <w:i/>
          <w:sz w:val="16"/>
          <w:szCs w:val="16"/>
        </w:rPr>
        <w:t>The yearly (365 day) five year rolling mean is the average o</w:t>
      </w:r>
      <w:r w:rsidR="007F67BA">
        <w:rPr>
          <w:rFonts w:asciiTheme="minorHAnsi" w:hAnsiTheme="minorHAnsi" w:cstheme="minorHAnsi"/>
          <w:i/>
          <w:sz w:val="16"/>
          <w:szCs w:val="16"/>
        </w:rPr>
        <w:t xml:space="preserve">f </w:t>
      </w:r>
      <w:r w:rsidR="00CA37B4">
        <w:rPr>
          <w:rFonts w:asciiTheme="minorHAnsi" w:hAnsiTheme="minorHAnsi" w:cstheme="minorHAnsi"/>
          <w:i/>
          <w:sz w:val="16"/>
          <w:szCs w:val="16"/>
        </w:rPr>
        <w:t>5 intervals of 365 days up to</w:t>
      </w:r>
      <w:r w:rsidR="00A13BC6">
        <w:rPr>
          <w:rFonts w:asciiTheme="minorHAnsi" w:hAnsiTheme="minorHAnsi" w:cstheme="minorHAnsi"/>
          <w:i/>
          <w:sz w:val="16"/>
          <w:szCs w:val="16"/>
        </w:rPr>
        <w:t xml:space="preserve"> </w:t>
      </w:r>
      <w:r w:rsidR="00876E12">
        <w:rPr>
          <w:rFonts w:asciiTheme="minorHAnsi" w:hAnsiTheme="minorHAnsi" w:cstheme="minorHAnsi"/>
          <w:i/>
          <w:sz w:val="16"/>
          <w:szCs w:val="16"/>
        </w:rPr>
        <w:t>26</w:t>
      </w:r>
      <w:r w:rsidR="00854ED5">
        <w:rPr>
          <w:rFonts w:asciiTheme="minorHAnsi" w:hAnsiTheme="minorHAnsi" w:cstheme="minorHAnsi"/>
          <w:i/>
          <w:sz w:val="16"/>
          <w:szCs w:val="16"/>
        </w:rPr>
        <w:t>/</w:t>
      </w:r>
      <w:r w:rsidR="00AF52D0">
        <w:rPr>
          <w:rFonts w:asciiTheme="minorHAnsi" w:hAnsiTheme="minorHAnsi" w:cstheme="minorHAnsi"/>
          <w:i/>
          <w:sz w:val="16"/>
          <w:szCs w:val="16"/>
        </w:rPr>
        <w:t>1</w:t>
      </w:r>
      <w:r w:rsidR="00F62B26">
        <w:rPr>
          <w:rFonts w:asciiTheme="minorHAnsi" w:hAnsiTheme="minorHAnsi" w:cstheme="minorHAnsi"/>
          <w:i/>
          <w:sz w:val="16"/>
          <w:szCs w:val="16"/>
        </w:rPr>
        <w:t>1</w:t>
      </w:r>
      <w:r w:rsidR="0071646F">
        <w:rPr>
          <w:rFonts w:asciiTheme="minorHAnsi" w:hAnsiTheme="minorHAnsi" w:cstheme="minorHAnsi"/>
          <w:i/>
          <w:sz w:val="16"/>
          <w:szCs w:val="16"/>
        </w:rPr>
        <w:t>/</w:t>
      </w:r>
      <w:r w:rsidR="00735187">
        <w:rPr>
          <w:rFonts w:asciiTheme="minorHAnsi" w:hAnsiTheme="minorHAnsi" w:cstheme="minorHAnsi"/>
          <w:i/>
          <w:sz w:val="16"/>
          <w:szCs w:val="16"/>
        </w:rPr>
        <w:t>202</w:t>
      </w:r>
      <w:r w:rsidR="002D330C">
        <w:rPr>
          <w:rFonts w:asciiTheme="minorHAnsi" w:hAnsiTheme="minorHAnsi" w:cstheme="minorHAnsi"/>
          <w:i/>
          <w:sz w:val="16"/>
          <w:szCs w:val="16"/>
        </w:rPr>
        <w:t>3</w:t>
      </w:r>
      <w:r w:rsidR="002C38A0" w:rsidRPr="0088321F">
        <w:rPr>
          <w:rFonts w:asciiTheme="minorHAnsi" w:hAnsiTheme="minorHAnsi" w:cstheme="minorHAnsi"/>
          <w:i/>
          <w:sz w:val="16"/>
          <w:szCs w:val="16"/>
        </w:rPr>
        <w:t>.</w:t>
      </w:r>
      <w:r w:rsidR="00777AAA" w:rsidRPr="0088321F">
        <w:rPr>
          <w:rFonts w:asciiTheme="minorHAnsi" w:hAnsiTheme="minorHAnsi" w:cstheme="minorHAnsi"/>
          <w:i/>
          <w:sz w:val="16"/>
          <w:szCs w:val="16"/>
        </w:rPr>
        <w:t xml:space="preserve"> </w:t>
      </w:r>
      <w:r w:rsidRPr="0088321F">
        <w:rPr>
          <w:rFonts w:asciiTheme="minorHAnsi" w:hAnsiTheme="minorHAnsi" w:cstheme="minorHAnsi"/>
          <w:i/>
          <w:sz w:val="16"/>
          <w:szCs w:val="16"/>
        </w:rPr>
        <w:t xml:space="preserve">The ratio is the notification activity in the past year (365 days) compared with the </w:t>
      </w:r>
      <w:proofErr w:type="gramStart"/>
      <w:r w:rsidRPr="0088321F">
        <w:rPr>
          <w:rFonts w:asciiTheme="minorHAnsi" w:hAnsiTheme="minorHAnsi" w:cstheme="minorHAnsi"/>
          <w:i/>
          <w:sz w:val="16"/>
          <w:szCs w:val="16"/>
        </w:rPr>
        <w:t>five year</w:t>
      </w:r>
      <w:proofErr w:type="gramEnd"/>
      <w:r w:rsidRPr="0088321F">
        <w:rPr>
          <w:rFonts w:asciiTheme="minorHAnsi" w:hAnsiTheme="minorHAnsi" w:cstheme="minorHAnsi"/>
          <w:i/>
          <w:sz w:val="16"/>
          <w:szCs w:val="16"/>
        </w:rPr>
        <w:t xml:space="preserve"> rolling mean for the same period.</w:t>
      </w:r>
    </w:p>
    <w:p w14:paraId="011711D9" w14:textId="77777777" w:rsidR="00745E0F" w:rsidRPr="0088321F" w:rsidRDefault="00017515" w:rsidP="00FB7FEB">
      <w:pPr>
        <w:autoSpaceDE w:val="0"/>
        <w:autoSpaceDN w:val="0"/>
        <w:adjustRightInd w:val="0"/>
        <w:spacing w:after="120"/>
        <w:rPr>
          <w:rFonts w:asciiTheme="minorHAnsi" w:hAnsiTheme="minorHAnsi" w:cstheme="minorHAnsi"/>
          <w:sz w:val="16"/>
          <w:szCs w:val="16"/>
        </w:rPr>
      </w:pPr>
      <w:r w:rsidRPr="0088321F">
        <w:rPr>
          <w:rFonts w:asciiTheme="minorHAnsi" w:hAnsiTheme="minorHAnsi" w:cstheme="minorHAnsi"/>
          <w:i/>
          <w:sz w:val="16"/>
          <w:szCs w:val="16"/>
        </w:rPr>
        <w:t xml:space="preserve">The </w:t>
      </w:r>
      <w:proofErr w:type="gramStart"/>
      <w:r w:rsidRPr="0088321F">
        <w:rPr>
          <w:rFonts w:asciiTheme="minorHAnsi" w:hAnsiTheme="minorHAnsi" w:cstheme="minorHAnsi"/>
          <w:i/>
          <w:sz w:val="16"/>
          <w:szCs w:val="16"/>
        </w:rPr>
        <w:t>five year</w:t>
      </w:r>
      <w:proofErr w:type="gramEnd"/>
      <w:r w:rsidRPr="0088321F">
        <w:rPr>
          <w:rFonts w:asciiTheme="minorHAnsi" w:hAnsiTheme="minorHAnsi" w:cstheme="minorHAnsi"/>
          <w:i/>
          <w:sz w:val="16"/>
          <w:szCs w:val="16"/>
        </w:rPr>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88321F">
        <w:rPr>
          <w:rFonts w:asciiTheme="minorHAnsi" w:hAnsiTheme="minorHAnsi" w:cstheme="minorHAnsi"/>
          <w:i/>
          <w:sz w:val="16"/>
          <w:szCs w:val="16"/>
        </w:rPr>
        <w:t>five year</w:t>
      </w:r>
      <w:proofErr w:type="gramEnd"/>
      <w:r w:rsidRPr="0088321F">
        <w:rPr>
          <w:rFonts w:asciiTheme="minorHAnsi" w:hAnsiTheme="minorHAnsi" w:cstheme="minorHAnsi"/>
          <w:i/>
          <w:sz w:val="16"/>
          <w:szCs w:val="16"/>
        </w:rPr>
        <w:t xml:space="preserve"> period. Ratios are to be taken as a crude measure of current disease activity and may reflect changes in reporting rather than changes in disease activity. </w:t>
      </w:r>
    </w:p>
    <w:sectPr w:rsidR="00745E0F" w:rsidRPr="0088321F"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5385775">
    <w:abstractNumId w:val="2"/>
  </w:num>
  <w:num w:numId="2" w16cid:durableId="1162816864">
    <w:abstractNumId w:val="0"/>
  </w:num>
  <w:num w:numId="3" w16cid:durableId="1496067094">
    <w:abstractNumId w:val="3"/>
  </w:num>
  <w:num w:numId="4" w16cid:durableId="30228586">
    <w:abstractNumId w:val="3"/>
  </w:num>
  <w:num w:numId="5" w16cid:durableId="11666338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329"/>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9169A"/>
    <w:rsid w:val="000922AC"/>
    <w:rsid w:val="000935CB"/>
    <w:rsid w:val="0009642A"/>
    <w:rsid w:val="000A0DDD"/>
    <w:rsid w:val="000A1778"/>
    <w:rsid w:val="000A2996"/>
    <w:rsid w:val="000A35D3"/>
    <w:rsid w:val="000A3E15"/>
    <w:rsid w:val="000A412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2296"/>
    <w:rsid w:val="00152D38"/>
    <w:rsid w:val="0015388B"/>
    <w:rsid w:val="00154FBD"/>
    <w:rsid w:val="00157616"/>
    <w:rsid w:val="001618F9"/>
    <w:rsid w:val="00163974"/>
    <w:rsid w:val="00166513"/>
    <w:rsid w:val="00172F5F"/>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1B65"/>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1A44"/>
    <w:rsid w:val="002B2264"/>
    <w:rsid w:val="002B2390"/>
    <w:rsid w:val="002B4F9D"/>
    <w:rsid w:val="002B66DB"/>
    <w:rsid w:val="002B6E8A"/>
    <w:rsid w:val="002B7391"/>
    <w:rsid w:val="002C16E9"/>
    <w:rsid w:val="002C1D60"/>
    <w:rsid w:val="002C1EDC"/>
    <w:rsid w:val="002C38A0"/>
    <w:rsid w:val="002C59F2"/>
    <w:rsid w:val="002C667F"/>
    <w:rsid w:val="002C7F07"/>
    <w:rsid w:val="002D0BB9"/>
    <w:rsid w:val="002D0D6F"/>
    <w:rsid w:val="002D330C"/>
    <w:rsid w:val="002D44D4"/>
    <w:rsid w:val="002D5CC2"/>
    <w:rsid w:val="002D7C2F"/>
    <w:rsid w:val="002E1413"/>
    <w:rsid w:val="002E4545"/>
    <w:rsid w:val="002E56CD"/>
    <w:rsid w:val="002F1D15"/>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2861"/>
    <w:rsid w:val="0035593E"/>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4302"/>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70D5"/>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214E"/>
    <w:rsid w:val="00463B62"/>
    <w:rsid w:val="0046422A"/>
    <w:rsid w:val="004663FC"/>
    <w:rsid w:val="00466443"/>
    <w:rsid w:val="00470B49"/>
    <w:rsid w:val="00471DC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3B7F"/>
    <w:rsid w:val="00515DE3"/>
    <w:rsid w:val="00522EBD"/>
    <w:rsid w:val="005254A9"/>
    <w:rsid w:val="00533E50"/>
    <w:rsid w:val="0053460C"/>
    <w:rsid w:val="00540E47"/>
    <w:rsid w:val="005427DF"/>
    <w:rsid w:val="00543AFE"/>
    <w:rsid w:val="005444BF"/>
    <w:rsid w:val="00546EFB"/>
    <w:rsid w:val="0055588B"/>
    <w:rsid w:val="005563B2"/>
    <w:rsid w:val="005635CB"/>
    <w:rsid w:val="00564A91"/>
    <w:rsid w:val="00567DDF"/>
    <w:rsid w:val="0057251B"/>
    <w:rsid w:val="0057335B"/>
    <w:rsid w:val="00574245"/>
    <w:rsid w:val="00574A3D"/>
    <w:rsid w:val="00576615"/>
    <w:rsid w:val="005778FD"/>
    <w:rsid w:val="0058103F"/>
    <w:rsid w:val="00581344"/>
    <w:rsid w:val="00581932"/>
    <w:rsid w:val="00581DBA"/>
    <w:rsid w:val="00582555"/>
    <w:rsid w:val="00582AF9"/>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55D8"/>
    <w:rsid w:val="005A6798"/>
    <w:rsid w:val="005B00B2"/>
    <w:rsid w:val="005B1F2C"/>
    <w:rsid w:val="005B38CF"/>
    <w:rsid w:val="005B38F1"/>
    <w:rsid w:val="005B3DE5"/>
    <w:rsid w:val="005B44D0"/>
    <w:rsid w:val="005B4CD0"/>
    <w:rsid w:val="005B7BD4"/>
    <w:rsid w:val="005C1BF2"/>
    <w:rsid w:val="005C6578"/>
    <w:rsid w:val="005D6661"/>
    <w:rsid w:val="005E187B"/>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3185"/>
    <w:rsid w:val="00643DD1"/>
    <w:rsid w:val="00646952"/>
    <w:rsid w:val="0065121A"/>
    <w:rsid w:val="00654DD6"/>
    <w:rsid w:val="006553DE"/>
    <w:rsid w:val="00656E29"/>
    <w:rsid w:val="00660EB5"/>
    <w:rsid w:val="00664D78"/>
    <w:rsid w:val="00672E1E"/>
    <w:rsid w:val="00677F7F"/>
    <w:rsid w:val="00680228"/>
    <w:rsid w:val="00680B71"/>
    <w:rsid w:val="00681C6D"/>
    <w:rsid w:val="006837B2"/>
    <w:rsid w:val="00684BDF"/>
    <w:rsid w:val="00686F54"/>
    <w:rsid w:val="006919AF"/>
    <w:rsid w:val="00692EF0"/>
    <w:rsid w:val="006933DD"/>
    <w:rsid w:val="006944A0"/>
    <w:rsid w:val="00695F80"/>
    <w:rsid w:val="006973B8"/>
    <w:rsid w:val="006A1BA4"/>
    <w:rsid w:val="006A43C0"/>
    <w:rsid w:val="006A55BF"/>
    <w:rsid w:val="006B0616"/>
    <w:rsid w:val="006B2F27"/>
    <w:rsid w:val="006B33BB"/>
    <w:rsid w:val="006B6E8B"/>
    <w:rsid w:val="006C1B88"/>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6FD4"/>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5662"/>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52A19"/>
    <w:rsid w:val="00852E77"/>
    <w:rsid w:val="00853E82"/>
    <w:rsid w:val="0085487C"/>
    <w:rsid w:val="00854ED5"/>
    <w:rsid w:val="008574F9"/>
    <w:rsid w:val="00857758"/>
    <w:rsid w:val="008579AA"/>
    <w:rsid w:val="00862047"/>
    <w:rsid w:val="008622E3"/>
    <w:rsid w:val="0086641F"/>
    <w:rsid w:val="00867F20"/>
    <w:rsid w:val="00871F14"/>
    <w:rsid w:val="008729EA"/>
    <w:rsid w:val="008743B7"/>
    <w:rsid w:val="00876E12"/>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B089E"/>
    <w:rsid w:val="009B0CA0"/>
    <w:rsid w:val="009B205C"/>
    <w:rsid w:val="009B3943"/>
    <w:rsid w:val="009B7439"/>
    <w:rsid w:val="009C1059"/>
    <w:rsid w:val="009C4A7B"/>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7C50"/>
    <w:rsid w:val="00A82D80"/>
    <w:rsid w:val="00A8363A"/>
    <w:rsid w:val="00A83D2C"/>
    <w:rsid w:val="00A85400"/>
    <w:rsid w:val="00A85BE0"/>
    <w:rsid w:val="00A8747E"/>
    <w:rsid w:val="00A87E54"/>
    <w:rsid w:val="00A924A7"/>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F06FE"/>
    <w:rsid w:val="00AF0884"/>
    <w:rsid w:val="00AF16AB"/>
    <w:rsid w:val="00AF38F9"/>
    <w:rsid w:val="00AF4609"/>
    <w:rsid w:val="00AF52D0"/>
    <w:rsid w:val="00AF5BF5"/>
    <w:rsid w:val="00AF7900"/>
    <w:rsid w:val="00B02E68"/>
    <w:rsid w:val="00B06389"/>
    <w:rsid w:val="00B0707D"/>
    <w:rsid w:val="00B0788D"/>
    <w:rsid w:val="00B12477"/>
    <w:rsid w:val="00B127DF"/>
    <w:rsid w:val="00B15C86"/>
    <w:rsid w:val="00B15FBE"/>
    <w:rsid w:val="00B22EC9"/>
    <w:rsid w:val="00B22FF9"/>
    <w:rsid w:val="00B254A9"/>
    <w:rsid w:val="00B2582F"/>
    <w:rsid w:val="00B25B89"/>
    <w:rsid w:val="00B25EC8"/>
    <w:rsid w:val="00B264A9"/>
    <w:rsid w:val="00B30CF2"/>
    <w:rsid w:val="00B3281A"/>
    <w:rsid w:val="00B343CD"/>
    <w:rsid w:val="00B354F9"/>
    <w:rsid w:val="00B36320"/>
    <w:rsid w:val="00B4091F"/>
    <w:rsid w:val="00B533B1"/>
    <w:rsid w:val="00B536A6"/>
    <w:rsid w:val="00B56DFE"/>
    <w:rsid w:val="00B57ED4"/>
    <w:rsid w:val="00B6318A"/>
    <w:rsid w:val="00B63613"/>
    <w:rsid w:val="00B64002"/>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34BD"/>
    <w:rsid w:val="00BD4E41"/>
    <w:rsid w:val="00BD78F5"/>
    <w:rsid w:val="00BE3A40"/>
    <w:rsid w:val="00BE6D9E"/>
    <w:rsid w:val="00BF1760"/>
    <w:rsid w:val="00BF2BC6"/>
    <w:rsid w:val="00BF3076"/>
    <w:rsid w:val="00BF6100"/>
    <w:rsid w:val="00BF7752"/>
    <w:rsid w:val="00C0248B"/>
    <w:rsid w:val="00C03319"/>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32F8"/>
    <w:rsid w:val="00C34F54"/>
    <w:rsid w:val="00C354D2"/>
    <w:rsid w:val="00C37502"/>
    <w:rsid w:val="00C37A92"/>
    <w:rsid w:val="00C43AEF"/>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FD7"/>
    <w:rsid w:val="00C872E8"/>
    <w:rsid w:val="00C90959"/>
    <w:rsid w:val="00C92096"/>
    <w:rsid w:val="00C943E6"/>
    <w:rsid w:val="00C94804"/>
    <w:rsid w:val="00C9490F"/>
    <w:rsid w:val="00C95D46"/>
    <w:rsid w:val="00C96BE0"/>
    <w:rsid w:val="00CA0FCF"/>
    <w:rsid w:val="00CA1F4D"/>
    <w:rsid w:val="00CA37B4"/>
    <w:rsid w:val="00CA6AEF"/>
    <w:rsid w:val="00CB48F6"/>
    <w:rsid w:val="00CC0423"/>
    <w:rsid w:val="00CC2F7C"/>
    <w:rsid w:val="00CC589A"/>
    <w:rsid w:val="00CC5BBC"/>
    <w:rsid w:val="00CD0C8A"/>
    <w:rsid w:val="00CD1CE0"/>
    <w:rsid w:val="00CD5BEE"/>
    <w:rsid w:val="00CD63DC"/>
    <w:rsid w:val="00CE0235"/>
    <w:rsid w:val="00CE1FA5"/>
    <w:rsid w:val="00CE3546"/>
    <w:rsid w:val="00CE49D8"/>
    <w:rsid w:val="00CF059B"/>
    <w:rsid w:val="00CF19AE"/>
    <w:rsid w:val="00CF4999"/>
    <w:rsid w:val="00CF4DE3"/>
    <w:rsid w:val="00CF6AA5"/>
    <w:rsid w:val="00CF6E2B"/>
    <w:rsid w:val="00D02BA4"/>
    <w:rsid w:val="00D04C77"/>
    <w:rsid w:val="00D05EE2"/>
    <w:rsid w:val="00D06430"/>
    <w:rsid w:val="00D1131C"/>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4752"/>
    <w:rsid w:val="00D94B80"/>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4FBA"/>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7E15"/>
    <w:rsid w:val="00E423A5"/>
    <w:rsid w:val="00E42A68"/>
    <w:rsid w:val="00E4405A"/>
    <w:rsid w:val="00E44587"/>
    <w:rsid w:val="00E45001"/>
    <w:rsid w:val="00E45411"/>
    <w:rsid w:val="00E47669"/>
    <w:rsid w:val="00E50ED6"/>
    <w:rsid w:val="00E514D9"/>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54ED"/>
    <w:rsid w:val="00EB6118"/>
    <w:rsid w:val="00EB7BC9"/>
    <w:rsid w:val="00EC1BBA"/>
    <w:rsid w:val="00ED2863"/>
    <w:rsid w:val="00ED7F90"/>
    <w:rsid w:val="00EE2EB4"/>
    <w:rsid w:val="00EF1BE7"/>
    <w:rsid w:val="00EF2C25"/>
    <w:rsid w:val="00EF308C"/>
    <w:rsid w:val="00F04EEA"/>
    <w:rsid w:val="00F058D9"/>
    <w:rsid w:val="00F07280"/>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2B26"/>
    <w:rsid w:val="00F6432A"/>
    <w:rsid w:val="00F6572C"/>
    <w:rsid w:val="00F67698"/>
    <w:rsid w:val="00F67EF2"/>
    <w:rsid w:val="00F70EF5"/>
    <w:rsid w:val="00F718BD"/>
    <w:rsid w:val="00F71DE5"/>
    <w:rsid w:val="00F73206"/>
    <w:rsid w:val="00F7551C"/>
    <w:rsid w:val="00F75F4B"/>
    <w:rsid w:val="00F76FA5"/>
    <w:rsid w:val="00F801F9"/>
    <w:rsid w:val="00F80625"/>
    <w:rsid w:val="00F816D5"/>
    <w:rsid w:val="00F82045"/>
    <w:rsid w:val="00F8245B"/>
    <w:rsid w:val="00F82BEC"/>
    <w:rsid w:val="00F93170"/>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546F"/>
    <w:rPr>
      <w:sz w:val="24"/>
      <w:szCs w:val="24"/>
    </w:rPr>
  </w:style>
  <w:style w:type="paragraph" w:styleId="Heading1">
    <w:name w:val="heading 1"/>
    <w:basedOn w:val="Normal"/>
    <w:next w:val="Normal"/>
    <w:qFormat/>
    <w:rsid w:val="00106778"/>
    <w:pPr>
      <w:keepNext/>
      <w:spacing w:line="360" w:lineRule="auto"/>
      <w:outlineLvl w:val="0"/>
    </w:pPr>
    <w:rPr>
      <w:rFonts w:ascii="Arial" w:hAnsi="Arial" w:cs="Arial"/>
      <w:b/>
      <w:bCs/>
      <w:color w:val="000000"/>
      <w:sz w:val="22"/>
      <w:szCs w:val="22"/>
    </w:rPr>
  </w:style>
  <w:style w:type="paragraph" w:styleId="Heading2">
    <w:name w:val="heading 2"/>
    <w:basedOn w:val="Normal"/>
    <w:next w:val="Normal"/>
    <w:link w:val="Heading2Char"/>
    <w:semiHidden/>
    <w:unhideWhenUsed/>
    <w:qFormat/>
    <w:rsid w:val="005B00B2"/>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semiHidden/>
    <w:unhideWhenUsed/>
    <w:qFormat/>
    <w:rsid w:val="0009169A"/>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customStyle="1" w:styleId="Char">
    <w:name w:val="Char"/>
    <w:basedOn w:val="Normal"/>
    <w:rsid w:val="00FF3117"/>
    <w:rPr>
      <w:rFonts w:ascii="Arial" w:hAnsi="Arial" w:cs="Arial"/>
      <w:sz w:val="22"/>
      <w:szCs w:val="22"/>
      <w:lang w:eastAsia="en-US"/>
    </w:rPr>
  </w:style>
  <w:style w:type="paragraph" w:customStyle="1" w:styleId="CharCharCharCharCharCharChar">
    <w:name w:val="Char Char Char Char Char Char Char"/>
    <w:basedOn w:val="Normal"/>
    <w:rsid w:val="00B15C86"/>
    <w:rPr>
      <w:rFonts w:ascii="Arial" w:hAnsi="Arial" w:cs="Arial"/>
      <w:color w:val="000000"/>
      <w:sz w:val="22"/>
      <w:szCs w:val="22"/>
      <w:lang w:eastAsia="en-US"/>
    </w:rPr>
  </w:style>
  <w:style w:type="character" w:customStyle="1" w:styleId="Heading3Char">
    <w:name w:val="Heading 3 Char"/>
    <w:link w:val="Heading3"/>
    <w:semiHidden/>
    <w:rsid w:val="0009169A"/>
    <w:rPr>
      <w:rFonts w:ascii="Cambria" w:eastAsia="Times New Roman" w:hAnsi="Cambria" w:cs="Times New Roman"/>
      <w:b/>
      <w:bCs/>
      <w:sz w:val="26"/>
      <w:szCs w:val="26"/>
    </w:rPr>
  </w:style>
  <w:style w:type="paragraph" w:styleId="ListBullet">
    <w:name w:val="List Bullet"/>
    <w:basedOn w:val="Normal"/>
    <w:rsid w:val="0041470E"/>
    <w:pPr>
      <w:tabs>
        <w:tab w:val="num" w:pos="720"/>
      </w:tabs>
      <w:spacing w:after="60"/>
      <w:ind w:left="720" w:right="28" w:hanging="360"/>
    </w:pPr>
    <w:rPr>
      <w:rFonts w:ascii="Calibri" w:hAnsi="Calibri" w:cs="Arial"/>
      <w:sz w:val="22"/>
      <w:szCs w:val="22"/>
    </w:rPr>
  </w:style>
  <w:style w:type="character" w:customStyle="1" w:styleId="Heading2Char">
    <w:name w:val="Heading 2 Char"/>
    <w:basedOn w:val="DefaultParagraphFont"/>
    <w:link w:val="Heading2"/>
    <w:semiHidden/>
    <w:rsid w:val="005B00B2"/>
    <w:rPr>
      <w:rFonts w:asciiTheme="majorHAnsi" w:eastAsiaTheme="majorEastAsia" w:hAnsiTheme="majorHAnsi" w:cstheme="majorBidi"/>
      <w:b/>
      <w:bCs/>
      <w:i/>
      <w:iCs/>
      <w:sz w:val="28"/>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ascii="Calibri" w:eastAsiaTheme="minorHAnsi" w:hAnsi="Calibr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paragraph" w:customStyle="1" w:styleId="xmsonormal">
    <w:name w:val="x_msonormal"/>
    <w:basedOn w:val="Normal"/>
    <w:rsid w:val="007E5662"/>
    <w:rPr>
      <w:rFonts w:ascii="Calibri" w:eastAsiaTheme="minorHAnsi" w:hAnsi="Calibri" w:cs="Calibri"/>
      <w:sz w:val="22"/>
      <w:szCs w:val="22"/>
    </w:rPr>
  </w:style>
  <w:style w:type="character" w:customStyle="1" w:styleId="markynid5d1ps">
    <w:name w:val="markynid5d1ps"/>
    <w:basedOn w:val="DefaultParagraphFont"/>
    <w:rsid w:val="007E5662"/>
  </w:style>
  <w:style w:type="character" w:customStyle="1" w:styleId="contentpasted0">
    <w:name w:val="contentpasted0"/>
    <w:basedOn w:val="DefaultParagraphFont"/>
    <w:rsid w:val="007E56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0747871">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4834809">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39538056">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29922495">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6880466">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27561851">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 w:id="214318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health.gov.au/internet/main/publishing.nsf/Content/ohp-syphilis.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1.health.gov.au/internet/main/publishing.nsf/Content/ohp-syphili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2253</TotalTime>
  <Pages>1</Pages>
  <Words>642</Words>
  <Characters>3822</Characters>
  <Application>Microsoft Office Word</Application>
  <DocSecurity>0</DocSecurity>
  <Lines>57</Lines>
  <Paragraphs>23</Paragraphs>
  <ScaleCrop>false</ScaleCrop>
  <HeadingPairs>
    <vt:vector size="2" baseType="variant">
      <vt:variant>
        <vt:lpstr>Title</vt:lpstr>
      </vt:variant>
      <vt:variant>
        <vt:i4>1</vt:i4>
      </vt:variant>
    </vt:vector>
  </HeadingPairs>
  <TitlesOfParts>
    <vt:vector size="1" baseType="lpstr">
      <vt:lpstr>NNDSS Fortnightly Report to CDNA</vt:lpstr>
    </vt:vector>
  </TitlesOfParts>
  <Company>DHA</Company>
  <LinksUpToDate>false</LinksUpToDate>
  <CharactersWithSpaces>4441</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NNDSS Fortnightly Report to CDNA</dc:title>
  <dc:subject>Communicable Diseases; National Notifiable Diseases Surveillance System (NNDSS)</dc:subject>
  <dc:creator>Australian Government Department of Health and Aged Care</dc:creator>
  <cp:keywords>Communicable Diseases; National Notifiable Diseases Surveillance System (NNDSS)</cp:keywords>
  <cp:revision>39</cp:revision>
  <cp:lastPrinted>2021-04-13T23:49:00Z</cp:lastPrinted>
  <dcterms:created xsi:type="dcterms:W3CDTF">2022-11-13T22:06:00Z</dcterms:created>
  <dcterms:modified xsi:type="dcterms:W3CDTF">2023-12-05T00:53:00Z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y fmtid="{D5CDD505-2E9C-101B-9397-08002B2CF9AE}" pid="8" name="_DocHome">
    <vt:i4>1117990621</vt:i4>
  </property>
</Properties>
</file>